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header4.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5.xml" ContentType="application/vnd.openxmlformats-officedocument.wordprocessingml.header+xml"/>
  <Override PartName="/word/footer10.xml" ContentType="application/vnd.openxmlformats-officedocument.wordprocessingml.footer+xml"/>
  <Override PartName="/word/header6.xml" ContentType="application/vnd.openxmlformats-officedocument.wordprocessingml.header+xml"/>
  <Override PartName="/word/footer11.xml" ContentType="application/vnd.openxmlformats-officedocument.wordprocessingml.footer+xml"/>
  <Override PartName="/word/header7.xml" ContentType="application/vnd.openxmlformats-officedocument.wordprocessingml.header+xml"/>
  <Override PartName="/word/footer12.xml" ContentType="application/vnd.openxmlformats-officedocument.wordprocessingml.footer+xml"/>
  <Default Extension="jpeg" ContentType="image/jpeg"/>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header8.xml" ContentType="application/vnd.openxmlformats-officedocument.wordprocessingml.header+xml"/>
  <Override PartName="/word/footer23.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8pt;height:.1pt;mso-position-horizontal-relative:page;mso-position-vertical-relative:page;z-index:0" coordorigin="1104,982" coordsize="9696,2">
            <v:shape style="position:absolute;left:1104;top:982;width:9696;height:2" coordorigin="1104,982" coordsize="9696,0" path="m1104,982l10800,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7"/>
          <w:szCs w:val="17"/>
        </w:rPr>
      </w:pPr>
    </w:p>
    <w:p>
      <w:pPr>
        <w:spacing w:line="2085" w:lineRule="exact"/>
        <w:ind w:left="3868"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1"/>
          <w:sz w:val="20"/>
          <w:szCs w:val="20"/>
        </w:rPr>
        <w:drawing>
          <wp:inline distT="0" distB="0" distL="0" distR="0">
            <wp:extent cx="1409024" cy="1323975"/>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1409024" cy="1323975"/>
                    </a:xfrm>
                    <a:prstGeom prst="rect">
                      <a:avLst/>
                    </a:prstGeom>
                  </pic:spPr>
                </pic:pic>
              </a:graphicData>
            </a:graphic>
          </wp:inline>
        </w:drawing>
      </w:r>
      <w:r>
        <w:rPr>
          <w:rFonts w:ascii="Times New Roman" w:hAnsi="Times New Roman" w:cs="Times New Roman" w:eastAsia="Times New Roman" w:hint="default"/>
          <w:position w:val="-41"/>
          <w:sz w:val="20"/>
          <w:szCs w:val="20"/>
        </w:rPr>
      </w:r>
    </w:p>
    <w:p>
      <w:pPr>
        <w:spacing w:line="240" w:lineRule="auto" w:before="7"/>
        <w:rPr>
          <w:rFonts w:ascii="Times New Roman" w:hAnsi="Times New Roman" w:cs="Times New Roman" w:eastAsia="Times New Roman" w:hint="default"/>
          <w:sz w:val="12"/>
          <w:szCs w:val="12"/>
        </w:rPr>
      </w:pPr>
    </w:p>
    <w:p>
      <w:pPr>
        <w:spacing w:line="460" w:lineRule="exact" w:before="0"/>
        <w:ind w:left="132" w:right="132" w:firstLine="0"/>
        <w:jc w:val="center"/>
        <w:rPr>
          <w:rFonts w:ascii="宋体" w:hAnsi="宋体" w:cs="宋体" w:eastAsia="宋体" w:hint="default"/>
          <w:sz w:val="36"/>
          <w:szCs w:val="36"/>
        </w:rPr>
      </w:pPr>
      <w:r>
        <w:rPr>
          <w:rFonts w:ascii="宋体" w:hAnsi="宋体" w:cs="宋体" w:eastAsia="宋体" w:hint="default"/>
          <w:b/>
          <w:bCs/>
          <w:sz w:val="36"/>
          <w:szCs w:val="36"/>
        </w:rPr>
        <w:t>深圳市方直科技股份有限公司</w:t>
      </w:r>
      <w:r>
        <w:rPr>
          <w:rFonts w:ascii="宋体" w:hAnsi="宋体" w:cs="宋体" w:eastAsia="宋体" w:hint="default"/>
          <w:sz w:val="36"/>
          <w:szCs w:val="36"/>
        </w:rPr>
      </w:r>
    </w:p>
    <w:p>
      <w:pPr>
        <w:spacing w:line="240" w:lineRule="auto" w:before="3"/>
        <w:rPr>
          <w:rFonts w:ascii="宋体" w:hAnsi="宋体" w:cs="宋体" w:eastAsia="宋体" w:hint="default"/>
          <w:b/>
          <w:bCs/>
          <w:sz w:val="46"/>
          <w:szCs w:val="46"/>
        </w:rPr>
      </w:pPr>
    </w:p>
    <w:p>
      <w:pPr>
        <w:spacing w:before="0"/>
        <w:ind w:left="132" w:right="134"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2014</w:t>
      </w:r>
      <w:r>
        <w:rPr>
          <w:rFonts w:ascii="Times New Roman" w:hAnsi="Times New Roman" w:cs="Times New Roman" w:eastAsia="Times New Roman" w:hint="default"/>
          <w:b/>
          <w:bCs/>
          <w:spacing w:val="-7"/>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3"/>
        <w:rPr>
          <w:rFonts w:ascii="宋体" w:hAnsi="宋体" w:cs="宋体" w:eastAsia="宋体" w:hint="default"/>
          <w:b/>
          <w:bCs/>
          <w:sz w:val="32"/>
          <w:szCs w:val="32"/>
        </w:rPr>
      </w:pPr>
    </w:p>
    <w:p>
      <w:pPr>
        <w:spacing w:before="0"/>
        <w:ind w:left="132" w:right="134" w:firstLine="0"/>
        <w:jc w:val="center"/>
        <w:rPr>
          <w:rFonts w:ascii="Times New Roman" w:hAnsi="Times New Roman" w:cs="Times New Roman" w:eastAsia="Times New Roman" w:hint="default"/>
          <w:sz w:val="22"/>
          <w:szCs w:val="22"/>
        </w:rPr>
      </w:pPr>
      <w:r>
        <w:rPr>
          <w:rFonts w:ascii="Times New Roman"/>
          <w:b/>
          <w:sz w:val="22"/>
        </w:rPr>
        <w:t>2015-022</w:t>
      </w:r>
      <w:r>
        <w:rPr>
          <w:rFonts w:ascii="Times New Roman"/>
          <w:sz w:val="22"/>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before="132"/>
        <w:ind w:left="132" w:right="134"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8" w:footer="982" w:top="1060" w:bottom="1180" w:left="980" w:right="98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6"/>
          <w:szCs w:val="26"/>
        </w:rPr>
      </w:pPr>
    </w:p>
    <w:p>
      <w:pPr>
        <w:pStyle w:val="Heading1"/>
        <w:spacing w:line="240" w:lineRule="auto"/>
        <w:ind w:left="2809" w:right="0"/>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5"/>
        </w:rPr>
        <w:t> </w:t>
      </w:r>
      <w:r>
        <w:rPr/>
        <w:t>重要提示、目录和释义</w:t>
      </w:r>
      <w:r>
        <w:rPr>
          <w:b w:val="0"/>
          <w:bCs w:val="0"/>
        </w:rPr>
      </w:r>
    </w:p>
    <w:p>
      <w:pPr>
        <w:spacing w:line="240" w:lineRule="auto" w:before="8"/>
        <w:rPr>
          <w:rFonts w:ascii="宋体" w:hAnsi="宋体" w:cs="宋体" w:eastAsia="宋体" w:hint="default"/>
          <w:b/>
          <w:bCs/>
          <w:sz w:val="30"/>
          <w:szCs w:val="30"/>
        </w:rPr>
      </w:pPr>
    </w:p>
    <w:p>
      <w:pPr>
        <w:pStyle w:val="Heading2"/>
        <w:spacing w:line="408" w:lineRule="auto"/>
        <w:ind w:right="148" w:firstLine="561"/>
        <w:jc w:val="both"/>
        <w:rPr>
          <w:b w:val="0"/>
          <w:bCs w:val="0"/>
        </w:rPr>
      </w:pPr>
      <w:r>
        <w:rPr>
          <w:spacing w:val="2"/>
        </w:rPr>
        <w:t>本公司董事会、监事会及董事、监事、高级管理人员保证本报告所载资料</w:t>
      </w:r>
      <w:r>
        <w:rPr>
          <w:spacing w:val="2"/>
          <w:w w:val="99"/>
        </w:rPr>
        <w:t> </w:t>
      </w:r>
      <w:r>
        <w:rPr>
          <w:spacing w:val="2"/>
        </w:rPr>
        <w:t>不存在任何虚假记载、误导性陈述或者重大遗漏，并对其内容的真实性、准确</w:t>
      </w:r>
      <w:r>
        <w:rPr>
          <w:spacing w:val="2"/>
          <w:w w:val="99"/>
        </w:rPr>
        <w:t> </w:t>
      </w:r>
      <w:r>
        <w:rPr/>
        <w:t>性和完整性承担个别及连带责任。</w:t>
      </w:r>
      <w:r>
        <w:rPr>
          <w:b w:val="0"/>
          <w:bCs w:val="0"/>
        </w:rPr>
      </w:r>
    </w:p>
    <w:p>
      <w:pPr>
        <w:spacing w:line="240" w:lineRule="auto" w:before="12"/>
        <w:rPr>
          <w:rFonts w:ascii="宋体" w:hAnsi="宋体" w:cs="宋体" w:eastAsia="宋体" w:hint="default"/>
          <w:b/>
          <w:bCs/>
          <w:sz w:val="19"/>
          <w:szCs w:val="19"/>
        </w:rPr>
      </w:pPr>
    </w:p>
    <w:p>
      <w:pPr>
        <w:pStyle w:val="Heading2"/>
        <w:spacing w:line="240" w:lineRule="auto"/>
        <w:ind w:left="714" w:right="0"/>
        <w:jc w:val="left"/>
        <w:rPr>
          <w:b w:val="0"/>
          <w:bCs w:val="0"/>
        </w:rPr>
      </w:pPr>
      <w:r>
        <w:rPr/>
        <w:t>所有董事均已出席了审议本报告的董事会会议。</w:t>
      </w:r>
      <w:r>
        <w:rPr>
          <w:b w:val="0"/>
          <w:bCs w:val="0"/>
        </w:rPr>
      </w:r>
    </w:p>
    <w:p>
      <w:pPr>
        <w:spacing w:line="240" w:lineRule="auto" w:before="1"/>
        <w:rPr>
          <w:rFonts w:ascii="宋体" w:hAnsi="宋体" w:cs="宋体" w:eastAsia="宋体" w:hint="default"/>
          <w:b/>
          <w:bCs/>
          <w:sz w:val="35"/>
          <w:szCs w:val="35"/>
        </w:rPr>
      </w:pPr>
    </w:p>
    <w:p>
      <w:pPr>
        <w:pStyle w:val="Heading2"/>
        <w:spacing w:line="384" w:lineRule="auto"/>
        <w:ind w:right="150" w:firstLine="561"/>
        <w:jc w:val="both"/>
        <w:rPr>
          <w:b w:val="0"/>
          <w:bCs w:val="0"/>
        </w:rPr>
      </w:pPr>
      <w:r>
        <w:rPr>
          <w:w w:val="95"/>
        </w:rPr>
        <w:t>公司负责人黄元忠、主管会计工作负责人孙晓玲及会计机构负责人</w:t>
      </w:r>
      <w:r>
        <w:rPr>
          <w:rFonts w:ascii="Times New Roman" w:hAnsi="Times New Roman" w:cs="Times New Roman" w:eastAsia="Times New Roman" w:hint="default"/>
          <w:w w:val="95"/>
        </w:rPr>
        <w:t>(</w:t>
      </w:r>
      <w:r>
        <w:rPr>
          <w:w w:val="95"/>
        </w:rPr>
        <w:t>会计主</w:t>
      </w:r>
      <w:r>
        <w:rPr>
          <w:w w:val="99"/>
        </w:rPr>
        <w:t> </w:t>
      </w:r>
      <w:r>
        <w:rPr/>
        <w:t>管人员</w:t>
      </w:r>
      <w:r>
        <w:rPr>
          <w:rFonts w:ascii="Times New Roman" w:hAnsi="Times New Roman" w:cs="Times New Roman" w:eastAsia="Times New Roman" w:hint="default"/>
        </w:rPr>
        <w:t>)</w:t>
      </w:r>
      <w:r>
        <w:rPr/>
        <w:t>全丽声明：保证年度报告中财务报告的真实、准确、完整。</w:t>
      </w:r>
      <w:r>
        <w:rPr>
          <w:b w:val="0"/>
          <w:bCs w:val="0"/>
        </w:rPr>
      </w:r>
    </w:p>
    <w:p>
      <w:pPr>
        <w:spacing w:after="0" w:line="384" w:lineRule="auto"/>
        <w:jc w:val="both"/>
        <w:sectPr>
          <w:footerReference w:type="default" r:id="rId8"/>
          <w:pgSz w:w="11910" w:h="16840"/>
          <w:pgMar w:footer="982" w:header="748" w:top="1060" w:bottom="1180" w:left="980" w:right="98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66"/>
        <w:ind w:left="132" w:right="132"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2"/>
        <w:rPr>
          <w:rFonts w:ascii="宋体" w:hAnsi="宋体" w:cs="宋体" w:eastAsia="宋体" w:hint="default"/>
          <w:b/>
          <w:bCs/>
          <w:sz w:val="49"/>
          <w:szCs w:val="49"/>
        </w:rPr>
      </w:pPr>
    </w:p>
    <w:sdt>
      <w:sdtPr>
        <w:docPartObj>
          <w:docPartGallery w:val="Table of Contents"/>
          <w:docPartUnique/>
        </w:docPartObj>
      </w:sdtPr>
      <w:sdtEndPr/>
      <w:sdtContent>
        <w:p>
          <w:pPr>
            <w:pStyle w:val="TOC1"/>
            <w:tabs>
              <w:tab w:pos="8449" w:val="right" w:leader="dot"/>
            </w:tabs>
            <w:spacing w:line="240" w:lineRule="auto" w:before="0"/>
            <w:ind w:left="152"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bookmark0">
            <w:r>
              <w:rPr/>
              <w:t>第一节</w:t>
            </w:r>
            <w:r>
              <w:rPr>
                <w:spacing w:val="-2"/>
              </w:rPr>
              <w:t> </w:t>
            </w:r>
            <w:r>
              <w:rPr/>
              <w:t>重要提示、目录和释义</w:t>
            </w:r>
            <w:r>
              <w:rPr>
                <w:rFonts w:ascii="Times New Roman" w:hAnsi="Times New Roman" w:cs="Times New Roman" w:eastAsia="Times New Roman" w:hint="default"/>
              </w:rPr>
              <w:tab/>
              <w:t>2</w:t>
            </w:r>
          </w:hyperlink>
        </w:p>
        <w:p>
          <w:pPr>
            <w:pStyle w:val="TOC1"/>
            <w:tabs>
              <w:tab w:pos="8449" w:val="right" w:leader="dot"/>
            </w:tabs>
            <w:spacing w:line="240" w:lineRule="auto"/>
            <w:ind w:right="0"/>
            <w:jc w:val="left"/>
            <w:rPr>
              <w:rFonts w:ascii="Times New Roman" w:hAnsi="Times New Roman" w:cs="Times New Roman" w:eastAsia="Times New Roman" w:hint="default"/>
            </w:rPr>
          </w:pPr>
          <w:hyperlink w:history="true" w:anchor="_bookmark1">
            <w:r>
              <w:rPr/>
              <w:t>第二节</w:t>
            </w:r>
            <w:r>
              <w:rPr>
                <w:spacing w:val="-2"/>
              </w:rPr>
              <w:t> </w:t>
            </w:r>
            <w:r>
              <w:rPr/>
              <w:t>公司基本情况简介</w:t>
            </w:r>
            <w:r>
              <w:rPr>
                <w:rFonts w:ascii="Times New Roman" w:hAnsi="Times New Roman" w:cs="Times New Roman" w:eastAsia="Times New Roman" w:hint="default"/>
              </w:rPr>
              <w:tab/>
              <w:t>5</w:t>
            </w:r>
          </w:hyperlink>
        </w:p>
        <w:p>
          <w:pPr>
            <w:pStyle w:val="TOC1"/>
            <w:tabs>
              <w:tab w:pos="8450" w:val="right" w:leader="dot"/>
            </w:tabs>
            <w:spacing w:line="240" w:lineRule="auto"/>
            <w:ind w:right="0"/>
            <w:jc w:val="left"/>
            <w:rPr>
              <w:rFonts w:ascii="Times New Roman" w:hAnsi="Times New Roman" w:cs="Times New Roman" w:eastAsia="Times New Roman" w:hint="default"/>
            </w:rPr>
          </w:pPr>
          <w:hyperlink w:history="true" w:anchor="_bookmark2">
            <w:r>
              <w:rPr/>
              <w:t>第三节</w:t>
            </w:r>
            <w:r>
              <w:rPr>
                <w:spacing w:val="-2"/>
              </w:rPr>
              <w:t> </w:t>
            </w:r>
            <w:r>
              <w:rPr/>
              <w:t>会计数据和财务指标摘要</w:t>
            </w:r>
            <w:r>
              <w:rPr>
                <w:rFonts w:ascii="Times New Roman" w:hAnsi="Times New Roman" w:cs="Times New Roman" w:eastAsia="Times New Roman" w:hint="default"/>
              </w:rPr>
              <w:tab/>
              <w:t>7</w:t>
            </w:r>
          </w:hyperlink>
        </w:p>
        <w:p>
          <w:pPr>
            <w:pStyle w:val="TOC1"/>
            <w:tabs>
              <w:tab w:pos="8450" w:val="right" w:leader="dot"/>
            </w:tabs>
            <w:spacing w:line="240" w:lineRule="auto"/>
            <w:ind w:right="0"/>
            <w:jc w:val="left"/>
            <w:rPr>
              <w:rFonts w:ascii="Times New Roman" w:hAnsi="Times New Roman" w:cs="Times New Roman" w:eastAsia="Times New Roman" w:hint="default"/>
            </w:rPr>
          </w:pPr>
          <w:hyperlink w:history="true" w:anchor="_bookmark3">
            <w:r>
              <w:rPr/>
              <w:t>第四节</w:t>
            </w:r>
            <w:r>
              <w:rPr>
                <w:spacing w:val="-2"/>
              </w:rPr>
              <w:t> </w:t>
            </w:r>
            <w:r>
              <w:rPr/>
              <w:t>董事会报告</w:t>
            </w:r>
            <w:r>
              <w:rPr>
                <w:rFonts w:ascii="Times New Roman" w:hAnsi="Times New Roman" w:cs="Times New Roman" w:eastAsia="Times New Roman" w:hint="default"/>
              </w:rPr>
              <w:tab/>
              <w:t>10</w:t>
            </w:r>
          </w:hyperlink>
        </w:p>
        <w:p>
          <w:pPr>
            <w:pStyle w:val="TOC1"/>
            <w:tabs>
              <w:tab w:pos="8450" w:val="right" w:leader="dot"/>
            </w:tabs>
            <w:spacing w:line="240" w:lineRule="auto"/>
            <w:ind w:right="0"/>
            <w:jc w:val="left"/>
            <w:rPr>
              <w:rFonts w:ascii="Times New Roman" w:hAnsi="Times New Roman" w:cs="Times New Roman" w:eastAsia="Times New Roman" w:hint="default"/>
            </w:rPr>
          </w:pPr>
          <w:hyperlink w:history="true" w:anchor="_bookmark4">
            <w:r>
              <w:rPr/>
              <w:t>第五节</w:t>
            </w:r>
            <w:r>
              <w:rPr>
                <w:spacing w:val="-2"/>
              </w:rPr>
              <w:t> </w:t>
            </w:r>
            <w:r>
              <w:rPr>
                <w:spacing w:val="-3"/>
              </w:rPr>
              <w:t>重要事项</w:t>
            </w:r>
            <w:r>
              <w:rPr>
                <w:rFonts w:ascii="Times New Roman" w:hAnsi="Times New Roman" w:cs="Times New Roman" w:eastAsia="Times New Roman" w:hint="default"/>
                <w:spacing w:val="-3"/>
              </w:rPr>
              <w:tab/>
            </w:r>
            <w:r>
              <w:rPr>
                <w:rFonts w:ascii="Times New Roman" w:hAnsi="Times New Roman" w:cs="Times New Roman" w:eastAsia="Times New Roman" w:hint="default"/>
              </w:rPr>
              <w:t>34</w:t>
            </w:r>
          </w:hyperlink>
        </w:p>
        <w:p>
          <w:pPr>
            <w:pStyle w:val="TOC1"/>
            <w:tabs>
              <w:tab w:pos="8450" w:val="right" w:leader="dot"/>
            </w:tabs>
            <w:spacing w:line="240" w:lineRule="auto"/>
            <w:ind w:right="0"/>
            <w:jc w:val="left"/>
            <w:rPr>
              <w:rFonts w:ascii="Times New Roman" w:hAnsi="Times New Roman" w:cs="Times New Roman" w:eastAsia="Times New Roman" w:hint="default"/>
            </w:rPr>
          </w:pPr>
          <w:hyperlink w:history="true" w:anchor="_bookmark5">
            <w:r>
              <w:rPr/>
              <w:t>第六节</w:t>
            </w:r>
            <w:r>
              <w:rPr>
                <w:spacing w:val="-3"/>
              </w:rPr>
              <w:t> </w:t>
            </w:r>
            <w:r>
              <w:rPr/>
              <w:t>股份变动及股东情况</w:t>
            </w:r>
            <w:r>
              <w:rPr>
                <w:rFonts w:ascii="Times New Roman" w:hAnsi="Times New Roman" w:cs="Times New Roman" w:eastAsia="Times New Roman" w:hint="default"/>
              </w:rPr>
              <w:tab/>
              <w:t>41</w:t>
            </w:r>
          </w:hyperlink>
        </w:p>
        <w:p>
          <w:pPr>
            <w:pStyle w:val="TOC1"/>
            <w:tabs>
              <w:tab w:pos="8450" w:val="right" w:leader="dot"/>
            </w:tabs>
            <w:spacing w:line="240" w:lineRule="auto"/>
            <w:ind w:left="154" w:right="0"/>
            <w:jc w:val="left"/>
            <w:rPr>
              <w:rFonts w:ascii="Times New Roman" w:hAnsi="Times New Roman" w:cs="Times New Roman" w:eastAsia="Times New Roman" w:hint="default"/>
            </w:rPr>
          </w:pPr>
          <w:hyperlink w:history="true" w:anchor="_bookmark6">
            <w:r>
              <w:rPr/>
              <w:t>第七节</w:t>
            </w:r>
            <w:r>
              <w:rPr>
                <w:spacing w:val="-2"/>
              </w:rPr>
              <w:t> </w:t>
            </w:r>
            <w:r>
              <w:rPr/>
              <w:t>董事、监事、高级管理人员和员工情况</w:t>
            </w:r>
            <w:r>
              <w:rPr>
                <w:rFonts w:ascii="Times New Roman" w:hAnsi="Times New Roman" w:cs="Times New Roman" w:eastAsia="Times New Roman" w:hint="default"/>
              </w:rPr>
              <w:tab/>
              <w:t>46</w:t>
            </w:r>
          </w:hyperlink>
        </w:p>
        <w:p>
          <w:pPr>
            <w:pStyle w:val="TOC1"/>
            <w:tabs>
              <w:tab w:pos="8450" w:val="right" w:leader="dot"/>
            </w:tabs>
            <w:spacing w:line="240" w:lineRule="auto"/>
            <w:ind w:left="154" w:right="0"/>
            <w:jc w:val="left"/>
            <w:rPr>
              <w:rFonts w:ascii="Times New Roman" w:hAnsi="Times New Roman" w:cs="Times New Roman" w:eastAsia="Times New Roman" w:hint="default"/>
            </w:rPr>
          </w:pPr>
          <w:hyperlink w:history="true" w:anchor="_bookmark7">
            <w:r>
              <w:rPr/>
              <w:t>第八节</w:t>
            </w:r>
            <w:r>
              <w:rPr>
                <w:spacing w:val="-2"/>
              </w:rPr>
              <w:t> </w:t>
            </w:r>
            <w:r>
              <w:rPr>
                <w:spacing w:val="-3"/>
              </w:rPr>
              <w:t>公司治理</w:t>
            </w:r>
            <w:r>
              <w:rPr>
                <w:rFonts w:ascii="Times New Roman" w:hAnsi="Times New Roman" w:cs="Times New Roman" w:eastAsia="Times New Roman" w:hint="default"/>
                <w:spacing w:val="-3"/>
              </w:rPr>
              <w:tab/>
            </w:r>
            <w:r>
              <w:rPr>
                <w:rFonts w:ascii="Times New Roman" w:hAnsi="Times New Roman" w:cs="Times New Roman" w:eastAsia="Times New Roman" w:hint="default"/>
              </w:rPr>
              <w:t>51</w:t>
            </w:r>
          </w:hyperlink>
        </w:p>
        <w:p>
          <w:pPr>
            <w:pStyle w:val="TOC1"/>
            <w:tabs>
              <w:tab w:pos="8451" w:val="right" w:leader="dot"/>
            </w:tabs>
            <w:spacing w:line="240" w:lineRule="auto"/>
            <w:ind w:left="154" w:right="0"/>
            <w:jc w:val="left"/>
            <w:rPr>
              <w:rFonts w:ascii="Times New Roman" w:hAnsi="Times New Roman" w:cs="Times New Roman" w:eastAsia="Times New Roman" w:hint="default"/>
            </w:rPr>
          </w:pPr>
          <w:hyperlink w:history="true" w:anchor="_bookmark8">
            <w:r>
              <w:rPr/>
              <w:t>第九节</w:t>
            </w:r>
            <w:r>
              <w:rPr>
                <w:spacing w:val="-2"/>
              </w:rPr>
              <w:t> </w:t>
            </w:r>
            <w:r>
              <w:rPr>
                <w:spacing w:val="-3"/>
              </w:rPr>
              <w:t>财务报告</w:t>
            </w:r>
            <w:r>
              <w:rPr>
                <w:rFonts w:ascii="Times New Roman" w:hAnsi="Times New Roman" w:cs="Times New Roman" w:eastAsia="Times New Roman" w:hint="default"/>
                <w:spacing w:val="-3"/>
              </w:rPr>
              <w:tab/>
            </w:r>
            <w:r>
              <w:rPr>
                <w:rFonts w:ascii="Times New Roman" w:hAnsi="Times New Roman" w:cs="Times New Roman" w:eastAsia="Times New Roman" w:hint="default"/>
              </w:rPr>
              <w:t>55</w:t>
            </w:r>
          </w:hyperlink>
        </w:p>
        <w:p>
          <w:pPr>
            <w:pStyle w:val="TOC1"/>
            <w:tabs>
              <w:tab w:pos="8453" w:val="right" w:leader="dot"/>
            </w:tabs>
            <w:spacing w:line="240" w:lineRule="auto"/>
            <w:ind w:left="154" w:right="0"/>
            <w:jc w:val="left"/>
            <w:rPr>
              <w:rFonts w:ascii="Times New Roman" w:hAnsi="Times New Roman" w:cs="Times New Roman" w:eastAsia="Times New Roman" w:hint="default"/>
            </w:rPr>
          </w:pPr>
          <w:hyperlink w:history="true" w:anchor="_bookmark9">
            <w:r>
              <w:rPr/>
              <w:t>第十节</w:t>
            </w:r>
            <w:r>
              <w:rPr>
                <w:spacing w:val="-2"/>
              </w:rPr>
              <w:t> </w:t>
            </w:r>
            <w:r>
              <w:rPr/>
              <w:t>备查文件目录</w:t>
            </w:r>
            <w:r>
              <w:rPr>
                <w:rFonts w:ascii="Times New Roman" w:hAnsi="Times New Roman" w:cs="Times New Roman" w:eastAsia="Times New Roman" w:hint="default"/>
              </w:rPr>
              <w:tab/>
              <w:t>188</w:t>
            </w:r>
          </w:hyperlink>
        </w:p>
        <w:p>
          <w:pPr/>
          <w:r>
            <w:fldChar w:fldCharType="end"/>
          </w:r>
        </w:p>
      </w:sdtContent>
    </w:sdt>
    <w:p>
      <w:pPr>
        <w:spacing w:after="0"/>
        <w:sectPr>
          <w:pgSz w:w="11910" w:h="16840"/>
          <w:pgMar w:header="748" w:footer="982" w:top="1060" w:bottom="1180" w:left="980" w:right="980"/>
        </w:sectPr>
      </w:pPr>
    </w:p>
    <w:p>
      <w:pPr>
        <w:spacing w:line="240" w:lineRule="auto" w:before="0"/>
        <w:rPr>
          <w:rFonts w:ascii="Times New Roman" w:hAnsi="Times New Roman" w:cs="Times New Roman" w:eastAsia="Times New Roman" w:hint="default"/>
          <w:sz w:val="32"/>
          <w:szCs w:val="32"/>
        </w:rPr>
      </w:pPr>
    </w:p>
    <w:p>
      <w:pPr>
        <w:spacing w:line="240" w:lineRule="auto" w:before="0"/>
        <w:rPr>
          <w:rFonts w:ascii="Times New Roman" w:hAnsi="Times New Roman" w:cs="Times New Roman" w:eastAsia="Times New Roman" w:hint="default"/>
          <w:sz w:val="32"/>
          <w:szCs w:val="32"/>
        </w:rPr>
      </w:pPr>
    </w:p>
    <w:p>
      <w:pPr>
        <w:spacing w:line="240" w:lineRule="auto" w:before="7"/>
        <w:rPr>
          <w:rFonts w:ascii="Times New Roman" w:hAnsi="Times New Roman" w:cs="Times New Roman" w:eastAsia="Times New Roman" w:hint="default"/>
          <w:sz w:val="33"/>
          <w:szCs w:val="33"/>
        </w:rPr>
      </w:pPr>
    </w:p>
    <w:p>
      <w:pPr>
        <w:spacing w:before="0"/>
        <w:ind w:left="132" w:right="134"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35"/>
        <w:gridCol w:w="599"/>
        <w:gridCol w:w="5435"/>
      </w:tblGrid>
      <w:tr>
        <w:trPr>
          <w:trHeight w:val="283" w:hRule="exact"/>
        </w:trPr>
        <w:tc>
          <w:tcPr>
            <w:tcW w:w="35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释义项</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3" w:right="0"/>
              <w:jc w:val="center"/>
              <w:rPr>
                <w:rFonts w:ascii="宋体" w:hAnsi="宋体" w:cs="宋体" w:eastAsia="宋体" w:hint="default"/>
                <w:sz w:val="21"/>
                <w:szCs w:val="21"/>
              </w:rPr>
            </w:pPr>
            <w:r>
              <w:rPr>
                <w:rFonts w:ascii="宋体" w:hAnsi="宋体" w:cs="宋体" w:eastAsia="宋体" w:hint="default"/>
                <w:sz w:val="21"/>
                <w:szCs w:val="21"/>
              </w:rPr>
              <w:t>释义内容</w:t>
            </w:r>
          </w:p>
        </w:tc>
      </w:tr>
      <w:tr>
        <w:trPr>
          <w:trHeight w:val="283"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公司、本公司或方直科技</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深圳市方直科技股份有限公司</w:t>
            </w:r>
          </w:p>
        </w:tc>
      </w:tr>
      <w:tr>
        <w:trPr>
          <w:trHeight w:val="283"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控股股东、实际控制人</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黄元忠先生</w:t>
            </w:r>
          </w:p>
        </w:tc>
      </w:tr>
      <w:tr>
        <w:trPr>
          <w:trHeight w:val="283"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中国证监会</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p>
        </w:tc>
      </w:tr>
      <w:tr>
        <w:trPr>
          <w:trHeight w:val="283"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《公司法》</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《中华人民共和国公司法》</w:t>
            </w:r>
          </w:p>
        </w:tc>
      </w:tr>
      <w:tr>
        <w:trPr>
          <w:trHeight w:val="283"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《证券法》</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《中华人民共和国证券法》</w:t>
            </w:r>
          </w:p>
        </w:tc>
      </w:tr>
      <w:tr>
        <w:trPr>
          <w:trHeight w:val="283"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保荐人、保荐机构、主承销商</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平安证券有限责任公司</w:t>
            </w:r>
          </w:p>
        </w:tc>
      </w:tr>
      <w:tr>
        <w:trPr>
          <w:trHeight w:val="283"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律师顾问</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广东五维律师事务所</w:t>
            </w:r>
          </w:p>
        </w:tc>
      </w:tr>
      <w:tr>
        <w:trPr>
          <w:trHeight w:val="283"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会计师事务所</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大华会计师事务所（特殊普通合伙）</w:t>
            </w:r>
          </w:p>
        </w:tc>
      </w:tr>
      <w:tr>
        <w:trPr>
          <w:trHeight w:val="281"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连邦信息</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深圳市连邦信息技术有限公司系公司全资子公司</w:t>
            </w:r>
          </w:p>
        </w:tc>
      </w:tr>
      <w:tr>
        <w:trPr>
          <w:trHeight w:val="283"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同步教育</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教学内容、教学进度与学校课堂教学保持一致的教育方式</w:t>
            </w:r>
          </w:p>
        </w:tc>
      </w:tr>
      <w:tr>
        <w:trPr>
          <w:trHeight w:val="283"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课改</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课程改革</w:t>
            </w:r>
          </w:p>
        </w:tc>
      </w:tr>
      <w:tr>
        <w:trPr>
          <w:trHeight w:val="142" w:hRule="exact"/>
        </w:trPr>
        <w:tc>
          <w:tcPr>
            <w:tcW w:w="3535" w:type="dxa"/>
            <w:vMerge w:val="restart"/>
            <w:tcBorders>
              <w:top w:val="single" w:sz="4" w:space="0" w:color="000000"/>
              <w:left w:val="single" w:sz="4" w:space="0" w:color="000000"/>
              <w:right w:val="single" w:sz="13" w:space="0" w:color="D4D4D4"/>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线下产品</w:t>
            </w:r>
          </w:p>
        </w:tc>
        <w:tc>
          <w:tcPr>
            <w:tcW w:w="599" w:type="dxa"/>
            <w:tcBorders>
              <w:top w:val="single" w:sz="4" w:space="0" w:color="000000"/>
              <w:left w:val="single" w:sz="4" w:space="0" w:color="000000"/>
              <w:bottom w:val="nil" w:sz="6" w:space="0" w:color="auto"/>
              <w:right w:val="single" w:sz="4" w:space="0" w:color="000000"/>
            </w:tcBorders>
            <w:shd w:val="clear" w:color="auto" w:fill="D4D4D4"/>
          </w:tcPr>
          <w:p>
            <w:pPr/>
          </w:p>
        </w:tc>
        <w:tc>
          <w:tcPr>
            <w:tcW w:w="5435" w:type="dxa"/>
            <w:vMerge w:val="restart"/>
            <w:tcBorders>
              <w:top w:val="single" w:sz="4" w:space="0" w:color="000000"/>
              <w:left w:val="single" w:sz="12" w:space="0" w:color="D4D4D4"/>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公司开发的以光盘等为载体的学生教材配套软件和教师用</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书配套软件</w:t>
            </w:r>
          </w:p>
        </w:tc>
      </w:tr>
      <w:tr>
        <w:trPr>
          <w:trHeight w:val="274" w:hRule="exact"/>
        </w:trPr>
        <w:tc>
          <w:tcPr>
            <w:tcW w:w="3535" w:type="dxa"/>
            <w:vMerge/>
            <w:tcBorders>
              <w:left w:val="single" w:sz="4" w:space="0" w:color="000000"/>
              <w:right w:val="single" w:sz="13" w:space="0" w:color="D4D4D4"/>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35" w:type="dxa"/>
            <w:vMerge/>
            <w:tcBorders>
              <w:left w:val="single" w:sz="12" w:space="0" w:color="D4D4D4"/>
              <w:right w:val="single" w:sz="4" w:space="0" w:color="000000"/>
            </w:tcBorders>
          </w:tcPr>
          <w:p>
            <w:pPr/>
          </w:p>
        </w:tc>
      </w:tr>
      <w:tr>
        <w:trPr>
          <w:trHeight w:val="142" w:hRule="exact"/>
        </w:trPr>
        <w:tc>
          <w:tcPr>
            <w:tcW w:w="3535" w:type="dxa"/>
            <w:vMerge/>
            <w:tcBorders>
              <w:left w:val="single" w:sz="4" w:space="0" w:color="000000"/>
              <w:bottom w:val="single" w:sz="4" w:space="0" w:color="000000"/>
              <w:right w:val="single" w:sz="13" w:space="0" w:color="D4D4D4"/>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4D4D4"/>
          </w:tcPr>
          <w:p>
            <w:pPr/>
          </w:p>
        </w:tc>
        <w:tc>
          <w:tcPr>
            <w:tcW w:w="5435" w:type="dxa"/>
            <w:vMerge/>
            <w:tcBorders>
              <w:left w:val="single" w:sz="12" w:space="0" w:color="D4D4D4"/>
              <w:bottom w:val="single" w:sz="4" w:space="0" w:color="000000"/>
              <w:right w:val="single" w:sz="4" w:space="0" w:color="000000"/>
            </w:tcBorders>
          </w:tcPr>
          <w:p>
            <w:pPr/>
          </w:p>
        </w:tc>
      </w:tr>
      <w:tr>
        <w:trPr>
          <w:trHeight w:val="142" w:hRule="exact"/>
        </w:trPr>
        <w:tc>
          <w:tcPr>
            <w:tcW w:w="3535" w:type="dxa"/>
            <w:vMerge w:val="restart"/>
            <w:tcBorders>
              <w:top w:val="single" w:sz="4" w:space="0" w:color="000000"/>
              <w:left w:val="single" w:sz="4" w:space="0" w:color="000000"/>
              <w:right w:val="single" w:sz="13" w:space="0" w:color="D4D4D4"/>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线上服务</w:t>
            </w:r>
          </w:p>
        </w:tc>
        <w:tc>
          <w:tcPr>
            <w:tcW w:w="599" w:type="dxa"/>
            <w:tcBorders>
              <w:top w:val="single" w:sz="4" w:space="0" w:color="000000"/>
              <w:left w:val="single" w:sz="4" w:space="0" w:color="000000"/>
              <w:bottom w:val="nil" w:sz="6" w:space="0" w:color="auto"/>
              <w:right w:val="single" w:sz="4" w:space="0" w:color="000000"/>
            </w:tcBorders>
            <w:shd w:val="clear" w:color="auto" w:fill="D4D4D4"/>
          </w:tcPr>
          <w:p>
            <w:pPr/>
          </w:p>
        </w:tc>
        <w:tc>
          <w:tcPr>
            <w:tcW w:w="5435" w:type="dxa"/>
            <w:vMerge w:val="restart"/>
            <w:tcBorders>
              <w:top w:val="single" w:sz="4" w:space="0" w:color="000000"/>
              <w:left w:val="single" w:sz="12" w:space="0" w:color="D4D4D4"/>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基于公司的网络数据库支持平台通过互联网为用户提供的</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一系列同步基础教育服务</w:t>
            </w:r>
          </w:p>
        </w:tc>
      </w:tr>
      <w:tr>
        <w:trPr>
          <w:trHeight w:val="274" w:hRule="exact"/>
        </w:trPr>
        <w:tc>
          <w:tcPr>
            <w:tcW w:w="3535" w:type="dxa"/>
            <w:vMerge/>
            <w:tcBorders>
              <w:left w:val="single" w:sz="4" w:space="0" w:color="000000"/>
              <w:right w:val="single" w:sz="13" w:space="0" w:color="D4D4D4"/>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35" w:type="dxa"/>
            <w:vMerge/>
            <w:tcBorders>
              <w:left w:val="single" w:sz="12" w:space="0" w:color="D4D4D4"/>
              <w:right w:val="single" w:sz="4" w:space="0" w:color="000000"/>
            </w:tcBorders>
          </w:tcPr>
          <w:p>
            <w:pPr/>
          </w:p>
        </w:tc>
      </w:tr>
      <w:tr>
        <w:trPr>
          <w:trHeight w:val="142" w:hRule="exact"/>
        </w:trPr>
        <w:tc>
          <w:tcPr>
            <w:tcW w:w="3535" w:type="dxa"/>
            <w:vMerge/>
            <w:tcBorders>
              <w:left w:val="single" w:sz="4" w:space="0" w:color="000000"/>
              <w:bottom w:val="single" w:sz="4" w:space="0" w:color="000000"/>
              <w:right w:val="single" w:sz="13" w:space="0" w:color="D4D4D4"/>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4D4D4"/>
          </w:tcPr>
          <w:p>
            <w:pPr/>
          </w:p>
        </w:tc>
        <w:tc>
          <w:tcPr>
            <w:tcW w:w="5435" w:type="dxa"/>
            <w:vMerge/>
            <w:tcBorders>
              <w:left w:val="single" w:sz="12" w:space="0" w:color="D4D4D4"/>
              <w:bottom w:val="single" w:sz="4" w:space="0" w:color="000000"/>
              <w:right w:val="single" w:sz="4" w:space="0" w:color="000000"/>
            </w:tcBorders>
          </w:tcPr>
          <w:p>
            <w:pPr/>
          </w:p>
        </w:tc>
      </w:tr>
      <w:tr>
        <w:trPr>
          <w:trHeight w:val="283"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新课标</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国家教育部修改颁布的最新《全日制义务教育课程标准》</w:t>
            </w:r>
          </w:p>
        </w:tc>
      </w:tr>
      <w:tr>
        <w:trPr>
          <w:trHeight w:val="281"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公司章程</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深圳市方直科技股份有限公司章程</w:t>
            </w:r>
          </w:p>
        </w:tc>
      </w:tr>
      <w:tr>
        <w:trPr>
          <w:trHeight w:val="283"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股东大会</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深圳市方直科技股份有限公司股东大会</w:t>
            </w:r>
          </w:p>
        </w:tc>
      </w:tr>
      <w:tr>
        <w:trPr>
          <w:trHeight w:val="283"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董事会</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深圳市方直科技股份有限公司董事会</w:t>
            </w:r>
          </w:p>
        </w:tc>
      </w:tr>
      <w:tr>
        <w:trPr>
          <w:trHeight w:val="283"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监事会</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深圳市方直科技股份有限公司监事会</w:t>
            </w:r>
          </w:p>
        </w:tc>
      </w:tr>
      <w:tr>
        <w:trPr>
          <w:trHeight w:val="283"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报告期</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r>
        <w:trPr>
          <w:trHeight w:val="283"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元</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人民币元</w:t>
            </w:r>
          </w:p>
        </w:tc>
      </w:tr>
    </w:tbl>
    <w:p>
      <w:pPr>
        <w:spacing w:after="0" w:line="241" w:lineRule="exact"/>
        <w:jc w:val="left"/>
        <w:rPr>
          <w:rFonts w:ascii="宋体" w:hAnsi="宋体" w:cs="宋体" w:eastAsia="宋体" w:hint="default"/>
          <w:sz w:val="21"/>
          <w:szCs w:val="21"/>
        </w:rPr>
        <w:sectPr>
          <w:pgSz w:w="11910" w:h="16840"/>
          <w:pgMar w:header="748" w:footer="982" w:top="1060" w:bottom="118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1"/>
        <w:spacing w:line="240" w:lineRule="auto" w:before="138"/>
        <w:ind w:left="3128" w:right="0"/>
        <w:jc w:val="left"/>
        <w:rPr>
          <w:b w:val="0"/>
          <w:bCs w:val="0"/>
        </w:rPr>
      </w:pPr>
      <w:bookmarkStart w:name="第二节 公司基本情况简介" w:id="3"/>
      <w:bookmarkEnd w:id="3"/>
      <w:r>
        <w:rPr>
          <w:b w:val="0"/>
          <w:bCs w:val="0"/>
        </w:rPr>
      </w:r>
      <w:bookmarkStart w:name="_bookmark1" w:id="4"/>
      <w:bookmarkEnd w:id="4"/>
      <w:r>
        <w:rPr>
          <w:b w:val="0"/>
          <w:bCs w:val="0"/>
        </w:rPr>
      </w:r>
      <w:r>
        <w:rPr/>
        <w:t>第二节</w:t>
      </w:r>
      <w:r>
        <w:rPr>
          <w:spacing w:val="-13"/>
        </w:rPr>
        <w:t> </w:t>
      </w:r>
      <w:r>
        <w:rPr/>
        <w:t>公司基本情况简介</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4"/>
          <w:szCs w:val="14"/>
        </w:rPr>
      </w:pPr>
    </w:p>
    <w:p>
      <w:pPr>
        <w:pStyle w:val="Heading4"/>
        <w:spacing w:line="240" w:lineRule="auto" w:before="26"/>
        <w:ind w:right="0"/>
        <w:jc w:val="left"/>
        <w:rPr>
          <w:b w:val="0"/>
          <w:bCs w:val="0"/>
        </w:rPr>
      </w:pPr>
      <w:bookmarkStart w:name="一、公司信息" w:id="5"/>
      <w:bookmarkEnd w:id="5"/>
      <w:r>
        <w:rPr>
          <w:b w:val="0"/>
          <w:bCs w:val="0"/>
        </w:rPr>
      </w:r>
      <w:r>
        <w:rPr/>
        <w:t>一、公司信息</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929"/>
        <w:gridCol w:w="2305"/>
        <w:gridCol w:w="2156"/>
        <w:gridCol w:w="2177"/>
      </w:tblGrid>
      <w:tr>
        <w:trPr>
          <w:trHeight w:val="377" w:hRule="exact"/>
        </w:trPr>
        <w:tc>
          <w:tcPr>
            <w:tcW w:w="2929" w:type="dxa"/>
            <w:tcBorders>
              <w:top w:val="single" w:sz="4" w:space="0" w:color="000000"/>
              <w:left w:val="single" w:sz="4" w:space="0" w:color="000000"/>
              <w:bottom w:val="single" w:sz="4" w:space="0" w:color="FFFFFF"/>
              <w:right w:val="single" w:sz="4" w:space="0" w:color="000000"/>
            </w:tcBorders>
            <w:shd w:val="clear" w:color="auto" w:fill="D4D4D4"/>
          </w:tcPr>
          <w:p>
            <w:pPr>
              <w:pStyle w:val="TableParagraph"/>
              <w:spacing w:line="240" w:lineRule="auto" w:before="14"/>
              <w:ind w:left="22"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2305"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4"/>
              <w:ind w:left="24" w:right="0"/>
              <w:jc w:val="left"/>
              <w:rPr>
                <w:rFonts w:ascii="宋体" w:hAnsi="宋体" w:cs="宋体" w:eastAsia="宋体" w:hint="default"/>
                <w:sz w:val="21"/>
                <w:szCs w:val="21"/>
              </w:rPr>
            </w:pPr>
            <w:r>
              <w:rPr>
                <w:rFonts w:ascii="宋体" w:hAnsi="宋体" w:cs="宋体" w:eastAsia="宋体" w:hint="default"/>
                <w:sz w:val="21"/>
                <w:szCs w:val="21"/>
              </w:rPr>
              <w:t>方直科技</w:t>
            </w:r>
          </w:p>
        </w:tc>
        <w:tc>
          <w:tcPr>
            <w:tcW w:w="2156" w:type="dxa"/>
            <w:tcBorders>
              <w:top w:val="single" w:sz="4" w:space="0" w:color="000000"/>
              <w:left w:val="single" w:sz="4" w:space="0" w:color="000000"/>
              <w:bottom w:val="single" w:sz="4" w:space="0" w:color="FFFFFF"/>
              <w:right w:val="single" w:sz="4" w:space="0" w:color="000000"/>
            </w:tcBorders>
            <w:shd w:val="clear" w:color="auto" w:fill="D4D4D4"/>
          </w:tcPr>
          <w:p>
            <w:pPr>
              <w:pStyle w:val="TableParagraph"/>
              <w:spacing w:line="240" w:lineRule="auto" w:before="14"/>
              <w:ind w:left="22" w:right="0"/>
              <w:jc w:val="left"/>
              <w:rPr>
                <w:rFonts w:ascii="宋体" w:hAnsi="宋体" w:cs="宋体" w:eastAsia="宋体" w:hint="default"/>
                <w:sz w:val="21"/>
                <w:szCs w:val="21"/>
              </w:rPr>
            </w:pPr>
            <w:r>
              <w:rPr>
                <w:rFonts w:ascii="宋体" w:hAnsi="宋体" w:cs="宋体" w:eastAsia="宋体" w:hint="default"/>
                <w:sz w:val="21"/>
                <w:szCs w:val="21"/>
              </w:rPr>
              <w:t>股票代码</w:t>
            </w:r>
          </w:p>
        </w:tc>
        <w:tc>
          <w:tcPr>
            <w:tcW w:w="2177"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56"/>
              <w:ind w:left="23" w:right="0"/>
              <w:jc w:val="left"/>
              <w:rPr>
                <w:rFonts w:ascii="Times New Roman" w:hAnsi="Times New Roman" w:cs="Times New Roman" w:eastAsia="Times New Roman" w:hint="default"/>
                <w:sz w:val="21"/>
                <w:szCs w:val="21"/>
              </w:rPr>
            </w:pPr>
            <w:r>
              <w:rPr>
                <w:rFonts w:ascii="Times New Roman"/>
                <w:sz w:val="21"/>
              </w:rPr>
              <w:t>300235</w:t>
            </w:r>
          </w:p>
        </w:tc>
      </w:tr>
      <w:tr>
        <w:trPr>
          <w:trHeight w:val="379" w:hRule="exact"/>
        </w:trPr>
        <w:tc>
          <w:tcPr>
            <w:tcW w:w="2929" w:type="dxa"/>
            <w:tcBorders>
              <w:top w:val="single" w:sz="4" w:space="0" w:color="FFFFFF"/>
              <w:left w:val="single" w:sz="4" w:space="0" w:color="000000"/>
              <w:bottom w:val="single" w:sz="4" w:space="0" w:color="FFFFFF"/>
              <w:right w:val="single" w:sz="4" w:space="0" w:color="000000"/>
            </w:tcBorders>
            <w:shd w:val="clear" w:color="auto" w:fill="D4D4D4"/>
          </w:tcPr>
          <w:p>
            <w:pPr>
              <w:pStyle w:val="TableParagraph"/>
              <w:spacing w:line="240" w:lineRule="auto" w:before="16"/>
              <w:ind w:left="22"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6638" w:type="dxa"/>
            <w:gridSpan w:val="3"/>
            <w:tcBorders>
              <w:top w:val="single" w:sz="4" w:space="0" w:color="FFFFFF"/>
              <w:left w:val="single" w:sz="4" w:space="0" w:color="000000"/>
              <w:bottom w:val="single" w:sz="4" w:space="0" w:color="FFFFFF"/>
              <w:right w:val="single" w:sz="4" w:space="0" w:color="000000"/>
            </w:tcBorders>
          </w:tcPr>
          <w:p>
            <w:pPr>
              <w:pStyle w:val="TableParagraph"/>
              <w:spacing w:line="240" w:lineRule="auto" w:before="16"/>
              <w:ind w:left="24" w:right="0"/>
              <w:jc w:val="left"/>
              <w:rPr>
                <w:rFonts w:ascii="宋体" w:hAnsi="宋体" w:cs="宋体" w:eastAsia="宋体" w:hint="default"/>
                <w:sz w:val="21"/>
                <w:szCs w:val="21"/>
              </w:rPr>
            </w:pPr>
            <w:r>
              <w:rPr>
                <w:rFonts w:ascii="宋体" w:hAnsi="宋体" w:cs="宋体" w:eastAsia="宋体" w:hint="default"/>
                <w:sz w:val="21"/>
                <w:szCs w:val="21"/>
              </w:rPr>
              <w:t>深圳市方直科技股份有限公司</w:t>
            </w:r>
          </w:p>
        </w:tc>
      </w:tr>
      <w:tr>
        <w:trPr>
          <w:trHeight w:val="379" w:hRule="exact"/>
        </w:trPr>
        <w:tc>
          <w:tcPr>
            <w:tcW w:w="2929" w:type="dxa"/>
            <w:tcBorders>
              <w:top w:val="single" w:sz="4" w:space="0" w:color="FFFFFF"/>
              <w:left w:val="single" w:sz="4" w:space="0" w:color="000000"/>
              <w:bottom w:val="single" w:sz="4" w:space="0" w:color="FFFFFF"/>
              <w:right w:val="single" w:sz="4" w:space="0" w:color="000000"/>
            </w:tcBorders>
            <w:shd w:val="clear" w:color="auto" w:fill="D4D4D4"/>
          </w:tcPr>
          <w:p>
            <w:pPr>
              <w:pStyle w:val="TableParagraph"/>
              <w:spacing w:line="240" w:lineRule="auto" w:before="16"/>
              <w:ind w:left="22"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6638" w:type="dxa"/>
            <w:gridSpan w:val="3"/>
            <w:tcBorders>
              <w:top w:val="single" w:sz="4" w:space="0" w:color="FFFFFF"/>
              <w:left w:val="single" w:sz="4" w:space="0" w:color="000000"/>
              <w:bottom w:val="single" w:sz="4" w:space="0" w:color="FFFFFF"/>
              <w:right w:val="single" w:sz="4" w:space="0" w:color="000000"/>
            </w:tcBorders>
          </w:tcPr>
          <w:p>
            <w:pPr>
              <w:pStyle w:val="TableParagraph"/>
              <w:spacing w:line="240" w:lineRule="auto" w:before="16"/>
              <w:ind w:left="24" w:right="0"/>
              <w:jc w:val="left"/>
              <w:rPr>
                <w:rFonts w:ascii="宋体" w:hAnsi="宋体" w:cs="宋体" w:eastAsia="宋体" w:hint="default"/>
                <w:sz w:val="21"/>
                <w:szCs w:val="21"/>
              </w:rPr>
            </w:pPr>
            <w:r>
              <w:rPr>
                <w:rFonts w:ascii="宋体" w:hAnsi="宋体" w:cs="宋体" w:eastAsia="宋体" w:hint="default"/>
                <w:sz w:val="21"/>
                <w:szCs w:val="21"/>
              </w:rPr>
              <w:t>方直科技</w:t>
            </w:r>
          </w:p>
        </w:tc>
      </w:tr>
      <w:tr>
        <w:trPr>
          <w:trHeight w:val="379" w:hRule="exact"/>
        </w:trPr>
        <w:tc>
          <w:tcPr>
            <w:tcW w:w="2929" w:type="dxa"/>
            <w:tcBorders>
              <w:top w:val="single" w:sz="4" w:space="0" w:color="FFFFFF"/>
              <w:left w:val="single" w:sz="4" w:space="0" w:color="000000"/>
              <w:bottom w:val="single" w:sz="4" w:space="0" w:color="FFFFFF"/>
              <w:right w:val="single" w:sz="4" w:space="0" w:color="000000"/>
            </w:tcBorders>
            <w:shd w:val="clear" w:color="auto" w:fill="D4D4D4"/>
          </w:tcPr>
          <w:p>
            <w:pPr>
              <w:pStyle w:val="TableParagraph"/>
              <w:spacing w:line="240" w:lineRule="auto" w:before="14"/>
              <w:ind w:left="22"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6638" w:type="dxa"/>
            <w:gridSpan w:val="3"/>
            <w:tcBorders>
              <w:top w:val="single" w:sz="4" w:space="0" w:color="FFFFFF"/>
              <w:left w:val="single" w:sz="4" w:space="0" w:color="000000"/>
              <w:bottom w:val="single" w:sz="4" w:space="0" w:color="FFFFFF"/>
              <w:right w:val="single" w:sz="4" w:space="0" w:color="000000"/>
            </w:tcBorders>
          </w:tcPr>
          <w:p>
            <w:pPr>
              <w:pStyle w:val="TableParagraph"/>
              <w:spacing w:line="240" w:lineRule="auto" w:before="58"/>
              <w:ind w:left="24" w:right="0"/>
              <w:jc w:val="left"/>
              <w:rPr>
                <w:rFonts w:ascii="Times New Roman" w:hAnsi="Times New Roman" w:cs="Times New Roman" w:eastAsia="Times New Roman" w:hint="default"/>
                <w:sz w:val="21"/>
                <w:szCs w:val="21"/>
              </w:rPr>
            </w:pPr>
            <w:r>
              <w:rPr>
                <w:rFonts w:ascii="Times New Roman"/>
                <w:sz w:val="21"/>
              </w:rPr>
              <w:t>SHENZHEN KINGSUN SCIENCE &amp; TECHNOLOGY</w:t>
            </w:r>
            <w:r>
              <w:rPr>
                <w:rFonts w:ascii="Times New Roman"/>
                <w:spacing w:val="-21"/>
                <w:sz w:val="21"/>
              </w:rPr>
              <w:t> </w:t>
            </w:r>
            <w:r>
              <w:rPr>
                <w:rFonts w:ascii="Times New Roman"/>
                <w:spacing w:val="-4"/>
                <w:sz w:val="21"/>
              </w:rPr>
              <w:t>CO.,LTD</w:t>
            </w:r>
          </w:p>
        </w:tc>
      </w:tr>
      <w:tr>
        <w:trPr>
          <w:trHeight w:val="379" w:hRule="exact"/>
        </w:trPr>
        <w:tc>
          <w:tcPr>
            <w:tcW w:w="2929" w:type="dxa"/>
            <w:tcBorders>
              <w:top w:val="single" w:sz="4" w:space="0" w:color="FFFFFF"/>
              <w:left w:val="single" w:sz="4" w:space="0" w:color="000000"/>
              <w:bottom w:val="single" w:sz="4" w:space="0" w:color="FFFFFF"/>
              <w:right w:val="single" w:sz="4" w:space="0" w:color="000000"/>
            </w:tcBorders>
            <w:shd w:val="clear" w:color="auto" w:fill="D4D4D4"/>
          </w:tcPr>
          <w:p>
            <w:pPr>
              <w:pStyle w:val="TableParagraph"/>
              <w:spacing w:line="240" w:lineRule="auto" w:before="14"/>
              <w:ind w:left="22"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p>
        </w:tc>
        <w:tc>
          <w:tcPr>
            <w:tcW w:w="6638" w:type="dxa"/>
            <w:gridSpan w:val="3"/>
            <w:tcBorders>
              <w:top w:val="single" w:sz="4" w:space="0" w:color="FFFFFF"/>
              <w:left w:val="single" w:sz="4" w:space="0" w:color="000000"/>
              <w:bottom w:val="single" w:sz="4" w:space="0" w:color="FFFFFF"/>
              <w:right w:val="single" w:sz="4" w:space="0" w:color="000000"/>
            </w:tcBorders>
          </w:tcPr>
          <w:p>
            <w:pPr>
              <w:pStyle w:val="TableParagraph"/>
              <w:spacing w:line="240" w:lineRule="auto" w:before="58"/>
              <w:ind w:left="24" w:right="0"/>
              <w:jc w:val="left"/>
              <w:rPr>
                <w:rFonts w:ascii="Times New Roman" w:hAnsi="Times New Roman" w:cs="Times New Roman" w:eastAsia="Times New Roman" w:hint="default"/>
                <w:sz w:val="21"/>
                <w:szCs w:val="21"/>
              </w:rPr>
            </w:pPr>
            <w:r>
              <w:rPr>
                <w:rFonts w:ascii="Times New Roman"/>
                <w:sz w:val="21"/>
              </w:rPr>
              <w:t>KINGSUN</w:t>
            </w:r>
          </w:p>
        </w:tc>
      </w:tr>
      <w:tr>
        <w:trPr>
          <w:trHeight w:val="379" w:hRule="exact"/>
        </w:trPr>
        <w:tc>
          <w:tcPr>
            <w:tcW w:w="2929" w:type="dxa"/>
            <w:tcBorders>
              <w:top w:val="single" w:sz="4" w:space="0" w:color="FFFFFF"/>
              <w:left w:val="single" w:sz="4" w:space="0" w:color="000000"/>
              <w:bottom w:val="single" w:sz="4" w:space="0" w:color="FFFFFF"/>
              <w:right w:val="single" w:sz="4" w:space="0" w:color="000000"/>
            </w:tcBorders>
            <w:shd w:val="clear" w:color="auto" w:fill="D4D4D4"/>
          </w:tcPr>
          <w:p>
            <w:pPr>
              <w:pStyle w:val="TableParagraph"/>
              <w:spacing w:line="240" w:lineRule="auto" w:before="14"/>
              <w:ind w:left="22"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6638" w:type="dxa"/>
            <w:gridSpan w:val="3"/>
            <w:tcBorders>
              <w:top w:val="single" w:sz="4" w:space="0" w:color="FFFFFF"/>
              <w:left w:val="single" w:sz="4" w:space="0" w:color="000000"/>
              <w:bottom w:val="single" w:sz="4" w:space="0" w:color="FFFFFF"/>
              <w:right w:val="single" w:sz="4" w:space="0" w:color="000000"/>
            </w:tcBorders>
          </w:tcPr>
          <w:p>
            <w:pPr>
              <w:pStyle w:val="TableParagraph"/>
              <w:spacing w:line="240" w:lineRule="auto" w:before="14"/>
              <w:ind w:left="24" w:right="0"/>
              <w:jc w:val="left"/>
              <w:rPr>
                <w:rFonts w:ascii="宋体" w:hAnsi="宋体" w:cs="宋体" w:eastAsia="宋体" w:hint="default"/>
                <w:sz w:val="21"/>
                <w:szCs w:val="21"/>
              </w:rPr>
            </w:pPr>
            <w:r>
              <w:rPr>
                <w:rFonts w:ascii="宋体" w:hAnsi="宋体" w:cs="宋体" w:eastAsia="宋体" w:hint="default"/>
                <w:sz w:val="21"/>
                <w:szCs w:val="21"/>
              </w:rPr>
              <w:t>黄元忠</w:t>
            </w:r>
          </w:p>
        </w:tc>
      </w:tr>
      <w:tr>
        <w:trPr>
          <w:trHeight w:val="379" w:hRule="exact"/>
        </w:trPr>
        <w:tc>
          <w:tcPr>
            <w:tcW w:w="2929" w:type="dxa"/>
            <w:tcBorders>
              <w:top w:val="single" w:sz="4" w:space="0" w:color="FFFFFF"/>
              <w:left w:val="single" w:sz="4" w:space="0" w:color="000000"/>
              <w:bottom w:val="single" w:sz="4" w:space="0" w:color="FFFFFF"/>
              <w:right w:val="single" w:sz="4" w:space="0" w:color="000000"/>
            </w:tcBorders>
            <w:shd w:val="clear" w:color="auto" w:fill="D4D4D4"/>
          </w:tcPr>
          <w:p>
            <w:pPr>
              <w:pStyle w:val="TableParagraph"/>
              <w:spacing w:line="240" w:lineRule="auto" w:before="14"/>
              <w:ind w:left="22" w:right="0"/>
              <w:jc w:val="left"/>
              <w:rPr>
                <w:rFonts w:ascii="宋体" w:hAnsi="宋体" w:cs="宋体" w:eastAsia="宋体" w:hint="default"/>
                <w:sz w:val="21"/>
                <w:szCs w:val="21"/>
              </w:rPr>
            </w:pPr>
            <w:r>
              <w:rPr>
                <w:rFonts w:ascii="宋体" w:hAnsi="宋体" w:cs="宋体" w:eastAsia="宋体" w:hint="default"/>
                <w:sz w:val="21"/>
                <w:szCs w:val="21"/>
              </w:rPr>
              <w:t>注册地址</w:t>
            </w:r>
          </w:p>
        </w:tc>
        <w:tc>
          <w:tcPr>
            <w:tcW w:w="6638" w:type="dxa"/>
            <w:gridSpan w:val="3"/>
            <w:tcBorders>
              <w:top w:val="single" w:sz="4" w:space="0" w:color="FFFFFF"/>
              <w:left w:val="single" w:sz="4" w:space="0" w:color="000000"/>
              <w:bottom w:val="single" w:sz="4" w:space="0" w:color="FFFFFF"/>
              <w:right w:val="single" w:sz="4" w:space="0" w:color="000000"/>
            </w:tcBorders>
          </w:tcPr>
          <w:p>
            <w:pPr>
              <w:pStyle w:val="TableParagraph"/>
              <w:spacing w:line="240" w:lineRule="auto" w:before="14"/>
              <w:ind w:left="2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深圳市南山区科技中二路深圳软件园</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12#</w:t>
            </w:r>
            <w:r>
              <w:rPr>
                <w:rFonts w:ascii="宋体" w:hAnsi="宋体" w:cs="宋体" w:eastAsia="宋体" w:hint="default"/>
                <w:sz w:val="21"/>
                <w:szCs w:val="21"/>
              </w:rPr>
              <w:t>楼</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302</w:t>
            </w:r>
          </w:p>
        </w:tc>
      </w:tr>
      <w:tr>
        <w:trPr>
          <w:trHeight w:val="379" w:hRule="exact"/>
        </w:trPr>
        <w:tc>
          <w:tcPr>
            <w:tcW w:w="2929" w:type="dxa"/>
            <w:tcBorders>
              <w:top w:val="single" w:sz="4" w:space="0" w:color="FFFFFF"/>
              <w:left w:val="single" w:sz="4" w:space="0" w:color="000000"/>
              <w:bottom w:val="single" w:sz="4" w:space="0" w:color="FFFFFF"/>
              <w:right w:val="single" w:sz="4" w:space="0" w:color="000000"/>
            </w:tcBorders>
            <w:shd w:val="clear" w:color="auto" w:fill="D4D4D4"/>
          </w:tcPr>
          <w:p>
            <w:pPr>
              <w:pStyle w:val="TableParagraph"/>
              <w:spacing w:line="240" w:lineRule="auto" w:before="14"/>
              <w:ind w:left="22" w:right="0"/>
              <w:jc w:val="left"/>
              <w:rPr>
                <w:rFonts w:ascii="宋体" w:hAnsi="宋体" w:cs="宋体" w:eastAsia="宋体" w:hint="default"/>
                <w:sz w:val="21"/>
                <w:szCs w:val="21"/>
              </w:rPr>
            </w:pPr>
            <w:r>
              <w:rPr>
                <w:rFonts w:ascii="宋体" w:hAnsi="宋体" w:cs="宋体" w:eastAsia="宋体" w:hint="default"/>
                <w:sz w:val="21"/>
                <w:szCs w:val="21"/>
              </w:rPr>
              <w:t>注册地址的邮政编码</w:t>
            </w:r>
          </w:p>
        </w:tc>
        <w:tc>
          <w:tcPr>
            <w:tcW w:w="6638" w:type="dxa"/>
            <w:gridSpan w:val="3"/>
            <w:tcBorders>
              <w:top w:val="single" w:sz="4" w:space="0" w:color="FFFFFF"/>
              <w:left w:val="single" w:sz="4" w:space="0" w:color="000000"/>
              <w:bottom w:val="single" w:sz="4" w:space="0" w:color="FFFFFF"/>
              <w:right w:val="single" w:sz="4" w:space="0" w:color="000000"/>
            </w:tcBorders>
          </w:tcPr>
          <w:p>
            <w:pPr>
              <w:pStyle w:val="TableParagraph"/>
              <w:spacing w:line="240" w:lineRule="auto" w:before="58"/>
              <w:ind w:left="24" w:right="0"/>
              <w:jc w:val="left"/>
              <w:rPr>
                <w:rFonts w:ascii="Times New Roman" w:hAnsi="Times New Roman" w:cs="Times New Roman" w:eastAsia="Times New Roman" w:hint="default"/>
                <w:sz w:val="21"/>
                <w:szCs w:val="21"/>
              </w:rPr>
            </w:pPr>
            <w:r>
              <w:rPr>
                <w:rFonts w:ascii="Times New Roman"/>
                <w:sz w:val="21"/>
              </w:rPr>
              <w:t>518057</w:t>
            </w:r>
          </w:p>
        </w:tc>
      </w:tr>
      <w:tr>
        <w:trPr>
          <w:trHeight w:val="379" w:hRule="exact"/>
        </w:trPr>
        <w:tc>
          <w:tcPr>
            <w:tcW w:w="2929" w:type="dxa"/>
            <w:tcBorders>
              <w:top w:val="single" w:sz="4" w:space="0" w:color="FFFFFF"/>
              <w:left w:val="single" w:sz="4" w:space="0" w:color="000000"/>
              <w:bottom w:val="single" w:sz="4" w:space="0" w:color="FFFFFF"/>
              <w:right w:val="single" w:sz="4" w:space="0" w:color="000000"/>
            </w:tcBorders>
            <w:shd w:val="clear" w:color="auto" w:fill="D4D4D4"/>
          </w:tcPr>
          <w:p>
            <w:pPr>
              <w:pStyle w:val="TableParagraph"/>
              <w:spacing w:line="240" w:lineRule="auto" w:before="14"/>
              <w:ind w:left="22"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6638" w:type="dxa"/>
            <w:gridSpan w:val="3"/>
            <w:tcBorders>
              <w:top w:val="single" w:sz="4" w:space="0" w:color="FFFFFF"/>
              <w:left w:val="single" w:sz="4" w:space="0" w:color="000000"/>
              <w:bottom w:val="single" w:sz="4" w:space="0" w:color="FFFFFF"/>
              <w:right w:val="single" w:sz="4" w:space="0" w:color="000000"/>
            </w:tcBorders>
          </w:tcPr>
          <w:p>
            <w:pPr>
              <w:pStyle w:val="TableParagraph"/>
              <w:spacing w:line="240" w:lineRule="auto" w:before="14"/>
              <w:ind w:left="2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深圳市南山区科技中二路深圳软件园</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12#</w:t>
            </w:r>
            <w:r>
              <w:rPr>
                <w:rFonts w:ascii="宋体" w:hAnsi="宋体" w:cs="宋体" w:eastAsia="宋体" w:hint="default"/>
                <w:sz w:val="21"/>
                <w:szCs w:val="21"/>
              </w:rPr>
              <w:t>楼</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302</w:t>
            </w:r>
          </w:p>
        </w:tc>
      </w:tr>
      <w:tr>
        <w:trPr>
          <w:trHeight w:val="379" w:hRule="exact"/>
        </w:trPr>
        <w:tc>
          <w:tcPr>
            <w:tcW w:w="2929" w:type="dxa"/>
            <w:tcBorders>
              <w:top w:val="single" w:sz="4" w:space="0" w:color="FFFFFF"/>
              <w:left w:val="single" w:sz="4" w:space="0" w:color="000000"/>
              <w:bottom w:val="single" w:sz="4" w:space="0" w:color="FFFFFF"/>
              <w:right w:val="single" w:sz="4" w:space="0" w:color="000000"/>
            </w:tcBorders>
            <w:shd w:val="clear" w:color="auto" w:fill="D4D4D4"/>
          </w:tcPr>
          <w:p>
            <w:pPr>
              <w:pStyle w:val="TableParagraph"/>
              <w:spacing w:line="240" w:lineRule="auto" w:before="14"/>
              <w:ind w:left="22" w:right="0"/>
              <w:jc w:val="left"/>
              <w:rPr>
                <w:rFonts w:ascii="宋体" w:hAnsi="宋体" w:cs="宋体" w:eastAsia="宋体" w:hint="default"/>
                <w:sz w:val="21"/>
                <w:szCs w:val="21"/>
              </w:rPr>
            </w:pPr>
            <w:r>
              <w:rPr>
                <w:rFonts w:ascii="宋体" w:hAnsi="宋体" w:cs="宋体" w:eastAsia="宋体" w:hint="default"/>
                <w:sz w:val="21"/>
                <w:szCs w:val="21"/>
              </w:rPr>
              <w:t>办公地址的邮政编码</w:t>
            </w:r>
          </w:p>
        </w:tc>
        <w:tc>
          <w:tcPr>
            <w:tcW w:w="6638" w:type="dxa"/>
            <w:gridSpan w:val="3"/>
            <w:tcBorders>
              <w:top w:val="single" w:sz="4" w:space="0" w:color="FFFFFF"/>
              <w:left w:val="single" w:sz="4" w:space="0" w:color="000000"/>
              <w:bottom w:val="single" w:sz="4" w:space="0" w:color="FFFFFF"/>
              <w:right w:val="single" w:sz="4" w:space="0" w:color="000000"/>
            </w:tcBorders>
          </w:tcPr>
          <w:p>
            <w:pPr>
              <w:pStyle w:val="TableParagraph"/>
              <w:spacing w:line="240" w:lineRule="auto" w:before="58"/>
              <w:ind w:left="24" w:right="0"/>
              <w:jc w:val="left"/>
              <w:rPr>
                <w:rFonts w:ascii="Times New Roman" w:hAnsi="Times New Roman" w:cs="Times New Roman" w:eastAsia="Times New Roman" w:hint="default"/>
                <w:sz w:val="21"/>
                <w:szCs w:val="21"/>
              </w:rPr>
            </w:pPr>
            <w:r>
              <w:rPr>
                <w:rFonts w:ascii="Times New Roman"/>
                <w:sz w:val="21"/>
              </w:rPr>
              <w:t>518057</w:t>
            </w:r>
          </w:p>
        </w:tc>
      </w:tr>
      <w:tr>
        <w:trPr>
          <w:trHeight w:val="379" w:hRule="exact"/>
        </w:trPr>
        <w:tc>
          <w:tcPr>
            <w:tcW w:w="2929" w:type="dxa"/>
            <w:tcBorders>
              <w:top w:val="single" w:sz="4" w:space="0" w:color="FFFFFF"/>
              <w:left w:val="single" w:sz="4" w:space="0" w:color="000000"/>
              <w:bottom w:val="single" w:sz="4" w:space="0" w:color="FFFFFF"/>
              <w:right w:val="single" w:sz="4" w:space="0" w:color="000000"/>
            </w:tcBorders>
            <w:shd w:val="clear" w:color="auto" w:fill="D4D4D4"/>
          </w:tcPr>
          <w:p>
            <w:pPr>
              <w:pStyle w:val="TableParagraph"/>
              <w:spacing w:line="240" w:lineRule="auto" w:before="14"/>
              <w:ind w:left="22" w:right="0"/>
              <w:jc w:val="left"/>
              <w:rPr>
                <w:rFonts w:ascii="宋体" w:hAnsi="宋体" w:cs="宋体" w:eastAsia="宋体" w:hint="default"/>
                <w:sz w:val="21"/>
                <w:szCs w:val="21"/>
              </w:rPr>
            </w:pPr>
            <w:r>
              <w:rPr>
                <w:rFonts w:ascii="宋体" w:hAnsi="宋体" w:cs="宋体" w:eastAsia="宋体" w:hint="default"/>
                <w:sz w:val="21"/>
                <w:szCs w:val="21"/>
              </w:rPr>
              <w:t>公司国际互联网网址</w:t>
            </w:r>
          </w:p>
        </w:tc>
        <w:tc>
          <w:tcPr>
            <w:tcW w:w="6638" w:type="dxa"/>
            <w:gridSpan w:val="3"/>
            <w:tcBorders>
              <w:top w:val="single" w:sz="4" w:space="0" w:color="FFFFFF"/>
              <w:left w:val="single" w:sz="4" w:space="0" w:color="000000"/>
              <w:bottom w:val="single" w:sz="4" w:space="0" w:color="FFFFFF"/>
              <w:right w:val="single" w:sz="4" w:space="0" w:color="000000"/>
            </w:tcBorders>
          </w:tcPr>
          <w:p>
            <w:pPr>
              <w:pStyle w:val="TableParagraph"/>
              <w:spacing w:line="240" w:lineRule="auto" w:before="56"/>
              <w:ind w:left="24" w:right="0"/>
              <w:jc w:val="left"/>
              <w:rPr>
                <w:rFonts w:ascii="Times New Roman" w:hAnsi="Times New Roman" w:cs="Times New Roman" w:eastAsia="Times New Roman" w:hint="default"/>
                <w:sz w:val="21"/>
                <w:szCs w:val="21"/>
              </w:rPr>
            </w:pPr>
            <w:hyperlink r:id="rId9">
              <w:r>
                <w:rPr>
                  <w:rFonts w:ascii="Times New Roman"/>
                  <w:sz w:val="21"/>
                </w:rPr>
                <w:t>http://www.kingsunsoft.com</w:t>
              </w:r>
            </w:hyperlink>
          </w:p>
        </w:tc>
      </w:tr>
      <w:tr>
        <w:trPr>
          <w:trHeight w:val="379" w:hRule="exact"/>
        </w:trPr>
        <w:tc>
          <w:tcPr>
            <w:tcW w:w="2929" w:type="dxa"/>
            <w:tcBorders>
              <w:top w:val="single" w:sz="4" w:space="0" w:color="FFFFFF"/>
              <w:left w:val="single" w:sz="4" w:space="0" w:color="000000"/>
              <w:bottom w:val="single" w:sz="4" w:space="0" w:color="FFFFFF"/>
              <w:right w:val="single" w:sz="4" w:space="0" w:color="000000"/>
            </w:tcBorders>
            <w:shd w:val="clear" w:color="auto" w:fill="D4D4D4"/>
          </w:tcPr>
          <w:p>
            <w:pPr>
              <w:pStyle w:val="TableParagraph"/>
              <w:spacing w:line="240" w:lineRule="auto" w:before="14"/>
              <w:ind w:left="22"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6638" w:type="dxa"/>
            <w:gridSpan w:val="3"/>
            <w:tcBorders>
              <w:top w:val="single" w:sz="4" w:space="0" w:color="FFFFFF"/>
              <w:left w:val="single" w:sz="4" w:space="0" w:color="000000"/>
              <w:bottom w:val="single" w:sz="4" w:space="0" w:color="FFFFFF"/>
              <w:right w:val="single" w:sz="4" w:space="0" w:color="000000"/>
            </w:tcBorders>
          </w:tcPr>
          <w:p>
            <w:pPr>
              <w:pStyle w:val="TableParagraph"/>
              <w:spacing w:line="240" w:lineRule="auto" w:before="56"/>
              <w:ind w:left="24" w:right="0"/>
              <w:jc w:val="left"/>
              <w:rPr>
                <w:rFonts w:ascii="Times New Roman" w:hAnsi="Times New Roman" w:cs="Times New Roman" w:eastAsia="Times New Roman" w:hint="default"/>
                <w:sz w:val="21"/>
                <w:szCs w:val="21"/>
              </w:rPr>
            </w:pPr>
            <w:hyperlink r:id="rId10">
              <w:r>
                <w:rPr>
                  <w:rFonts w:ascii="Times New Roman"/>
                  <w:sz w:val="21"/>
                </w:rPr>
                <w:t>kingsunsoft@kingsunsoft.com</w:t>
              </w:r>
            </w:hyperlink>
          </w:p>
        </w:tc>
      </w:tr>
      <w:tr>
        <w:trPr>
          <w:trHeight w:val="377" w:hRule="exact"/>
        </w:trPr>
        <w:tc>
          <w:tcPr>
            <w:tcW w:w="2929" w:type="dxa"/>
            <w:tcBorders>
              <w:top w:val="single" w:sz="4" w:space="0" w:color="FFFFFF"/>
              <w:left w:val="single" w:sz="4" w:space="0" w:color="000000"/>
              <w:bottom w:val="single" w:sz="4" w:space="0" w:color="000000"/>
              <w:right w:val="single" w:sz="4" w:space="0" w:color="000000"/>
            </w:tcBorders>
            <w:shd w:val="clear" w:color="auto" w:fill="D4D4D4"/>
          </w:tcPr>
          <w:p>
            <w:pPr>
              <w:pStyle w:val="TableParagraph"/>
              <w:spacing w:line="240" w:lineRule="auto" w:before="14"/>
              <w:ind w:left="22" w:right="0"/>
              <w:jc w:val="left"/>
              <w:rPr>
                <w:rFonts w:ascii="宋体" w:hAnsi="宋体" w:cs="宋体" w:eastAsia="宋体" w:hint="default"/>
                <w:sz w:val="21"/>
                <w:szCs w:val="21"/>
              </w:rPr>
            </w:pPr>
            <w:r>
              <w:rPr>
                <w:rFonts w:ascii="宋体" w:hAnsi="宋体" w:cs="宋体" w:eastAsia="宋体" w:hint="default"/>
                <w:sz w:val="21"/>
                <w:szCs w:val="21"/>
              </w:rPr>
              <w:t>公司聘请的会计师事务所名称</w:t>
            </w:r>
          </w:p>
        </w:tc>
        <w:tc>
          <w:tcPr>
            <w:tcW w:w="6638" w:type="dxa"/>
            <w:gridSpan w:val="3"/>
            <w:tcBorders>
              <w:top w:val="single" w:sz="4" w:space="0" w:color="FFFFFF"/>
              <w:left w:val="single" w:sz="4" w:space="0" w:color="000000"/>
              <w:bottom w:val="single" w:sz="4" w:space="0" w:color="000000"/>
              <w:right w:val="single" w:sz="4" w:space="0" w:color="000000"/>
            </w:tcBorders>
          </w:tcPr>
          <w:p>
            <w:pPr>
              <w:pStyle w:val="TableParagraph"/>
              <w:spacing w:line="240" w:lineRule="auto" w:before="14"/>
              <w:ind w:left="24" w:right="0"/>
              <w:jc w:val="left"/>
              <w:rPr>
                <w:rFonts w:ascii="宋体" w:hAnsi="宋体" w:cs="宋体" w:eastAsia="宋体" w:hint="default"/>
                <w:sz w:val="21"/>
                <w:szCs w:val="21"/>
              </w:rPr>
            </w:pPr>
            <w:r>
              <w:rPr>
                <w:rFonts w:ascii="宋体" w:hAnsi="宋体" w:cs="宋体" w:eastAsia="宋体" w:hint="default"/>
                <w:sz w:val="21"/>
                <w:szCs w:val="21"/>
              </w:rPr>
              <w:t>大华会计师事务所（特殊普通合伙）</w:t>
            </w:r>
          </w:p>
        </w:tc>
      </w:tr>
      <w:tr>
        <w:trPr>
          <w:trHeight w:val="557" w:hRule="exact"/>
        </w:trPr>
        <w:tc>
          <w:tcPr>
            <w:tcW w:w="29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公司聘请的会计师事务所办公</w:t>
            </w:r>
          </w:p>
          <w:p>
            <w:pPr>
              <w:pStyle w:val="TableParagraph"/>
              <w:spacing w:line="273" w:lineRule="exact"/>
              <w:ind w:left="22" w:right="0"/>
              <w:jc w:val="left"/>
              <w:rPr>
                <w:rFonts w:ascii="宋体" w:hAnsi="宋体" w:cs="宋体" w:eastAsia="宋体" w:hint="default"/>
                <w:sz w:val="21"/>
                <w:szCs w:val="21"/>
              </w:rPr>
            </w:pPr>
            <w:r>
              <w:rPr>
                <w:rFonts w:ascii="宋体" w:hAnsi="宋体" w:cs="宋体" w:eastAsia="宋体" w:hint="default"/>
                <w:sz w:val="21"/>
                <w:szCs w:val="21"/>
              </w:rPr>
              <w:t>地址</w:t>
            </w:r>
          </w:p>
        </w:tc>
        <w:tc>
          <w:tcPr>
            <w:tcW w:w="66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深圳市福田区滨河大道</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5022 </w:t>
            </w:r>
            <w:r>
              <w:rPr>
                <w:rFonts w:ascii="宋体" w:hAnsi="宋体" w:cs="宋体" w:eastAsia="宋体" w:hint="default"/>
                <w:sz w:val="21"/>
                <w:szCs w:val="21"/>
              </w:rPr>
              <w:t>号联合广场</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B</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座</w:t>
            </w:r>
            <w:r>
              <w:rPr>
                <w:rFonts w:ascii="宋体" w:hAnsi="宋体" w:cs="宋体" w:eastAsia="宋体" w:hint="default"/>
                <w:spacing w:val="-53"/>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楼</w:t>
            </w:r>
          </w:p>
        </w:tc>
      </w:tr>
    </w:tbl>
    <w:p>
      <w:pPr>
        <w:spacing w:line="240" w:lineRule="auto" w:before="1"/>
        <w:rPr>
          <w:rFonts w:ascii="宋体" w:hAnsi="宋体" w:cs="宋体" w:eastAsia="宋体" w:hint="default"/>
          <w:b/>
          <w:bCs/>
          <w:sz w:val="18"/>
          <w:szCs w:val="18"/>
        </w:rPr>
      </w:pPr>
    </w:p>
    <w:p>
      <w:pPr>
        <w:pStyle w:val="Heading4"/>
        <w:spacing w:line="240" w:lineRule="auto" w:before="26"/>
        <w:ind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4"/>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3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56" w:lineRule="exact"/>
              <w:ind w:left="4"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56" w:lineRule="exact"/>
              <w:ind w:left="959"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412"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6"/>
              <w:ind w:left="24"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190" w:type="dxa"/>
            <w:tcBorders>
              <w:top w:val="single" w:sz="23" w:space="0" w:color="D4D4D4"/>
              <w:left w:val="single" w:sz="9" w:space="0" w:color="D4D4D4"/>
              <w:bottom w:val="single" w:sz="4" w:space="0" w:color="000000"/>
              <w:right w:val="single" w:sz="4" w:space="0" w:color="000000"/>
            </w:tcBorders>
          </w:tcPr>
          <w:p>
            <w:pPr>
              <w:pStyle w:val="TableParagraph"/>
              <w:spacing w:line="240" w:lineRule="auto" w:before="22"/>
              <w:ind w:left="17" w:right="0"/>
              <w:jc w:val="left"/>
              <w:rPr>
                <w:rFonts w:ascii="宋体" w:hAnsi="宋体" w:cs="宋体" w:eastAsia="宋体" w:hint="default"/>
                <w:sz w:val="21"/>
                <w:szCs w:val="21"/>
              </w:rPr>
            </w:pPr>
            <w:r>
              <w:rPr>
                <w:rFonts w:ascii="宋体" w:hAnsi="宋体" w:cs="宋体" w:eastAsia="宋体" w:hint="default"/>
                <w:sz w:val="21"/>
                <w:szCs w:val="21"/>
              </w:rPr>
              <w:t>陈克让</w:t>
            </w:r>
          </w:p>
        </w:tc>
        <w:tc>
          <w:tcPr>
            <w:tcW w:w="3190" w:type="dxa"/>
            <w:tcBorders>
              <w:top w:val="single" w:sz="23" w:space="0" w:color="D4D4D4"/>
              <w:left w:val="single" w:sz="4" w:space="0" w:color="000000"/>
              <w:bottom w:val="single" w:sz="4" w:space="0" w:color="000000"/>
              <w:right w:val="single" w:sz="4" w:space="0" w:color="000000"/>
            </w:tcBorders>
          </w:tcPr>
          <w:p>
            <w:pPr>
              <w:pStyle w:val="TableParagraph"/>
              <w:spacing w:line="240" w:lineRule="auto" w:before="22"/>
              <w:ind w:left="23" w:right="0"/>
              <w:jc w:val="left"/>
              <w:rPr>
                <w:rFonts w:ascii="宋体" w:hAnsi="宋体" w:cs="宋体" w:eastAsia="宋体" w:hint="default"/>
                <w:sz w:val="21"/>
                <w:szCs w:val="21"/>
              </w:rPr>
            </w:pPr>
            <w:r>
              <w:rPr>
                <w:rFonts w:ascii="宋体" w:hAnsi="宋体" w:cs="宋体" w:eastAsia="宋体" w:hint="default"/>
                <w:sz w:val="21"/>
                <w:szCs w:val="21"/>
              </w:rPr>
              <w:t>李枫</w:t>
            </w:r>
          </w:p>
        </w:tc>
      </w:tr>
      <w:tr>
        <w:trPr>
          <w:trHeight w:val="142" w:hRule="exact"/>
        </w:trPr>
        <w:tc>
          <w:tcPr>
            <w:tcW w:w="3190" w:type="dxa"/>
            <w:tcBorders>
              <w:top w:val="single" w:sz="4" w:space="0" w:color="000000"/>
              <w:left w:val="single" w:sz="4" w:space="0" w:color="000000"/>
              <w:bottom w:val="nil" w:sz="6" w:space="0" w:color="auto"/>
              <w:right w:val="single" w:sz="4" w:space="0" w:color="000000"/>
            </w:tcBorders>
            <w:shd w:val="clear" w:color="auto" w:fill="D4D4D4"/>
          </w:tcPr>
          <w:p>
            <w:pPr/>
          </w:p>
        </w:tc>
        <w:tc>
          <w:tcPr>
            <w:tcW w:w="3190" w:type="dxa"/>
            <w:vMerge w:val="restart"/>
            <w:tcBorders>
              <w:top w:val="single" w:sz="4" w:space="0" w:color="000000"/>
              <w:left w:val="single" w:sz="9" w:space="0" w:color="D4D4D4"/>
              <w:right w:val="single" w:sz="4" w:space="0" w:color="000000"/>
            </w:tcBorders>
          </w:tcPr>
          <w:p>
            <w:pPr>
              <w:pStyle w:val="TableParagraph"/>
              <w:spacing w:line="240" w:lineRule="exact"/>
              <w:ind w:left="17" w:right="0"/>
              <w:jc w:val="left"/>
              <w:rPr>
                <w:rFonts w:ascii="宋体" w:hAnsi="宋体" w:cs="宋体" w:eastAsia="宋体" w:hint="default"/>
                <w:sz w:val="21"/>
                <w:szCs w:val="21"/>
              </w:rPr>
            </w:pPr>
            <w:r>
              <w:rPr>
                <w:rFonts w:ascii="宋体" w:hAnsi="宋体" w:cs="宋体" w:eastAsia="宋体" w:hint="default"/>
                <w:sz w:val="21"/>
                <w:szCs w:val="21"/>
              </w:rPr>
              <w:t>深圳市南山区科技中二路深圳软</w:t>
            </w:r>
          </w:p>
          <w:p>
            <w:pPr>
              <w:pStyle w:val="TableParagraph"/>
              <w:spacing w:line="290" w:lineRule="exact"/>
              <w:ind w:left="1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件园</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宋体" w:hAnsi="宋体" w:cs="宋体" w:eastAsia="宋体" w:hint="default"/>
                <w:sz w:val="21"/>
                <w:szCs w:val="21"/>
              </w:rPr>
              <w:t>楼</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302</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深圳市南山区科技中二路深圳软</w:t>
            </w:r>
          </w:p>
          <w:p>
            <w:pPr>
              <w:pStyle w:val="TableParagraph"/>
              <w:spacing w:line="290" w:lineRule="exact"/>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件园</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宋体" w:hAnsi="宋体" w:cs="宋体" w:eastAsia="宋体" w:hint="default"/>
                <w:sz w:val="21"/>
                <w:szCs w:val="21"/>
              </w:rPr>
              <w:t>楼</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302</w:t>
            </w:r>
          </w:p>
        </w:tc>
      </w:tr>
      <w:tr>
        <w:trPr>
          <w:trHeight w:val="271" w:hRule="exact"/>
        </w:trPr>
        <w:tc>
          <w:tcPr>
            <w:tcW w:w="3190"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3190" w:type="dxa"/>
            <w:vMerge/>
            <w:tcBorders>
              <w:left w:val="single" w:sz="9" w:space="0" w:color="D4D4D4"/>
              <w:right w:val="single" w:sz="4" w:space="0" w:color="000000"/>
            </w:tcBorders>
          </w:tcPr>
          <w:p>
            <w:pPr/>
          </w:p>
        </w:tc>
        <w:tc>
          <w:tcPr>
            <w:tcW w:w="3190" w:type="dxa"/>
            <w:vMerge/>
            <w:tcBorders>
              <w:left w:val="single" w:sz="4" w:space="0" w:color="000000"/>
              <w:right w:val="single" w:sz="4" w:space="0" w:color="000000"/>
            </w:tcBorders>
          </w:tcPr>
          <w:p>
            <w:pPr/>
          </w:p>
        </w:tc>
      </w:tr>
      <w:tr>
        <w:trPr>
          <w:trHeight w:val="142" w:hRule="exact"/>
        </w:trPr>
        <w:tc>
          <w:tcPr>
            <w:tcW w:w="3190" w:type="dxa"/>
            <w:tcBorders>
              <w:top w:val="nil" w:sz="6" w:space="0" w:color="auto"/>
              <w:left w:val="single" w:sz="4" w:space="0" w:color="000000"/>
              <w:bottom w:val="single" w:sz="4" w:space="0" w:color="000000"/>
              <w:right w:val="single" w:sz="4" w:space="0" w:color="000000"/>
            </w:tcBorders>
            <w:shd w:val="clear" w:color="auto" w:fill="D4D4D4"/>
          </w:tcPr>
          <w:p>
            <w:pPr/>
          </w:p>
        </w:tc>
        <w:tc>
          <w:tcPr>
            <w:tcW w:w="3190" w:type="dxa"/>
            <w:vMerge/>
            <w:tcBorders>
              <w:left w:val="single" w:sz="9" w:space="0" w:color="D4D4D4"/>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379"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4"/>
              <w:ind w:left="24"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319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58"/>
              <w:ind w:left="17" w:right="0"/>
              <w:jc w:val="left"/>
              <w:rPr>
                <w:rFonts w:ascii="Times New Roman" w:hAnsi="Times New Roman" w:cs="Times New Roman" w:eastAsia="Times New Roman" w:hint="default"/>
                <w:sz w:val="21"/>
                <w:szCs w:val="21"/>
              </w:rPr>
            </w:pPr>
            <w:r>
              <w:rPr>
                <w:rFonts w:ascii="Times New Roman"/>
                <w:sz w:val="21"/>
              </w:rPr>
              <w:t>0755-86336966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21"/>
                <w:szCs w:val="21"/>
              </w:rPr>
            </w:pPr>
            <w:r>
              <w:rPr>
                <w:rFonts w:ascii="Times New Roman"/>
                <w:sz w:val="21"/>
              </w:rPr>
              <w:t>0755-86336966</w:t>
            </w:r>
          </w:p>
        </w:tc>
      </w:tr>
      <w:tr>
        <w:trPr>
          <w:trHeight w:val="379"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4"/>
              <w:ind w:left="24"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319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58"/>
              <w:ind w:left="17" w:right="0"/>
              <w:jc w:val="left"/>
              <w:rPr>
                <w:rFonts w:ascii="Times New Roman" w:hAnsi="Times New Roman" w:cs="Times New Roman" w:eastAsia="Times New Roman" w:hint="default"/>
                <w:sz w:val="21"/>
                <w:szCs w:val="21"/>
              </w:rPr>
            </w:pPr>
            <w:r>
              <w:rPr>
                <w:rFonts w:ascii="Times New Roman"/>
                <w:sz w:val="21"/>
              </w:rPr>
              <w:t>0755-86336977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21"/>
                <w:szCs w:val="21"/>
              </w:rPr>
            </w:pPr>
            <w:r>
              <w:rPr>
                <w:rFonts w:ascii="Times New Roman"/>
                <w:sz w:val="21"/>
              </w:rPr>
              <w:t>0755-86336977</w:t>
            </w:r>
          </w:p>
        </w:tc>
      </w:tr>
      <w:tr>
        <w:trPr>
          <w:trHeight w:val="379"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4"/>
              <w:ind w:left="24"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319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58"/>
              <w:ind w:left="17" w:right="0"/>
              <w:jc w:val="left"/>
              <w:rPr>
                <w:rFonts w:ascii="Times New Roman" w:hAnsi="Times New Roman" w:cs="Times New Roman" w:eastAsia="Times New Roman" w:hint="default"/>
                <w:sz w:val="21"/>
                <w:szCs w:val="21"/>
              </w:rPr>
            </w:pPr>
            <w:hyperlink r:id="rId11">
              <w:r>
                <w:rPr>
                  <w:rFonts w:ascii="Times New Roman"/>
                  <w:sz w:val="21"/>
                </w:rPr>
                <w:t>kerang.chen@kingsunsoft.com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21"/>
                <w:szCs w:val="21"/>
              </w:rPr>
            </w:pPr>
            <w:hyperlink r:id="rId12">
              <w:r>
                <w:rPr>
                  <w:rFonts w:ascii="Times New Roman"/>
                  <w:sz w:val="21"/>
                </w:rPr>
                <w:t>feng.li@kingsunsoft.com</w:t>
              </w:r>
            </w:hyperlink>
          </w:p>
        </w:tc>
      </w:tr>
    </w:tbl>
    <w:p>
      <w:pPr>
        <w:spacing w:line="240" w:lineRule="auto" w:before="1"/>
        <w:rPr>
          <w:rFonts w:ascii="宋体" w:hAnsi="宋体" w:cs="宋体" w:eastAsia="宋体" w:hint="default"/>
          <w:b/>
          <w:bCs/>
          <w:sz w:val="18"/>
          <w:szCs w:val="18"/>
        </w:rPr>
      </w:pPr>
    </w:p>
    <w:p>
      <w:pPr>
        <w:pStyle w:val="Heading4"/>
        <w:spacing w:line="240" w:lineRule="auto" w:before="26"/>
        <w:ind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858"/>
        <w:gridCol w:w="5710"/>
      </w:tblGrid>
      <w:tr>
        <w:trPr>
          <w:trHeight w:val="379" w:hRule="exact"/>
        </w:trPr>
        <w:tc>
          <w:tcPr>
            <w:tcW w:w="38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4"/>
              <w:ind w:left="22" w:right="0"/>
              <w:jc w:val="left"/>
              <w:rPr>
                <w:rFonts w:ascii="宋体" w:hAnsi="宋体" w:cs="宋体" w:eastAsia="宋体" w:hint="default"/>
                <w:sz w:val="21"/>
                <w:szCs w:val="21"/>
              </w:rPr>
            </w:pPr>
            <w:r>
              <w:rPr>
                <w:rFonts w:ascii="宋体" w:hAnsi="宋体" w:cs="宋体" w:eastAsia="宋体" w:hint="default"/>
                <w:sz w:val="21"/>
                <w:szCs w:val="21"/>
              </w:rPr>
              <w:t>公司选定的信息披露媒体的名称</w:t>
            </w:r>
          </w:p>
        </w:tc>
        <w:tc>
          <w:tcPr>
            <w:tcW w:w="5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3"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580" w:hRule="exact"/>
        </w:trPr>
        <w:tc>
          <w:tcPr>
            <w:tcW w:w="3858" w:type="dxa"/>
            <w:tcBorders>
              <w:top w:val="single" w:sz="4" w:space="0" w:color="000000"/>
              <w:left w:val="single" w:sz="4" w:space="0" w:color="000000"/>
              <w:bottom w:val="single" w:sz="24" w:space="0" w:color="FFFFFF"/>
              <w:right w:val="single" w:sz="4" w:space="0" w:color="000000"/>
            </w:tcBorders>
            <w:shd w:val="clear" w:color="auto" w:fill="D4D4D4"/>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w w:val="100"/>
                <w:sz w:val="21"/>
                <w:szCs w:val="21"/>
              </w:rPr>
              <w:t>址</w:t>
            </w:r>
          </w:p>
        </w:tc>
        <w:tc>
          <w:tcPr>
            <w:tcW w:w="5710" w:type="dxa"/>
            <w:tcBorders>
              <w:top w:val="single" w:sz="4" w:space="0" w:color="000000"/>
              <w:left w:val="single" w:sz="4" w:space="0" w:color="000000"/>
              <w:bottom w:val="single" w:sz="24" w:space="0" w:color="FFFFFF"/>
              <w:right w:val="single" w:sz="4" w:space="0" w:color="000000"/>
            </w:tcBorders>
          </w:tcPr>
          <w:p>
            <w:pPr>
              <w:pStyle w:val="TableParagraph"/>
              <w:spacing w:line="240" w:lineRule="auto" w:before="102"/>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中国证监会指定网站</w:t>
            </w:r>
            <w:r>
              <w:rPr>
                <w:rFonts w:ascii="宋体" w:hAnsi="宋体" w:cs="宋体" w:eastAsia="宋体" w:hint="default"/>
                <w:spacing w:val="-28"/>
                <w:sz w:val="21"/>
                <w:szCs w:val="21"/>
              </w:rPr>
              <w:t> </w:t>
            </w:r>
            <w:hyperlink r:id="rId13">
              <w:r>
                <w:rPr>
                  <w:rFonts w:ascii="Times New Roman" w:hAnsi="Times New Roman" w:cs="Times New Roman" w:eastAsia="Times New Roman" w:hint="default"/>
                  <w:sz w:val="21"/>
                  <w:szCs w:val="21"/>
                </w:rPr>
                <w:t>http://www.cninfo.com.cn</w:t>
              </w:r>
            </w:hyperlink>
          </w:p>
        </w:tc>
      </w:tr>
      <w:tr>
        <w:trPr>
          <w:trHeight w:val="354" w:hRule="exact"/>
        </w:trPr>
        <w:tc>
          <w:tcPr>
            <w:tcW w:w="3858" w:type="dxa"/>
            <w:tcBorders>
              <w:top w:val="single" w:sz="24" w:space="0" w:color="FFFFFF"/>
              <w:left w:val="single" w:sz="4" w:space="0" w:color="000000"/>
              <w:bottom w:val="single" w:sz="4" w:space="0" w:color="000000"/>
              <w:right w:val="single" w:sz="4" w:space="0" w:color="000000"/>
            </w:tcBorders>
            <w:shd w:val="clear" w:color="auto" w:fill="D4D4D4"/>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5710" w:type="dxa"/>
            <w:tcBorders>
              <w:top w:val="single" w:sz="24" w:space="0" w:color="FFFFFF"/>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公司证券事务部</w:t>
            </w:r>
          </w:p>
        </w:tc>
      </w:tr>
    </w:tbl>
    <w:p>
      <w:pPr>
        <w:spacing w:after="0" w:line="241" w:lineRule="exact"/>
        <w:jc w:val="left"/>
        <w:rPr>
          <w:rFonts w:ascii="宋体" w:hAnsi="宋体" w:cs="宋体" w:eastAsia="宋体" w:hint="default"/>
          <w:sz w:val="21"/>
          <w:szCs w:val="21"/>
        </w:rPr>
        <w:sectPr>
          <w:pgSz w:w="11910" w:h="16840"/>
          <w:pgMar w:header="748" w:footer="982" w:top="1060" w:bottom="1180" w:left="980" w:right="980"/>
        </w:sectPr>
      </w:pPr>
    </w:p>
    <w:p>
      <w:pPr>
        <w:spacing w:line="240" w:lineRule="auto" w:before="6"/>
        <w:rPr>
          <w:rFonts w:ascii="宋体" w:hAnsi="宋体" w:cs="宋体" w:eastAsia="宋体" w:hint="default"/>
          <w:b/>
          <w:bCs/>
          <w:sz w:val="23"/>
          <w:szCs w:val="23"/>
        </w:rPr>
      </w:pPr>
    </w:p>
    <w:p>
      <w:pPr>
        <w:pStyle w:val="Heading4"/>
        <w:spacing w:line="240" w:lineRule="auto" w:before="26"/>
        <w:ind w:right="0"/>
        <w:jc w:val="left"/>
        <w:rPr>
          <w:b w:val="0"/>
          <w:bCs w:val="0"/>
        </w:rPr>
      </w:pPr>
      <w:r>
        <w:rPr/>
        <w:t>四、公司历史沿革</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149" w:hRule="exact"/>
        </w:trPr>
        <w:tc>
          <w:tcPr>
            <w:tcW w:w="1596" w:type="dxa"/>
            <w:tcBorders>
              <w:top w:val="single" w:sz="4" w:space="0" w:color="000000"/>
              <w:left w:val="single" w:sz="4" w:space="0" w:color="000000"/>
              <w:bottom w:val="nil" w:sz="6" w:space="0" w:color="auto"/>
              <w:right w:val="single" w:sz="4" w:space="0" w:color="000000"/>
            </w:tcBorders>
            <w:shd w:val="clear" w:color="auto" w:fill="D4D4D4"/>
          </w:tcPr>
          <w:p>
            <w:pPr/>
          </w:p>
        </w:tc>
        <w:tc>
          <w:tcPr>
            <w:tcW w:w="1594" w:type="dxa"/>
            <w:tcBorders>
              <w:top w:val="single" w:sz="4" w:space="0" w:color="000000"/>
              <w:left w:val="single" w:sz="4" w:space="0" w:color="000000"/>
              <w:bottom w:val="nil" w:sz="6" w:space="0" w:color="auto"/>
              <w:right w:val="single" w:sz="4" w:space="0" w:color="000000"/>
            </w:tcBorders>
            <w:shd w:val="clear" w:color="auto" w:fill="D4D4D4"/>
          </w:tcPr>
          <w:p>
            <w:pPr/>
          </w:p>
        </w:tc>
        <w:tc>
          <w:tcPr>
            <w:tcW w:w="1594" w:type="dxa"/>
            <w:tcBorders>
              <w:top w:val="single" w:sz="4" w:space="0" w:color="000000"/>
              <w:left w:val="single" w:sz="4" w:space="0" w:color="000000"/>
              <w:bottom w:val="nil" w:sz="6" w:space="0" w:color="auto"/>
              <w:right w:val="single" w:sz="4" w:space="0" w:color="000000"/>
            </w:tcBorders>
            <w:shd w:val="clear" w:color="auto" w:fill="D4D4D4"/>
          </w:tcPr>
          <w:p>
            <w:pPr/>
          </w:p>
        </w:tc>
        <w:tc>
          <w:tcPr>
            <w:tcW w:w="1596" w:type="dxa"/>
            <w:vMerge w:val="restart"/>
            <w:tcBorders>
              <w:top w:val="single" w:sz="4" w:space="0" w:color="000000"/>
              <w:left w:val="single" w:sz="4" w:space="0" w:color="000000"/>
              <w:right w:val="single" w:sz="4" w:space="0" w:color="000000"/>
            </w:tcBorders>
            <w:shd w:val="clear" w:color="auto" w:fill="D4D4D4"/>
          </w:tcPr>
          <w:p>
            <w:pPr>
              <w:pStyle w:val="TableParagraph"/>
              <w:spacing w:line="239" w:lineRule="exact"/>
              <w:ind w:left="2" w:right="0"/>
              <w:jc w:val="center"/>
              <w:rPr>
                <w:rFonts w:ascii="宋体" w:hAnsi="宋体" w:cs="宋体" w:eastAsia="宋体" w:hint="default"/>
                <w:sz w:val="21"/>
                <w:szCs w:val="21"/>
              </w:rPr>
            </w:pPr>
            <w:bookmarkStart w:name="四、公司历史沿革" w:id="8"/>
            <w:bookmarkEnd w:id="8"/>
            <w:r>
              <w:rPr/>
            </w:r>
            <w:r>
              <w:rPr>
                <w:rFonts w:ascii="宋体" w:hAnsi="宋体" w:cs="宋体" w:eastAsia="宋体" w:hint="default"/>
                <w:sz w:val="21"/>
                <w:szCs w:val="21"/>
              </w:rPr>
              <w:t>企业法人营业执</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照注册号</w:t>
            </w:r>
          </w:p>
        </w:tc>
        <w:tc>
          <w:tcPr>
            <w:tcW w:w="1594" w:type="dxa"/>
            <w:tcBorders>
              <w:top w:val="single" w:sz="4" w:space="0" w:color="000000"/>
              <w:left w:val="single" w:sz="4" w:space="0" w:color="000000"/>
              <w:bottom w:val="nil" w:sz="6" w:space="0" w:color="auto"/>
              <w:right w:val="single" w:sz="4" w:space="0" w:color="000000"/>
            </w:tcBorders>
            <w:shd w:val="clear" w:color="auto" w:fill="D4D4D4"/>
          </w:tcPr>
          <w:p>
            <w:pPr/>
          </w:p>
        </w:tc>
        <w:tc>
          <w:tcPr>
            <w:tcW w:w="1594"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257" w:hRule="exact"/>
        </w:trPr>
        <w:tc>
          <w:tcPr>
            <w:tcW w:w="1596" w:type="dxa"/>
            <w:tcBorders>
              <w:top w:val="nil" w:sz="6" w:space="0" w:color="auto"/>
              <w:left w:val="single" w:sz="4" w:space="0" w:color="000000"/>
              <w:bottom w:val="nil" w:sz="6" w:space="0" w:color="auto"/>
              <w:right w:val="single" w:sz="4" w:space="0" w:color="000000"/>
            </w:tcBorders>
            <w:shd w:val="clear" w:color="auto" w:fill="D4D4D4"/>
          </w:tcPr>
          <w:p>
            <w:pPr/>
          </w:p>
        </w:tc>
        <w:tc>
          <w:tcPr>
            <w:tcW w:w="159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34" w:lineRule="exact"/>
              <w:ind w:left="163" w:right="0"/>
              <w:jc w:val="left"/>
              <w:rPr>
                <w:rFonts w:ascii="宋体" w:hAnsi="宋体" w:cs="宋体" w:eastAsia="宋体" w:hint="default"/>
                <w:sz w:val="21"/>
                <w:szCs w:val="21"/>
              </w:rPr>
            </w:pPr>
            <w:r>
              <w:rPr>
                <w:rFonts w:ascii="宋体" w:hAnsi="宋体" w:cs="宋体" w:eastAsia="宋体" w:hint="default"/>
                <w:sz w:val="21"/>
                <w:szCs w:val="21"/>
              </w:rPr>
              <w:t>注册登记日期</w:t>
            </w:r>
          </w:p>
        </w:tc>
        <w:tc>
          <w:tcPr>
            <w:tcW w:w="159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34" w:lineRule="exact"/>
              <w:ind w:left="163" w:right="0"/>
              <w:jc w:val="left"/>
              <w:rPr>
                <w:rFonts w:ascii="宋体" w:hAnsi="宋体" w:cs="宋体" w:eastAsia="宋体" w:hint="default"/>
                <w:sz w:val="21"/>
                <w:szCs w:val="21"/>
              </w:rPr>
            </w:pPr>
            <w:r>
              <w:rPr>
                <w:rFonts w:ascii="宋体" w:hAnsi="宋体" w:cs="宋体" w:eastAsia="宋体" w:hint="default"/>
                <w:sz w:val="21"/>
                <w:szCs w:val="21"/>
              </w:rPr>
              <w:t>注册登记地点</w:t>
            </w:r>
          </w:p>
        </w:tc>
        <w:tc>
          <w:tcPr>
            <w:tcW w:w="1596" w:type="dxa"/>
            <w:vMerge/>
            <w:tcBorders>
              <w:left w:val="single" w:sz="4" w:space="0" w:color="000000"/>
              <w:right w:val="single" w:sz="4" w:space="0" w:color="000000"/>
            </w:tcBorders>
            <w:shd w:val="clear" w:color="auto" w:fill="D4D4D4"/>
          </w:tcPr>
          <w:p>
            <w:pPr/>
          </w:p>
        </w:tc>
        <w:tc>
          <w:tcPr>
            <w:tcW w:w="159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34" w:lineRule="exact"/>
              <w:ind w:left="163" w:right="0"/>
              <w:jc w:val="left"/>
              <w:rPr>
                <w:rFonts w:ascii="宋体" w:hAnsi="宋体" w:cs="宋体" w:eastAsia="宋体" w:hint="default"/>
                <w:sz w:val="21"/>
                <w:szCs w:val="21"/>
              </w:rPr>
            </w:pPr>
            <w:r>
              <w:rPr>
                <w:rFonts w:ascii="宋体" w:hAnsi="宋体" w:cs="宋体" w:eastAsia="宋体" w:hint="default"/>
                <w:sz w:val="21"/>
                <w:szCs w:val="21"/>
              </w:rPr>
              <w:t>税务登记号码</w:t>
            </w:r>
          </w:p>
        </w:tc>
        <w:tc>
          <w:tcPr>
            <w:tcW w:w="159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34" w:lineRule="exact"/>
              <w:ind w:left="163" w:right="0"/>
              <w:jc w:val="left"/>
              <w:rPr>
                <w:rFonts w:ascii="宋体" w:hAnsi="宋体" w:cs="宋体" w:eastAsia="宋体" w:hint="default"/>
                <w:sz w:val="21"/>
                <w:szCs w:val="21"/>
              </w:rPr>
            </w:pPr>
            <w:r>
              <w:rPr>
                <w:rFonts w:ascii="宋体" w:hAnsi="宋体" w:cs="宋体" w:eastAsia="宋体" w:hint="default"/>
                <w:sz w:val="21"/>
                <w:szCs w:val="21"/>
              </w:rPr>
              <w:t>组织机构代码</w:t>
            </w:r>
          </w:p>
        </w:tc>
      </w:tr>
      <w:tr>
        <w:trPr>
          <w:trHeight w:val="149" w:hRule="exact"/>
        </w:trPr>
        <w:tc>
          <w:tcPr>
            <w:tcW w:w="1596" w:type="dxa"/>
            <w:tcBorders>
              <w:top w:val="nil" w:sz="6" w:space="0" w:color="auto"/>
              <w:left w:val="single" w:sz="4" w:space="0" w:color="000000"/>
              <w:bottom w:val="single" w:sz="4" w:space="0" w:color="000000"/>
              <w:right w:val="single" w:sz="4" w:space="0" w:color="000000"/>
            </w:tcBorders>
            <w:shd w:val="clear" w:color="auto" w:fill="D4D4D4"/>
          </w:tcPr>
          <w:p>
            <w:pPr/>
          </w:p>
        </w:tc>
        <w:tc>
          <w:tcPr>
            <w:tcW w:w="1594" w:type="dxa"/>
            <w:tcBorders>
              <w:top w:val="nil" w:sz="6" w:space="0" w:color="auto"/>
              <w:left w:val="single" w:sz="4" w:space="0" w:color="000000"/>
              <w:bottom w:val="single" w:sz="4" w:space="0" w:color="000000"/>
              <w:right w:val="single" w:sz="4" w:space="0" w:color="000000"/>
            </w:tcBorders>
            <w:shd w:val="clear" w:color="auto" w:fill="D4D4D4"/>
          </w:tcPr>
          <w:p>
            <w:pPr/>
          </w:p>
        </w:tc>
        <w:tc>
          <w:tcPr>
            <w:tcW w:w="1594" w:type="dxa"/>
            <w:tcBorders>
              <w:top w:val="nil" w:sz="6" w:space="0" w:color="auto"/>
              <w:left w:val="single" w:sz="4" w:space="0" w:color="000000"/>
              <w:bottom w:val="single" w:sz="4" w:space="0" w:color="000000"/>
              <w:right w:val="single" w:sz="4" w:space="0" w:color="000000"/>
            </w:tcBorders>
            <w:shd w:val="clear" w:color="auto" w:fill="D4D4D4"/>
          </w:tcPr>
          <w:p>
            <w:pPr/>
          </w:p>
        </w:tc>
        <w:tc>
          <w:tcPr>
            <w:tcW w:w="1596" w:type="dxa"/>
            <w:vMerge/>
            <w:tcBorders>
              <w:left w:val="single" w:sz="4" w:space="0" w:color="000000"/>
              <w:bottom w:val="single" w:sz="4" w:space="0" w:color="000000"/>
              <w:right w:val="single" w:sz="4" w:space="0" w:color="000000"/>
            </w:tcBorders>
            <w:shd w:val="clear" w:color="auto" w:fill="D4D4D4"/>
          </w:tcPr>
          <w:p>
            <w:pPr/>
          </w:p>
        </w:tc>
        <w:tc>
          <w:tcPr>
            <w:tcW w:w="1594" w:type="dxa"/>
            <w:tcBorders>
              <w:top w:val="nil" w:sz="6" w:space="0" w:color="auto"/>
              <w:left w:val="single" w:sz="4" w:space="0" w:color="000000"/>
              <w:bottom w:val="single" w:sz="4" w:space="0" w:color="000000"/>
              <w:right w:val="single" w:sz="4" w:space="0" w:color="000000"/>
            </w:tcBorders>
            <w:shd w:val="clear" w:color="auto" w:fill="D4D4D4"/>
          </w:tcPr>
          <w:p>
            <w:pPr/>
          </w:p>
        </w:tc>
        <w:tc>
          <w:tcPr>
            <w:tcW w:w="1594"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142" w:hRule="exact"/>
        </w:trPr>
        <w:tc>
          <w:tcPr>
            <w:tcW w:w="1596" w:type="dxa"/>
            <w:tcBorders>
              <w:top w:val="single" w:sz="4" w:space="0" w:color="000000"/>
              <w:left w:val="single" w:sz="4" w:space="0" w:color="000000"/>
              <w:bottom w:val="nil" w:sz="6" w:space="0" w:color="auto"/>
              <w:right w:val="single" w:sz="4" w:space="0" w:color="000000"/>
            </w:tcBorders>
            <w:shd w:val="clear" w:color="auto" w:fill="D4D4D4"/>
          </w:tcPr>
          <w:p>
            <w:pPr/>
          </w:p>
        </w:tc>
        <w:tc>
          <w:tcPr>
            <w:tcW w:w="1594" w:type="dxa"/>
            <w:vMerge w:val="restart"/>
            <w:tcBorders>
              <w:top w:val="single" w:sz="4" w:space="0" w:color="000000"/>
              <w:left w:val="single" w:sz="9" w:space="0" w:color="D4D4D4"/>
              <w:right w:val="single" w:sz="4" w:space="0" w:color="000000"/>
            </w:tcBorders>
          </w:tcPr>
          <w:p>
            <w:pPr>
              <w:pStyle w:val="TableParagraph"/>
              <w:spacing w:line="248" w:lineRule="exact"/>
              <w:ind w:left="17"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1993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19</w:t>
            </w:r>
          </w:p>
          <w:p>
            <w:pPr>
              <w:pStyle w:val="TableParagraph"/>
              <w:spacing w:line="266" w:lineRule="exact"/>
              <w:ind w:left="17"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深圳</w:t>
            </w:r>
          </w:p>
        </w:tc>
        <w:tc>
          <w:tcPr>
            <w:tcW w:w="1596" w:type="dxa"/>
            <w:vMerge w:val="restart"/>
            <w:tcBorders>
              <w:top w:val="single" w:sz="4" w:space="0" w:color="000000"/>
              <w:left w:val="single" w:sz="4" w:space="0" w:color="000000"/>
              <w:right w:val="single" w:sz="4" w:space="0" w:color="000000"/>
            </w:tcBorders>
          </w:tcPr>
          <w:p>
            <w:pPr>
              <w:pStyle w:val="TableParagraph"/>
              <w:spacing w:line="241" w:lineRule="exact" w:before="27"/>
              <w:ind w:left="23" w:right="0"/>
              <w:jc w:val="left"/>
              <w:rPr>
                <w:rFonts w:ascii="Times New Roman" w:hAnsi="Times New Roman" w:cs="Times New Roman" w:eastAsia="Times New Roman" w:hint="default"/>
                <w:sz w:val="21"/>
                <w:szCs w:val="21"/>
              </w:rPr>
            </w:pPr>
            <w:r>
              <w:rPr>
                <w:rFonts w:ascii="Times New Roman"/>
                <w:sz w:val="21"/>
              </w:rPr>
              <w:t>44030110318018</w:t>
            </w:r>
          </w:p>
          <w:p>
            <w:pPr>
              <w:pStyle w:val="TableParagraph"/>
              <w:spacing w:line="241" w:lineRule="exact"/>
              <w:ind w:left="23" w:right="0"/>
              <w:jc w:val="left"/>
              <w:rPr>
                <w:rFonts w:ascii="Times New Roman" w:hAnsi="Times New Roman" w:cs="Times New Roman" w:eastAsia="Times New Roman" w:hint="default"/>
                <w:sz w:val="21"/>
                <w:szCs w:val="21"/>
              </w:rPr>
            </w:pPr>
            <w:r>
              <w:rPr>
                <w:rFonts w:ascii="Times New Roman"/>
                <w:w w:val="100"/>
                <w:sz w:val="21"/>
              </w:rPr>
              <w:t>3</w:t>
            </w:r>
          </w:p>
        </w:tc>
        <w:tc>
          <w:tcPr>
            <w:tcW w:w="1594" w:type="dxa"/>
            <w:vMerge w:val="restart"/>
            <w:tcBorders>
              <w:top w:val="single" w:sz="4" w:space="0" w:color="000000"/>
              <w:left w:val="single" w:sz="4" w:space="0" w:color="000000"/>
              <w:right w:val="single" w:sz="4" w:space="0" w:color="000000"/>
            </w:tcBorders>
          </w:tcPr>
          <w:p>
            <w:pPr>
              <w:pStyle w:val="TableParagraph"/>
              <w:spacing w:line="241" w:lineRule="exact" w:before="27"/>
              <w:ind w:left="23" w:right="0"/>
              <w:jc w:val="left"/>
              <w:rPr>
                <w:rFonts w:ascii="Times New Roman" w:hAnsi="Times New Roman" w:cs="Times New Roman" w:eastAsia="Times New Roman" w:hint="default"/>
                <w:sz w:val="21"/>
                <w:szCs w:val="21"/>
              </w:rPr>
            </w:pPr>
            <w:r>
              <w:rPr>
                <w:rFonts w:ascii="Times New Roman"/>
                <w:sz w:val="21"/>
              </w:rPr>
              <w:t>44030127941646</w:t>
            </w:r>
          </w:p>
          <w:p>
            <w:pPr>
              <w:pStyle w:val="TableParagraph"/>
              <w:spacing w:line="241" w:lineRule="exact"/>
              <w:ind w:left="23" w:right="0"/>
              <w:jc w:val="left"/>
              <w:rPr>
                <w:rFonts w:ascii="Times New Roman" w:hAnsi="Times New Roman" w:cs="Times New Roman" w:eastAsia="Times New Roman" w:hint="default"/>
                <w:sz w:val="21"/>
                <w:szCs w:val="21"/>
              </w:rPr>
            </w:pPr>
            <w:r>
              <w:rPr>
                <w:rFonts w:ascii="Times New Roman"/>
                <w:w w:val="100"/>
                <w:sz w:val="21"/>
              </w:rPr>
              <w:t>7</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47"/>
              <w:ind w:left="23" w:right="0"/>
              <w:jc w:val="left"/>
              <w:rPr>
                <w:rFonts w:ascii="Times New Roman" w:hAnsi="Times New Roman" w:cs="Times New Roman" w:eastAsia="Times New Roman" w:hint="default"/>
                <w:sz w:val="21"/>
                <w:szCs w:val="21"/>
              </w:rPr>
            </w:pPr>
            <w:r>
              <w:rPr>
                <w:rFonts w:ascii="Times New Roman"/>
                <w:sz w:val="21"/>
              </w:rPr>
              <w:t>279416467</w:t>
            </w:r>
          </w:p>
        </w:tc>
      </w:tr>
      <w:tr>
        <w:trPr>
          <w:trHeight w:val="274" w:hRule="exact"/>
        </w:trPr>
        <w:tc>
          <w:tcPr>
            <w:tcW w:w="159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首次注册</w:t>
            </w:r>
          </w:p>
        </w:tc>
        <w:tc>
          <w:tcPr>
            <w:tcW w:w="1594" w:type="dxa"/>
            <w:vMerge/>
            <w:tcBorders>
              <w:left w:val="single" w:sz="9" w:space="0" w:color="D4D4D4"/>
              <w:right w:val="single" w:sz="4" w:space="0" w:color="000000"/>
            </w:tcBorders>
          </w:tcPr>
          <w:p>
            <w:pPr/>
          </w:p>
        </w:tc>
        <w:tc>
          <w:tcPr>
            <w:tcW w:w="1594" w:type="dxa"/>
            <w:vMerge/>
            <w:tcBorders>
              <w:left w:val="single" w:sz="4" w:space="0" w:color="000000"/>
              <w:right w:val="single" w:sz="4" w:space="0" w:color="000000"/>
            </w:tcBorders>
          </w:tcPr>
          <w:p>
            <w:pP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142" w:hRule="exact"/>
        </w:trPr>
        <w:tc>
          <w:tcPr>
            <w:tcW w:w="1596" w:type="dxa"/>
            <w:tcBorders>
              <w:top w:val="nil" w:sz="6" w:space="0" w:color="auto"/>
              <w:left w:val="single" w:sz="4" w:space="0" w:color="000000"/>
              <w:bottom w:val="single" w:sz="4" w:space="0" w:color="000000"/>
              <w:right w:val="single" w:sz="4" w:space="0" w:color="000000"/>
            </w:tcBorders>
            <w:shd w:val="clear" w:color="auto" w:fill="D4D4D4"/>
          </w:tcPr>
          <w:p>
            <w:pPr/>
          </w:p>
        </w:tc>
        <w:tc>
          <w:tcPr>
            <w:tcW w:w="1594" w:type="dxa"/>
            <w:vMerge/>
            <w:tcBorders>
              <w:left w:val="single" w:sz="9" w:space="0" w:color="D4D4D4"/>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6"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55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股份公司成立变</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更注册登记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24</w:t>
            </w:r>
          </w:p>
          <w:p>
            <w:pPr>
              <w:pStyle w:val="TableParagraph"/>
              <w:spacing w:line="266"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深圳</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3" w:right="0"/>
              <w:jc w:val="left"/>
              <w:rPr>
                <w:rFonts w:ascii="Times New Roman" w:hAnsi="Times New Roman" w:cs="Times New Roman" w:eastAsia="Times New Roman" w:hint="default"/>
                <w:sz w:val="21"/>
                <w:szCs w:val="21"/>
              </w:rPr>
            </w:pPr>
            <w:r>
              <w:rPr>
                <w:rFonts w:ascii="Times New Roman"/>
                <w:sz w:val="21"/>
              </w:rPr>
              <w:t>44030110318018</w:t>
            </w:r>
          </w:p>
          <w:p>
            <w:pPr>
              <w:pStyle w:val="TableParagraph"/>
              <w:spacing w:line="240" w:lineRule="auto" w:before="1"/>
              <w:ind w:left="23" w:right="0"/>
              <w:jc w:val="left"/>
              <w:rPr>
                <w:rFonts w:ascii="Times New Roman" w:hAnsi="Times New Roman" w:cs="Times New Roman" w:eastAsia="Times New Roman" w:hint="default"/>
                <w:sz w:val="21"/>
                <w:szCs w:val="21"/>
              </w:rPr>
            </w:pPr>
            <w:r>
              <w:rPr>
                <w:rFonts w:ascii="Times New Roman"/>
                <w:w w:val="100"/>
                <w:sz w:val="21"/>
              </w:rPr>
              <w:t>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3" w:right="0"/>
              <w:jc w:val="left"/>
              <w:rPr>
                <w:rFonts w:ascii="Times New Roman" w:hAnsi="Times New Roman" w:cs="Times New Roman" w:eastAsia="Times New Roman" w:hint="default"/>
                <w:sz w:val="21"/>
                <w:szCs w:val="21"/>
              </w:rPr>
            </w:pPr>
            <w:r>
              <w:rPr>
                <w:rFonts w:ascii="Times New Roman"/>
                <w:sz w:val="21"/>
              </w:rPr>
              <w:t>44030127941646</w:t>
            </w:r>
          </w:p>
          <w:p>
            <w:pPr>
              <w:pStyle w:val="TableParagraph"/>
              <w:spacing w:line="240" w:lineRule="auto" w:before="1"/>
              <w:ind w:left="23" w:right="0"/>
              <w:jc w:val="left"/>
              <w:rPr>
                <w:rFonts w:ascii="Times New Roman" w:hAnsi="Times New Roman" w:cs="Times New Roman" w:eastAsia="Times New Roman" w:hint="default"/>
                <w:sz w:val="21"/>
                <w:szCs w:val="21"/>
              </w:rPr>
            </w:pPr>
            <w:r>
              <w:rPr>
                <w:rFonts w:ascii="Times New Roman"/>
                <w:w w:val="100"/>
                <w:sz w:val="21"/>
              </w:rPr>
              <w:t>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3" w:right="0"/>
              <w:jc w:val="left"/>
              <w:rPr>
                <w:rFonts w:ascii="Times New Roman" w:hAnsi="Times New Roman" w:cs="Times New Roman" w:eastAsia="Times New Roman" w:hint="default"/>
                <w:sz w:val="21"/>
                <w:szCs w:val="21"/>
              </w:rPr>
            </w:pPr>
            <w:r>
              <w:rPr>
                <w:rFonts w:ascii="Times New Roman"/>
                <w:sz w:val="21"/>
              </w:rPr>
              <w:t>279416467</w:t>
            </w:r>
          </w:p>
        </w:tc>
      </w:tr>
      <w:tr>
        <w:trPr>
          <w:trHeight w:val="55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首次公开发行股</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票变更注册登记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pacing w:val="-3"/>
                <w:sz w:val="21"/>
                <w:szCs w:val="21"/>
              </w:rPr>
              <w:t>29</w:t>
            </w:r>
            <w:r>
              <w:rPr>
                <w:rFonts w:ascii="Times New Roman" w:hAnsi="Times New Roman" w:cs="Times New Roman" w:eastAsia="Times New Roman" w:hint="default"/>
                <w:sz w:val="21"/>
                <w:szCs w:val="21"/>
              </w:rPr>
            </w:r>
          </w:p>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深圳</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4"/>
              <w:ind w:left="23" w:right="0"/>
              <w:jc w:val="left"/>
              <w:rPr>
                <w:rFonts w:ascii="Times New Roman" w:hAnsi="Times New Roman" w:cs="Times New Roman" w:eastAsia="Times New Roman" w:hint="default"/>
                <w:sz w:val="21"/>
                <w:szCs w:val="21"/>
              </w:rPr>
            </w:pPr>
            <w:r>
              <w:rPr>
                <w:rFonts w:ascii="Times New Roman"/>
                <w:sz w:val="21"/>
              </w:rPr>
              <w:t>44030110318018</w:t>
            </w:r>
          </w:p>
          <w:p>
            <w:pPr>
              <w:pStyle w:val="TableParagraph"/>
              <w:spacing w:line="241" w:lineRule="exact"/>
              <w:ind w:left="23" w:right="0"/>
              <w:jc w:val="left"/>
              <w:rPr>
                <w:rFonts w:ascii="Times New Roman" w:hAnsi="Times New Roman" w:cs="Times New Roman" w:eastAsia="Times New Roman" w:hint="default"/>
                <w:sz w:val="21"/>
                <w:szCs w:val="21"/>
              </w:rPr>
            </w:pPr>
            <w:r>
              <w:rPr>
                <w:rFonts w:ascii="Times New Roman"/>
                <w:w w:val="100"/>
                <w:sz w:val="21"/>
              </w:rPr>
              <w:t>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4"/>
              <w:ind w:left="23" w:right="0"/>
              <w:jc w:val="left"/>
              <w:rPr>
                <w:rFonts w:ascii="Times New Roman" w:hAnsi="Times New Roman" w:cs="Times New Roman" w:eastAsia="Times New Roman" w:hint="default"/>
                <w:sz w:val="21"/>
                <w:szCs w:val="21"/>
              </w:rPr>
            </w:pPr>
            <w:r>
              <w:rPr>
                <w:rFonts w:ascii="Times New Roman"/>
                <w:sz w:val="21"/>
              </w:rPr>
              <w:t>44030127941646</w:t>
            </w:r>
          </w:p>
          <w:p>
            <w:pPr>
              <w:pStyle w:val="TableParagraph"/>
              <w:spacing w:line="241" w:lineRule="exact"/>
              <w:ind w:left="23" w:right="0"/>
              <w:jc w:val="left"/>
              <w:rPr>
                <w:rFonts w:ascii="Times New Roman" w:hAnsi="Times New Roman" w:cs="Times New Roman" w:eastAsia="Times New Roman" w:hint="default"/>
                <w:sz w:val="21"/>
                <w:szCs w:val="21"/>
              </w:rPr>
            </w:pPr>
            <w:r>
              <w:rPr>
                <w:rFonts w:ascii="Times New Roman"/>
                <w:w w:val="100"/>
                <w:sz w:val="21"/>
              </w:rPr>
              <w:t>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3" w:right="0"/>
              <w:jc w:val="left"/>
              <w:rPr>
                <w:rFonts w:ascii="Times New Roman" w:hAnsi="Times New Roman" w:cs="Times New Roman" w:eastAsia="Times New Roman" w:hint="default"/>
                <w:sz w:val="21"/>
                <w:szCs w:val="21"/>
              </w:rPr>
            </w:pPr>
            <w:r>
              <w:rPr>
                <w:rFonts w:ascii="Times New Roman"/>
                <w:sz w:val="21"/>
              </w:rPr>
              <w:t>279416467</w:t>
            </w:r>
          </w:p>
        </w:tc>
      </w:tr>
      <w:tr>
        <w:trPr>
          <w:trHeight w:val="83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资本公积金转增</w:t>
            </w:r>
          </w:p>
          <w:p>
            <w:pPr>
              <w:pStyle w:val="TableParagraph"/>
              <w:spacing w:line="240" w:lineRule="auto"/>
              <w:ind w:left="24" w:right="86"/>
              <w:jc w:val="left"/>
              <w:rPr>
                <w:rFonts w:ascii="宋体" w:hAnsi="宋体" w:cs="宋体" w:eastAsia="宋体" w:hint="default"/>
                <w:sz w:val="21"/>
                <w:szCs w:val="21"/>
              </w:rPr>
            </w:pPr>
            <w:r>
              <w:rPr>
                <w:rFonts w:ascii="宋体" w:hAnsi="宋体" w:cs="宋体" w:eastAsia="宋体" w:hint="default"/>
                <w:sz w:val="21"/>
                <w:szCs w:val="21"/>
              </w:rPr>
              <w:t>股本变更注册登</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before="102"/>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p>
          <w:p>
            <w:pPr>
              <w:pStyle w:val="TableParagraph"/>
              <w:spacing w:line="266"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深圳</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23" w:right="0"/>
              <w:jc w:val="left"/>
              <w:rPr>
                <w:rFonts w:ascii="Times New Roman" w:hAnsi="Times New Roman" w:cs="Times New Roman" w:eastAsia="Times New Roman" w:hint="default"/>
                <w:sz w:val="21"/>
                <w:szCs w:val="21"/>
              </w:rPr>
            </w:pPr>
            <w:r>
              <w:rPr>
                <w:rFonts w:ascii="Times New Roman"/>
                <w:sz w:val="21"/>
              </w:rPr>
              <w:t>44030110318018</w:t>
            </w:r>
          </w:p>
          <w:p>
            <w:pPr>
              <w:pStyle w:val="TableParagraph"/>
              <w:spacing w:line="240" w:lineRule="auto" w:before="1"/>
              <w:ind w:left="23" w:right="0"/>
              <w:jc w:val="left"/>
              <w:rPr>
                <w:rFonts w:ascii="Times New Roman" w:hAnsi="Times New Roman" w:cs="Times New Roman" w:eastAsia="Times New Roman" w:hint="default"/>
                <w:sz w:val="21"/>
                <w:szCs w:val="21"/>
              </w:rPr>
            </w:pPr>
            <w:r>
              <w:rPr>
                <w:rFonts w:ascii="Times New Roman"/>
                <w:w w:val="100"/>
                <w:sz w:val="21"/>
              </w:rPr>
              <w:t>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23" w:right="0"/>
              <w:jc w:val="left"/>
              <w:rPr>
                <w:rFonts w:ascii="Times New Roman" w:hAnsi="Times New Roman" w:cs="Times New Roman" w:eastAsia="Times New Roman" w:hint="default"/>
                <w:sz w:val="21"/>
                <w:szCs w:val="21"/>
              </w:rPr>
            </w:pPr>
            <w:r>
              <w:rPr>
                <w:rFonts w:ascii="Times New Roman"/>
                <w:sz w:val="21"/>
              </w:rPr>
              <w:t>44030127941646</w:t>
            </w:r>
          </w:p>
          <w:p>
            <w:pPr>
              <w:pStyle w:val="TableParagraph"/>
              <w:spacing w:line="240" w:lineRule="auto" w:before="1"/>
              <w:ind w:left="23" w:right="0"/>
              <w:jc w:val="left"/>
              <w:rPr>
                <w:rFonts w:ascii="Times New Roman" w:hAnsi="Times New Roman" w:cs="Times New Roman" w:eastAsia="Times New Roman" w:hint="default"/>
                <w:sz w:val="21"/>
                <w:szCs w:val="21"/>
              </w:rPr>
            </w:pPr>
            <w:r>
              <w:rPr>
                <w:rFonts w:ascii="Times New Roman"/>
                <w:w w:val="100"/>
                <w:sz w:val="21"/>
              </w:rPr>
              <w:t>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279416467</w:t>
            </w:r>
          </w:p>
        </w:tc>
      </w:tr>
      <w:tr>
        <w:trPr>
          <w:trHeight w:val="82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资本公积金转增</w:t>
            </w:r>
          </w:p>
          <w:p>
            <w:pPr>
              <w:pStyle w:val="TableParagraph"/>
              <w:spacing w:line="272" w:lineRule="exact" w:before="27"/>
              <w:ind w:left="24" w:right="86"/>
              <w:jc w:val="left"/>
              <w:rPr>
                <w:rFonts w:ascii="宋体" w:hAnsi="宋体" w:cs="宋体" w:eastAsia="宋体" w:hint="default"/>
                <w:sz w:val="21"/>
                <w:szCs w:val="21"/>
              </w:rPr>
            </w:pPr>
            <w:r>
              <w:rPr>
                <w:rFonts w:ascii="宋体" w:hAnsi="宋体" w:cs="宋体" w:eastAsia="宋体" w:hint="default"/>
                <w:sz w:val="21"/>
                <w:szCs w:val="21"/>
              </w:rPr>
              <w:t>股本变更注册登</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before="102"/>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p>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深圳</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61"/>
              <w:ind w:left="23" w:right="0"/>
              <w:jc w:val="left"/>
              <w:rPr>
                <w:rFonts w:ascii="Times New Roman" w:hAnsi="Times New Roman" w:cs="Times New Roman" w:eastAsia="Times New Roman" w:hint="default"/>
                <w:sz w:val="21"/>
                <w:szCs w:val="21"/>
              </w:rPr>
            </w:pPr>
            <w:r>
              <w:rPr>
                <w:rFonts w:ascii="Times New Roman"/>
                <w:sz w:val="21"/>
              </w:rPr>
              <w:t>44030110318018</w:t>
            </w:r>
          </w:p>
          <w:p>
            <w:pPr>
              <w:pStyle w:val="TableParagraph"/>
              <w:spacing w:line="241" w:lineRule="exact"/>
              <w:ind w:left="23" w:right="0"/>
              <w:jc w:val="left"/>
              <w:rPr>
                <w:rFonts w:ascii="Times New Roman" w:hAnsi="Times New Roman" w:cs="Times New Roman" w:eastAsia="Times New Roman" w:hint="default"/>
                <w:sz w:val="21"/>
                <w:szCs w:val="21"/>
              </w:rPr>
            </w:pPr>
            <w:r>
              <w:rPr>
                <w:rFonts w:ascii="Times New Roman"/>
                <w:w w:val="100"/>
                <w:sz w:val="21"/>
              </w:rPr>
              <w:t>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61"/>
              <w:ind w:left="23" w:right="0"/>
              <w:jc w:val="left"/>
              <w:rPr>
                <w:rFonts w:ascii="Times New Roman" w:hAnsi="Times New Roman" w:cs="Times New Roman" w:eastAsia="Times New Roman" w:hint="default"/>
                <w:sz w:val="21"/>
                <w:szCs w:val="21"/>
              </w:rPr>
            </w:pPr>
            <w:r>
              <w:rPr>
                <w:rFonts w:ascii="Times New Roman"/>
                <w:sz w:val="21"/>
              </w:rPr>
              <w:t>44030127941646</w:t>
            </w:r>
          </w:p>
          <w:p>
            <w:pPr>
              <w:pStyle w:val="TableParagraph"/>
              <w:spacing w:line="241" w:lineRule="exact"/>
              <w:ind w:left="23" w:right="0"/>
              <w:jc w:val="left"/>
              <w:rPr>
                <w:rFonts w:ascii="Times New Roman" w:hAnsi="Times New Roman" w:cs="Times New Roman" w:eastAsia="Times New Roman" w:hint="default"/>
                <w:sz w:val="21"/>
                <w:szCs w:val="21"/>
              </w:rPr>
            </w:pPr>
            <w:r>
              <w:rPr>
                <w:rFonts w:ascii="Times New Roman"/>
                <w:w w:val="100"/>
                <w:sz w:val="21"/>
              </w:rPr>
              <w:t>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279416467</w:t>
            </w:r>
          </w:p>
        </w:tc>
      </w:tr>
    </w:tbl>
    <w:p>
      <w:pPr>
        <w:spacing w:after="0" w:line="240" w:lineRule="auto"/>
        <w:jc w:val="left"/>
        <w:rPr>
          <w:rFonts w:ascii="Times New Roman" w:hAnsi="Times New Roman" w:cs="Times New Roman" w:eastAsia="Times New Roman" w:hint="default"/>
          <w:sz w:val="21"/>
          <w:szCs w:val="21"/>
        </w:rPr>
        <w:sectPr>
          <w:pgSz w:w="11910" w:h="16840"/>
          <w:pgMar w:header="748" w:footer="982" w:top="1060" w:bottom="118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1"/>
        <w:spacing w:line="240" w:lineRule="auto" w:before="138"/>
        <w:ind w:left="2648" w:right="0"/>
        <w:jc w:val="left"/>
        <w:rPr>
          <w:b w:val="0"/>
          <w:bCs w:val="0"/>
        </w:rPr>
      </w:pPr>
      <w:bookmarkStart w:name="第三节 会计数据和财务指标摘要" w:id="9"/>
      <w:bookmarkEnd w:id="9"/>
      <w:r>
        <w:rPr>
          <w:b w:val="0"/>
          <w:bCs w:val="0"/>
        </w:rPr>
      </w:r>
      <w:bookmarkStart w:name="_bookmark2" w:id="10"/>
      <w:bookmarkEnd w:id="10"/>
      <w:r>
        <w:rPr>
          <w:b w:val="0"/>
          <w:bCs w:val="0"/>
        </w:rPr>
      </w:r>
      <w:r>
        <w:rPr/>
        <w:t>第三节</w:t>
      </w:r>
      <w:r>
        <w:rPr>
          <w:spacing w:val="-17"/>
        </w:rPr>
        <w:t> </w:t>
      </w:r>
      <w:r>
        <w:rPr/>
        <w:t>会计数据和财务指标摘要</w:t>
      </w:r>
      <w:r>
        <w:rPr>
          <w:b w:val="0"/>
          <w:bCs w:val="0"/>
        </w:rPr>
      </w:r>
    </w:p>
    <w:p>
      <w:pPr>
        <w:spacing w:line="240" w:lineRule="auto" w:before="5"/>
        <w:rPr>
          <w:rFonts w:ascii="宋体" w:hAnsi="宋体" w:cs="宋体" w:eastAsia="宋体" w:hint="default"/>
          <w:b/>
          <w:bCs/>
          <w:sz w:val="36"/>
          <w:szCs w:val="36"/>
        </w:rPr>
      </w:pPr>
    </w:p>
    <w:p>
      <w:pPr>
        <w:pStyle w:val="Heading4"/>
        <w:spacing w:line="240" w:lineRule="auto"/>
        <w:ind w:right="0"/>
        <w:jc w:val="left"/>
        <w:rPr>
          <w:b w:val="0"/>
          <w:bCs w:val="0"/>
        </w:rPr>
      </w:pPr>
      <w:bookmarkStart w:name="一、主要会计数据和财务指标" w:id="11"/>
      <w:bookmarkEnd w:id="11"/>
      <w:r>
        <w:rPr>
          <w:b w:val="0"/>
          <w:bCs w:val="0"/>
        </w:rPr>
      </w:r>
      <w:r>
        <w:rPr/>
        <w:t>一、主要会计数据和财务指标</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right="0"/>
        <w:jc w:val="left"/>
      </w:pPr>
      <w:r>
        <w:rPr/>
        <w:t>公司是否因会计政策变更及会计差错更正等追溯调整或重述以前年度会计数据</w:t>
      </w:r>
    </w:p>
    <w:p>
      <w:pPr>
        <w:pStyle w:val="BodyText"/>
        <w:spacing w:line="240" w:lineRule="auto" w:before="3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13"/>
        <w:rPr>
          <w:rFonts w:ascii="宋体" w:hAnsi="宋体" w:cs="宋体" w:eastAsia="宋体" w:hint="default"/>
          <w:sz w:val="4"/>
          <w:szCs w:val="4"/>
        </w:rPr>
      </w:pPr>
    </w:p>
    <w:tbl>
      <w:tblPr>
        <w:tblW w:w="0" w:type="auto"/>
        <w:jc w:val="left"/>
        <w:tblInd w:w="148" w:type="dxa"/>
        <w:tblLayout w:type="fixed"/>
        <w:tblCellMar>
          <w:top w:w="0" w:type="dxa"/>
          <w:left w:w="0" w:type="dxa"/>
          <w:bottom w:w="0" w:type="dxa"/>
          <w:right w:w="0" w:type="dxa"/>
        </w:tblCellMar>
        <w:tblLook w:val="01E0"/>
      </w:tblPr>
      <w:tblGrid>
        <w:gridCol w:w="2657"/>
        <w:gridCol w:w="1764"/>
        <w:gridCol w:w="1762"/>
        <w:gridCol w:w="1764"/>
        <w:gridCol w:w="1622"/>
      </w:tblGrid>
      <w:tr>
        <w:trPr>
          <w:trHeight w:val="314" w:hRule="exact"/>
        </w:trPr>
        <w:tc>
          <w:tcPr>
            <w:tcW w:w="265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7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73" w:lineRule="exact"/>
              <w:ind w:left="5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p>
        </w:tc>
        <w:tc>
          <w:tcPr>
            <w:tcW w:w="17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73" w:lineRule="exact"/>
              <w:ind w:left="5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p>
        </w:tc>
        <w:tc>
          <w:tcPr>
            <w:tcW w:w="17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58" w:lineRule="exact"/>
              <w:ind w:left="141" w:right="0"/>
              <w:jc w:val="left"/>
              <w:rPr>
                <w:rFonts w:ascii="宋体" w:hAnsi="宋体" w:cs="宋体" w:eastAsia="宋体" w:hint="default"/>
                <w:sz w:val="21"/>
                <w:szCs w:val="21"/>
              </w:rPr>
            </w:pPr>
            <w:r>
              <w:rPr>
                <w:rFonts w:ascii="宋体" w:hAnsi="宋体" w:cs="宋体" w:eastAsia="宋体" w:hint="default"/>
                <w:sz w:val="21"/>
                <w:szCs w:val="21"/>
              </w:rPr>
              <w:t>本年比上年增减</w:t>
            </w:r>
          </w:p>
        </w:tc>
        <w:tc>
          <w:tcPr>
            <w:tcW w:w="16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73" w:lineRule="exact"/>
              <w:ind w:left="46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p>
        </w:tc>
      </w:tr>
      <w:tr>
        <w:trPr>
          <w:trHeight w:val="410" w:hRule="exact"/>
        </w:trPr>
        <w:tc>
          <w:tcPr>
            <w:tcW w:w="26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7"/>
              <w:ind w:left="24" w:right="0"/>
              <w:jc w:val="left"/>
              <w:rPr>
                <w:rFonts w:ascii="宋体" w:hAnsi="宋体" w:cs="宋体" w:eastAsia="宋体" w:hint="default"/>
                <w:sz w:val="21"/>
                <w:szCs w:val="21"/>
              </w:rPr>
            </w:pPr>
            <w:r>
              <w:rPr>
                <w:rFonts w:ascii="宋体" w:hAnsi="宋体" w:cs="宋体" w:eastAsia="宋体" w:hint="default"/>
                <w:sz w:val="21"/>
                <w:szCs w:val="21"/>
              </w:rPr>
              <w:t>营业收入（元）</w:t>
            </w:r>
          </w:p>
        </w:tc>
        <w:tc>
          <w:tcPr>
            <w:tcW w:w="1764" w:type="dxa"/>
            <w:tcBorders>
              <w:top w:val="single" w:sz="23" w:space="0" w:color="D4D4D4"/>
              <w:left w:val="single" w:sz="10" w:space="0" w:color="D4D4D4"/>
              <w:bottom w:val="single" w:sz="4" w:space="0" w:color="000000"/>
              <w:right w:val="single" w:sz="4" w:space="0" w:color="000000"/>
            </w:tcBorders>
          </w:tcPr>
          <w:p>
            <w:pPr>
              <w:pStyle w:val="TableParagraph"/>
              <w:spacing w:line="240" w:lineRule="auto" w:before="65"/>
              <w:ind w:right="19"/>
              <w:jc w:val="right"/>
              <w:rPr>
                <w:rFonts w:ascii="Times New Roman" w:hAnsi="Times New Roman" w:cs="Times New Roman" w:eastAsia="Times New Roman" w:hint="default"/>
                <w:sz w:val="21"/>
                <w:szCs w:val="21"/>
              </w:rPr>
            </w:pPr>
            <w:r>
              <w:rPr>
                <w:rFonts w:ascii="Times New Roman"/>
                <w:spacing w:val="-1"/>
                <w:sz w:val="21"/>
              </w:rPr>
              <w:t>82,827,812.22</w:t>
            </w:r>
          </w:p>
        </w:tc>
        <w:tc>
          <w:tcPr>
            <w:tcW w:w="1762" w:type="dxa"/>
            <w:tcBorders>
              <w:top w:val="single" w:sz="23" w:space="0" w:color="D4D4D4"/>
              <w:left w:val="single" w:sz="4" w:space="0" w:color="000000"/>
              <w:bottom w:val="single" w:sz="4" w:space="0" w:color="000000"/>
              <w:right w:val="single" w:sz="4" w:space="0" w:color="000000"/>
            </w:tcBorders>
          </w:tcPr>
          <w:p>
            <w:pPr>
              <w:pStyle w:val="TableParagraph"/>
              <w:spacing w:line="240" w:lineRule="auto" w:before="65"/>
              <w:ind w:right="17"/>
              <w:jc w:val="right"/>
              <w:rPr>
                <w:rFonts w:ascii="Times New Roman" w:hAnsi="Times New Roman" w:cs="Times New Roman" w:eastAsia="Times New Roman" w:hint="default"/>
                <w:sz w:val="21"/>
                <w:szCs w:val="21"/>
              </w:rPr>
            </w:pPr>
            <w:r>
              <w:rPr>
                <w:rFonts w:ascii="Times New Roman"/>
                <w:spacing w:val="-1"/>
                <w:sz w:val="21"/>
              </w:rPr>
              <w:t>75,089,058.91</w:t>
            </w:r>
          </w:p>
        </w:tc>
        <w:tc>
          <w:tcPr>
            <w:tcW w:w="1764" w:type="dxa"/>
            <w:tcBorders>
              <w:top w:val="single" w:sz="23" w:space="0" w:color="D4D4D4"/>
              <w:left w:val="single" w:sz="4" w:space="0" w:color="000000"/>
              <w:bottom w:val="single" w:sz="4" w:space="0" w:color="000000"/>
              <w:right w:val="single" w:sz="4" w:space="0" w:color="000000"/>
            </w:tcBorders>
          </w:tcPr>
          <w:p>
            <w:pPr>
              <w:pStyle w:val="TableParagraph"/>
              <w:spacing w:line="240" w:lineRule="auto" w:before="65"/>
              <w:ind w:right="18"/>
              <w:jc w:val="right"/>
              <w:rPr>
                <w:rFonts w:ascii="Times New Roman" w:hAnsi="Times New Roman" w:cs="Times New Roman" w:eastAsia="Times New Roman" w:hint="default"/>
                <w:sz w:val="21"/>
                <w:szCs w:val="21"/>
              </w:rPr>
            </w:pPr>
            <w:r>
              <w:rPr>
                <w:rFonts w:ascii="Times New Roman"/>
                <w:sz w:val="21"/>
              </w:rPr>
              <w:t>10.31%</w:t>
            </w:r>
          </w:p>
        </w:tc>
        <w:tc>
          <w:tcPr>
            <w:tcW w:w="1622" w:type="dxa"/>
            <w:tcBorders>
              <w:top w:val="single" w:sz="23" w:space="0" w:color="D4D4D4"/>
              <w:left w:val="single" w:sz="4" w:space="0" w:color="000000"/>
              <w:bottom w:val="single" w:sz="4" w:space="0" w:color="000000"/>
              <w:right w:val="single" w:sz="4" w:space="0" w:color="000000"/>
            </w:tcBorders>
          </w:tcPr>
          <w:p>
            <w:pPr>
              <w:pStyle w:val="TableParagraph"/>
              <w:spacing w:line="240" w:lineRule="auto" w:before="65"/>
              <w:ind w:right="17"/>
              <w:jc w:val="right"/>
              <w:rPr>
                <w:rFonts w:ascii="Times New Roman" w:hAnsi="Times New Roman" w:cs="Times New Roman" w:eastAsia="Times New Roman" w:hint="default"/>
                <w:sz w:val="21"/>
                <w:szCs w:val="21"/>
              </w:rPr>
            </w:pPr>
            <w:r>
              <w:rPr>
                <w:rFonts w:ascii="Times New Roman"/>
                <w:spacing w:val="-1"/>
                <w:sz w:val="21"/>
              </w:rPr>
              <w:t>77,193,749.51</w:t>
            </w:r>
          </w:p>
        </w:tc>
      </w:tr>
      <w:tr>
        <w:trPr>
          <w:trHeight w:val="379" w:hRule="exact"/>
        </w:trPr>
        <w:tc>
          <w:tcPr>
            <w:tcW w:w="26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6"/>
              <w:ind w:left="24" w:right="0"/>
              <w:jc w:val="left"/>
              <w:rPr>
                <w:rFonts w:ascii="宋体" w:hAnsi="宋体" w:cs="宋体" w:eastAsia="宋体" w:hint="default"/>
                <w:sz w:val="21"/>
                <w:szCs w:val="21"/>
              </w:rPr>
            </w:pPr>
            <w:r>
              <w:rPr>
                <w:rFonts w:ascii="宋体" w:hAnsi="宋体" w:cs="宋体" w:eastAsia="宋体" w:hint="default"/>
                <w:sz w:val="21"/>
                <w:szCs w:val="21"/>
              </w:rPr>
              <w:t>营业成本（元）</w:t>
            </w:r>
          </w:p>
        </w:tc>
        <w:tc>
          <w:tcPr>
            <w:tcW w:w="17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58"/>
              <w:ind w:right="19"/>
              <w:jc w:val="right"/>
              <w:rPr>
                <w:rFonts w:ascii="Times New Roman" w:hAnsi="Times New Roman" w:cs="Times New Roman" w:eastAsia="Times New Roman" w:hint="default"/>
                <w:sz w:val="21"/>
                <w:szCs w:val="21"/>
              </w:rPr>
            </w:pPr>
            <w:r>
              <w:rPr>
                <w:rFonts w:ascii="Times New Roman"/>
                <w:spacing w:val="-1"/>
                <w:sz w:val="21"/>
              </w:rPr>
              <w:t>21,566,659.94</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Times New Roman" w:hAnsi="Times New Roman" w:cs="Times New Roman" w:eastAsia="Times New Roman" w:hint="default"/>
                <w:sz w:val="21"/>
                <w:szCs w:val="21"/>
              </w:rPr>
            </w:pPr>
            <w:r>
              <w:rPr>
                <w:rFonts w:ascii="Times New Roman"/>
                <w:spacing w:val="-1"/>
                <w:sz w:val="21"/>
              </w:rPr>
              <w:t>21,047,545.62</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8"/>
              <w:jc w:val="right"/>
              <w:rPr>
                <w:rFonts w:ascii="Times New Roman" w:hAnsi="Times New Roman" w:cs="Times New Roman" w:eastAsia="Times New Roman" w:hint="default"/>
                <w:sz w:val="21"/>
                <w:szCs w:val="21"/>
              </w:rPr>
            </w:pPr>
            <w:r>
              <w:rPr>
                <w:rFonts w:ascii="Times New Roman"/>
                <w:sz w:val="21"/>
              </w:rPr>
              <w:t>2.47%</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Times New Roman" w:hAnsi="Times New Roman" w:cs="Times New Roman" w:eastAsia="Times New Roman" w:hint="default"/>
                <w:sz w:val="21"/>
                <w:szCs w:val="21"/>
              </w:rPr>
            </w:pPr>
            <w:r>
              <w:rPr>
                <w:rFonts w:ascii="Times New Roman"/>
                <w:spacing w:val="-1"/>
                <w:sz w:val="21"/>
              </w:rPr>
              <w:t>28,325,881.42</w:t>
            </w:r>
          </w:p>
        </w:tc>
      </w:tr>
      <w:tr>
        <w:trPr>
          <w:trHeight w:val="379" w:hRule="exact"/>
        </w:trPr>
        <w:tc>
          <w:tcPr>
            <w:tcW w:w="26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4"/>
              <w:ind w:left="24" w:right="0"/>
              <w:jc w:val="left"/>
              <w:rPr>
                <w:rFonts w:ascii="宋体" w:hAnsi="宋体" w:cs="宋体" w:eastAsia="宋体" w:hint="default"/>
                <w:sz w:val="21"/>
                <w:szCs w:val="21"/>
              </w:rPr>
            </w:pPr>
            <w:r>
              <w:rPr>
                <w:rFonts w:ascii="宋体" w:hAnsi="宋体" w:cs="宋体" w:eastAsia="宋体" w:hint="default"/>
                <w:sz w:val="21"/>
                <w:szCs w:val="21"/>
              </w:rPr>
              <w:t>营业利润（元）</w:t>
            </w:r>
          </w:p>
        </w:tc>
        <w:tc>
          <w:tcPr>
            <w:tcW w:w="17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58"/>
              <w:ind w:right="19"/>
              <w:jc w:val="right"/>
              <w:rPr>
                <w:rFonts w:ascii="Times New Roman" w:hAnsi="Times New Roman" w:cs="Times New Roman" w:eastAsia="Times New Roman" w:hint="default"/>
                <w:sz w:val="21"/>
                <w:szCs w:val="21"/>
              </w:rPr>
            </w:pPr>
            <w:r>
              <w:rPr>
                <w:rFonts w:ascii="Times New Roman"/>
                <w:spacing w:val="-1"/>
                <w:sz w:val="21"/>
              </w:rPr>
              <w:t>18,530,428.52</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Times New Roman" w:hAnsi="Times New Roman" w:cs="Times New Roman" w:eastAsia="Times New Roman" w:hint="default"/>
                <w:sz w:val="21"/>
                <w:szCs w:val="21"/>
              </w:rPr>
            </w:pPr>
            <w:r>
              <w:rPr>
                <w:rFonts w:ascii="Times New Roman"/>
                <w:spacing w:val="-1"/>
                <w:sz w:val="21"/>
              </w:rPr>
              <w:t>17,521,308.52</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8"/>
              <w:jc w:val="right"/>
              <w:rPr>
                <w:rFonts w:ascii="Times New Roman" w:hAnsi="Times New Roman" w:cs="Times New Roman" w:eastAsia="Times New Roman" w:hint="default"/>
                <w:sz w:val="21"/>
                <w:szCs w:val="21"/>
              </w:rPr>
            </w:pPr>
            <w:r>
              <w:rPr>
                <w:rFonts w:ascii="Times New Roman"/>
                <w:sz w:val="21"/>
              </w:rPr>
              <w:t>5.76%</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Times New Roman" w:hAnsi="Times New Roman" w:cs="Times New Roman" w:eastAsia="Times New Roman" w:hint="default"/>
                <w:sz w:val="21"/>
                <w:szCs w:val="21"/>
              </w:rPr>
            </w:pPr>
            <w:r>
              <w:rPr>
                <w:rFonts w:ascii="Times New Roman"/>
                <w:spacing w:val="-1"/>
                <w:sz w:val="21"/>
              </w:rPr>
              <w:t>20,259,378.78</w:t>
            </w:r>
          </w:p>
        </w:tc>
      </w:tr>
      <w:tr>
        <w:trPr>
          <w:trHeight w:val="379" w:hRule="exact"/>
        </w:trPr>
        <w:tc>
          <w:tcPr>
            <w:tcW w:w="26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4"/>
              <w:ind w:left="24" w:right="0"/>
              <w:jc w:val="left"/>
              <w:rPr>
                <w:rFonts w:ascii="宋体" w:hAnsi="宋体" w:cs="宋体" w:eastAsia="宋体" w:hint="default"/>
                <w:sz w:val="21"/>
                <w:szCs w:val="21"/>
              </w:rPr>
            </w:pPr>
            <w:r>
              <w:rPr>
                <w:rFonts w:ascii="宋体" w:hAnsi="宋体" w:cs="宋体" w:eastAsia="宋体" w:hint="default"/>
                <w:sz w:val="21"/>
                <w:szCs w:val="21"/>
              </w:rPr>
              <w:t>利润总额（元）</w:t>
            </w:r>
          </w:p>
        </w:tc>
        <w:tc>
          <w:tcPr>
            <w:tcW w:w="17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58"/>
              <w:ind w:right="19"/>
              <w:jc w:val="right"/>
              <w:rPr>
                <w:rFonts w:ascii="Times New Roman" w:hAnsi="Times New Roman" w:cs="Times New Roman" w:eastAsia="Times New Roman" w:hint="default"/>
                <w:sz w:val="21"/>
                <w:szCs w:val="21"/>
              </w:rPr>
            </w:pPr>
            <w:r>
              <w:rPr>
                <w:rFonts w:ascii="Times New Roman"/>
                <w:spacing w:val="-1"/>
                <w:sz w:val="21"/>
              </w:rPr>
              <w:t>25,909,328.82</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Times New Roman" w:hAnsi="Times New Roman" w:cs="Times New Roman" w:eastAsia="Times New Roman" w:hint="default"/>
                <w:sz w:val="21"/>
                <w:szCs w:val="21"/>
              </w:rPr>
            </w:pPr>
            <w:r>
              <w:rPr>
                <w:rFonts w:ascii="Times New Roman"/>
                <w:spacing w:val="-1"/>
                <w:sz w:val="21"/>
              </w:rPr>
              <w:t>27,092,595.33</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1"/>
              <w:jc w:val="right"/>
              <w:rPr>
                <w:rFonts w:ascii="Times New Roman" w:hAnsi="Times New Roman" w:cs="Times New Roman" w:eastAsia="Times New Roman" w:hint="default"/>
                <w:sz w:val="21"/>
                <w:szCs w:val="21"/>
              </w:rPr>
            </w:pPr>
            <w:r>
              <w:rPr>
                <w:rFonts w:ascii="Times New Roman"/>
                <w:spacing w:val="-1"/>
                <w:sz w:val="21"/>
              </w:rPr>
              <w:t>-4.37%</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Times New Roman" w:hAnsi="Times New Roman" w:cs="Times New Roman" w:eastAsia="Times New Roman" w:hint="default"/>
                <w:sz w:val="21"/>
                <w:szCs w:val="21"/>
              </w:rPr>
            </w:pPr>
            <w:r>
              <w:rPr>
                <w:rFonts w:ascii="Times New Roman"/>
                <w:spacing w:val="-1"/>
                <w:sz w:val="21"/>
              </w:rPr>
              <w:t>24,581,524.42</w:t>
            </w:r>
          </w:p>
        </w:tc>
      </w:tr>
      <w:tr>
        <w:trPr>
          <w:trHeight w:val="557" w:hRule="exact"/>
        </w:trPr>
        <w:tc>
          <w:tcPr>
            <w:tcW w:w="26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归属于上市公司普通股股东</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的净利润（元）</w:t>
            </w:r>
          </w:p>
        </w:tc>
        <w:tc>
          <w:tcPr>
            <w:tcW w:w="17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22,523,905.35</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1"/>
                <w:sz w:val="21"/>
              </w:rPr>
              <w:t>23,311,990.32</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-3.38%</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1"/>
                <w:sz w:val="21"/>
              </w:rPr>
              <w:t>21,069,707.21</w:t>
            </w:r>
          </w:p>
        </w:tc>
      </w:tr>
      <w:tr>
        <w:trPr>
          <w:trHeight w:val="828" w:hRule="exact"/>
        </w:trPr>
        <w:tc>
          <w:tcPr>
            <w:tcW w:w="26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归属于上市公司普通股股东</w:t>
            </w:r>
          </w:p>
          <w:p>
            <w:pPr>
              <w:pStyle w:val="TableParagraph"/>
              <w:spacing w:line="272" w:lineRule="exact" w:before="27"/>
              <w:ind w:left="24" w:right="98"/>
              <w:jc w:val="left"/>
              <w:rPr>
                <w:rFonts w:ascii="宋体" w:hAnsi="宋体" w:cs="宋体" w:eastAsia="宋体" w:hint="default"/>
                <w:sz w:val="21"/>
                <w:szCs w:val="21"/>
              </w:rPr>
            </w:pPr>
            <w:r>
              <w:rPr>
                <w:rFonts w:ascii="宋体" w:hAnsi="宋体" w:cs="宋体" w:eastAsia="宋体" w:hint="default"/>
                <w:spacing w:val="-2"/>
                <w:sz w:val="21"/>
                <w:szCs w:val="21"/>
              </w:rPr>
              <w:t>的扣除非经常性损益后的净</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利润（元）</w:t>
            </w:r>
          </w:p>
        </w:tc>
        <w:tc>
          <w:tcPr>
            <w:tcW w:w="17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15,521,491.24</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16,010,943.79</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-3.06%</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18,541,792.94</w:t>
            </w:r>
          </w:p>
        </w:tc>
      </w:tr>
      <w:tr>
        <w:trPr>
          <w:trHeight w:val="557" w:hRule="exact"/>
        </w:trPr>
        <w:tc>
          <w:tcPr>
            <w:tcW w:w="26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额（元）</w:t>
            </w:r>
          </w:p>
        </w:tc>
        <w:tc>
          <w:tcPr>
            <w:tcW w:w="17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20,637,845.75</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1"/>
                <w:sz w:val="21"/>
              </w:rPr>
              <w:t>17,797,305.45</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8"/>
              <w:jc w:val="right"/>
              <w:rPr>
                <w:rFonts w:ascii="Times New Roman" w:hAnsi="Times New Roman" w:cs="Times New Roman" w:eastAsia="Times New Roman" w:hint="default"/>
                <w:sz w:val="21"/>
                <w:szCs w:val="21"/>
              </w:rPr>
            </w:pPr>
            <w:r>
              <w:rPr>
                <w:rFonts w:ascii="Times New Roman"/>
                <w:sz w:val="21"/>
              </w:rPr>
              <w:t>15.96%</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1"/>
                <w:sz w:val="21"/>
              </w:rPr>
              <w:t>25,203,422.66</w:t>
            </w:r>
          </w:p>
        </w:tc>
      </w:tr>
      <w:tr>
        <w:trPr>
          <w:trHeight w:val="557" w:hRule="exact"/>
        </w:trPr>
        <w:tc>
          <w:tcPr>
            <w:tcW w:w="26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每股经营活动产生的现金流</w:t>
            </w:r>
          </w:p>
          <w:p>
            <w:pPr>
              <w:pStyle w:val="TableParagraph"/>
              <w:spacing w:line="290" w:lineRule="exact"/>
              <w:ind w:left="24" w:right="0"/>
              <w:jc w:val="left"/>
              <w:rPr>
                <w:rFonts w:ascii="宋体" w:hAnsi="宋体" w:cs="宋体" w:eastAsia="宋体" w:hint="default"/>
                <w:sz w:val="21"/>
                <w:szCs w:val="21"/>
              </w:rPr>
            </w:pPr>
            <w:r>
              <w:rPr>
                <w:rFonts w:ascii="宋体" w:hAnsi="宋体" w:cs="宋体" w:eastAsia="宋体" w:hint="default"/>
                <w:sz w:val="21"/>
                <w:szCs w:val="21"/>
              </w:rPr>
              <w:t>量净额（元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7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z w:val="21"/>
              </w:rPr>
              <w:t>0.1303</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z w:val="21"/>
              </w:rPr>
              <w:t>0.2022</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-35.56%</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z w:val="21"/>
              </w:rPr>
              <w:t>0.2864</w:t>
            </w:r>
          </w:p>
        </w:tc>
      </w:tr>
      <w:tr>
        <w:trPr>
          <w:trHeight w:val="377" w:hRule="exact"/>
        </w:trPr>
        <w:tc>
          <w:tcPr>
            <w:tcW w:w="26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4"/>
              <w:ind w:left="24" w:right="0"/>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7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56"/>
              <w:ind w:right="19"/>
              <w:jc w:val="right"/>
              <w:rPr>
                <w:rFonts w:ascii="Times New Roman" w:hAnsi="Times New Roman" w:cs="Times New Roman" w:eastAsia="Times New Roman" w:hint="default"/>
                <w:sz w:val="21"/>
                <w:szCs w:val="21"/>
              </w:rPr>
            </w:pPr>
            <w:r>
              <w:rPr>
                <w:rFonts w:ascii="Times New Roman"/>
                <w:sz w:val="21"/>
              </w:rPr>
              <w:t>0.14</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7"/>
              <w:jc w:val="right"/>
              <w:rPr>
                <w:rFonts w:ascii="Times New Roman" w:hAnsi="Times New Roman" w:cs="Times New Roman" w:eastAsia="Times New Roman" w:hint="default"/>
                <w:sz w:val="21"/>
                <w:szCs w:val="21"/>
              </w:rPr>
            </w:pPr>
            <w:r>
              <w:rPr>
                <w:rFonts w:ascii="Times New Roman"/>
                <w:sz w:val="21"/>
              </w:rPr>
              <w:t>0.15</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1"/>
              <w:jc w:val="right"/>
              <w:rPr>
                <w:rFonts w:ascii="Times New Roman" w:hAnsi="Times New Roman" w:cs="Times New Roman" w:eastAsia="Times New Roman" w:hint="default"/>
                <w:sz w:val="21"/>
                <w:szCs w:val="21"/>
              </w:rPr>
            </w:pPr>
            <w:r>
              <w:rPr>
                <w:rFonts w:ascii="Times New Roman"/>
                <w:spacing w:val="-1"/>
                <w:sz w:val="21"/>
              </w:rPr>
              <w:t>-6.67%</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7"/>
              <w:jc w:val="right"/>
              <w:rPr>
                <w:rFonts w:ascii="Times New Roman" w:hAnsi="Times New Roman" w:cs="Times New Roman" w:eastAsia="Times New Roman" w:hint="default"/>
                <w:sz w:val="21"/>
                <w:szCs w:val="21"/>
              </w:rPr>
            </w:pPr>
            <w:r>
              <w:rPr>
                <w:rFonts w:ascii="Times New Roman"/>
                <w:sz w:val="21"/>
              </w:rPr>
              <w:t>0.13</w:t>
            </w:r>
          </w:p>
        </w:tc>
      </w:tr>
      <w:tr>
        <w:trPr>
          <w:trHeight w:val="379" w:hRule="exact"/>
        </w:trPr>
        <w:tc>
          <w:tcPr>
            <w:tcW w:w="26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6"/>
              <w:ind w:left="24" w:right="0"/>
              <w:jc w:val="left"/>
              <w:rPr>
                <w:rFonts w:ascii="宋体" w:hAnsi="宋体" w:cs="宋体" w:eastAsia="宋体" w:hint="default"/>
                <w:sz w:val="21"/>
                <w:szCs w:val="21"/>
              </w:rPr>
            </w:pPr>
            <w:r>
              <w:rPr>
                <w:rFonts w:ascii="宋体" w:hAnsi="宋体" w:cs="宋体" w:eastAsia="宋体" w:hint="default"/>
                <w:sz w:val="21"/>
                <w:szCs w:val="21"/>
              </w:rPr>
              <w:t>稀释每股收益（元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7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58"/>
              <w:ind w:right="19"/>
              <w:jc w:val="right"/>
              <w:rPr>
                <w:rFonts w:ascii="Times New Roman" w:hAnsi="Times New Roman" w:cs="Times New Roman" w:eastAsia="Times New Roman" w:hint="default"/>
                <w:sz w:val="21"/>
                <w:szCs w:val="21"/>
              </w:rPr>
            </w:pPr>
            <w:r>
              <w:rPr>
                <w:rFonts w:ascii="Times New Roman"/>
                <w:sz w:val="21"/>
              </w:rPr>
              <w:t>0.14</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Times New Roman" w:hAnsi="Times New Roman" w:cs="Times New Roman" w:eastAsia="Times New Roman" w:hint="default"/>
                <w:sz w:val="21"/>
                <w:szCs w:val="21"/>
              </w:rPr>
            </w:pPr>
            <w:r>
              <w:rPr>
                <w:rFonts w:ascii="Times New Roman"/>
                <w:sz w:val="21"/>
              </w:rPr>
              <w:t>0.15</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1"/>
              <w:jc w:val="right"/>
              <w:rPr>
                <w:rFonts w:ascii="Times New Roman" w:hAnsi="Times New Roman" w:cs="Times New Roman" w:eastAsia="Times New Roman" w:hint="default"/>
                <w:sz w:val="21"/>
                <w:szCs w:val="21"/>
              </w:rPr>
            </w:pPr>
            <w:r>
              <w:rPr>
                <w:rFonts w:ascii="Times New Roman"/>
                <w:spacing w:val="-1"/>
                <w:sz w:val="21"/>
              </w:rPr>
              <w:t>-6.67%</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Times New Roman" w:hAnsi="Times New Roman" w:cs="Times New Roman" w:eastAsia="Times New Roman" w:hint="default"/>
                <w:sz w:val="21"/>
                <w:szCs w:val="21"/>
              </w:rPr>
            </w:pPr>
            <w:r>
              <w:rPr>
                <w:rFonts w:ascii="Times New Roman"/>
                <w:sz w:val="21"/>
              </w:rPr>
              <w:t>0.13</w:t>
            </w:r>
          </w:p>
        </w:tc>
      </w:tr>
      <w:tr>
        <w:trPr>
          <w:trHeight w:val="379" w:hRule="exact"/>
        </w:trPr>
        <w:tc>
          <w:tcPr>
            <w:tcW w:w="26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6"/>
              <w:ind w:left="24"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tc>
        <w:tc>
          <w:tcPr>
            <w:tcW w:w="17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58"/>
              <w:ind w:right="18"/>
              <w:jc w:val="right"/>
              <w:rPr>
                <w:rFonts w:ascii="Times New Roman" w:hAnsi="Times New Roman" w:cs="Times New Roman" w:eastAsia="Times New Roman" w:hint="default"/>
                <w:sz w:val="21"/>
                <w:szCs w:val="21"/>
              </w:rPr>
            </w:pPr>
            <w:r>
              <w:rPr>
                <w:rFonts w:ascii="Times New Roman"/>
                <w:sz w:val="21"/>
              </w:rPr>
              <w:t>6.87%</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6"/>
              <w:jc w:val="right"/>
              <w:rPr>
                <w:rFonts w:ascii="Times New Roman" w:hAnsi="Times New Roman" w:cs="Times New Roman" w:eastAsia="Times New Roman" w:hint="default"/>
                <w:sz w:val="21"/>
                <w:szCs w:val="21"/>
              </w:rPr>
            </w:pPr>
            <w:r>
              <w:rPr>
                <w:rFonts w:ascii="Times New Roman"/>
                <w:sz w:val="21"/>
              </w:rPr>
              <w:t>7.58%</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1"/>
              <w:jc w:val="right"/>
              <w:rPr>
                <w:rFonts w:ascii="Times New Roman" w:hAnsi="Times New Roman" w:cs="Times New Roman" w:eastAsia="Times New Roman" w:hint="default"/>
                <w:sz w:val="21"/>
                <w:szCs w:val="21"/>
              </w:rPr>
            </w:pPr>
            <w:r>
              <w:rPr>
                <w:rFonts w:ascii="Times New Roman"/>
                <w:spacing w:val="-1"/>
                <w:sz w:val="21"/>
              </w:rPr>
              <w:t>-0.71%</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6"/>
              <w:jc w:val="right"/>
              <w:rPr>
                <w:rFonts w:ascii="Times New Roman" w:hAnsi="Times New Roman" w:cs="Times New Roman" w:eastAsia="Times New Roman" w:hint="default"/>
                <w:sz w:val="21"/>
                <w:szCs w:val="21"/>
              </w:rPr>
            </w:pPr>
            <w:r>
              <w:rPr>
                <w:rFonts w:ascii="Times New Roman"/>
                <w:sz w:val="21"/>
              </w:rPr>
              <w:t>7.26%</w:t>
            </w:r>
          </w:p>
        </w:tc>
      </w:tr>
      <w:tr>
        <w:trPr>
          <w:trHeight w:val="557" w:hRule="exact"/>
        </w:trPr>
        <w:tc>
          <w:tcPr>
            <w:tcW w:w="26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扣除非经常性损益后的加权</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平均净资产收益率</w:t>
            </w:r>
          </w:p>
        </w:tc>
        <w:tc>
          <w:tcPr>
            <w:tcW w:w="17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47"/>
              <w:ind w:right="18"/>
              <w:jc w:val="right"/>
              <w:rPr>
                <w:rFonts w:ascii="Times New Roman" w:hAnsi="Times New Roman" w:cs="Times New Roman" w:eastAsia="Times New Roman" w:hint="default"/>
                <w:sz w:val="21"/>
                <w:szCs w:val="21"/>
              </w:rPr>
            </w:pPr>
            <w:r>
              <w:rPr>
                <w:rFonts w:ascii="Times New Roman"/>
                <w:sz w:val="21"/>
              </w:rPr>
              <w:t>4.73%</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6"/>
              <w:jc w:val="right"/>
              <w:rPr>
                <w:rFonts w:ascii="Times New Roman" w:hAnsi="Times New Roman" w:cs="Times New Roman" w:eastAsia="Times New Roman" w:hint="default"/>
                <w:sz w:val="21"/>
                <w:szCs w:val="21"/>
              </w:rPr>
            </w:pPr>
            <w:r>
              <w:rPr>
                <w:rFonts w:ascii="Times New Roman"/>
                <w:sz w:val="21"/>
              </w:rPr>
              <w:t>5.21%</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-0.48%</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6"/>
              <w:jc w:val="right"/>
              <w:rPr>
                <w:rFonts w:ascii="Times New Roman" w:hAnsi="Times New Roman" w:cs="Times New Roman" w:eastAsia="Times New Roman" w:hint="default"/>
                <w:sz w:val="21"/>
                <w:szCs w:val="21"/>
              </w:rPr>
            </w:pPr>
            <w:r>
              <w:rPr>
                <w:rFonts w:ascii="Times New Roman"/>
                <w:sz w:val="21"/>
              </w:rPr>
              <w:t>6.39%</w:t>
            </w:r>
          </w:p>
        </w:tc>
      </w:tr>
      <w:tr>
        <w:trPr>
          <w:trHeight w:val="150" w:hRule="exact"/>
        </w:trPr>
        <w:tc>
          <w:tcPr>
            <w:tcW w:w="2657" w:type="dxa"/>
            <w:tcBorders>
              <w:top w:val="single" w:sz="4" w:space="0" w:color="000000"/>
              <w:left w:val="single" w:sz="4" w:space="0" w:color="000000"/>
              <w:bottom w:val="nil" w:sz="6" w:space="0" w:color="auto"/>
              <w:right w:val="single" w:sz="4" w:space="0" w:color="000000"/>
            </w:tcBorders>
            <w:shd w:val="clear" w:color="auto" w:fill="D4D4D4"/>
          </w:tcPr>
          <w:p>
            <w:pPr/>
          </w:p>
        </w:tc>
        <w:tc>
          <w:tcPr>
            <w:tcW w:w="1764" w:type="dxa"/>
            <w:tcBorders>
              <w:top w:val="single" w:sz="4" w:space="0" w:color="000000"/>
              <w:left w:val="single" w:sz="4" w:space="0" w:color="000000"/>
              <w:bottom w:val="nil" w:sz="6" w:space="0" w:color="auto"/>
              <w:right w:val="single" w:sz="4" w:space="0" w:color="000000"/>
            </w:tcBorders>
            <w:shd w:val="clear" w:color="auto" w:fill="D4D4D4"/>
          </w:tcPr>
          <w:p>
            <w:pPr/>
          </w:p>
        </w:tc>
        <w:tc>
          <w:tcPr>
            <w:tcW w:w="1762" w:type="dxa"/>
            <w:tcBorders>
              <w:top w:val="single" w:sz="4" w:space="0" w:color="000000"/>
              <w:left w:val="single" w:sz="4" w:space="0" w:color="000000"/>
              <w:bottom w:val="nil" w:sz="6" w:space="0" w:color="auto"/>
              <w:right w:val="single" w:sz="4" w:space="0" w:color="000000"/>
            </w:tcBorders>
            <w:shd w:val="clear" w:color="auto" w:fill="D4D4D4"/>
          </w:tcPr>
          <w:p>
            <w:pPr/>
          </w:p>
        </w:tc>
        <w:tc>
          <w:tcPr>
            <w:tcW w:w="176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本年末比上年末增</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减</w:t>
            </w:r>
          </w:p>
        </w:tc>
        <w:tc>
          <w:tcPr>
            <w:tcW w:w="1622"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257" w:hRule="exact"/>
        </w:trPr>
        <w:tc>
          <w:tcPr>
            <w:tcW w:w="2657" w:type="dxa"/>
            <w:tcBorders>
              <w:top w:val="nil" w:sz="6" w:space="0" w:color="auto"/>
              <w:left w:val="single" w:sz="4" w:space="0" w:color="000000"/>
              <w:bottom w:val="nil" w:sz="6" w:space="0" w:color="auto"/>
              <w:right w:val="single" w:sz="4" w:space="0" w:color="000000"/>
            </w:tcBorders>
            <w:shd w:val="clear" w:color="auto" w:fill="D4D4D4"/>
          </w:tcPr>
          <w:p>
            <w:pPr/>
          </w:p>
        </w:tc>
        <w:tc>
          <w:tcPr>
            <w:tcW w:w="176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8" w:lineRule="exact"/>
              <w:ind w:left="42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762"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8" w:lineRule="exact"/>
              <w:ind w:left="42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764" w:type="dxa"/>
            <w:vMerge/>
            <w:tcBorders>
              <w:left w:val="single" w:sz="4" w:space="0" w:color="000000"/>
              <w:right w:val="single" w:sz="4" w:space="0" w:color="000000"/>
            </w:tcBorders>
            <w:shd w:val="clear" w:color="auto" w:fill="D4D4D4"/>
          </w:tcPr>
          <w:p>
            <w:pPr/>
          </w:p>
        </w:tc>
        <w:tc>
          <w:tcPr>
            <w:tcW w:w="1622"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8" w:lineRule="exact"/>
              <w:ind w:left="35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150" w:hRule="exact"/>
        </w:trPr>
        <w:tc>
          <w:tcPr>
            <w:tcW w:w="2657" w:type="dxa"/>
            <w:tcBorders>
              <w:top w:val="nil" w:sz="6" w:space="0" w:color="auto"/>
              <w:left w:val="single" w:sz="4" w:space="0" w:color="000000"/>
              <w:bottom w:val="single" w:sz="4" w:space="0" w:color="000000"/>
              <w:right w:val="single" w:sz="4" w:space="0" w:color="000000"/>
            </w:tcBorders>
            <w:shd w:val="clear" w:color="auto" w:fill="D4D4D4"/>
          </w:tcPr>
          <w:p>
            <w:pPr/>
          </w:p>
        </w:tc>
        <w:tc>
          <w:tcPr>
            <w:tcW w:w="1764" w:type="dxa"/>
            <w:tcBorders>
              <w:top w:val="nil" w:sz="6" w:space="0" w:color="auto"/>
              <w:left w:val="single" w:sz="4" w:space="0" w:color="000000"/>
              <w:bottom w:val="single" w:sz="4" w:space="0" w:color="000000"/>
              <w:right w:val="single" w:sz="4" w:space="0" w:color="000000"/>
            </w:tcBorders>
            <w:shd w:val="clear" w:color="auto" w:fill="D4D4D4"/>
          </w:tcPr>
          <w:p>
            <w:pPr/>
          </w:p>
        </w:tc>
        <w:tc>
          <w:tcPr>
            <w:tcW w:w="1762" w:type="dxa"/>
            <w:tcBorders>
              <w:top w:val="nil" w:sz="6" w:space="0" w:color="auto"/>
              <w:left w:val="single" w:sz="4" w:space="0" w:color="000000"/>
              <w:bottom w:val="single" w:sz="4" w:space="0" w:color="000000"/>
              <w:right w:val="single" w:sz="4" w:space="0" w:color="000000"/>
            </w:tcBorders>
            <w:shd w:val="clear" w:color="auto" w:fill="D4D4D4"/>
          </w:tcPr>
          <w:p>
            <w:pPr/>
          </w:p>
        </w:tc>
        <w:tc>
          <w:tcPr>
            <w:tcW w:w="1764" w:type="dxa"/>
            <w:vMerge/>
            <w:tcBorders>
              <w:left w:val="single" w:sz="4" w:space="0" w:color="000000"/>
              <w:bottom w:val="single" w:sz="4" w:space="0" w:color="000000"/>
              <w:right w:val="single" w:sz="4" w:space="0" w:color="000000"/>
            </w:tcBorders>
            <w:shd w:val="clear" w:color="auto" w:fill="D4D4D4"/>
          </w:tcPr>
          <w:p>
            <w:pPr/>
          </w:p>
        </w:tc>
        <w:tc>
          <w:tcPr>
            <w:tcW w:w="1622"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379" w:hRule="exact"/>
        </w:trPr>
        <w:tc>
          <w:tcPr>
            <w:tcW w:w="26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4"/>
              <w:ind w:left="24" w:right="0"/>
              <w:jc w:val="left"/>
              <w:rPr>
                <w:rFonts w:ascii="宋体" w:hAnsi="宋体" w:cs="宋体" w:eastAsia="宋体" w:hint="default"/>
                <w:sz w:val="21"/>
                <w:szCs w:val="21"/>
              </w:rPr>
            </w:pPr>
            <w:r>
              <w:rPr>
                <w:rFonts w:ascii="宋体" w:hAnsi="宋体" w:cs="宋体" w:eastAsia="宋体" w:hint="default"/>
                <w:sz w:val="21"/>
                <w:szCs w:val="21"/>
              </w:rPr>
              <w:t>期末总股本（股）</w:t>
            </w:r>
          </w:p>
        </w:tc>
        <w:tc>
          <w:tcPr>
            <w:tcW w:w="17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56"/>
              <w:ind w:right="19"/>
              <w:jc w:val="right"/>
              <w:rPr>
                <w:rFonts w:ascii="Times New Roman" w:hAnsi="Times New Roman" w:cs="Times New Roman" w:eastAsia="Times New Roman" w:hint="default"/>
                <w:sz w:val="21"/>
                <w:szCs w:val="21"/>
              </w:rPr>
            </w:pPr>
            <w:r>
              <w:rPr>
                <w:rFonts w:ascii="Times New Roman"/>
                <w:spacing w:val="-1"/>
                <w:sz w:val="21"/>
              </w:rPr>
              <w:t>158,400,000.00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7"/>
              <w:jc w:val="right"/>
              <w:rPr>
                <w:rFonts w:ascii="Times New Roman" w:hAnsi="Times New Roman" w:cs="Times New Roman" w:eastAsia="Times New Roman" w:hint="default"/>
                <w:sz w:val="21"/>
                <w:szCs w:val="21"/>
              </w:rPr>
            </w:pPr>
            <w:r>
              <w:rPr>
                <w:rFonts w:ascii="Times New Roman"/>
                <w:spacing w:val="-1"/>
                <w:sz w:val="21"/>
              </w:rPr>
              <w:t>88,000,000.00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21"/>
                <w:szCs w:val="21"/>
              </w:rPr>
            </w:pPr>
            <w:r>
              <w:rPr>
                <w:rFonts w:ascii="Times New Roman"/>
                <w:sz w:val="21"/>
              </w:rPr>
              <w:t>80.00%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7"/>
              <w:jc w:val="right"/>
              <w:rPr>
                <w:rFonts w:ascii="Times New Roman" w:hAnsi="Times New Roman" w:cs="Times New Roman" w:eastAsia="Times New Roman" w:hint="default"/>
                <w:sz w:val="21"/>
                <w:szCs w:val="21"/>
              </w:rPr>
            </w:pPr>
            <w:r>
              <w:rPr>
                <w:rFonts w:ascii="Times New Roman"/>
                <w:spacing w:val="-1"/>
                <w:sz w:val="21"/>
              </w:rPr>
              <w:t>88,000,000.00</w:t>
            </w:r>
          </w:p>
        </w:tc>
      </w:tr>
      <w:tr>
        <w:trPr>
          <w:trHeight w:val="377" w:hRule="exact"/>
        </w:trPr>
        <w:tc>
          <w:tcPr>
            <w:tcW w:w="26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4"/>
              <w:ind w:left="24" w:right="0"/>
              <w:jc w:val="left"/>
              <w:rPr>
                <w:rFonts w:ascii="宋体" w:hAnsi="宋体" w:cs="宋体" w:eastAsia="宋体" w:hint="default"/>
                <w:sz w:val="21"/>
                <w:szCs w:val="21"/>
              </w:rPr>
            </w:pPr>
            <w:r>
              <w:rPr>
                <w:rFonts w:ascii="宋体" w:hAnsi="宋体" w:cs="宋体" w:eastAsia="宋体" w:hint="default"/>
                <w:sz w:val="21"/>
                <w:szCs w:val="21"/>
              </w:rPr>
              <w:t>资产总额（元）</w:t>
            </w:r>
          </w:p>
        </w:tc>
        <w:tc>
          <w:tcPr>
            <w:tcW w:w="17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56"/>
              <w:ind w:right="19"/>
              <w:jc w:val="right"/>
              <w:rPr>
                <w:rFonts w:ascii="Times New Roman" w:hAnsi="Times New Roman" w:cs="Times New Roman" w:eastAsia="Times New Roman" w:hint="default"/>
                <w:sz w:val="21"/>
                <w:szCs w:val="21"/>
              </w:rPr>
            </w:pPr>
            <w:r>
              <w:rPr>
                <w:rFonts w:ascii="Times New Roman"/>
                <w:spacing w:val="-1"/>
                <w:sz w:val="21"/>
              </w:rPr>
              <w:t>354,751,851.30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7"/>
              <w:jc w:val="right"/>
              <w:rPr>
                <w:rFonts w:ascii="Times New Roman" w:hAnsi="Times New Roman" w:cs="Times New Roman" w:eastAsia="Times New Roman" w:hint="default"/>
                <w:sz w:val="21"/>
                <w:szCs w:val="21"/>
              </w:rPr>
            </w:pPr>
            <w:r>
              <w:rPr>
                <w:rFonts w:ascii="Times New Roman"/>
                <w:spacing w:val="-1"/>
                <w:sz w:val="21"/>
              </w:rPr>
              <w:t>334,638,275.75</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21"/>
                <w:szCs w:val="21"/>
              </w:rPr>
            </w:pPr>
            <w:r>
              <w:rPr>
                <w:rFonts w:ascii="Times New Roman"/>
                <w:sz w:val="21"/>
              </w:rPr>
              <w:t>6.01%</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7"/>
              <w:jc w:val="right"/>
              <w:rPr>
                <w:rFonts w:ascii="Times New Roman" w:hAnsi="Times New Roman" w:cs="Times New Roman" w:eastAsia="Times New Roman" w:hint="default"/>
                <w:sz w:val="21"/>
                <w:szCs w:val="21"/>
              </w:rPr>
            </w:pPr>
            <w:r>
              <w:rPr>
                <w:rFonts w:ascii="Times New Roman"/>
                <w:spacing w:val="-1"/>
                <w:sz w:val="21"/>
              </w:rPr>
              <w:t>307,515,487.63</w:t>
            </w:r>
          </w:p>
        </w:tc>
      </w:tr>
      <w:tr>
        <w:trPr>
          <w:trHeight w:val="379" w:hRule="exact"/>
        </w:trPr>
        <w:tc>
          <w:tcPr>
            <w:tcW w:w="26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6"/>
              <w:ind w:left="24" w:right="0"/>
              <w:jc w:val="left"/>
              <w:rPr>
                <w:rFonts w:ascii="宋体" w:hAnsi="宋体" w:cs="宋体" w:eastAsia="宋体" w:hint="default"/>
                <w:sz w:val="21"/>
                <w:szCs w:val="21"/>
              </w:rPr>
            </w:pPr>
            <w:r>
              <w:rPr>
                <w:rFonts w:ascii="宋体" w:hAnsi="宋体" w:cs="宋体" w:eastAsia="宋体" w:hint="default"/>
                <w:sz w:val="21"/>
                <w:szCs w:val="21"/>
              </w:rPr>
              <w:t>负债总额（元）</w:t>
            </w:r>
          </w:p>
        </w:tc>
        <w:tc>
          <w:tcPr>
            <w:tcW w:w="17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58"/>
              <w:ind w:right="19"/>
              <w:jc w:val="right"/>
              <w:rPr>
                <w:rFonts w:ascii="Times New Roman" w:hAnsi="Times New Roman" w:cs="Times New Roman" w:eastAsia="Times New Roman" w:hint="default"/>
                <w:sz w:val="21"/>
                <w:szCs w:val="21"/>
              </w:rPr>
            </w:pPr>
            <w:r>
              <w:rPr>
                <w:rFonts w:ascii="Times New Roman"/>
                <w:spacing w:val="-1"/>
                <w:sz w:val="21"/>
              </w:rPr>
              <w:t>18,507,967.86</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Times New Roman" w:hAnsi="Times New Roman" w:cs="Times New Roman" w:eastAsia="Times New Roman" w:hint="default"/>
                <w:sz w:val="21"/>
                <w:szCs w:val="21"/>
              </w:rPr>
            </w:pPr>
            <w:r>
              <w:rPr>
                <w:rFonts w:ascii="Times New Roman"/>
                <w:spacing w:val="-1"/>
                <w:sz w:val="21"/>
              </w:rPr>
              <w:t>15,638,297.66</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8"/>
              <w:jc w:val="right"/>
              <w:rPr>
                <w:rFonts w:ascii="Times New Roman" w:hAnsi="Times New Roman" w:cs="Times New Roman" w:eastAsia="Times New Roman" w:hint="default"/>
                <w:sz w:val="21"/>
                <w:szCs w:val="21"/>
              </w:rPr>
            </w:pPr>
            <w:r>
              <w:rPr>
                <w:rFonts w:ascii="Times New Roman"/>
                <w:sz w:val="21"/>
              </w:rPr>
              <w:t>18.35%</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Times New Roman" w:hAnsi="Times New Roman" w:cs="Times New Roman" w:eastAsia="Times New Roman" w:hint="default"/>
                <w:sz w:val="21"/>
                <w:szCs w:val="21"/>
              </w:rPr>
            </w:pPr>
            <w:r>
              <w:rPr>
                <w:rFonts w:ascii="Times New Roman"/>
                <w:spacing w:val="-2"/>
                <w:sz w:val="21"/>
              </w:rPr>
              <w:t>11,827,499.86</w:t>
            </w:r>
          </w:p>
        </w:tc>
      </w:tr>
      <w:tr>
        <w:trPr>
          <w:trHeight w:val="557" w:hRule="exact"/>
        </w:trPr>
        <w:tc>
          <w:tcPr>
            <w:tcW w:w="26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归属于上市公司普通股股东</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的所有者权益（元）</w:t>
            </w:r>
          </w:p>
        </w:tc>
        <w:tc>
          <w:tcPr>
            <w:tcW w:w="17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336,243,883.44</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1"/>
                <w:sz w:val="21"/>
              </w:rPr>
              <w:t>318,999,978.09</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8"/>
              <w:jc w:val="right"/>
              <w:rPr>
                <w:rFonts w:ascii="Times New Roman" w:hAnsi="Times New Roman" w:cs="Times New Roman" w:eastAsia="Times New Roman" w:hint="default"/>
                <w:sz w:val="21"/>
                <w:szCs w:val="21"/>
              </w:rPr>
            </w:pPr>
            <w:r>
              <w:rPr>
                <w:rFonts w:ascii="Times New Roman"/>
                <w:sz w:val="21"/>
              </w:rPr>
              <w:t>5.41%</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1"/>
                <w:sz w:val="21"/>
              </w:rPr>
              <w:t>295,687,987.77</w:t>
            </w:r>
          </w:p>
        </w:tc>
      </w:tr>
      <w:tr>
        <w:trPr>
          <w:trHeight w:val="557" w:hRule="exact"/>
        </w:trPr>
        <w:tc>
          <w:tcPr>
            <w:tcW w:w="26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归属于上市公司普通股股东</w:t>
            </w:r>
          </w:p>
          <w:p>
            <w:pPr>
              <w:pStyle w:val="TableParagraph"/>
              <w:spacing w:line="290" w:lineRule="exact"/>
              <w:ind w:left="24" w:right="0"/>
              <w:jc w:val="left"/>
              <w:rPr>
                <w:rFonts w:ascii="宋体" w:hAnsi="宋体" w:cs="宋体" w:eastAsia="宋体" w:hint="default"/>
                <w:sz w:val="21"/>
                <w:szCs w:val="21"/>
              </w:rPr>
            </w:pPr>
            <w:r>
              <w:rPr>
                <w:rFonts w:ascii="宋体" w:hAnsi="宋体" w:cs="宋体" w:eastAsia="宋体" w:hint="default"/>
                <w:sz w:val="21"/>
                <w:szCs w:val="21"/>
              </w:rPr>
              <w:t>的每股净资产（元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7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z w:val="21"/>
              </w:rPr>
              <w:t>2.1228</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z w:val="21"/>
              </w:rPr>
              <w:t>3.6250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-41.44%</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z w:val="21"/>
              </w:rPr>
              <w:t>3.3601</w:t>
            </w:r>
          </w:p>
        </w:tc>
      </w:tr>
      <w:tr>
        <w:trPr>
          <w:trHeight w:val="379" w:hRule="exact"/>
        </w:trPr>
        <w:tc>
          <w:tcPr>
            <w:tcW w:w="26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4"/>
              <w:ind w:left="24" w:right="0"/>
              <w:jc w:val="left"/>
              <w:rPr>
                <w:rFonts w:ascii="宋体" w:hAnsi="宋体" w:cs="宋体" w:eastAsia="宋体" w:hint="default"/>
                <w:sz w:val="21"/>
                <w:szCs w:val="21"/>
              </w:rPr>
            </w:pPr>
            <w:r>
              <w:rPr>
                <w:rFonts w:ascii="宋体" w:hAnsi="宋体" w:cs="宋体" w:eastAsia="宋体" w:hint="default"/>
                <w:sz w:val="21"/>
                <w:szCs w:val="21"/>
              </w:rPr>
              <w:t>资产负债率</w:t>
            </w:r>
          </w:p>
        </w:tc>
        <w:tc>
          <w:tcPr>
            <w:tcW w:w="17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21"/>
                <w:szCs w:val="21"/>
              </w:rPr>
            </w:pPr>
            <w:r>
              <w:rPr>
                <w:rFonts w:ascii="Times New Roman"/>
                <w:sz w:val="21"/>
              </w:rPr>
              <w:t>5.22%</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6"/>
              <w:jc w:val="right"/>
              <w:rPr>
                <w:rFonts w:ascii="Times New Roman" w:hAnsi="Times New Roman" w:cs="Times New Roman" w:eastAsia="Times New Roman" w:hint="default"/>
                <w:sz w:val="21"/>
                <w:szCs w:val="21"/>
              </w:rPr>
            </w:pPr>
            <w:r>
              <w:rPr>
                <w:rFonts w:ascii="Times New Roman"/>
                <w:sz w:val="21"/>
              </w:rPr>
              <w:t>4.67%</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21"/>
                <w:szCs w:val="21"/>
              </w:rPr>
            </w:pPr>
            <w:r>
              <w:rPr>
                <w:rFonts w:ascii="Times New Roman"/>
                <w:sz w:val="21"/>
              </w:rPr>
              <w:t>0.55%</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6"/>
              <w:jc w:val="right"/>
              <w:rPr>
                <w:rFonts w:ascii="Times New Roman" w:hAnsi="Times New Roman" w:cs="Times New Roman" w:eastAsia="Times New Roman" w:hint="default"/>
                <w:sz w:val="21"/>
                <w:szCs w:val="21"/>
              </w:rPr>
            </w:pPr>
            <w:r>
              <w:rPr>
                <w:rFonts w:ascii="Times New Roman"/>
                <w:sz w:val="21"/>
              </w:rPr>
              <w:t>3.85%</w:t>
            </w:r>
          </w:p>
        </w:tc>
      </w:tr>
    </w:tbl>
    <w:p>
      <w:pPr>
        <w:spacing w:line="240" w:lineRule="auto" w:before="1"/>
        <w:rPr>
          <w:rFonts w:ascii="宋体" w:hAnsi="宋体" w:cs="宋体" w:eastAsia="宋体" w:hint="default"/>
          <w:sz w:val="18"/>
          <w:szCs w:val="18"/>
        </w:rPr>
      </w:pPr>
    </w:p>
    <w:p>
      <w:pPr>
        <w:pStyle w:val="Heading4"/>
        <w:spacing w:line="240" w:lineRule="auto" w:before="26"/>
        <w:ind w:right="0"/>
        <w:jc w:val="left"/>
        <w:rPr>
          <w:b w:val="0"/>
          <w:bCs w:val="0"/>
        </w:rPr>
      </w:pPr>
      <w:bookmarkStart w:name="二、境内外会计准则下会计数据差异" w:id="12"/>
      <w:bookmarkEnd w:id="12"/>
      <w:r>
        <w:rPr>
          <w:b w:val="0"/>
          <w:bCs w:val="0"/>
        </w:rPr>
      </w:r>
      <w:r>
        <w:rPr/>
        <w:t>二、境内外会计准则下会计数据差异</w:t>
      </w:r>
      <w:r>
        <w:rPr>
          <w:b w:val="0"/>
          <w:bCs w:val="0"/>
        </w:rPr>
      </w:r>
    </w:p>
    <w:p>
      <w:pPr>
        <w:spacing w:line="240" w:lineRule="auto" w:before="0"/>
        <w:rPr>
          <w:rFonts w:ascii="宋体" w:hAnsi="宋体" w:cs="宋体" w:eastAsia="宋体" w:hint="default"/>
          <w:b/>
          <w:bCs/>
          <w:sz w:val="24"/>
          <w:szCs w:val="24"/>
        </w:rPr>
      </w:pPr>
    </w:p>
    <w:p>
      <w:pPr>
        <w:spacing w:line="240" w:lineRule="auto" w:before="8"/>
        <w:rPr>
          <w:rFonts w:ascii="宋体" w:hAnsi="宋体" w:cs="宋体" w:eastAsia="宋体" w:hint="default"/>
          <w:b/>
          <w:bCs/>
          <w:sz w:val="23"/>
          <w:szCs w:val="23"/>
        </w:rPr>
      </w:pPr>
    </w:p>
    <w:p>
      <w:pPr>
        <w:pStyle w:val="Heading5"/>
        <w:spacing w:line="240" w:lineRule="auto"/>
        <w:ind w:right="0"/>
        <w:jc w:val="left"/>
        <w:rPr>
          <w:b w:val="0"/>
          <w:bCs w:val="0"/>
        </w:rPr>
      </w:pPr>
      <w:bookmarkStart w:name="1、同时按照国际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8" w:footer="982" w:top="1060" w:bottom="1180" w:left="980" w:right="980"/>
        </w:sectPr>
      </w:pPr>
    </w:p>
    <w:p>
      <w:pPr>
        <w:spacing w:line="240" w:lineRule="auto" w:before="8"/>
        <w:rPr>
          <w:rFonts w:ascii="宋体" w:hAnsi="宋体" w:cs="宋体" w:eastAsia="宋体" w:hint="default"/>
          <w:sz w:val="24"/>
          <w:szCs w:val="24"/>
        </w:rPr>
      </w:pPr>
    </w:p>
    <w:p>
      <w:pPr>
        <w:pStyle w:val="BodyText"/>
        <w:spacing w:line="240" w:lineRule="auto" w:before="36"/>
        <w:ind w:right="0"/>
        <w:jc w:val="left"/>
      </w:pPr>
      <w:r>
        <w:rPr/>
        <w:t>公司报告期不存在按照国际会计准则与按照中国会计准则披露的财务报告中净利润和净资产差异情况。</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bookmarkStart w:name="2、同时按照境外会计准则与按照中国会计准则披露的财务报告中净利润和净资产差异情况" w:id="14"/>
      <w:bookmarkEnd w:id="14"/>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10"/>
        <w:rPr>
          <w:rFonts w:ascii="宋体" w:hAnsi="宋体" w:cs="宋体" w:eastAsia="宋体" w:hint="default"/>
          <w:b/>
          <w:bCs/>
          <w:sz w:val="24"/>
          <w:szCs w:val="24"/>
        </w:rPr>
      </w:pPr>
    </w:p>
    <w:p>
      <w:pPr>
        <w:pStyle w:val="BodyText"/>
        <w:spacing w:line="256"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公司报告期不存在按照境外会计准则与按照中国会计准则披露的财务报告中净利润和净资产差异情况。</w:t>
      </w:r>
    </w:p>
    <w:p>
      <w:pPr>
        <w:spacing w:line="240" w:lineRule="auto" w:before="9"/>
        <w:rPr>
          <w:rFonts w:ascii="宋体" w:hAnsi="宋体" w:cs="宋体" w:eastAsia="宋体" w:hint="default"/>
          <w:sz w:val="22"/>
          <w:szCs w:val="22"/>
        </w:rPr>
      </w:pPr>
    </w:p>
    <w:p>
      <w:pPr>
        <w:pStyle w:val="Heading4"/>
        <w:spacing w:line="240" w:lineRule="auto"/>
        <w:ind w:right="0"/>
        <w:jc w:val="left"/>
        <w:rPr>
          <w:b w:val="0"/>
          <w:bCs w:val="0"/>
        </w:rPr>
      </w:pPr>
      <w:bookmarkStart w:name="三、非经常性损益的项目及金额" w:id="15"/>
      <w:bookmarkEnd w:id="15"/>
      <w:r>
        <w:rPr>
          <w:b w:val="0"/>
          <w:bCs w:val="0"/>
        </w:rPr>
      </w:r>
      <w:r>
        <w:rPr/>
        <w:t>三、非经常性损益的项目及金额</w:t>
      </w:r>
      <w:r>
        <w:rPr>
          <w:b w:val="0"/>
          <w:bCs w:val="0"/>
        </w:rPr>
      </w:r>
    </w:p>
    <w:p>
      <w:pPr>
        <w:spacing w:line="240" w:lineRule="auto" w:before="12"/>
        <w:rPr>
          <w:rFonts w:ascii="宋体" w:hAnsi="宋体" w:cs="宋体" w:eastAsia="宋体" w:hint="default"/>
          <w:b/>
          <w:bCs/>
          <w:sz w:val="21"/>
          <w:szCs w:val="21"/>
        </w:rPr>
      </w:pPr>
    </w:p>
    <w:p>
      <w:pPr>
        <w:pStyle w:val="BodyText"/>
        <w:spacing w:line="240" w:lineRule="auto" w:before="3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21"/>
        <w:ind w:left="0" w:right="150"/>
        <w:jc w:val="right"/>
      </w:pPr>
      <w:r>
        <w:rPr>
          <w:spacing w:val="-1"/>
        </w:rPr>
        <w:t>单位：元</w:t>
      </w:r>
    </w:p>
    <w:p>
      <w:pPr>
        <w:spacing w:line="240" w:lineRule="auto" w:before="8"/>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295"/>
        <w:gridCol w:w="1522"/>
        <w:gridCol w:w="1519"/>
        <w:gridCol w:w="1522"/>
        <w:gridCol w:w="1711"/>
      </w:tblGrid>
      <w:tr>
        <w:trPr>
          <w:trHeight w:val="331" w:hRule="exact"/>
        </w:trPr>
        <w:tc>
          <w:tcPr>
            <w:tcW w:w="32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81" w:lineRule="exact"/>
              <w:ind w:left="2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年金额</w:t>
            </w:r>
          </w:p>
        </w:tc>
        <w:tc>
          <w:tcPr>
            <w:tcW w:w="151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81" w:lineRule="exact"/>
              <w:ind w:left="2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81" w:lineRule="exact"/>
              <w:ind w:left="20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581" w:hRule="exact"/>
        </w:trPr>
        <w:tc>
          <w:tcPr>
            <w:tcW w:w="32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74" w:lineRule="exact" w:before="16"/>
              <w:ind w:left="24" w:right="105"/>
              <w:jc w:val="left"/>
              <w:rPr>
                <w:rFonts w:ascii="宋体" w:hAnsi="宋体" w:cs="宋体" w:eastAsia="宋体" w:hint="default"/>
                <w:sz w:val="21"/>
                <w:szCs w:val="21"/>
              </w:rPr>
            </w:pPr>
            <w:r>
              <w:rPr>
                <w:rFonts w:ascii="宋体" w:hAnsi="宋体" w:cs="宋体" w:eastAsia="宋体" w:hint="default"/>
                <w:spacing w:val="-2"/>
                <w:sz w:val="21"/>
                <w:szCs w:val="21"/>
              </w:rPr>
              <w:t>非流动资产处置损益（包括已计提</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资产减值准备的冲销部分）</w:t>
            </w:r>
          </w:p>
        </w:tc>
        <w:tc>
          <w:tcPr>
            <w:tcW w:w="1522" w:type="dxa"/>
            <w:tcBorders>
              <w:top w:val="single" w:sz="19" w:space="0" w:color="D4D4D4"/>
              <w:left w:val="single" w:sz="10" w:space="0" w:color="D4D4D4"/>
              <w:bottom w:val="single" w:sz="4" w:space="0" w:color="000000"/>
              <w:right w:val="single" w:sz="4" w:space="0" w:color="000000"/>
            </w:tcBorders>
          </w:tcPr>
          <w:p>
            <w:pPr>
              <w:pStyle w:val="TableParagraph"/>
              <w:spacing w:line="240" w:lineRule="auto" w:before="152"/>
              <w:ind w:right="19"/>
              <w:jc w:val="right"/>
              <w:rPr>
                <w:rFonts w:ascii="Times New Roman" w:hAnsi="Times New Roman" w:cs="Times New Roman" w:eastAsia="Times New Roman" w:hint="default"/>
                <w:sz w:val="21"/>
                <w:szCs w:val="21"/>
              </w:rPr>
            </w:pPr>
            <w:r>
              <w:rPr>
                <w:rFonts w:ascii="Times New Roman"/>
                <w:spacing w:val="-1"/>
                <w:sz w:val="21"/>
              </w:rPr>
              <w:t>226,705.32</w:t>
            </w:r>
          </w:p>
        </w:tc>
        <w:tc>
          <w:tcPr>
            <w:tcW w:w="1519" w:type="dxa"/>
            <w:tcBorders>
              <w:top w:val="single" w:sz="19" w:space="0" w:color="D4D4D4"/>
              <w:left w:val="single" w:sz="4" w:space="0" w:color="000000"/>
              <w:bottom w:val="single" w:sz="4" w:space="0" w:color="000000"/>
              <w:right w:val="single" w:sz="4" w:space="0" w:color="000000"/>
            </w:tcBorders>
          </w:tcPr>
          <w:p>
            <w:pPr>
              <w:pStyle w:val="TableParagraph"/>
              <w:spacing w:line="240" w:lineRule="auto" w:before="152"/>
              <w:ind w:right="17"/>
              <w:jc w:val="right"/>
              <w:rPr>
                <w:rFonts w:ascii="Times New Roman" w:hAnsi="Times New Roman" w:cs="Times New Roman" w:eastAsia="Times New Roman" w:hint="default"/>
                <w:sz w:val="21"/>
                <w:szCs w:val="21"/>
              </w:rPr>
            </w:pPr>
            <w:r>
              <w:rPr>
                <w:rFonts w:ascii="Times New Roman"/>
                <w:spacing w:val="-1"/>
                <w:sz w:val="21"/>
              </w:rPr>
              <w:t>-3,571.51</w:t>
            </w:r>
          </w:p>
        </w:tc>
        <w:tc>
          <w:tcPr>
            <w:tcW w:w="1522" w:type="dxa"/>
            <w:tcBorders>
              <w:top w:val="single" w:sz="19" w:space="0" w:color="D4D4D4"/>
              <w:left w:val="single" w:sz="4" w:space="0" w:color="000000"/>
              <w:bottom w:val="single" w:sz="4" w:space="0" w:color="000000"/>
              <w:right w:val="single" w:sz="4" w:space="0" w:color="000000"/>
            </w:tcBorders>
          </w:tcPr>
          <w:p>
            <w:pPr>
              <w:pStyle w:val="TableParagraph"/>
              <w:spacing w:line="240" w:lineRule="auto" w:before="152"/>
              <w:ind w:right="17"/>
              <w:jc w:val="right"/>
              <w:rPr>
                <w:rFonts w:ascii="Times New Roman" w:hAnsi="Times New Roman" w:cs="Times New Roman" w:eastAsia="Times New Roman" w:hint="default"/>
                <w:sz w:val="21"/>
                <w:szCs w:val="21"/>
              </w:rPr>
            </w:pPr>
            <w:r>
              <w:rPr>
                <w:rFonts w:ascii="Times New Roman"/>
                <w:spacing w:val="-2"/>
                <w:sz w:val="21"/>
              </w:rPr>
              <w:t>30,113.50</w:t>
            </w:r>
          </w:p>
        </w:tc>
        <w:tc>
          <w:tcPr>
            <w:tcW w:w="1711" w:type="dxa"/>
            <w:tcBorders>
              <w:top w:val="single" w:sz="19" w:space="0" w:color="D4D4D4"/>
              <w:left w:val="single" w:sz="4" w:space="0" w:color="000000"/>
              <w:bottom w:val="single" w:sz="4" w:space="0" w:color="000000"/>
              <w:right w:val="single" w:sz="4" w:space="0" w:color="000000"/>
            </w:tcBorders>
          </w:tcPr>
          <w:p>
            <w:pPr>
              <w:pStyle w:val="TableParagraph"/>
              <w:spacing w:line="245" w:lineRule="exact"/>
              <w:ind w:left="23" w:right="0"/>
              <w:jc w:val="left"/>
              <w:rPr>
                <w:rFonts w:ascii="宋体" w:hAnsi="宋体" w:cs="宋体" w:eastAsia="宋体" w:hint="default"/>
                <w:sz w:val="21"/>
                <w:szCs w:val="21"/>
              </w:rPr>
            </w:pPr>
            <w:r>
              <w:rPr>
                <w:rFonts w:ascii="宋体" w:hAnsi="宋体" w:cs="宋体" w:eastAsia="宋体" w:hint="default"/>
                <w:sz w:val="21"/>
                <w:szCs w:val="21"/>
              </w:rPr>
              <w:t>处置固定资产损</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益</w:t>
            </w:r>
          </w:p>
        </w:tc>
      </w:tr>
      <w:tr>
        <w:trPr>
          <w:trHeight w:val="828" w:hRule="exact"/>
        </w:trPr>
        <w:tc>
          <w:tcPr>
            <w:tcW w:w="32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计入当期损益的政府补助（与企业</w:t>
            </w:r>
          </w:p>
          <w:p>
            <w:pPr>
              <w:pStyle w:val="TableParagraph"/>
              <w:spacing w:line="272" w:lineRule="exact" w:before="27"/>
              <w:ind w:left="24" w:right="105"/>
              <w:jc w:val="left"/>
              <w:rPr>
                <w:rFonts w:ascii="宋体" w:hAnsi="宋体" w:cs="宋体" w:eastAsia="宋体" w:hint="default"/>
                <w:sz w:val="21"/>
                <w:szCs w:val="21"/>
              </w:rPr>
            </w:pPr>
            <w:r>
              <w:rPr>
                <w:rFonts w:ascii="宋体" w:hAnsi="宋体" w:cs="宋体" w:eastAsia="宋体" w:hint="default"/>
                <w:spacing w:val="-2"/>
                <w:sz w:val="21"/>
                <w:szCs w:val="21"/>
              </w:rPr>
              <w:t>业务密切相关，按照国家统一标准</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定额或定量享受的政府补助除外）</w:t>
            </w:r>
          </w:p>
        </w:tc>
        <w:tc>
          <w:tcPr>
            <w:tcW w:w="15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3,587,217.65</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6,036,665.25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1,581,983.74</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政府资助</w:t>
            </w:r>
          </w:p>
        </w:tc>
      </w:tr>
      <w:tr>
        <w:trPr>
          <w:trHeight w:val="379" w:hRule="exact"/>
        </w:trPr>
        <w:tc>
          <w:tcPr>
            <w:tcW w:w="32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4"/>
              <w:ind w:left="24"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15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58"/>
              <w:ind w:right="19"/>
              <w:jc w:val="right"/>
              <w:rPr>
                <w:rFonts w:ascii="Times New Roman" w:hAnsi="Times New Roman" w:cs="Times New Roman" w:eastAsia="Times New Roman" w:hint="default"/>
                <w:sz w:val="21"/>
                <w:szCs w:val="21"/>
              </w:rPr>
            </w:pPr>
            <w:r>
              <w:rPr>
                <w:rFonts w:ascii="Times New Roman"/>
                <w:spacing w:val="-1"/>
                <w:sz w:val="21"/>
              </w:rPr>
              <w:t>4,424,106.13</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Times New Roman" w:hAnsi="Times New Roman" w:cs="Times New Roman" w:eastAsia="Times New Roman" w:hint="default"/>
                <w:sz w:val="21"/>
                <w:szCs w:val="21"/>
              </w:rPr>
            </w:pPr>
            <w:r>
              <w:rPr>
                <w:rFonts w:ascii="Times New Roman"/>
                <w:spacing w:val="-1"/>
                <w:sz w:val="21"/>
              </w:rPr>
              <w:t>2,776,904.09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Times New Roman" w:hAnsi="Times New Roman" w:cs="Times New Roman" w:eastAsia="Times New Roman" w:hint="default"/>
                <w:sz w:val="21"/>
                <w:szCs w:val="21"/>
              </w:rPr>
            </w:pPr>
            <w:r>
              <w:rPr>
                <w:rFonts w:ascii="Times New Roman"/>
                <w:spacing w:val="-1"/>
                <w:sz w:val="21"/>
              </w:rPr>
              <w:t>1,361,780.81</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3" w:right="0"/>
              <w:jc w:val="left"/>
              <w:rPr>
                <w:rFonts w:ascii="宋体" w:hAnsi="宋体" w:cs="宋体" w:eastAsia="宋体" w:hint="default"/>
                <w:sz w:val="21"/>
                <w:szCs w:val="21"/>
              </w:rPr>
            </w:pPr>
            <w:r>
              <w:rPr>
                <w:rFonts w:ascii="宋体" w:hAnsi="宋体" w:cs="宋体" w:eastAsia="宋体" w:hint="default"/>
                <w:sz w:val="21"/>
                <w:szCs w:val="21"/>
              </w:rPr>
              <w:t>投资收益</w:t>
            </w:r>
          </w:p>
        </w:tc>
      </w:tr>
      <w:tr>
        <w:trPr>
          <w:trHeight w:val="557" w:hRule="exact"/>
        </w:trPr>
        <w:tc>
          <w:tcPr>
            <w:tcW w:w="32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和支出</w:t>
            </w:r>
          </w:p>
        </w:tc>
        <w:tc>
          <w:tcPr>
            <w:tcW w:w="1522" w:type="dxa"/>
            <w:tcBorders>
              <w:top w:val="single" w:sz="4" w:space="0" w:color="000000"/>
              <w:left w:val="single" w:sz="10" w:space="0" w:color="D4D4D4"/>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1"/>
                <w:sz w:val="21"/>
              </w:rPr>
              <w:t>-220,580.14</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32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4"/>
              <w:ind w:left="24" w:right="0"/>
              <w:jc w:val="left"/>
              <w:rPr>
                <w:rFonts w:ascii="宋体" w:hAnsi="宋体" w:cs="宋体" w:eastAsia="宋体" w:hint="default"/>
                <w:sz w:val="21"/>
                <w:szCs w:val="21"/>
              </w:rPr>
            </w:pPr>
            <w:r>
              <w:rPr>
                <w:rFonts w:ascii="宋体" w:hAnsi="宋体" w:cs="宋体" w:eastAsia="宋体" w:hint="default"/>
                <w:sz w:val="21"/>
                <w:szCs w:val="21"/>
              </w:rPr>
              <w:t>减：所得税影响额</w:t>
            </w:r>
          </w:p>
        </w:tc>
        <w:tc>
          <w:tcPr>
            <w:tcW w:w="15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56"/>
              <w:ind w:right="19"/>
              <w:jc w:val="right"/>
              <w:rPr>
                <w:rFonts w:ascii="Times New Roman" w:hAnsi="Times New Roman" w:cs="Times New Roman" w:eastAsia="Times New Roman" w:hint="default"/>
                <w:sz w:val="21"/>
                <w:szCs w:val="21"/>
              </w:rPr>
            </w:pPr>
            <w:r>
              <w:rPr>
                <w:rFonts w:ascii="Times New Roman"/>
                <w:spacing w:val="-1"/>
                <w:sz w:val="21"/>
              </w:rPr>
              <w:t>1,235,614.99</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7"/>
              <w:jc w:val="right"/>
              <w:rPr>
                <w:rFonts w:ascii="Times New Roman" w:hAnsi="Times New Roman" w:cs="Times New Roman" w:eastAsia="Times New Roman" w:hint="default"/>
                <w:sz w:val="21"/>
                <w:szCs w:val="21"/>
              </w:rPr>
            </w:pPr>
            <w:r>
              <w:rPr>
                <w:rFonts w:ascii="Times New Roman"/>
                <w:spacing w:val="-1"/>
                <w:sz w:val="21"/>
              </w:rPr>
              <w:t>1,288,371.16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7"/>
              <w:jc w:val="right"/>
              <w:rPr>
                <w:rFonts w:ascii="Times New Roman" w:hAnsi="Times New Roman" w:cs="Times New Roman" w:eastAsia="Times New Roman" w:hint="default"/>
                <w:sz w:val="21"/>
                <w:szCs w:val="21"/>
              </w:rPr>
            </w:pPr>
            <w:r>
              <w:rPr>
                <w:rFonts w:ascii="Times New Roman"/>
                <w:spacing w:val="-1"/>
                <w:sz w:val="21"/>
              </w:rPr>
              <w:t>445,963.78</w:t>
            </w:r>
          </w:p>
        </w:tc>
        <w:tc>
          <w:tcPr>
            <w:tcW w:w="1711" w:type="dxa"/>
            <w:tcBorders>
              <w:top w:val="single" w:sz="4" w:space="0" w:color="000000"/>
              <w:left w:val="single" w:sz="4" w:space="0" w:color="000000"/>
              <w:bottom w:val="single" w:sz="29" w:space="0" w:color="D4D4D4"/>
              <w:right w:val="single" w:sz="4" w:space="0" w:color="000000"/>
            </w:tcBorders>
          </w:tcPr>
          <w:p>
            <w:pPr/>
          </w:p>
        </w:tc>
      </w:tr>
      <w:tr>
        <w:trPr>
          <w:trHeight w:val="344" w:hRule="exact"/>
        </w:trPr>
        <w:tc>
          <w:tcPr>
            <w:tcW w:w="32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4"/>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56"/>
              <w:ind w:right="19"/>
              <w:jc w:val="right"/>
              <w:rPr>
                <w:rFonts w:ascii="Times New Roman" w:hAnsi="Times New Roman" w:cs="Times New Roman" w:eastAsia="Times New Roman" w:hint="default"/>
                <w:sz w:val="21"/>
                <w:szCs w:val="21"/>
              </w:rPr>
            </w:pPr>
            <w:r>
              <w:rPr>
                <w:rFonts w:ascii="Times New Roman"/>
                <w:spacing w:val="-2"/>
                <w:sz w:val="21"/>
              </w:rPr>
              <w:t>7,002,414.11</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7"/>
              <w:jc w:val="right"/>
              <w:rPr>
                <w:rFonts w:ascii="Times New Roman" w:hAnsi="Times New Roman" w:cs="Times New Roman" w:eastAsia="Times New Roman" w:hint="default"/>
                <w:sz w:val="21"/>
                <w:szCs w:val="21"/>
              </w:rPr>
            </w:pPr>
            <w:r>
              <w:rPr>
                <w:rFonts w:ascii="Times New Roman"/>
                <w:spacing w:val="-1"/>
                <w:sz w:val="21"/>
              </w:rPr>
              <w:t>7,301,046.53</w:t>
            </w:r>
          </w:p>
        </w:tc>
        <w:tc>
          <w:tcPr>
            <w:tcW w:w="1522"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56"/>
              <w:ind w:right="5"/>
              <w:jc w:val="right"/>
              <w:rPr>
                <w:rFonts w:ascii="Times New Roman" w:hAnsi="Times New Roman" w:cs="Times New Roman" w:eastAsia="Times New Roman" w:hint="default"/>
                <w:sz w:val="21"/>
                <w:szCs w:val="21"/>
              </w:rPr>
            </w:pPr>
            <w:r>
              <w:rPr>
                <w:rFonts w:ascii="Times New Roman"/>
                <w:spacing w:val="-1"/>
                <w:sz w:val="21"/>
              </w:rPr>
              <w:t>2,527,914.27</w:t>
            </w:r>
          </w:p>
        </w:tc>
        <w:tc>
          <w:tcPr>
            <w:tcW w:w="17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6"/>
              <w:ind w:right="0"/>
              <w:jc w:val="center"/>
              <w:rPr>
                <w:rFonts w:ascii="Times New Roman" w:hAnsi="Times New Roman" w:cs="Times New Roman" w:eastAsia="Times New Roman" w:hint="default"/>
                <w:sz w:val="21"/>
                <w:szCs w:val="21"/>
              </w:rPr>
            </w:pPr>
            <w:r>
              <w:rPr>
                <w:rFonts w:ascii="Times New Roman"/>
                <w:sz w:val="21"/>
              </w:rPr>
              <w:t>--</w:t>
            </w:r>
          </w:p>
        </w:tc>
      </w:tr>
    </w:tbl>
    <w:p>
      <w:pPr>
        <w:pStyle w:val="BodyText"/>
        <w:spacing w:line="278" w:lineRule="exact"/>
        <w:ind w:right="0"/>
        <w:jc w:val="both"/>
      </w:pPr>
      <w:r>
        <w:rPr>
          <w:spacing w:val="-2"/>
        </w:rPr>
        <w:t>对公司根据《公开发行证券的公司信息披露解释性公告第</w:t>
      </w:r>
      <w:r>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spacing w:val="-2"/>
        </w:rPr>
        <w:t>号</w:t>
      </w:r>
      <w:r>
        <w:rPr>
          <w:rFonts w:ascii="Times New Roman" w:hAnsi="Times New Roman" w:cs="Times New Roman" w:eastAsia="Times New Roman" w:hint="default"/>
          <w:spacing w:val="-2"/>
        </w:rPr>
        <w:t>——</w:t>
      </w:r>
      <w:r>
        <w:rPr>
          <w:spacing w:val="-2"/>
        </w:rPr>
        <w:t>非经常性损益》定义界定的非经常性损</w:t>
      </w:r>
    </w:p>
    <w:p>
      <w:pPr>
        <w:pStyle w:val="BodyText"/>
        <w:spacing w:line="256" w:lineRule="auto" w:before="21"/>
        <w:ind w:left="153" w:right="147" w:hanging="1"/>
        <w:jc w:val="both"/>
      </w:pPr>
      <w:r>
        <w:rPr>
          <w:spacing w:val="-2"/>
        </w:rPr>
        <w:t>益项目，以及把《公开发行证券的公司信息披露解释性公告第</w:t>
      </w:r>
      <w:r>
        <w:rPr/>
        <w:t> </w:t>
      </w:r>
      <w:r>
        <w:rPr>
          <w:rFonts w:ascii="Times New Roman" w:hAnsi="Times New Roman" w:cs="Times New Roman" w:eastAsia="Times New Roman" w:hint="default"/>
        </w:rPr>
        <w:t>1 </w:t>
      </w:r>
      <w:r>
        <w:rPr>
          <w:spacing w:val="-2"/>
        </w:rPr>
        <w:t>号</w:t>
      </w:r>
      <w:r>
        <w:rPr>
          <w:rFonts w:ascii="Times New Roman" w:hAnsi="Times New Roman" w:cs="Times New Roman" w:eastAsia="Times New Roman" w:hint="default"/>
          <w:spacing w:val="-2"/>
        </w:rPr>
        <w:t>——</w:t>
      </w:r>
      <w:r>
        <w:rPr>
          <w:spacing w:val="-2"/>
        </w:rPr>
        <w:t>非经常性损益》中列举的非经常性</w:t>
      </w:r>
      <w:r>
        <w:rPr>
          <w:spacing w:val="-101"/>
        </w:rPr>
        <w:t> </w:t>
      </w:r>
      <w:r>
        <w:rPr>
          <w:spacing w:val="-101"/>
        </w:rPr>
      </w:r>
      <w:r>
        <w:rPr/>
        <w:t>损益项目界定为经常性损益的项目，应说明原因</w:t>
      </w:r>
    </w:p>
    <w:p>
      <w:pPr>
        <w:pStyle w:val="BodyText"/>
        <w:spacing w:line="240" w:lineRule="auto" w:before="22"/>
        <w:ind w:left="153"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56" w:lineRule="auto" w:before="21"/>
        <w:ind w:left="153" w:right="147" w:hanging="1"/>
        <w:jc w:val="both"/>
      </w:pPr>
      <w:r>
        <w:rPr/>
        <w:t>公司报告期不存在将根据《公开发行证券的公司信息披露解释性公告第</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3"/>
        </w:rPr>
        <w:t>号</w:t>
      </w:r>
      <w:r>
        <w:rPr>
          <w:rFonts w:ascii="Times New Roman" w:hAnsi="Times New Roman" w:cs="Times New Roman" w:eastAsia="Times New Roman" w:hint="default"/>
          <w:spacing w:val="-3"/>
        </w:rPr>
        <w:t>——</w:t>
      </w:r>
      <w:r>
        <w:rPr>
          <w:spacing w:val="-3"/>
        </w:rPr>
        <w:t>非经常性损益》定义、列</w:t>
      </w:r>
      <w:r>
        <w:rPr>
          <w:spacing w:val="-103"/>
        </w:rPr>
        <w:t> </w:t>
      </w:r>
      <w:r>
        <w:rPr>
          <w:spacing w:val="-103"/>
        </w:rPr>
      </w:r>
      <w:r>
        <w:rPr/>
        <w:t>举的非经常性损益项目界定为经常性损益的项目的情形。</w:t>
      </w:r>
    </w:p>
    <w:p>
      <w:pPr>
        <w:spacing w:line="240" w:lineRule="auto" w:before="9"/>
        <w:rPr>
          <w:rFonts w:ascii="宋体" w:hAnsi="宋体" w:cs="宋体" w:eastAsia="宋体" w:hint="default"/>
          <w:sz w:val="22"/>
          <w:szCs w:val="22"/>
        </w:rPr>
      </w:pPr>
    </w:p>
    <w:p>
      <w:pPr>
        <w:pStyle w:val="Heading4"/>
        <w:spacing w:line="240" w:lineRule="auto"/>
        <w:ind w:right="0"/>
        <w:jc w:val="both"/>
        <w:rPr>
          <w:b w:val="0"/>
          <w:bCs w:val="0"/>
        </w:rPr>
      </w:pPr>
      <w:bookmarkStart w:name="四、重大风险提示" w:id="16"/>
      <w:bookmarkEnd w:id="16"/>
      <w:r>
        <w:rPr>
          <w:b w:val="0"/>
          <w:bCs w:val="0"/>
        </w:rPr>
      </w:r>
      <w:r>
        <w:rPr/>
        <w:t>四、重大风险提示</w:t>
      </w:r>
      <w:r>
        <w:rPr>
          <w:b w:val="0"/>
          <w:bCs w:val="0"/>
        </w:rPr>
      </w:r>
    </w:p>
    <w:p>
      <w:pPr>
        <w:spacing w:line="240" w:lineRule="auto" w:before="7"/>
        <w:rPr>
          <w:rFonts w:ascii="宋体" w:hAnsi="宋体" w:cs="宋体" w:eastAsia="宋体" w:hint="default"/>
          <w:b/>
          <w:bCs/>
          <w:sz w:val="26"/>
          <w:szCs w:val="26"/>
        </w:rPr>
      </w:pPr>
    </w:p>
    <w:p>
      <w:pPr>
        <w:pStyle w:val="BodyText"/>
        <w:spacing w:line="314" w:lineRule="auto"/>
        <w:ind w:left="572" w:right="0"/>
        <w:jc w:val="left"/>
      </w:pPr>
      <w:r>
        <w:rPr>
          <w:rFonts w:ascii="宋体" w:hAnsi="宋体" w:cs="宋体" w:eastAsia="宋体" w:hint="default"/>
        </w:rPr>
        <w:t>1</w:t>
      </w:r>
      <w:r>
        <w:rPr/>
        <w:t>、宏观政策的风险</w:t>
      </w:r>
      <w:r>
        <w:rPr>
          <w:w w:val="100"/>
        </w:rPr>
        <w:t> </w:t>
      </w:r>
      <w:r>
        <w:rPr>
          <w:spacing w:val="-2"/>
        </w:rPr>
        <w:t>随着教育改革的深入，国家教育部在</w:t>
      </w:r>
      <w:r>
        <w:rPr>
          <w:rFonts w:ascii="宋体" w:hAnsi="宋体" w:cs="宋体" w:eastAsia="宋体" w:hint="default"/>
          <w:spacing w:val="-2"/>
        </w:rPr>
        <w:t>2011</w:t>
      </w:r>
      <w:r>
        <w:rPr>
          <w:spacing w:val="-2"/>
        </w:rPr>
        <w:t>年颁布新课标并要求现有教材重新送审，将会给公司带来签</w:t>
      </w:r>
    </w:p>
    <w:p>
      <w:pPr>
        <w:pStyle w:val="BodyText"/>
        <w:spacing w:line="314" w:lineRule="auto" w:before="17"/>
        <w:ind w:right="146"/>
        <w:jc w:val="both"/>
      </w:pPr>
      <w:r>
        <w:rPr>
          <w:spacing w:val="-2"/>
        </w:rPr>
        <w:t>署著作权合作的风险和新版教材产品开发成本增加的风险。公司将强化与著作权人的合作关系，并根据教</w:t>
      </w:r>
      <w:r>
        <w:rPr>
          <w:spacing w:val="-43"/>
        </w:rPr>
        <w:t> </w:t>
      </w:r>
      <w:r>
        <w:rPr>
          <w:spacing w:val="-43"/>
        </w:rPr>
      </w:r>
      <w:r>
        <w:rPr>
          <w:spacing w:val="-2"/>
        </w:rPr>
        <w:t>材变化和教学改革要求完善配套软件内容，升级产品和建设更为快捷高效的开发平台。同时，公司将进一</w:t>
      </w:r>
      <w:r>
        <w:rPr>
          <w:spacing w:val="-44"/>
        </w:rPr>
        <w:t> </w:t>
      </w:r>
      <w:r>
        <w:rPr>
          <w:spacing w:val="-44"/>
        </w:rPr>
      </w:r>
      <w:r>
        <w:rPr/>
        <w:t>步积极研发创新产品，提升公司的创新能力和完善自主产品。</w:t>
      </w:r>
    </w:p>
    <w:p>
      <w:pPr>
        <w:pStyle w:val="BodyText"/>
        <w:spacing w:line="312" w:lineRule="auto" w:before="20"/>
        <w:ind w:left="573" w:right="0"/>
        <w:jc w:val="left"/>
      </w:pPr>
      <w:r>
        <w:rPr>
          <w:rFonts w:ascii="宋体" w:hAnsi="宋体" w:cs="宋体" w:eastAsia="宋体" w:hint="default"/>
        </w:rPr>
        <w:t>2</w:t>
      </w:r>
      <w:r>
        <w:rPr/>
        <w:t>、客户相对集中的风险</w:t>
      </w:r>
      <w:r>
        <w:rPr>
          <w:w w:val="100"/>
        </w:rPr>
        <w:t> </w:t>
      </w:r>
      <w:r>
        <w:rPr>
          <w:spacing w:val="-2"/>
        </w:rPr>
        <w:t>目前公司的销售区域仍主要以珠三角，长三角及京津地区等大中城市为主，市场区域相对集中并存在</w:t>
      </w:r>
    </w:p>
    <w:p>
      <w:pPr>
        <w:pStyle w:val="BodyText"/>
        <w:spacing w:line="312" w:lineRule="auto" w:before="22"/>
        <w:ind w:left="572" w:right="0" w:hanging="420"/>
        <w:jc w:val="left"/>
      </w:pPr>
      <w:r>
        <w:rPr/>
        <w:t>一定风险，可能对本公司未来盈利能力造成影响。</w:t>
      </w:r>
      <w:r>
        <w:rPr>
          <w:w w:val="100"/>
        </w:rPr>
        <w:t> </w:t>
      </w:r>
      <w:r>
        <w:rPr>
          <w:spacing w:val="-2"/>
        </w:rPr>
        <w:t>公司将通过技术研发和产品拓展计划，营销渠道拓展计划解决上述产品及销售区域较为集中的风险。</w:t>
      </w:r>
    </w:p>
    <w:p>
      <w:pPr>
        <w:pStyle w:val="BodyText"/>
        <w:spacing w:line="314" w:lineRule="auto" w:before="22"/>
        <w:ind w:right="146"/>
        <w:jc w:val="both"/>
      </w:pPr>
      <w:r>
        <w:rPr>
          <w:spacing w:val="-2"/>
        </w:rPr>
        <w:t>一方面通过开发语文、数学等其他学科的研发，将各学科发展均衡。另一方面，公司将把开创新的销售区</w:t>
      </w:r>
      <w:r>
        <w:rPr>
          <w:spacing w:val="-50"/>
        </w:rPr>
        <w:t> </w:t>
      </w:r>
      <w:r>
        <w:rPr>
          <w:spacing w:val="-50"/>
        </w:rPr>
      </w:r>
      <w:r>
        <w:rPr>
          <w:spacing w:val="-2"/>
        </w:rPr>
        <w:t>域作为战略重点，通过与现有的主流出版社、教研系统所建立的良好的合作关系，充分把握各地中小学教</w:t>
      </w:r>
      <w:r>
        <w:rPr>
          <w:spacing w:val="-44"/>
        </w:rPr>
        <w:t> </w:t>
      </w:r>
      <w:r>
        <w:rPr>
          <w:spacing w:val="-44"/>
        </w:rPr>
      </w:r>
      <w:r>
        <w:rPr>
          <w:spacing w:val="-2"/>
        </w:rPr>
        <w:t>材的新特点、新趋势，对潜在用户的市场需求进行调研分析，积极开发地方版本系列以满足二、三线城市</w:t>
      </w:r>
    </w:p>
    <w:p>
      <w:pPr>
        <w:spacing w:after="0" w:line="314" w:lineRule="auto"/>
        <w:jc w:val="both"/>
        <w:sectPr>
          <w:footerReference w:type="default" r:id="rId14"/>
          <w:pgSz w:w="11910" w:h="16840"/>
          <w:pgMar w:footer="982" w:header="748" w:top="1060" w:bottom="1180" w:left="980" w:right="980"/>
          <w:pgNumType w:start="8"/>
        </w:sectPr>
      </w:pPr>
    </w:p>
    <w:p>
      <w:pPr>
        <w:spacing w:line="240" w:lineRule="auto" w:before="6"/>
        <w:rPr>
          <w:rFonts w:ascii="宋体" w:hAnsi="宋体" w:cs="宋体" w:eastAsia="宋体" w:hint="default"/>
          <w:sz w:val="26"/>
          <w:szCs w:val="26"/>
        </w:rPr>
      </w:pPr>
    </w:p>
    <w:p>
      <w:pPr>
        <w:pStyle w:val="BodyText"/>
        <w:spacing w:line="240" w:lineRule="auto" w:before="36"/>
        <w:ind w:right="0"/>
        <w:jc w:val="both"/>
      </w:pPr>
      <w:r>
        <w:rPr/>
        <w:t>的拓展需求。</w:t>
      </w:r>
    </w:p>
    <w:p>
      <w:pPr>
        <w:pStyle w:val="BodyText"/>
        <w:spacing w:line="314" w:lineRule="auto" w:before="82"/>
        <w:ind w:left="572" w:right="106"/>
        <w:jc w:val="left"/>
      </w:pPr>
      <w:r>
        <w:rPr>
          <w:rFonts w:ascii="宋体" w:hAnsi="宋体" w:cs="宋体" w:eastAsia="宋体" w:hint="default"/>
        </w:rPr>
        <w:t>3</w:t>
      </w:r>
      <w:r>
        <w:rPr/>
        <w:t>、新产品开发和技术更新换代的风险</w:t>
      </w:r>
      <w:r>
        <w:rPr>
          <w:w w:val="100"/>
        </w:rPr>
        <w:t> </w:t>
      </w:r>
      <w:r>
        <w:rPr>
          <w:spacing w:val="-2"/>
        </w:rPr>
        <w:t>市场需求不断变化，教育技术不断发展，如果公司对行业关键技术的发展动态不能及时掌控，对教育</w:t>
      </w:r>
    </w:p>
    <w:p>
      <w:pPr>
        <w:pStyle w:val="BodyText"/>
        <w:spacing w:line="314" w:lineRule="auto" w:before="17"/>
        <w:ind w:left="572" w:right="106" w:hanging="421"/>
        <w:jc w:val="left"/>
      </w:pPr>
      <w:r>
        <w:rPr/>
        <w:t>教学当中的新理念以及广大教师和学生的教学需求不能正确把握，研发的产品将不具备竞争力。</w:t>
      </w:r>
      <w:r>
        <w:rPr>
          <w:w w:val="100"/>
        </w:rPr>
        <w:t> </w:t>
      </w:r>
      <w:r>
        <w:rPr>
          <w:spacing w:val="-2"/>
        </w:rPr>
        <w:t>公司积极投入同步教学软件及在线教育网络服务开发平台的开发，使公司开发的同步教育服务类产品</w:t>
      </w:r>
    </w:p>
    <w:p>
      <w:pPr>
        <w:pStyle w:val="BodyText"/>
        <w:spacing w:line="314" w:lineRule="auto" w:before="17"/>
        <w:ind w:right="206"/>
        <w:jc w:val="both"/>
      </w:pPr>
      <w:r>
        <w:rPr>
          <w:spacing w:val="-2"/>
        </w:rPr>
        <w:t>具有更强的针对性和实用性；同时加强基础教育项目研究，在开发实施过程中进行有效管理、把握开发周</w:t>
      </w:r>
      <w:r>
        <w:rPr>
          <w:spacing w:val="-43"/>
        </w:rPr>
        <w:t> </w:t>
      </w:r>
      <w:r>
        <w:rPr>
          <w:spacing w:val="-43"/>
        </w:rPr>
      </w:r>
      <w:r>
        <w:rPr/>
        <w:t>期、降低开发成本。</w:t>
      </w:r>
    </w:p>
    <w:p>
      <w:pPr>
        <w:pStyle w:val="BodyText"/>
        <w:spacing w:line="314" w:lineRule="auto" w:before="17"/>
        <w:ind w:left="572" w:right="106"/>
        <w:jc w:val="left"/>
      </w:pPr>
      <w:r>
        <w:rPr>
          <w:rFonts w:ascii="宋体" w:hAnsi="宋体" w:cs="宋体" w:eastAsia="宋体" w:hint="default"/>
        </w:rPr>
        <w:t>4</w:t>
      </w:r>
      <w:r>
        <w:rPr/>
        <w:t>、公司规模扩大带来的管理风险</w:t>
      </w:r>
      <w:r>
        <w:rPr>
          <w:w w:val="100"/>
        </w:rPr>
        <w:t> </w:t>
      </w:r>
      <w:r>
        <w:rPr>
          <w:spacing w:val="-2"/>
        </w:rPr>
        <w:t>同步教育产品行业需要大量具有一定教育背景和技术背景的专业人员。尽管公司凭借多年教育服务行</w:t>
      </w:r>
    </w:p>
    <w:p>
      <w:pPr>
        <w:pStyle w:val="BodyText"/>
        <w:spacing w:line="314" w:lineRule="auto" w:before="17"/>
        <w:ind w:right="206"/>
        <w:jc w:val="both"/>
      </w:pPr>
      <w:r>
        <w:rPr>
          <w:spacing w:val="-2"/>
        </w:rPr>
        <w:t>业的优势及网络技术开发经验已经培养出一批符合公司现有业务架构需要的复合型人才，但随着行业竞争</w:t>
      </w:r>
      <w:r>
        <w:rPr>
          <w:spacing w:val="-43"/>
        </w:rPr>
        <w:t> </w:t>
      </w:r>
      <w:r>
        <w:rPr>
          <w:spacing w:val="-43"/>
        </w:rPr>
      </w:r>
      <w:r>
        <w:rPr/>
        <w:t>的日趋激烈，公司的不断发展和投资规模的扩大，仍可能面临管理、营销和技术人才匮乏的风险。</w:t>
      </w:r>
    </w:p>
    <w:p>
      <w:pPr>
        <w:pStyle w:val="BodyText"/>
        <w:spacing w:line="314" w:lineRule="auto" w:before="17"/>
        <w:ind w:right="105" w:firstLine="420"/>
        <w:jc w:val="both"/>
      </w:pPr>
      <w:r>
        <w:rPr>
          <w:spacing w:val="-2"/>
        </w:rPr>
        <w:t>公司为此制定了详细的管理、营销和技术等专业人才的引进和培养计划，促使公司人才架构更为科学</w:t>
      </w:r>
      <w:r>
        <w:rPr>
          <w:w w:val="100"/>
        </w:rPr>
        <w:t> </w:t>
      </w:r>
      <w:r>
        <w:rPr>
          <w:spacing w:val="-2"/>
        </w:rPr>
        <w:t>化。通过企业文化建设，不断加强公司的凝聚力。同时，建立了基础培训、技能培训、经验库培训以及上</w:t>
      </w:r>
      <w:r>
        <w:rPr>
          <w:spacing w:val="-42"/>
        </w:rPr>
        <w:t> </w:t>
      </w:r>
      <w:r>
        <w:rPr>
          <w:spacing w:val="-42"/>
        </w:rPr>
      </w:r>
      <w:r>
        <w:rPr>
          <w:spacing w:val="-5"/>
        </w:rPr>
        <w:t>岗专人指导培训等人才培养制度，有效带动了后续人才的补充和发展，保证公司在高速发展中的人才需要。</w:t>
      </w:r>
      <w:r>
        <w:rPr/>
      </w:r>
    </w:p>
    <w:p>
      <w:pPr>
        <w:pStyle w:val="BodyText"/>
        <w:spacing w:line="312" w:lineRule="auto" w:before="20"/>
        <w:ind w:left="572" w:right="106"/>
        <w:jc w:val="left"/>
      </w:pPr>
      <w:r>
        <w:rPr>
          <w:rFonts w:ascii="宋体" w:hAnsi="宋体" w:cs="宋体" w:eastAsia="宋体" w:hint="default"/>
        </w:rPr>
        <w:t>5</w:t>
      </w:r>
      <w:r>
        <w:rPr/>
        <w:t>、募集资金投资项目风险</w:t>
      </w:r>
      <w:r>
        <w:rPr>
          <w:spacing w:val="-3"/>
          <w:w w:val="100"/>
        </w:rPr>
        <w:t> </w:t>
      </w:r>
      <w:r>
        <w:rPr>
          <w:spacing w:val="-2"/>
        </w:rPr>
        <w:t>公司公开发行股票募集的资金分别用于中小学多学科（不含英语）同步教育软件项目、中小学英语同</w:t>
      </w:r>
    </w:p>
    <w:p>
      <w:pPr>
        <w:pStyle w:val="BodyText"/>
        <w:spacing w:line="314" w:lineRule="auto" w:before="22"/>
        <w:ind w:right="107"/>
        <w:jc w:val="both"/>
      </w:pPr>
      <w:r>
        <w:rPr/>
        <w:t>步教育软件升级及新版本开发项目、研发中心建设项目和营销网络扩建项目与主营业务相关的营运资金。</w:t>
      </w:r>
      <w:r>
        <w:rPr>
          <w:w w:val="100"/>
        </w:rPr>
        <w:t> </w:t>
      </w:r>
      <w:r>
        <w:rPr>
          <w:spacing w:val="-2"/>
        </w:rPr>
        <w:t>募集资金投资项目的顺利实施，将进一步增强公司的研发实力，扩大公司在既有市场的占有率并开拓新市</w:t>
      </w:r>
      <w:r>
        <w:rPr>
          <w:spacing w:val="-43"/>
        </w:rPr>
        <w:t> </w:t>
      </w:r>
      <w:r>
        <w:rPr>
          <w:spacing w:val="-43"/>
        </w:rPr>
      </w:r>
      <w:r>
        <w:rPr>
          <w:spacing w:val="-2"/>
        </w:rPr>
        <w:t>场，提升公司的综合竞争力。尽管公司已经做好相应的技术准备和市场准备，但在项目的具体实施过程中</w:t>
      </w:r>
      <w:r>
        <w:rPr>
          <w:spacing w:val="-43"/>
        </w:rPr>
        <w:t> </w:t>
      </w:r>
      <w:r>
        <w:rPr>
          <w:spacing w:val="-43"/>
        </w:rPr>
      </w:r>
      <w:r>
        <w:rPr>
          <w:spacing w:val="-2"/>
        </w:rPr>
        <w:t>仍可能遇到技术更新效果不佳、市场开拓不力、市场环境发生变化、国家教育部颁布新课标和现有教材重</w:t>
      </w:r>
      <w:r>
        <w:rPr>
          <w:spacing w:val="-44"/>
        </w:rPr>
        <w:t> </w:t>
      </w:r>
      <w:r>
        <w:rPr>
          <w:spacing w:val="-44"/>
        </w:rPr>
      </w:r>
      <w:r>
        <w:rPr>
          <w:spacing w:val="-5"/>
        </w:rPr>
        <w:t>新送审改版等不利情形，从而可能导致募集资金投资项目的实际收益低于预期，带来一定的项目投资风险。</w:t>
      </w:r>
      <w:r>
        <w:rPr/>
      </w:r>
    </w:p>
    <w:p>
      <w:pPr>
        <w:spacing w:after="0" w:line="314" w:lineRule="auto"/>
        <w:jc w:val="both"/>
        <w:sectPr>
          <w:pgSz w:w="11910" w:h="16840"/>
          <w:pgMar w:header="748" w:footer="982" w:top="1060" w:bottom="1180" w:left="98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38"/>
        <w:ind w:left="3348" w:right="3408"/>
        <w:jc w:val="center"/>
        <w:rPr>
          <w:b w:val="0"/>
          <w:bCs w:val="0"/>
        </w:rPr>
      </w:pPr>
      <w:bookmarkStart w:name="第四节 董事会报告" w:id="17"/>
      <w:bookmarkEnd w:id="17"/>
      <w:r>
        <w:rPr>
          <w:b w:val="0"/>
          <w:bCs w:val="0"/>
        </w:rPr>
      </w:r>
      <w:bookmarkStart w:name="_bookmark3" w:id="18"/>
      <w:bookmarkEnd w:id="18"/>
      <w:r>
        <w:rPr>
          <w:b w:val="0"/>
          <w:bCs w:val="0"/>
        </w:rPr>
      </w:r>
      <w:r>
        <w:rPr/>
        <w:t>第四节</w:t>
      </w:r>
      <w:r>
        <w:rPr>
          <w:spacing w:val="-11"/>
        </w:rPr>
        <w:t> </w:t>
      </w:r>
      <w:r>
        <w:rPr/>
        <w:t>董事会报告</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4"/>
          <w:szCs w:val="14"/>
        </w:rPr>
      </w:pPr>
    </w:p>
    <w:p>
      <w:pPr>
        <w:pStyle w:val="Heading4"/>
        <w:spacing w:line="240" w:lineRule="auto" w:before="26"/>
        <w:ind w:right="106"/>
        <w:jc w:val="left"/>
        <w:rPr>
          <w:b w:val="0"/>
          <w:bCs w:val="0"/>
        </w:rPr>
      </w:pPr>
      <w:bookmarkStart w:name="一、管理层讨论与分析" w:id="19"/>
      <w:bookmarkEnd w:id="19"/>
      <w:r>
        <w:rPr>
          <w:b w:val="0"/>
          <w:bCs w:val="0"/>
        </w:rPr>
      </w:r>
      <w:r>
        <w:rPr/>
        <w:t>一、管理层讨论与分析</w:t>
      </w:r>
      <w:r>
        <w:rPr>
          <w:b w:val="0"/>
          <w:bCs w:val="0"/>
        </w:rPr>
      </w:r>
    </w:p>
    <w:p>
      <w:pPr>
        <w:spacing w:line="240" w:lineRule="auto" w:before="9"/>
        <w:rPr>
          <w:rFonts w:ascii="宋体" w:hAnsi="宋体" w:cs="宋体" w:eastAsia="宋体" w:hint="default"/>
          <w:b/>
          <w:bCs/>
          <w:sz w:val="22"/>
          <w:szCs w:val="22"/>
        </w:rPr>
      </w:pPr>
    </w:p>
    <w:p>
      <w:pPr>
        <w:spacing w:line="620" w:lineRule="atLeast" w:before="0"/>
        <w:ind w:left="572" w:right="106" w:hanging="420"/>
        <w:jc w:val="left"/>
        <w:rPr>
          <w:rFonts w:ascii="宋体" w:hAnsi="宋体" w:cs="宋体" w:eastAsia="宋体" w:hint="default"/>
          <w:sz w:val="21"/>
          <w:szCs w:val="21"/>
        </w:rPr>
      </w:pPr>
      <w:bookmarkStart w:name="1、报告期内主要业务回顾" w:id="20"/>
      <w:bookmarkEnd w:id="20"/>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、报告期内主要业务回顾</w:t>
      </w:r>
      <w:r>
        <w:rPr>
          <w:rFonts w:ascii="宋体" w:hAnsi="宋体" w:cs="宋体" w:eastAsia="宋体" w:hint="default"/>
          <w:b/>
          <w:bCs/>
          <w:w w:val="100"/>
          <w:sz w:val="21"/>
          <w:szCs w:val="21"/>
        </w:rPr>
        <w:t> </w:t>
      </w:r>
      <w:r>
        <w:rPr>
          <w:rFonts w:ascii="宋体" w:hAnsi="宋体" w:cs="宋体" w:eastAsia="宋体" w:hint="default"/>
          <w:spacing w:val="-2"/>
          <w:sz w:val="21"/>
          <w:szCs w:val="21"/>
        </w:rPr>
        <w:t>在过去的一年里，方直科技根据国家政策、技术发展和消费习惯的变化，坚持“关注教育需求，致力</w:t>
      </w:r>
    </w:p>
    <w:p>
      <w:pPr>
        <w:pStyle w:val="BodyText"/>
        <w:spacing w:line="312" w:lineRule="auto" w:before="85"/>
        <w:ind w:right="106"/>
        <w:jc w:val="left"/>
      </w:pPr>
      <w:r>
        <w:rPr/>
        <w:t>于科技创新，全心全意促进教育进步”使命，秉承“立在诚信</w:t>
      </w:r>
      <w:r>
        <w:rPr>
          <w:rFonts w:ascii="宋体" w:hAnsi="宋体" w:cs="宋体" w:eastAsia="宋体" w:hint="default"/>
        </w:rPr>
        <w:t>,</w:t>
      </w:r>
      <w:r>
        <w:rPr/>
        <w:t>强在专注</w:t>
      </w:r>
      <w:r>
        <w:rPr>
          <w:rFonts w:ascii="宋体" w:hAnsi="宋体" w:cs="宋体" w:eastAsia="宋体" w:hint="default"/>
        </w:rPr>
        <w:t>,</w:t>
      </w:r>
      <w:r>
        <w:rPr/>
        <w:t>智在创新</w:t>
      </w:r>
      <w:r>
        <w:rPr>
          <w:rFonts w:ascii="宋体" w:hAnsi="宋体" w:cs="宋体" w:eastAsia="宋体" w:hint="default"/>
        </w:rPr>
        <w:t>,</w:t>
      </w:r>
      <w:r>
        <w:rPr/>
        <w:t>进在共赢”的经营理</w:t>
      </w:r>
      <w:r>
        <w:rPr>
          <w:spacing w:val="-3"/>
          <w:w w:val="100"/>
        </w:rPr>
        <w:t> </w:t>
      </w:r>
      <w:r>
        <w:rPr>
          <w:spacing w:val="-2"/>
        </w:rPr>
        <w:t>念，坚持专业、领先的创新精神，始终不渝地走科技服务于中小学同步教育的发展道路。由于国家教育部</w:t>
      </w:r>
      <w:r>
        <w:rPr>
          <w:spacing w:val="-47"/>
        </w:rPr>
        <w:t> </w:t>
      </w:r>
      <w:r>
        <w:rPr>
          <w:spacing w:val="-47"/>
        </w:rPr>
      </w:r>
      <w:r>
        <w:rPr>
          <w:spacing w:val="-4"/>
        </w:rPr>
        <w:t>修订《全日制义务教育课程标准》的持续影响，</w:t>
      </w:r>
      <w:r>
        <w:rPr>
          <w:rFonts w:ascii="宋体" w:hAnsi="宋体" w:cs="宋体" w:eastAsia="宋体" w:hint="default"/>
          <w:spacing w:val="-4"/>
        </w:rPr>
        <w:t>2014</w:t>
      </w:r>
      <w:r>
        <w:rPr>
          <w:spacing w:val="-4"/>
        </w:rPr>
        <w:t>年公司继续集中精力和资源积极应对教材改版的影响，</w:t>
      </w:r>
      <w:r>
        <w:rPr>
          <w:spacing w:val="-45"/>
        </w:rPr>
        <w:t> </w:t>
      </w:r>
      <w:r>
        <w:rPr>
          <w:spacing w:val="-45"/>
        </w:rPr>
      </w:r>
      <w:r>
        <w:rPr/>
        <w:t>并积极根据公司的内外因素，积极致力于适合本公司发展的在线教育发展道路。</w:t>
      </w:r>
    </w:p>
    <w:p>
      <w:pPr>
        <w:pStyle w:val="BodyText"/>
        <w:spacing w:line="312" w:lineRule="auto" w:before="22"/>
        <w:ind w:right="106" w:firstLine="420"/>
        <w:jc w:val="left"/>
      </w:pPr>
      <w:r>
        <w:rPr/>
        <w:t>报告期内，在全体研发人员共同努力下，按时完成了新旧产品的升级替换，及时满足了客户对新课标</w:t>
      </w:r>
      <w:r>
        <w:rPr>
          <w:w w:val="100"/>
        </w:rPr>
        <w:t> </w:t>
      </w:r>
      <w:r>
        <w:rPr>
          <w:spacing w:val="-5"/>
        </w:rPr>
        <w:t>同步教材教参配套软件的需求，母公司的业务收入较上年同期稳定增长；但子公司的产品销售收入受到人、 </w:t>
      </w:r>
      <w:r>
        <w:rPr>
          <w:spacing w:val="-5"/>
        </w:rPr>
      </w:r>
      <w:r>
        <w:rPr>
          <w:spacing w:val="-2"/>
        </w:rPr>
        <w:t>财、物投入减少等不利因素的影响，较上年同期下降较大。以上原因综合导致公司的合并报表收入只略有</w:t>
      </w:r>
      <w:r>
        <w:rPr>
          <w:spacing w:val="-43"/>
        </w:rPr>
        <w:t> </w:t>
      </w:r>
      <w:r>
        <w:rPr>
          <w:spacing w:val="-43"/>
        </w:rPr>
      </w:r>
      <w:r>
        <w:rPr>
          <w:spacing w:val="-2"/>
        </w:rPr>
        <w:t>上升。同时为加快网络在线教育的战略步伐，加大了对网络技术及运营管理人力的投入，导致销售和管理</w:t>
      </w:r>
      <w:r>
        <w:rPr>
          <w:spacing w:val="-43"/>
        </w:rPr>
        <w:t> </w:t>
      </w:r>
      <w:r>
        <w:rPr>
          <w:spacing w:val="-43"/>
        </w:rPr>
      </w:r>
      <w:r>
        <w:rPr>
          <w:spacing w:val="-2"/>
        </w:rPr>
        <w:t>费用同比增加较多。上述原因致使公司的营业利润虽略有上升，而全年营业外收入同比下降较多，最终致</w:t>
      </w:r>
      <w:r>
        <w:rPr>
          <w:spacing w:val="-43"/>
        </w:rPr>
        <w:t> </w:t>
      </w:r>
      <w:r>
        <w:rPr>
          <w:spacing w:val="-43"/>
        </w:rPr>
      </w:r>
      <w:r>
        <w:rPr/>
        <w:t>使净利润同比略有下降。</w:t>
      </w:r>
    </w:p>
    <w:p>
      <w:pPr>
        <w:spacing w:line="240" w:lineRule="auto" w:before="3"/>
        <w:rPr>
          <w:rFonts w:ascii="宋体" w:hAnsi="宋体" w:cs="宋体" w:eastAsia="宋体" w:hint="default"/>
          <w:sz w:val="29"/>
          <w:szCs w:val="29"/>
        </w:rPr>
      </w:pPr>
    </w:p>
    <w:p>
      <w:pPr>
        <w:pStyle w:val="Heading4"/>
        <w:spacing w:line="240" w:lineRule="auto"/>
        <w:ind w:left="635" w:right="106"/>
        <w:jc w:val="left"/>
        <w:rPr>
          <w:b w:val="0"/>
          <w:bCs w:val="0"/>
        </w:rPr>
      </w:pPr>
      <w:r>
        <w:rPr>
          <w:rFonts w:ascii="Times New Roman" w:hAnsi="Times New Roman" w:cs="Times New Roman" w:eastAsia="Times New Roman" w:hint="default"/>
        </w:rPr>
        <w:t>2014</w:t>
      </w:r>
      <w:r>
        <w:rPr/>
        <w:t>年度主要指标完成情况</w:t>
      </w:r>
      <w:r>
        <w:rPr>
          <w:b w:val="0"/>
          <w:bCs w:val="0"/>
        </w:rPr>
      </w:r>
    </w:p>
    <w:p>
      <w:pPr>
        <w:spacing w:line="240" w:lineRule="auto" w:before="1"/>
        <w:rPr>
          <w:rFonts w:ascii="宋体" w:hAnsi="宋体" w:cs="宋体" w:eastAsia="宋体" w:hint="default"/>
          <w:b/>
          <w:bCs/>
          <w:sz w:val="9"/>
          <w:szCs w:val="9"/>
        </w:rPr>
      </w:pPr>
    </w:p>
    <w:tbl>
      <w:tblPr>
        <w:tblW w:w="0" w:type="auto"/>
        <w:jc w:val="left"/>
        <w:tblInd w:w="148" w:type="dxa"/>
        <w:tblLayout w:type="fixed"/>
        <w:tblCellMar>
          <w:top w:w="0" w:type="dxa"/>
          <w:left w:w="0" w:type="dxa"/>
          <w:bottom w:w="0" w:type="dxa"/>
          <w:right w:w="0" w:type="dxa"/>
        </w:tblCellMar>
        <w:tblLook w:val="01E0"/>
      </w:tblPr>
      <w:tblGrid>
        <w:gridCol w:w="1958"/>
        <w:gridCol w:w="1870"/>
        <w:gridCol w:w="2040"/>
        <w:gridCol w:w="2160"/>
      </w:tblGrid>
      <w:tr>
        <w:trPr>
          <w:trHeight w:val="502" w:hRule="exact"/>
        </w:trPr>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861" w:right="0"/>
              <w:jc w:val="lef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65"/>
                <w:sz w:val="21"/>
                <w:szCs w:val="21"/>
              </w:rPr>
              <w:t> </w:t>
            </w:r>
            <w:r>
              <w:rPr>
                <w:rFonts w:ascii="宋体" w:hAnsi="宋体" w:cs="宋体" w:eastAsia="宋体" w:hint="default"/>
                <w:sz w:val="21"/>
                <w:szCs w:val="21"/>
              </w:rPr>
              <w:t>目</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79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88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宋体" w:hAnsi="宋体" w:cs="宋体" w:eastAsia="宋体" w:hint="default"/>
                <w:sz w:val="21"/>
                <w:szCs w:val="21"/>
              </w:rPr>
              <w:t>年</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53"/>
              <w:jc w:val="right"/>
              <w:rPr>
                <w:rFonts w:ascii="宋体" w:hAnsi="宋体" w:cs="宋体" w:eastAsia="宋体" w:hint="default"/>
                <w:sz w:val="21"/>
                <w:szCs w:val="21"/>
              </w:rPr>
            </w:pPr>
            <w:r>
              <w:rPr>
                <w:rFonts w:ascii="宋体" w:hAnsi="宋体" w:cs="宋体" w:eastAsia="宋体" w:hint="default"/>
                <w:spacing w:val="-1"/>
                <w:sz w:val="21"/>
                <w:szCs w:val="21"/>
              </w:rPr>
              <w:t>比上年增长比例</w:t>
            </w:r>
          </w:p>
        </w:tc>
      </w:tr>
      <w:tr>
        <w:trPr>
          <w:trHeight w:val="504" w:hRule="exact"/>
        </w:trPr>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367" w:right="0"/>
              <w:jc w:val="left"/>
              <w:rPr>
                <w:rFonts w:ascii="宋体" w:hAnsi="宋体" w:cs="宋体" w:eastAsia="宋体" w:hint="default"/>
                <w:sz w:val="21"/>
                <w:szCs w:val="21"/>
              </w:rPr>
            </w:pPr>
            <w:r>
              <w:rPr>
                <w:rFonts w:ascii="宋体" w:hAnsi="宋体" w:cs="宋体" w:eastAsia="宋体" w:hint="default"/>
                <w:sz w:val="21"/>
                <w:szCs w:val="21"/>
              </w:rPr>
              <w:t>主营营业收入</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5"/>
              <w:jc w:val="right"/>
              <w:rPr>
                <w:rFonts w:ascii="Times New Roman" w:hAnsi="Times New Roman" w:cs="Times New Roman" w:eastAsia="Times New Roman" w:hint="default"/>
                <w:sz w:val="21"/>
                <w:szCs w:val="21"/>
              </w:rPr>
            </w:pPr>
            <w:r>
              <w:rPr>
                <w:rFonts w:ascii="Times New Roman"/>
                <w:spacing w:val="-1"/>
                <w:sz w:val="21"/>
              </w:rPr>
              <w:t>82,827,812.22</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
              <w:jc w:val="right"/>
              <w:rPr>
                <w:rFonts w:ascii="Times New Roman" w:hAnsi="Times New Roman" w:cs="Times New Roman" w:eastAsia="Times New Roman" w:hint="default"/>
                <w:sz w:val="21"/>
                <w:szCs w:val="21"/>
              </w:rPr>
            </w:pPr>
            <w:r>
              <w:rPr>
                <w:rFonts w:ascii="Times New Roman"/>
                <w:spacing w:val="-1"/>
                <w:sz w:val="21"/>
              </w:rPr>
              <w:t>75,089,058.91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
              <w:jc w:val="right"/>
              <w:rPr>
                <w:rFonts w:ascii="Times New Roman" w:hAnsi="Times New Roman" w:cs="Times New Roman" w:eastAsia="Times New Roman" w:hint="default"/>
                <w:sz w:val="21"/>
                <w:szCs w:val="21"/>
              </w:rPr>
            </w:pPr>
            <w:r>
              <w:rPr>
                <w:rFonts w:ascii="Times New Roman"/>
                <w:sz w:val="21"/>
              </w:rPr>
              <w:t>10.31%</w:t>
            </w:r>
          </w:p>
        </w:tc>
      </w:tr>
      <w:tr>
        <w:trPr>
          <w:trHeight w:val="504" w:hRule="exact"/>
        </w:trPr>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67"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5"/>
              <w:jc w:val="right"/>
              <w:rPr>
                <w:rFonts w:ascii="Times New Roman" w:hAnsi="Times New Roman" w:cs="Times New Roman" w:eastAsia="Times New Roman" w:hint="default"/>
                <w:sz w:val="21"/>
                <w:szCs w:val="21"/>
              </w:rPr>
            </w:pPr>
            <w:r>
              <w:rPr>
                <w:rFonts w:ascii="Times New Roman"/>
                <w:spacing w:val="-1"/>
                <w:sz w:val="21"/>
              </w:rPr>
              <w:t>18,530,428.52</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right"/>
              <w:rPr>
                <w:rFonts w:ascii="Times New Roman" w:hAnsi="Times New Roman" w:cs="Times New Roman" w:eastAsia="Times New Roman" w:hint="default"/>
                <w:sz w:val="21"/>
                <w:szCs w:val="21"/>
              </w:rPr>
            </w:pPr>
            <w:r>
              <w:rPr>
                <w:rFonts w:ascii="Times New Roman"/>
                <w:spacing w:val="-1"/>
                <w:sz w:val="21"/>
              </w:rPr>
              <w:t>17,521,308.52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right"/>
              <w:rPr>
                <w:rFonts w:ascii="Times New Roman" w:hAnsi="Times New Roman" w:cs="Times New Roman" w:eastAsia="Times New Roman" w:hint="default"/>
                <w:sz w:val="21"/>
                <w:szCs w:val="21"/>
              </w:rPr>
            </w:pPr>
            <w:r>
              <w:rPr>
                <w:rFonts w:ascii="Times New Roman"/>
                <w:sz w:val="21"/>
              </w:rPr>
              <w:t>5.76%</w:t>
            </w:r>
          </w:p>
        </w:tc>
      </w:tr>
      <w:tr>
        <w:trPr>
          <w:trHeight w:val="502" w:hRule="exact"/>
        </w:trPr>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67"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Times New Roman" w:hAnsi="Times New Roman" w:cs="Times New Roman" w:eastAsia="Times New Roman" w:hint="default"/>
                <w:sz w:val="21"/>
                <w:szCs w:val="21"/>
              </w:rPr>
            </w:pPr>
            <w:r>
              <w:rPr>
                <w:rFonts w:ascii="Times New Roman"/>
                <w:spacing w:val="-1"/>
                <w:sz w:val="21"/>
              </w:rPr>
              <w:t>22,523,905.35</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right"/>
              <w:rPr>
                <w:rFonts w:ascii="Times New Roman" w:hAnsi="Times New Roman" w:cs="Times New Roman" w:eastAsia="Times New Roman" w:hint="default"/>
                <w:sz w:val="21"/>
                <w:szCs w:val="21"/>
              </w:rPr>
            </w:pPr>
            <w:r>
              <w:rPr>
                <w:rFonts w:ascii="Times New Roman"/>
                <w:spacing w:val="-1"/>
                <w:sz w:val="21"/>
              </w:rPr>
              <w:t>23,311,990.32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Times New Roman" w:hAnsi="Times New Roman" w:cs="Times New Roman" w:eastAsia="Times New Roman" w:hint="default"/>
                <w:sz w:val="21"/>
                <w:szCs w:val="21"/>
              </w:rPr>
            </w:pPr>
            <w:r>
              <w:rPr>
                <w:rFonts w:ascii="Times New Roman"/>
                <w:spacing w:val="-1"/>
                <w:sz w:val="21"/>
              </w:rPr>
              <w:t>-3.38%</w:t>
            </w:r>
          </w:p>
        </w:tc>
      </w:tr>
    </w:tbl>
    <w:p>
      <w:pPr>
        <w:spacing w:line="240" w:lineRule="auto" w:before="2"/>
        <w:rPr>
          <w:rFonts w:ascii="宋体" w:hAnsi="宋体" w:cs="宋体" w:eastAsia="宋体" w:hint="default"/>
          <w:b/>
          <w:bCs/>
          <w:sz w:val="20"/>
          <w:szCs w:val="20"/>
        </w:rPr>
      </w:pPr>
    </w:p>
    <w:p>
      <w:pPr>
        <w:pStyle w:val="BodyText"/>
        <w:spacing w:line="240" w:lineRule="auto" w:before="36"/>
        <w:ind w:left="572" w:right="106"/>
        <w:jc w:val="left"/>
      </w:pPr>
      <w:r>
        <w:rPr/>
        <w:t>报告期内，公司主要经营工作包括：</w:t>
      </w:r>
    </w:p>
    <w:p>
      <w:pPr>
        <w:spacing w:line="240" w:lineRule="auto" w:before="9"/>
        <w:rPr>
          <w:rFonts w:ascii="宋体" w:hAnsi="宋体" w:cs="宋体" w:eastAsia="宋体" w:hint="default"/>
          <w:sz w:val="26"/>
          <w:szCs w:val="26"/>
        </w:rPr>
      </w:pPr>
    </w:p>
    <w:p>
      <w:pPr>
        <w:pStyle w:val="Heading5"/>
        <w:spacing w:line="240" w:lineRule="auto"/>
        <w:ind w:left="575" w:right="106"/>
        <w:jc w:val="left"/>
        <w:rPr>
          <w:b w:val="0"/>
          <w:bCs w:val="0"/>
        </w:rPr>
      </w:pPr>
      <w:r>
        <w:rPr>
          <w:rFonts w:ascii="Times New Roman" w:hAnsi="Times New Roman" w:cs="Times New Roman" w:eastAsia="Times New Roman" w:hint="default"/>
        </w:rPr>
        <w:t>1</w:t>
      </w:r>
      <w:r>
        <w:rPr/>
        <w:t>、业务方面</w:t>
      </w:r>
      <w:r>
        <w:rPr>
          <w:b w:val="0"/>
          <w:bCs w:val="0"/>
        </w:rPr>
      </w:r>
    </w:p>
    <w:p>
      <w:pPr>
        <w:pStyle w:val="BodyText"/>
        <w:spacing w:line="314" w:lineRule="auto" w:before="45"/>
        <w:ind w:right="106" w:firstLine="420"/>
        <w:jc w:val="left"/>
      </w:pPr>
      <w:r>
        <w:rPr>
          <w:rFonts w:ascii="宋体" w:hAnsi="宋体" w:cs="宋体" w:eastAsia="宋体" w:hint="default"/>
        </w:rPr>
        <w:t>2014</w:t>
      </w:r>
      <w:r>
        <w:rPr/>
        <w:t>年市场销售重点巩固和发展征订销售模式和终端渠道立体化，完成了与新华书店多部门合作，稳</w:t>
      </w:r>
      <w:r>
        <w:rPr>
          <w:w w:val="100"/>
        </w:rPr>
        <w:t> </w:t>
      </w:r>
      <w:r>
        <w:rPr>
          <w:spacing w:val="-5"/>
        </w:rPr>
        <w:t>固传统销售模式，完善了公司电商平台，拓展了天猫、当当等网络渠道。通过网络推广运营，使用直通车、</w:t>
      </w:r>
      <w:r>
        <w:rPr>
          <w:spacing w:val="-7"/>
        </w:rPr>
        <w:t> </w:t>
      </w:r>
      <w:r>
        <w:rPr>
          <w:spacing w:val="-7"/>
        </w:rPr>
      </w:r>
      <w:r>
        <w:rPr>
          <w:spacing w:val="-2"/>
        </w:rPr>
        <w:t>淘宝客、站外引流等方式，天猫商城</w:t>
      </w:r>
      <w:r>
        <w:rPr>
          <w:rFonts w:ascii="宋体" w:hAnsi="宋体" w:cs="宋体" w:eastAsia="宋体" w:hint="default"/>
          <w:spacing w:val="-2"/>
        </w:rPr>
        <w:t>2014</w:t>
      </w:r>
      <w:r>
        <w:rPr>
          <w:spacing w:val="-2"/>
        </w:rPr>
        <w:t>年同期上升</w:t>
      </w:r>
      <w:r>
        <w:rPr>
          <w:rFonts w:ascii="宋体" w:hAnsi="宋体" w:cs="宋体" w:eastAsia="宋体" w:hint="default"/>
          <w:spacing w:val="-2"/>
        </w:rPr>
        <w:t>394%</w:t>
      </w:r>
      <w:r>
        <w:rPr>
          <w:spacing w:val="-2"/>
        </w:rPr>
        <w:t>；公司按照产品生命周期，根据市场分析对产品</w:t>
      </w:r>
      <w:r>
        <w:rPr>
          <w:spacing w:val="-44"/>
        </w:rPr>
        <w:t> </w:t>
      </w:r>
      <w:r>
        <w:rPr>
          <w:spacing w:val="-44"/>
        </w:rPr>
      </w:r>
      <w:r>
        <w:rPr/>
        <w:t>重新制订价格体系，并分区域、渠道、市场特性进行产品组合；引进英国</w:t>
      </w:r>
      <w:r>
        <w:rPr>
          <w:rFonts w:ascii="宋体" w:hAnsi="宋体" w:cs="宋体" w:eastAsia="宋体" w:hint="default"/>
        </w:rPr>
        <w:t>BBC</w:t>
      </w:r>
      <w:r>
        <w:rPr/>
        <w:t>公司的“布鲁精灵”幼教产</w:t>
      </w:r>
      <w:r>
        <w:rPr>
          <w:w w:val="100"/>
        </w:rPr>
        <w:t> </w:t>
      </w:r>
      <w:r>
        <w:rPr>
          <w:spacing w:val="-2"/>
        </w:rPr>
        <w:t>品，拓展公司的产品线和发展销售渠道。全面采用的新介质产品实现销售快速增长；强化内部管理，清退</w:t>
      </w:r>
      <w:r>
        <w:rPr>
          <w:spacing w:val="-47"/>
        </w:rPr>
        <w:t> </w:t>
      </w:r>
      <w:r>
        <w:rPr>
          <w:spacing w:val="-47"/>
        </w:rPr>
      </w:r>
      <w:r>
        <w:rPr>
          <w:spacing w:val="-2"/>
        </w:rPr>
        <w:t>不合格和违规人员，提升了团队凝聚力。并通过举办销售团队产品演示竞赛，促进团队内销售技能的学习</w:t>
      </w:r>
      <w:r>
        <w:rPr>
          <w:spacing w:val="-44"/>
        </w:rPr>
        <w:t> </w:t>
      </w:r>
      <w:r>
        <w:rPr>
          <w:spacing w:val="-44"/>
        </w:rPr>
      </w:r>
      <w:r>
        <w:rPr/>
        <w:t>分享，加强了营销技能。另外，线上移动学习应用点读宝</w:t>
      </w:r>
      <w:r>
        <w:rPr>
          <w:rFonts w:ascii="宋体" w:hAnsi="宋体" w:cs="宋体" w:eastAsia="宋体" w:hint="default"/>
        </w:rPr>
        <w:t>APP</w:t>
      </w:r>
      <w:r>
        <w:rPr/>
        <w:t>测试版研发成功，在</w:t>
      </w:r>
      <w:r>
        <w:rPr>
          <w:rFonts w:ascii="宋体" w:hAnsi="宋体" w:cs="宋体" w:eastAsia="宋体" w:hint="default"/>
        </w:rPr>
        <w:t>2015</w:t>
      </w:r>
      <w:r>
        <w:rPr/>
        <w:t>年即可全面推广市</w:t>
      </w:r>
      <w:r>
        <w:rPr>
          <w:spacing w:val="-3"/>
          <w:w w:val="100"/>
        </w:rPr>
        <w:t> </w:t>
      </w:r>
      <w:r>
        <w:rPr/>
        <w:t>场。</w:t>
      </w:r>
    </w:p>
    <w:p>
      <w:pPr>
        <w:spacing w:after="0" w:line="314" w:lineRule="auto"/>
        <w:jc w:val="left"/>
        <w:sectPr>
          <w:pgSz w:w="11910" w:h="16840"/>
          <w:pgMar w:header="748" w:footer="982" w:top="1060" w:bottom="1180" w:left="980" w:right="920"/>
        </w:sectPr>
      </w:pPr>
    </w:p>
    <w:p>
      <w:pPr>
        <w:spacing w:line="240" w:lineRule="auto" w:before="6"/>
        <w:rPr>
          <w:rFonts w:ascii="宋体" w:hAnsi="宋体" w:cs="宋体" w:eastAsia="宋体" w:hint="default"/>
          <w:sz w:val="26"/>
          <w:szCs w:val="26"/>
        </w:rPr>
      </w:pPr>
    </w:p>
    <w:p>
      <w:pPr>
        <w:pStyle w:val="BodyText"/>
        <w:spacing w:line="240" w:lineRule="auto" w:before="36"/>
        <w:ind w:left="572" w:right="106"/>
        <w:jc w:val="left"/>
      </w:pPr>
      <w:r>
        <w:rPr/>
        <w:t>报告期内，以市场为导向，以营销为龙头开展经营和管理活动。</w:t>
      </w:r>
    </w:p>
    <w:p>
      <w:pPr>
        <w:pStyle w:val="BodyText"/>
        <w:spacing w:line="240" w:lineRule="auto" w:before="82"/>
        <w:ind w:left="572" w:right="106"/>
        <w:jc w:val="left"/>
      </w:pPr>
      <w:r>
        <w:rPr/>
        <w:t>（</w:t>
      </w:r>
      <w:r>
        <w:rPr>
          <w:rFonts w:ascii="宋体" w:hAnsi="宋体" w:cs="宋体" w:eastAsia="宋体" w:hint="default"/>
        </w:rPr>
        <w:t>1</w:t>
      </w:r>
      <w:r>
        <w:rPr/>
        <w:t>）客户端产品：</w:t>
      </w:r>
      <w:r>
        <w:rPr>
          <w:rFonts w:ascii="宋体" w:hAnsi="宋体" w:cs="宋体" w:eastAsia="宋体" w:hint="default"/>
        </w:rPr>
        <w:t>2014</w:t>
      </w:r>
      <w:r>
        <w:rPr/>
        <w:t>年度客户端产品实现了销售回款约为</w:t>
      </w:r>
      <w:r>
        <w:rPr>
          <w:rFonts w:ascii="宋体" w:hAnsi="宋体" w:cs="宋体" w:eastAsia="宋体" w:hint="default"/>
        </w:rPr>
        <w:t>900</w:t>
      </w:r>
      <w:r>
        <w:rPr/>
        <w:t>万；</w:t>
      </w:r>
    </w:p>
    <w:p>
      <w:pPr>
        <w:pStyle w:val="BodyText"/>
        <w:spacing w:line="312" w:lineRule="auto" w:before="85"/>
        <w:ind w:left="572" w:right="106"/>
        <w:jc w:val="left"/>
      </w:pPr>
      <w:r>
        <w:rPr/>
        <w:t>（</w:t>
      </w:r>
      <w:r>
        <w:rPr>
          <w:rFonts w:ascii="宋体" w:hAnsi="宋体" w:cs="宋体" w:eastAsia="宋体" w:hint="default"/>
        </w:rPr>
        <w:t>2</w:t>
      </w:r>
      <w:r>
        <w:rPr/>
        <w:t>）网络销售：</w:t>
      </w:r>
      <w:r>
        <w:rPr>
          <w:rFonts w:ascii="宋体" w:hAnsi="宋体" w:cs="宋体" w:eastAsia="宋体" w:hint="default"/>
        </w:rPr>
        <w:t>2014</w:t>
      </w:r>
      <w:r>
        <w:rPr/>
        <w:t>年度公司加强了网购渠道推广运营力度，网购回款实现</w:t>
      </w:r>
      <w:r>
        <w:rPr>
          <w:rFonts w:ascii="宋体" w:hAnsi="宋体" w:cs="宋体" w:eastAsia="宋体" w:hint="default"/>
        </w:rPr>
        <w:t>110</w:t>
      </w:r>
      <w:r>
        <w:rPr/>
        <w:t>万元。</w:t>
      </w:r>
      <w:r>
        <w:rPr>
          <w:spacing w:val="-3"/>
          <w:w w:val="100"/>
        </w:rPr>
        <w:t> </w:t>
      </w:r>
      <w:r>
        <w:rPr>
          <w:spacing w:val="-2"/>
        </w:rPr>
        <w:t>同时，公司制订了相关工作计划，要求公司管理人员全员深入基层了解营销工作，做好服务与监督。</w:t>
      </w:r>
    </w:p>
    <w:p>
      <w:pPr>
        <w:pStyle w:val="BodyText"/>
        <w:spacing w:line="314" w:lineRule="auto" w:before="22"/>
        <w:ind w:right="209"/>
        <w:jc w:val="both"/>
      </w:pPr>
      <w:r>
        <w:rPr>
          <w:spacing w:val="-2"/>
        </w:rPr>
        <w:t>整合市场的各项资源，集中精力做好与合作客户和代理经销商的开发、签约工作。继续深入“线下业务为</w:t>
      </w:r>
      <w:r>
        <w:rPr>
          <w:spacing w:val="-47"/>
        </w:rPr>
        <w:t> </w:t>
      </w:r>
      <w:r>
        <w:rPr>
          <w:spacing w:val="-47"/>
        </w:rPr>
      </w:r>
      <w:r>
        <w:rPr>
          <w:spacing w:val="-2"/>
        </w:rPr>
        <w:t>主营，线上业务作补充”的经营模式。统筹落实网络营销和在线教育事业部的建设规划。集中力量拓展渠</w:t>
      </w:r>
      <w:r>
        <w:rPr>
          <w:spacing w:val="-47"/>
        </w:rPr>
        <w:t> </w:t>
      </w:r>
      <w:r>
        <w:rPr>
          <w:spacing w:val="-47"/>
        </w:rPr>
      </w:r>
      <w:r>
        <w:rPr/>
        <w:t>道经销商，以“稳步发展、适度调整”的策略推进直销市场。</w:t>
      </w:r>
    </w:p>
    <w:p>
      <w:pPr>
        <w:spacing w:line="240" w:lineRule="auto" w:before="5"/>
        <w:rPr>
          <w:rFonts w:ascii="宋体" w:hAnsi="宋体" w:cs="宋体" w:eastAsia="宋体" w:hint="default"/>
          <w:sz w:val="23"/>
          <w:szCs w:val="23"/>
        </w:rPr>
      </w:pPr>
    </w:p>
    <w:p>
      <w:pPr>
        <w:spacing w:line="278" w:lineRule="auto" w:before="0"/>
        <w:ind w:left="572" w:right="7839" w:firstLine="2"/>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2</w:t>
      </w:r>
      <w:r>
        <w:rPr>
          <w:rFonts w:ascii="宋体" w:hAnsi="宋体" w:cs="宋体" w:eastAsia="宋体" w:hint="default"/>
          <w:b/>
          <w:bCs/>
          <w:spacing w:val="-1"/>
          <w:sz w:val="21"/>
          <w:szCs w:val="21"/>
        </w:rPr>
        <w:t>、产品研发方面</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z w:val="21"/>
          <w:szCs w:val="21"/>
        </w:rPr>
        <w:t>多媒体项目：</w:t>
      </w:r>
    </w:p>
    <w:p>
      <w:pPr>
        <w:pStyle w:val="BodyText"/>
        <w:spacing w:line="314" w:lineRule="auto" w:before="51"/>
        <w:ind w:right="206" w:firstLine="419"/>
        <w:jc w:val="both"/>
      </w:pPr>
      <w:r>
        <w:rPr>
          <w:spacing w:val="-2"/>
        </w:rPr>
        <w:t>在报告期内，多媒体项目已基本完成</w:t>
      </w:r>
      <w:r>
        <w:rPr>
          <w:rFonts w:ascii="宋体" w:hAnsi="宋体" w:cs="宋体" w:eastAsia="宋体" w:hint="default"/>
          <w:spacing w:val="-2"/>
        </w:rPr>
        <w:t>2014</w:t>
      </w:r>
      <w:r>
        <w:rPr>
          <w:spacing w:val="-2"/>
        </w:rPr>
        <w:t>秋季和</w:t>
      </w:r>
      <w:r>
        <w:rPr>
          <w:rFonts w:ascii="宋体" w:hAnsi="宋体" w:cs="宋体" w:eastAsia="宋体" w:hint="default"/>
          <w:spacing w:val="-2"/>
        </w:rPr>
        <w:t>2015</w:t>
      </w:r>
      <w:r>
        <w:rPr>
          <w:spacing w:val="-2"/>
        </w:rPr>
        <w:t>年春季产品的开发任务，已基本完成因教材改版</w:t>
      </w:r>
      <w:r>
        <w:rPr>
          <w:w w:val="100"/>
        </w:rPr>
        <w:t> </w:t>
      </w:r>
      <w:r>
        <w:rPr>
          <w:spacing w:val="-2"/>
        </w:rPr>
        <w:t>引发的小学、初中英语同步配套辅导软件的新开发任务。圆满完成对各地优质课活动的技术支持；研究了</w:t>
      </w:r>
      <w:r>
        <w:rPr>
          <w:spacing w:val="-44"/>
        </w:rPr>
        <w:t> </w:t>
      </w:r>
      <w:r>
        <w:rPr>
          <w:spacing w:val="-44"/>
        </w:rPr>
      </w:r>
      <w:r>
        <w:rPr/>
        <w:t>书法、地理等学科的创新尝试；特别是实现了客户端加载多门课程以组合方式推出的新产品。</w:t>
      </w:r>
    </w:p>
    <w:p>
      <w:pPr>
        <w:pStyle w:val="BodyText"/>
        <w:spacing w:line="314" w:lineRule="auto" w:before="17"/>
        <w:ind w:right="106" w:firstLine="420"/>
        <w:jc w:val="left"/>
      </w:pPr>
      <w:r>
        <w:rPr>
          <w:spacing w:val="-3"/>
        </w:rPr>
        <w:t>在报告期内，组织研究了跨平台技术的研究，并在选型方面做出探讨，给来年的研究和开发工作，奠</w:t>
      </w:r>
      <w:r>
        <w:rPr>
          <w:w w:val="100"/>
        </w:rPr>
        <w:t> </w:t>
      </w:r>
      <w:r>
        <w:rPr/>
        <w:t>定了基础。</w:t>
      </w:r>
    </w:p>
    <w:p>
      <w:pPr>
        <w:spacing w:line="240" w:lineRule="auto" w:before="11"/>
        <w:rPr>
          <w:rFonts w:ascii="宋体" w:hAnsi="宋体" w:cs="宋体" w:eastAsia="宋体" w:hint="default"/>
          <w:sz w:val="28"/>
          <w:szCs w:val="28"/>
        </w:rPr>
      </w:pPr>
    </w:p>
    <w:p>
      <w:pPr>
        <w:pStyle w:val="BodyText"/>
        <w:spacing w:line="312" w:lineRule="auto"/>
        <w:ind w:left="572" w:right="4036"/>
        <w:jc w:val="left"/>
      </w:pPr>
      <w:r>
        <w:rPr/>
        <w:t>网络项目：</w:t>
      </w:r>
      <w:r>
        <w:rPr>
          <w:spacing w:val="-102"/>
        </w:rPr>
        <w:t> </w:t>
      </w:r>
      <w:r>
        <w:rPr>
          <w:spacing w:val="-102"/>
        </w:rPr>
      </w:r>
      <w:r>
        <w:rPr>
          <w:spacing w:val="-2"/>
        </w:rPr>
        <w:t>在报告期内公司重要的网络项目具体进展如下：</w:t>
      </w:r>
    </w:p>
    <w:p>
      <w:pPr>
        <w:pStyle w:val="BodyText"/>
        <w:spacing w:line="240" w:lineRule="auto" w:before="22"/>
        <w:ind w:left="572" w:right="106"/>
        <w:jc w:val="left"/>
      </w:pPr>
      <w:r>
        <w:rPr/>
        <w:t>（</w:t>
      </w:r>
      <w:r>
        <w:rPr>
          <w:rFonts w:ascii="宋体" w:hAnsi="宋体" w:cs="宋体" w:eastAsia="宋体" w:hint="default"/>
        </w:rPr>
        <w:t>1</w:t>
      </w:r>
      <w:r>
        <w:rPr/>
        <w:t>）、金太阳客户端</w:t>
      </w:r>
    </w:p>
    <w:p>
      <w:pPr>
        <w:pStyle w:val="BodyText"/>
        <w:spacing w:line="314" w:lineRule="auto" w:before="82"/>
        <w:ind w:right="106" w:firstLine="420"/>
        <w:jc w:val="left"/>
      </w:pPr>
      <w:r>
        <w:rPr>
          <w:rFonts w:ascii="宋体" w:hAnsi="宋体" w:cs="宋体" w:eastAsia="宋体" w:hint="default"/>
          <w:spacing w:val="-4"/>
        </w:rPr>
        <w:t>2014</w:t>
      </w:r>
      <w:r>
        <w:rPr>
          <w:spacing w:val="-4"/>
        </w:rPr>
        <w:t>年金太阳客户端先后完成了</w:t>
      </w:r>
      <w:r>
        <w:rPr>
          <w:rFonts w:ascii="宋体" w:hAnsi="宋体" w:cs="宋体" w:eastAsia="宋体" w:hint="default"/>
          <w:spacing w:val="-4"/>
        </w:rPr>
        <w:t>V3.0</w:t>
      </w:r>
      <w:r>
        <w:rPr>
          <w:spacing w:val="-4"/>
        </w:rPr>
        <w:t>、</w:t>
      </w:r>
      <w:r>
        <w:rPr>
          <w:rFonts w:ascii="宋体" w:hAnsi="宋体" w:cs="宋体" w:eastAsia="宋体" w:hint="default"/>
          <w:spacing w:val="-4"/>
        </w:rPr>
        <w:t>V3.1</w:t>
      </w:r>
      <w:r>
        <w:rPr>
          <w:spacing w:val="-4"/>
        </w:rPr>
        <w:t>、</w:t>
      </w:r>
      <w:r>
        <w:rPr>
          <w:rFonts w:ascii="宋体" w:hAnsi="宋体" w:cs="宋体" w:eastAsia="宋体" w:hint="default"/>
          <w:spacing w:val="-4"/>
        </w:rPr>
        <w:t>V3.2</w:t>
      </w:r>
      <w:r>
        <w:rPr>
          <w:spacing w:val="-4"/>
        </w:rPr>
        <w:t>版本。改善了用户体验；增添教育游戏平台的入口，</w:t>
      </w:r>
      <w:r>
        <w:rPr>
          <w:spacing w:val="-3"/>
          <w:w w:val="100"/>
        </w:rPr>
        <w:t> </w:t>
      </w:r>
      <w:r>
        <w:rPr/>
        <w:t>以推广相关服务，进一步提升客户端产品的价值；完成基础数据统计功能（新增了对短信激活的统计</w:t>
      </w:r>
      <w:r>
        <w:rPr>
          <w:rFonts w:ascii="宋体" w:hAnsi="宋体" w:cs="宋体" w:eastAsia="宋体" w:hint="default"/>
        </w:rPr>
        <w:t>)</w:t>
      </w:r>
      <w:r>
        <w:rPr/>
        <w:t>，</w:t>
      </w:r>
      <w:r>
        <w:rPr>
          <w:w w:val="100"/>
        </w:rPr>
        <w:t> </w:t>
      </w:r>
      <w:r>
        <w:rPr/>
        <w:t>根据这些统计数据，公司可以为用户提供高效的营销策略和针对性服务。</w:t>
      </w:r>
    </w:p>
    <w:p>
      <w:pPr>
        <w:pStyle w:val="BodyText"/>
        <w:spacing w:line="312" w:lineRule="auto" w:before="20"/>
        <w:ind w:left="573" w:right="4036"/>
        <w:jc w:val="left"/>
      </w:pPr>
      <w:r>
        <w:rPr/>
        <w:t>（</w:t>
      </w:r>
      <w:r>
        <w:rPr>
          <w:rFonts w:ascii="宋体" w:hAnsi="宋体" w:cs="宋体" w:eastAsia="宋体" w:hint="default"/>
        </w:rPr>
        <w:t>2</w:t>
      </w:r>
      <w:r>
        <w:rPr/>
        <w:t>）、智慧校园云平台</w:t>
      </w:r>
      <w:r>
        <w:rPr>
          <w:w w:val="100"/>
        </w:rPr>
        <w:t> </w:t>
      </w:r>
      <w:r>
        <w:rPr>
          <w:spacing w:val="-2"/>
        </w:rPr>
        <w:t>报告期内启动了智慧校园云平台项目。</w:t>
      </w:r>
    </w:p>
    <w:p>
      <w:pPr>
        <w:pStyle w:val="BodyText"/>
        <w:spacing w:line="312" w:lineRule="auto" w:before="22"/>
        <w:ind w:right="106" w:firstLine="420"/>
        <w:jc w:val="left"/>
      </w:pPr>
      <w:r>
        <w:rPr>
          <w:spacing w:val="-2"/>
        </w:rPr>
        <w:t>智慧校园</w:t>
      </w:r>
      <w:r>
        <w:rPr>
          <w:rFonts w:ascii="宋体" w:hAnsi="宋体" w:cs="宋体" w:eastAsia="宋体" w:hint="default"/>
          <w:spacing w:val="-2"/>
        </w:rPr>
        <w:t>-</w:t>
      </w:r>
      <w:r>
        <w:rPr>
          <w:spacing w:val="-2"/>
        </w:rPr>
        <w:t>校园网络版同步课堂，已经发布，并已经部署了</w:t>
      </w:r>
      <w:r>
        <w:rPr>
          <w:rFonts w:ascii="宋体" w:hAnsi="宋体" w:cs="宋体" w:eastAsia="宋体" w:hint="default"/>
          <w:spacing w:val="-2"/>
        </w:rPr>
        <w:t>27</w:t>
      </w:r>
      <w:r>
        <w:rPr>
          <w:spacing w:val="-2"/>
        </w:rPr>
        <w:t>所学校，后续将进一步完善和增加新的</w:t>
      </w:r>
      <w:r>
        <w:rPr>
          <w:spacing w:val="-3"/>
          <w:w w:val="100"/>
        </w:rPr>
        <w:t> </w:t>
      </w:r>
      <w:r>
        <w:rPr/>
        <w:t>功能。</w:t>
      </w:r>
    </w:p>
    <w:p>
      <w:pPr>
        <w:pStyle w:val="BodyText"/>
        <w:spacing w:line="312" w:lineRule="auto" w:before="22"/>
        <w:ind w:left="573" w:right="106"/>
        <w:jc w:val="left"/>
      </w:pPr>
      <w:r>
        <w:rPr/>
        <w:t>（</w:t>
      </w:r>
      <w:r>
        <w:rPr>
          <w:rFonts w:ascii="宋体" w:hAnsi="宋体" w:cs="宋体" w:eastAsia="宋体" w:hint="default"/>
        </w:rPr>
        <w:t>3</w:t>
      </w:r>
      <w:r>
        <w:rPr/>
        <w:t>）、作业系统</w:t>
      </w:r>
      <w:r>
        <w:rPr>
          <w:spacing w:val="-3"/>
          <w:w w:val="100"/>
        </w:rPr>
        <w:t> </w:t>
      </w:r>
      <w:r>
        <w:rPr>
          <w:spacing w:val="-2"/>
        </w:rPr>
        <w:t>作业系统第一期完成高中英语阅读库的开发，并交付给客户使用。后续将在此基础上扩展成为正式的</w:t>
      </w:r>
    </w:p>
    <w:p>
      <w:pPr>
        <w:pStyle w:val="BodyText"/>
        <w:spacing w:line="240" w:lineRule="auto" w:before="22"/>
        <w:ind w:right="0"/>
        <w:jc w:val="both"/>
      </w:pPr>
      <w:r>
        <w:rPr/>
        <w:t>作业系统。</w:t>
      </w:r>
    </w:p>
    <w:p>
      <w:pPr>
        <w:pStyle w:val="BodyText"/>
        <w:spacing w:line="314" w:lineRule="auto" w:before="82"/>
        <w:ind w:left="573" w:right="106" w:firstLine="2"/>
        <w:jc w:val="left"/>
      </w:pPr>
      <w:r>
        <w:rPr/>
        <w:t>（</w:t>
      </w:r>
      <w:r>
        <w:rPr>
          <w:rFonts w:ascii="宋体" w:hAnsi="宋体" w:cs="宋体" w:eastAsia="宋体" w:hint="default"/>
        </w:rPr>
        <w:t>4</w:t>
      </w:r>
      <w:r>
        <w:rPr/>
        <w:t>）、基础平台</w:t>
      </w:r>
      <w:r>
        <w:rPr>
          <w:spacing w:val="-3"/>
          <w:w w:val="100"/>
        </w:rPr>
        <w:t> </w:t>
      </w:r>
      <w:r>
        <w:rPr>
          <w:spacing w:val="-2"/>
        </w:rPr>
        <w:t>基础平台第一期启动了</w:t>
      </w:r>
      <w:r>
        <w:rPr>
          <w:rFonts w:ascii="宋体" w:hAnsi="宋体" w:cs="宋体" w:eastAsia="宋体" w:hint="default"/>
          <w:spacing w:val="-2"/>
        </w:rPr>
        <w:t>SNS</w:t>
      </w:r>
      <w:r>
        <w:rPr>
          <w:spacing w:val="-2"/>
        </w:rPr>
        <w:t>用户关系系统的开发，该系统的目标是建立一个以教师、学生、家长三者</w:t>
      </w:r>
    </w:p>
    <w:p>
      <w:pPr>
        <w:pStyle w:val="BodyText"/>
        <w:spacing w:line="314" w:lineRule="auto" w:before="17"/>
        <w:ind w:right="211"/>
        <w:jc w:val="both"/>
      </w:pPr>
      <w:r>
        <w:rPr>
          <w:spacing w:val="-2"/>
        </w:rPr>
        <w:t>为一体的关联关系，形成生态圈，完成后将成为智慧校园的基础平台之一，现已经完成第一次迭代，并已</w:t>
      </w:r>
      <w:r>
        <w:rPr>
          <w:spacing w:val="-50"/>
        </w:rPr>
        <w:t> </w:t>
      </w:r>
      <w:r>
        <w:rPr>
          <w:spacing w:val="-50"/>
        </w:rPr>
      </w:r>
      <w:r>
        <w:rPr/>
        <w:t>上线，后续还将进一步完善和增加新的功能。</w:t>
      </w:r>
    </w:p>
    <w:p>
      <w:pPr>
        <w:pStyle w:val="BodyText"/>
        <w:spacing w:line="314" w:lineRule="auto" w:before="17"/>
        <w:ind w:left="573" w:right="106"/>
        <w:jc w:val="left"/>
      </w:pPr>
      <w:r>
        <w:rPr/>
        <w:t>（</w:t>
      </w:r>
      <w:r>
        <w:rPr>
          <w:rFonts w:ascii="宋体" w:hAnsi="宋体" w:cs="宋体" w:eastAsia="宋体" w:hint="default"/>
        </w:rPr>
        <w:t>5</w:t>
      </w:r>
      <w:r>
        <w:rPr/>
        <w:t>）、金太阳教育商城升级</w:t>
      </w:r>
      <w:r>
        <w:rPr>
          <w:spacing w:val="-3"/>
          <w:w w:val="100"/>
        </w:rPr>
        <w:t> </w:t>
      </w:r>
      <w:r>
        <w:rPr>
          <w:spacing w:val="-2"/>
        </w:rPr>
        <w:t>金太阳教育商城前端页面的全面改版，更加美观。修改了支付流程，改善了用户体验。同时域名改为</w:t>
      </w:r>
    </w:p>
    <w:p>
      <w:pPr>
        <w:pStyle w:val="BodyText"/>
        <w:spacing w:line="240" w:lineRule="auto" w:before="17"/>
        <w:ind w:right="0"/>
        <w:jc w:val="both"/>
      </w:pPr>
      <w:r>
        <w:rPr>
          <w:rFonts w:ascii="宋体" w:hAnsi="宋体" w:cs="宋体" w:eastAsia="宋体" w:hint="default"/>
        </w:rPr>
        <w:t>shop.kingsun.cn</w:t>
      </w:r>
      <w:r>
        <w:rPr/>
        <w:t>，原有域名跳转至该地址。</w:t>
      </w:r>
    </w:p>
    <w:p>
      <w:pPr>
        <w:pStyle w:val="BodyText"/>
        <w:spacing w:line="312" w:lineRule="auto" w:before="85"/>
        <w:ind w:left="573" w:right="106"/>
        <w:jc w:val="left"/>
      </w:pPr>
      <w:r>
        <w:rPr/>
        <w:t>（</w:t>
      </w:r>
      <w:r>
        <w:rPr>
          <w:rFonts w:ascii="宋体" w:hAnsi="宋体" w:cs="宋体" w:eastAsia="宋体" w:hint="default"/>
        </w:rPr>
        <w:t>6</w:t>
      </w:r>
      <w:r>
        <w:rPr/>
        <w:t>）、中小学教育游戏平台</w:t>
      </w:r>
      <w:r>
        <w:rPr>
          <w:spacing w:val="-3"/>
          <w:w w:val="100"/>
        </w:rPr>
        <w:t> </w:t>
      </w:r>
      <w:r>
        <w:rPr>
          <w:spacing w:val="-2"/>
        </w:rPr>
        <w:t>将原有教育游戏网</w:t>
      </w:r>
      <w:r>
        <w:rPr>
          <w:rFonts w:ascii="宋体" w:hAnsi="宋体" w:cs="宋体" w:eastAsia="宋体" w:hint="default"/>
          <w:spacing w:val="-2"/>
        </w:rPr>
        <w:t>(</w:t>
      </w:r>
      <w:r>
        <w:rPr>
          <w:spacing w:val="-2"/>
        </w:rPr>
        <w:t>金太阳游乐场</w:t>
      </w:r>
      <w:r>
        <w:rPr>
          <w:rFonts w:ascii="宋体" w:hAnsi="宋体" w:cs="宋体" w:eastAsia="宋体" w:hint="default"/>
          <w:spacing w:val="-2"/>
        </w:rPr>
        <w:t>)</w:t>
      </w:r>
      <w:r>
        <w:rPr>
          <w:spacing w:val="-2"/>
        </w:rPr>
        <w:t>全面改版，升级为教育游戏平台，新增大量游戏。</w:t>
      </w:r>
    </w:p>
    <w:p>
      <w:pPr>
        <w:spacing w:after="0" w:line="312" w:lineRule="auto"/>
        <w:jc w:val="left"/>
        <w:sectPr>
          <w:pgSz w:w="11910" w:h="16840"/>
          <w:pgMar w:header="748" w:footer="982" w:top="1060" w:bottom="1180" w:left="980" w:right="920"/>
        </w:sectPr>
      </w:pPr>
    </w:p>
    <w:p>
      <w:pPr>
        <w:spacing w:line="240" w:lineRule="auto" w:before="6"/>
        <w:rPr>
          <w:rFonts w:ascii="宋体" w:hAnsi="宋体" w:cs="宋体" w:eastAsia="宋体" w:hint="default"/>
          <w:sz w:val="26"/>
          <w:szCs w:val="26"/>
        </w:rPr>
      </w:pPr>
    </w:p>
    <w:p>
      <w:pPr>
        <w:pStyle w:val="BodyText"/>
        <w:spacing w:line="240" w:lineRule="auto" w:before="36"/>
        <w:ind w:left="572" w:right="106"/>
        <w:jc w:val="left"/>
      </w:pPr>
      <w:r>
        <w:rPr/>
        <w:t>移动教育产品开发：</w:t>
      </w:r>
    </w:p>
    <w:p>
      <w:pPr>
        <w:pStyle w:val="BodyText"/>
        <w:spacing w:line="240" w:lineRule="auto" w:before="82"/>
        <w:ind w:left="572" w:right="106"/>
        <w:jc w:val="left"/>
      </w:pPr>
      <w:r>
        <w:rPr>
          <w:rFonts w:ascii="宋体" w:hAnsi="宋体" w:cs="宋体" w:eastAsia="宋体" w:hint="default"/>
        </w:rPr>
        <w:t>2014</w:t>
      </w:r>
      <w:r>
        <w:rPr/>
        <w:t>年方直科技推出了移动教育</w:t>
      </w:r>
      <w:r>
        <w:rPr>
          <w:rFonts w:ascii="宋体" w:hAnsi="宋体" w:cs="宋体" w:eastAsia="宋体" w:hint="default"/>
        </w:rPr>
        <w:t>APP</w:t>
      </w:r>
      <w:r>
        <w:rPr/>
        <w:t>的正式产品，标志着公司产品正式进入移动教育领域。</w:t>
      </w:r>
    </w:p>
    <w:p>
      <w:pPr>
        <w:pStyle w:val="BodyText"/>
        <w:spacing w:line="314" w:lineRule="auto" w:before="85"/>
        <w:ind w:left="153" w:right="106" w:firstLine="419"/>
        <w:jc w:val="left"/>
      </w:pPr>
      <w:r>
        <w:rPr>
          <w:spacing w:val="-2"/>
        </w:rPr>
        <w:t>（</w:t>
      </w:r>
      <w:r>
        <w:rPr>
          <w:rFonts w:ascii="宋体" w:hAnsi="宋体" w:cs="宋体" w:eastAsia="宋体" w:hint="default"/>
          <w:spacing w:val="-2"/>
        </w:rPr>
        <w:t>1</w:t>
      </w:r>
      <w:r>
        <w:rPr>
          <w:spacing w:val="-2"/>
        </w:rPr>
        <w:t>）、</w:t>
      </w:r>
      <w:r>
        <w:rPr>
          <w:rFonts w:ascii="宋体" w:hAnsi="宋体" w:cs="宋体" w:eastAsia="宋体" w:hint="default"/>
          <w:spacing w:val="-2"/>
        </w:rPr>
        <w:t>2014</w:t>
      </w:r>
      <w:r>
        <w:rPr>
          <w:spacing w:val="-2"/>
        </w:rPr>
        <w:t>年“点读宝”已经先后完成</w:t>
      </w:r>
      <w:r>
        <w:rPr>
          <w:rFonts w:ascii="宋体" w:hAnsi="宋体" w:cs="宋体" w:eastAsia="宋体" w:hint="default"/>
          <w:spacing w:val="-2"/>
        </w:rPr>
        <w:t>V1.0</w:t>
      </w:r>
      <w:r>
        <w:rPr>
          <w:spacing w:val="-2"/>
        </w:rPr>
        <w:t>、</w:t>
      </w:r>
      <w:r>
        <w:rPr>
          <w:rFonts w:ascii="宋体" w:hAnsi="宋体" w:cs="宋体" w:eastAsia="宋体" w:hint="default"/>
          <w:spacing w:val="-2"/>
        </w:rPr>
        <w:t>V1.1</w:t>
      </w:r>
      <w:r>
        <w:rPr>
          <w:spacing w:val="-2"/>
        </w:rPr>
        <w:t>、</w:t>
      </w:r>
      <w:r>
        <w:rPr>
          <w:rFonts w:ascii="宋体" w:hAnsi="宋体" w:cs="宋体" w:eastAsia="宋体" w:hint="default"/>
          <w:spacing w:val="-2"/>
        </w:rPr>
        <w:t>V1.2</w:t>
      </w:r>
      <w:r>
        <w:rPr>
          <w:spacing w:val="-2"/>
        </w:rPr>
        <w:t>版的开发，对应完成</w:t>
      </w:r>
      <w:r>
        <w:rPr>
          <w:rFonts w:ascii="宋体" w:hAnsi="宋体" w:cs="宋体" w:eastAsia="宋体" w:hint="default"/>
          <w:spacing w:val="-2"/>
        </w:rPr>
        <w:t>12</w:t>
      </w:r>
      <w:r>
        <w:rPr>
          <w:spacing w:val="-2"/>
        </w:rPr>
        <w:t>册教材资源的制作，</w:t>
      </w:r>
      <w:r>
        <w:rPr>
          <w:w w:val="100"/>
        </w:rPr>
        <w:t> </w:t>
      </w:r>
      <w:r>
        <w:rPr>
          <w:spacing w:val="-2"/>
        </w:rPr>
        <w:t>并已发布上线。该产品分为点读模式和游戏模式两种学习路径，产品内可进行一键切换。该产品可安装在</w:t>
      </w:r>
      <w:r>
        <w:rPr>
          <w:spacing w:val="-43"/>
        </w:rPr>
        <w:t> </w:t>
      </w:r>
      <w:r>
        <w:rPr>
          <w:spacing w:val="-43"/>
        </w:rPr>
      </w:r>
      <w:r>
        <w:rPr/>
        <w:t>各类</w:t>
      </w:r>
      <w:r>
        <w:rPr>
          <w:rFonts w:ascii="宋体" w:hAnsi="宋体" w:cs="宋体" w:eastAsia="宋体" w:hint="default"/>
        </w:rPr>
        <w:t>Android</w:t>
      </w:r>
      <w:r>
        <w:rPr/>
        <w:t>系统的手机或平板上，是目前市场上“点读机”的替代产品。</w:t>
      </w:r>
    </w:p>
    <w:p>
      <w:pPr>
        <w:pStyle w:val="BodyText"/>
        <w:spacing w:line="314" w:lineRule="auto" w:before="17"/>
        <w:ind w:left="153" w:right="106" w:firstLine="525"/>
        <w:jc w:val="left"/>
      </w:pPr>
      <w:r>
        <w:rPr>
          <w:rFonts w:ascii="宋体" w:hAnsi="宋体" w:cs="宋体" w:eastAsia="宋体" w:hint="default"/>
        </w:rPr>
        <w:t>(2)</w:t>
      </w:r>
      <w:r>
        <w:rPr/>
        <w:t>、完成“同步练”</w:t>
      </w:r>
      <w:r>
        <w:rPr>
          <w:rFonts w:ascii="宋体" w:hAnsi="宋体" w:cs="宋体" w:eastAsia="宋体" w:hint="default"/>
        </w:rPr>
        <w:t>demo</w:t>
      </w:r>
      <w:r>
        <w:rPr/>
        <w:t>的研究与开发。该</w:t>
      </w:r>
      <w:r>
        <w:rPr>
          <w:rFonts w:ascii="宋体" w:hAnsi="宋体" w:cs="宋体" w:eastAsia="宋体" w:hint="default"/>
        </w:rPr>
        <w:t>APP</w:t>
      </w:r>
      <w:r>
        <w:rPr/>
        <w:t>计划与教辅书商进行合作，以扫描知识点或习题对</w:t>
      </w:r>
      <w:r>
        <w:rPr>
          <w:spacing w:val="-3"/>
          <w:w w:val="100"/>
        </w:rPr>
        <w:t> </w:t>
      </w:r>
      <w:r>
        <w:rPr>
          <w:spacing w:val="-5"/>
        </w:rPr>
        <w:t>应的二维码为搜索请求，智能匹配相关的解题、微视频等碎片化学习资源，辅助学生进行相关的延伸学习。</w:t>
      </w:r>
    </w:p>
    <w:p>
      <w:pPr>
        <w:spacing w:line="240" w:lineRule="auto" w:before="0"/>
        <w:rPr>
          <w:rFonts w:ascii="宋体" w:hAnsi="宋体" w:cs="宋体" w:eastAsia="宋体" w:hint="default"/>
          <w:sz w:val="27"/>
          <w:szCs w:val="27"/>
        </w:rPr>
      </w:pPr>
    </w:p>
    <w:p>
      <w:pPr>
        <w:pStyle w:val="Heading5"/>
        <w:spacing w:line="240" w:lineRule="auto"/>
        <w:ind w:left="575" w:right="106"/>
        <w:jc w:val="left"/>
        <w:rPr>
          <w:b w:val="0"/>
          <w:bCs w:val="0"/>
        </w:rPr>
      </w:pPr>
      <w:r>
        <w:rPr>
          <w:rFonts w:ascii="Times New Roman" w:hAnsi="Times New Roman" w:cs="Times New Roman" w:eastAsia="Times New Roman" w:hint="default"/>
        </w:rPr>
        <w:t>3</w:t>
      </w:r>
      <w:r>
        <w:rPr/>
        <w:t>、募投项目方面</w:t>
      </w:r>
      <w:r>
        <w:rPr>
          <w:b w:val="0"/>
          <w:bCs w:val="0"/>
        </w:rPr>
      </w:r>
    </w:p>
    <w:p>
      <w:pPr>
        <w:pStyle w:val="BodyText"/>
        <w:spacing w:line="312" w:lineRule="auto" w:before="45"/>
        <w:ind w:left="572" w:right="106"/>
        <w:jc w:val="left"/>
      </w:pPr>
      <w:r>
        <w:rPr>
          <w:rFonts w:ascii="宋体" w:hAnsi="宋体" w:cs="宋体" w:eastAsia="宋体" w:hint="default"/>
        </w:rPr>
        <w:t>2014</w:t>
      </w:r>
      <w:r>
        <w:rPr/>
        <w:t>年，募投项目按照项目计划进度全面进行，募集资金使用情况如下：</w:t>
      </w:r>
      <w:r>
        <w:rPr>
          <w:w w:val="100"/>
        </w:rPr>
        <w:t> </w:t>
      </w:r>
      <w:r>
        <w:rPr>
          <w:spacing w:val="-2"/>
        </w:rPr>
        <w:t>截止本报告期，公司累计投入募集资金</w:t>
      </w:r>
      <w:r>
        <w:rPr>
          <w:rFonts w:ascii="宋体" w:hAnsi="宋体" w:cs="宋体" w:eastAsia="宋体" w:hint="default"/>
          <w:spacing w:val="-2"/>
        </w:rPr>
        <w:t>15,035.32</w:t>
      </w:r>
      <w:r>
        <w:rPr>
          <w:spacing w:val="-2"/>
        </w:rPr>
        <w:t>万元。其中用于中小学英语同步教育软件升级及新</w:t>
      </w:r>
    </w:p>
    <w:p>
      <w:pPr>
        <w:pStyle w:val="BodyText"/>
        <w:spacing w:line="314" w:lineRule="auto" w:before="22"/>
        <w:ind w:right="106"/>
        <w:jc w:val="left"/>
      </w:pPr>
      <w:r>
        <w:rPr>
          <w:spacing w:val="-2"/>
        </w:rPr>
        <w:t>版本开发项目</w:t>
      </w:r>
      <w:r>
        <w:rPr>
          <w:rFonts w:ascii="宋体" w:hAnsi="宋体" w:cs="宋体" w:eastAsia="宋体" w:hint="default"/>
          <w:spacing w:val="-2"/>
        </w:rPr>
        <w:t>3,197.63</w:t>
      </w:r>
      <w:r>
        <w:rPr>
          <w:spacing w:val="-2"/>
        </w:rPr>
        <w:t>万元，中小学多学科（不含英语）同步教育软件项目</w:t>
      </w:r>
      <w:r>
        <w:rPr>
          <w:rFonts w:ascii="宋体" w:hAnsi="宋体" w:cs="宋体" w:eastAsia="宋体" w:hint="default"/>
          <w:spacing w:val="-2"/>
        </w:rPr>
        <w:t>1,346.82</w:t>
      </w:r>
      <w:r>
        <w:rPr>
          <w:spacing w:val="-2"/>
        </w:rPr>
        <w:t>万元，研发中心建设</w:t>
      </w:r>
      <w:r>
        <w:rPr>
          <w:spacing w:val="-36"/>
        </w:rPr>
        <w:t> </w:t>
      </w:r>
      <w:r>
        <w:rPr>
          <w:spacing w:val="-36"/>
        </w:rPr>
      </w:r>
      <w:r>
        <w:rPr/>
        <w:t>项目</w:t>
      </w:r>
      <w:r>
        <w:rPr>
          <w:rFonts w:ascii="宋体" w:hAnsi="宋体" w:cs="宋体" w:eastAsia="宋体" w:hint="default"/>
        </w:rPr>
        <w:t>724.28</w:t>
      </w:r>
      <w:r>
        <w:rPr/>
        <w:t>万元，营销服务中心建设项目</w:t>
      </w:r>
      <w:r>
        <w:rPr>
          <w:rFonts w:ascii="宋体" w:hAnsi="宋体" w:cs="宋体" w:eastAsia="宋体" w:hint="default"/>
        </w:rPr>
        <w:t>2,361.23</w:t>
      </w:r>
      <w:r>
        <w:rPr/>
        <w:t>万元</w:t>
      </w:r>
      <w:r>
        <w:rPr>
          <w:rFonts w:ascii="宋体" w:hAnsi="宋体" w:cs="宋体" w:eastAsia="宋体" w:hint="default"/>
        </w:rPr>
        <w:t>,</w:t>
      </w:r>
      <w:r>
        <w:rPr/>
        <w:t>其他与主营业务相关的营运资金项目</w:t>
      </w:r>
      <w:r>
        <w:rPr>
          <w:rFonts w:ascii="宋体" w:hAnsi="宋体" w:cs="宋体" w:eastAsia="宋体" w:hint="default"/>
        </w:rPr>
        <w:t>7,405.36</w:t>
      </w:r>
      <w:r>
        <w:rPr/>
        <w:t>万</w:t>
      </w:r>
      <w:r>
        <w:rPr>
          <w:w w:val="100"/>
        </w:rPr>
        <w:t> </w:t>
      </w:r>
      <w:r>
        <w:rPr/>
        <w:t>元。</w:t>
      </w:r>
    </w:p>
    <w:p>
      <w:pPr>
        <w:pStyle w:val="BodyText"/>
        <w:spacing w:line="314" w:lineRule="auto" w:before="17"/>
        <w:ind w:right="207" w:firstLine="420"/>
        <w:jc w:val="both"/>
      </w:pPr>
      <w:r>
        <w:rPr>
          <w:spacing w:val="-2"/>
        </w:rPr>
        <w:t>本报告期内，公司将营销服务中心建设项目进行结项，为了更好地发挥募集资金的效能，提高资金的</w:t>
      </w:r>
      <w:r>
        <w:rPr>
          <w:w w:val="100"/>
        </w:rPr>
        <w:t> </w:t>
      </w:r>
      <w:r>
        <w:rPr>
          <w:spacing w:val="-2"/>
        </w:rPr>
        <w:t>使用效率，实现股东利益最大化，根据《深圳证券交易所创业板上市公司规范运作指引》等法律法规及规</w:t>
      </w:r>
      <w:r>
        <w:rPr>
          <w:spacing w:val="-47"/>
        </w:rPr>
        <w:t> </w:t>
      </w:r>
      <w:r>
        <w:rPr>
          <w:spacing w:val="-47"/>
        </w:rPr>
      </w:r>
      <w:r>
        <w:rPr/>
        <w:t>范性文件的规定，将该项目结余募集资金转回超募资金专户管理。</w:t>
      </w:r>
    </w:p>
    <w:p>
      <w:pPr>
        <w:pStyle w:val="BodyText"/>
        <w:spacing w:line="314" w:lineRule="auto" w:before="20"/>
        <w:ind w:right="106" w:firstLine="419"/>
        <w:jc w:val="left"/>
      </w:pPr>
      <w:r>
        <w:rPr>
          <w:rFonts w:ascii="宋体" w:hAnsi="宋体" w:cs="宋体" w:eastAsia="宋体" w:hint="default"/>
        </w:rPr>
        <w:t>2015</w:t>
      </w:r>
      <w:r>
        <w:rPr>
          <w:rFonts w:ascii="宋体" w:hAnsi="宋体" w:cs="宋体" w:eastAsia="宋体" w:hint="default"/>
          <w:spacing w:val="-4"/>
        </w:rPr>
        <w:t> </w:t>
      </w:r>
      <w:r>
        <w:rPr/>
        <w:t>年公司将严格按照中国证监会和深交所的各项规定，规范、有效地使用募集资金，积极推进募</w:t>
      </w:r>
      <w:r>
        <w:rPr>
          <w:w w:val="100"/>
        </w:rPr>
        <w:t> </w:t>
      </w:r>
      <w:r>
        <w:rPr>
          <w:spacing w:val="-5"/>
        </w:rPr>
        <w:t>投项目建设，加强和完善公司的产品和市场能力，努力提高募集资金使用效率，尽快使募投项目产生效益。 </w:t>
      </w:r>
      <w:r>
        <w:rPr>
          <w:spacing w:val="-5"/>
        </w:rPr>
      </w:r>
      <w:r>
        <w:rPr/>
        <w:t>同时，公司将合理安排自有资金，保障公司未来发展资金需求，为公司的长远发展奠定基础。</w:t>
      </w:r>
    </w:p>
    <w:p>
      <w:pPr>
        <w:spacing w:line="240" w:lineRule="auto" w:before="0"/>
        <w:rPr>
          <w:rFonts w:ascii="宋体" w:hAnsi="宋体" w:cs="宋体" w:eastAsia="宋体" w:hint="default"/>
          <w:sz w:val="27"/>
          <w:szCs w:val="27"/>
        </w:rPr>
      </w:pPr>
    </w:p>
    <w:p>
      <w:pPr>
        <w:pStyle w:val="BodyText"/>
        <w:spacing w:line="276" w:lineRule="auto"/>
        <w:ind w:left="572" w:right="106" w:firstLine="2"/>
        <w:jc w:val="left"/>
      </w:pPr>
      <w:r>
        <w:rPr>
          <w:rFonts w:ascii="Times New Roman" w:hAnsi="Times New Roman" w:cs="Times New Roman" w:eastAsia="Times New Roman" w:hint="default"/>
          <w:b/>
          <w:bCs/>
        </w:rPr>
        <w:t>4</w:t>
      </w:r>
      <w:r>
        <w:rPr>
          <w:rFonts w:ascii="宋体" w:hAnsi="宋体" w:cs="宋体" w:eastAsia="宋体" w:hint="default"/>
          <w:b/>
          <w:bCs/>
        </w:rPr>
        <w:t>、人才建设方面</w:t>
      </w:r>
      <w:r>
        <w:rPr>
          <w:rFonts w:ascii="宋体" w:hAnsi="宋体" w:cs="宋体" w:eastAsia="宋体" w:hint="default"/>
          <w:b/>
          <w:bCs/>
          <w:w w:val="100"/>
        </w:rPr>
        <w:t> </w:t>
      </w:r>
      <w:r>
        <w:rPr>
          <w:spacing w:val="-2"/>
        </w:rPr>
        <w:t>报告期内，公司完善了人力选拔与培养体系，加大了对核心人才的投入力度，建立了人才能力提升与</w:t>
      </w:r>
    </w:p>
    <w:p>
      <w:pPr>
        <w:pStyle w:val="BodyText"/>
        <w:spacing w:line="314" w:lineRule="auto" w:before="51"/>
        <w:ind w:right="185"/>
        <w:jc w:val="both"/>
      </w:pPr>
      <w:r>
        <w:rPr>
          <w:spacing w:val="-2"/>
        </w:rPr>
        <w:t>培养的任职资格管理体系。在人才引进方面，加大了对高层次人才和互联网人才的引进力度；在人才培养</w:t>
      </w:r>
      <w:r>
        <w:rPr>
          <w:spacing w:val="-45"/>
        </w:rPr>
        <w:t> </w:t>
      </w:r>
      <w:r>
        <w:rPr>
          <w:spacing w:val="-45"/>
        </w:rPr>
      </w:r>
      <w:r>
        <w:rPr>
          <w:spacing w:val="-2"/>
        </w:rPr>
        <w:t>方面，建立科学的培训管理体系，注重员工能力水平的提升。在人才激励方面，执行差异化的薪酬策略，</w:t>
      </w:r>
      <w:r>
        <w:rPr>
          <w:spacing w:val="-21"/>
        </w:rPr>
        <w:t> </w:t>
      </w:r>
      <w:r>
        <w:rPr>
          <w:spacing w:val="-21"/>
        </w:rPr>
      </w:r>
      <w:r>
        <w:rPr>
          <w:spacing w:val="-2"/>
        </w:rPr>
        <w:t>对有责任心，敢担当的员工加大激励措施。在人才梯队建设方面，通过传、帮、带的举措，形成有效的技</w:t>
      </w:r>
      <w:r>
        <w:rPr>
          <w:spacing w:val="-42"/>
        </w:rPr>
        <w:t> </w:t>
      </w:r>
      <w:r>
        <w:rPr>
          <w:spacing w:val="-42"/>
        </w:rPr>
      </w:r>
      <w:r>
        <w:rPr/>
        <w:t>术和管理梯队。</w:t>
      </w:r>
    </w:p>
    <w:p>
      <w:pPr>
        <w:spacing w:line="240" w:lineRule="auto" w:before="0"/>
        <w:rPr>
          <w:rFonts w:ascii="宋体" w:hAnsi="宋体" w:cs="宋体" w:eastAsia="宋体" w:hint="default"/>
          <w:sz w:val="27"/>
          <w:szCs w:val="27"/>
        </w:rPr>
      </w:pPr>
    </w:p>
    <w:p>
      <w:pPr>
        <w:pStyle w:val="BodyText"/>
        <w:spacing w:line="278" w:lineRule="auto"/>
        <w:ind w:left="572" w:right="106" w:firstLine="2"/>
        <w:jc w:val="left"/>
      </w:pPr>
      <w:r>
        <w:rPr>
          <w:rFonts w:ascii="Times New Roman" w:hAnsi="Times New Roman" w:cs="Times New Roman" w:eastAsia="Times New Roman" w:hint="default"/>
          <w:b/>
          <w:bCs/>
        </w:rPr>
        <w:t>5</w:t>
      </w:r>
      <w:r>
        <w:rPr>
          <w:rFonts w:ascii="宋体" w:hAnsi="宋体" w:cs="宋体" w:eastAsia="宋体" w:hint="default"/>
          <w:b/>
          <w:bCs/>
        </w:rPr>
        <w:t>、公司治理方面</w:t>
      </w:r>
      <w:r>
        <w:rPr>
          <w:rFonts w:ascii="宋体" w:hAnsi="宋体" w:cs="宋体" w:eastAsia="宋体" w:hint="default"/>
          <w:b/>
          <w:bCs/>
          <w:w w:val="100"/>
        </w:rPr>
        <w:t> </w:t>
      </w:r>
      <w:r>
        <w:rPr>
          <w:spacing w:val="-2"/>
        </w:rPr>
        <w:t>报告期内，公司构建了完善的法人治理体系，公司股东大会、董事会、监事会和总经理办公会议按照</w:t>
      </w:r>
    </w:p>
    <w:p>
      <w:pPr>
        <w:pStyle w:val="BodyText"/>
        <w:spacing w:line="314" w:lineRule="auto" w:before="49"/>
        <w:ind w:right="206"/>
        <w:jc w:val="both"/>
      </w:pPr>
      <w:r>
        <w:rPr>
          <w:spacing w:val="-2"/>
        </w:rPr>
        <w:t>公司制度进行投资、管理和经营决策与监督，董事会三大专门委员会规范运作，“三会”信息和重大信息</w:t>
      </w:r>
      <w:r>
        <w:rPr>
          <w:spacing w:val="-47"/>
        </w:rPr>
        <w:t> </w:t>
      </w:r>
      <w:r>
        <w:rPr>
          <w:spacing w:val="-47"/>
        </w:rPr>
      </w:r>
      <w:r>
        <w:rPr>
          <w:spacing w:val="-2"/>
        </w:rPr>
        <w:t>及时披露，审计工作及平安证券持续督导工作促进了内控规范和财务管理水平的提高，体现了公司治理水</w:t>
      </w:r>
      <w:r>
        <w:rPr>
          <w:spacing w:val="-42"/>
        </w:rPr>
        <w:t> </w:t>
      </w:r>
      <w:r>
        <w:rPr>
          <w:spacing w:val="-42"/>
        </w:rPr>
      </w:r>
      <w:r>
        <w:rPr>
          <w:spacing w:val="-2"/>
        </w:rPr>
        <w:t>平的不断提高。在公司董事会领导下，经理层加强规范管理、建章立制、内控治理、学习培训等规范工作</w:t>
      </w:r>
      <w:r>
        <w:rPr>
          <w:spacing w:val="-43"/>
        </w:rPr>
        <w:t> </w:t>
      </w:r>
      <w:r>
        <w:rPr>
          <w:spacing w:val="-43"/>
        </w:rPr>
      </w:r>
      <w:r>
        <w:rPr>
          <w:spacing w:val="-2"/>
        </w:rPr>
        <w:t>力度。公司各部门制度的制定和完善，促进了公司规范和发展。公司高管培训、加强内幕交易防控工作培</w:t>
      </w:r>
      <w:r>
        <w:rPr>
          <w:spacing w:val="-50"/>
        </w:rPr>
        <w:t> </w:t>
      </w:r>
      <w:r>
        <w:rPr>
          <w:spacing w:val="-50"/>
        </w:rPr>
      </w:r>
      <w:r>
        <w:rPr>
          <w:spacing w:val="-2"/>
        </w:rPr>
        <w:t>训、创业板信息披露业务备忘录培训、研发部门的技能培训、财务部内控培训等各类培训加深了管理人员</w:t>
      </w:r>
      <w:r>
        <w:rPr>
          <w:spacing w:val="-43"/>
        </w:rPr>
        <w:t> </w:t>
      </w:r>
      <w:r>
        <w:rPr>
          <w:spacing w:val="-43"/>
        </w:rPr>
      </w:r>
      <w:r>
        <w:rPr/>
        <w:t>对公司法人治理结构的认识，提高了管理水平和知识技能。</w:t>
      </w:r>
    </w:p>
    <w:p>
      <w:pPr>
        <w:spacing w:line="240" w:lineRule="auto" w:before="0"/>
        <w:rPr>
          <w:rFonts w:ascii="宋体" w:hAnsi="宋体" w:cs="宋体" w:eastAsia="宋体" w:hint="default"/>
          <w:sz w:val="27"/>
          <w:szCs w:val="27"/>
        </w:rPr>
      </w:pPr>
    </w:p>
    <w:p>
      <w:pPr>
        <w:pStyle w:val="Heading5"/>
        <w:spacing w:line="240" w:lineRule="auto"/>
        <w:ind w:left="575" w:right="106"/>
        <w:jc w:val="left"/>
        <w:rPr>
          <w:b w:val="0"/>
          <w:bCs w:val="0"/>
        </w:rPr>
      </w:pPr>
      <w:r>
        <w:rPr>
          <w:rFonts w:ascii="Times New Roman" w:hAnsi="Times New Roman" w:cs="Times New Roman" w:eastAsia="Times New Roman" w:hint="default"/>
        </w:rPr>
        <w:t>6</w:t>
      </w:r>
      <w:r>
        <w:rPr/>
        <w:t>、公司资质及荣誉方面</w:t>
      </w:r>
      <w:r>
        <w:rPr>
          <w:b w:val="0"/>
          <w:bCs w:val="0"/>
        </w:rPr>
      </w:r>
    </w:p>
    <w:p>
      <w:pPr>
        <w:pStyle w:val="BodyText"/>
        <w:spacing w:line="240" w:lineRule="auto" w:before="45"/>
        <w:ind w:left="572" w:right="106"/>
        <w:jc w:val="left"/>
      </w:pPr>
      <w:r>
        <w:rPr/>
        <w:t>公司申请办理“软件企业”、“国家高新企业”、“国家动漫企业”</w:t>
      </w:r>
      <w:r>
        <w:rPr>
          <w:spacing w:val="-12"/>
        </w:rPr>
        <w:t> </w:t>
      </w:r>
      <w:r>
        <w:rPr/>
        <w:t>、“深圳知名品牌”、“深圳</w:t>
      </w:r>
    </w:p>
    <w:p>
      <w:pPr>
        <w:spacing w:after="0" w:line="240" w:lineRule="auto"/>
        <w:jc w:val="left"/>
        <w:sectPr>
          <w:pgSz w:w="11910" w:h="16840"/>
          <w:pgMar w:header="748" w:footer="982" w:top="1060" w:bottom="1180" w:left="980" w:right="920"/>
        </w:sectPr>
      </w:pPr>
    </w:p>
    <w:p>
      <w:pPr>
        <w:spacing w:line="240" w:lineRule="auto" w:before="6"/>
        <w:rPr>
          <w:rFonts w:ascii="宋体" w:hAnsi="宋体" w:cs="宋体" w:eastAsia="宋体" w:hint="default"/>
          <w:sz w:val="26"/>
          <w:szCs w:val="26"/>
        </w:rPr>
      </w:pPr>
    </w:p>
    <w:p>
      <w:pPr>
        <w:pStyle w:val="BodyText"/>
        <w:spacing w:line="312" w:lineRule="auto" w:before="36"/>
        <w:ind w:right="106"/>
        <w:jc w:val="left"/>
      </w:pPr>
      <w:r>
        <w:rPr/>
        <w:t>市南山区领军企业”复审、年审。荣获深圳市 “深圳市</w:t>
      </w:r>
      <w:r>
        <w:rPr>
          <w:rFonts w:ascii="宋体" w:hAnsi="宋体" w:cs="宋体" w:eastAsia="宋体" w:hint="default"/>
        </w:rPr>
        <w:t>2013</w:t>
      </w:r>
      <w:r>
        <w:rPr/>
        <w:t>年优秀软件企业”、</w:t>
      </w:r>
      <w:r>
        <w:rPr>
          <w:spacing w:val="-31"/>
        </w:rPr>
        <w:t> </w:t>
      </w:r>
      <w:r>
        <w:rPr/>
        <w:t>“深圳市文化创意产业</w:t>
      </w:r>
      <w:r>
        <w:rPr>
          <w:spacing w:val="-3"/>
          <w:w w:val="100"/>
        </w:rPr>
        <w:t> </w:t>
      </w:r>
      <w:r>
        <w:rPr>
          <w:spacing w:val="-2"/>
        </w:rPr>
        <w:t>百强企业”、“</w:t>
      </w:r>
      <w:r>
        <w:rPr>
          <w:rFonts w:ascii="宋体" w:hAnsi="宋体" w:cs="宋体" w:eastAsia="宋体" w:hint="default"/>
          <w:spacing w:val="-2"/>
        </w:rPr>
        <w:t>2013</w:t>
      </w:r>
      <w:r>
        <w:rPr>
          <w:spacing w:val="-2"/>
        </w:rPr>
        <w:t>年深圳市重点软件企业”、“增值电线业务经营许可证”。并取得了第</w:t>
      </w:r>
      <w:r>
        <w:rPr>
          <w:rFonts w:ascii="宋体" w:hAnsi="宋体" w:cs="宋体" w:eastAsia="宋体" w:hint="default"/>
          <w:spacing w:val="-2"/>
        </w:rPr>
        <w:t>16</w:t>
      </w:r>
      <w:r>
        <w:rPr>
          <w:spacing w:val="-2"/>
        </w:rPr>
        <w:t>类商标</w:t>
      </w:r>
      <w:r>
        <w:rPr>
          <w:rFonts w:ascii="宋体" w:hAnsi="宋体" w:cs="宋体" w:eastAsia="宋体" w:hint="default"/>
          <w:spacing w:val="-2"/>
        </w:rPr>
        <w:t>2</w:t>
      </w:r>
      <w:r>
        <w:rPr>
          <w:spacing w:val="-2"/>
        </w:rPr>
        <w:t>个；</w:t>
      </w:r>
      <w:r>
        <w:rPr>
          <w:spacing w:val="-35"/>
        </w:rPr>
        <w:t> </w:t>
      </w:r>
      <w:r>
        <w:rPr/>
        <w:t>软件企业登记证书复审</w:t>
      </w:r>
      <w:r>
        <w:rPr>
          <w:rFonts w:ascii="宋体" w:hAnsi="宋体" w:cs="宋体" w:eastAsia="宋体" w:hint="default"/>
        </w:rPr>
        <w:t>9</w:t>
      </w:r>
      <w:r>
        <w:rPr/>
        <w:t>项、新申请通过</w:t>
      </w:r>
      <w:r>
        <w:rPr>
          <w:rFonts w:ascii="宋体" w:hAnsi="宋体" w:cs="宋体" w:eastAsia="宋体" w:hint="default"/>
        </w:rPr>
        <w:t>4</w:t>
      </w:r>
      <w:r>
        <w:rPr/>
        <w:t>项；著作权已申请通过</w:t>
      </w:r>
      <w:r>
        <w:rPr>
          <w:rFonts w:ascii="宋体" w:hAnsi="宋体" w:cs="宋体" w:eastAsia="宋体" w:hint="default"/>
        </w:rPr>
        <w:t>8</w:t>
      </w:r>
      <w:r>
        <w:rPr>
          <w:rFonts w:ascii="宋体" w:hAnsi="宋体" w:cs="宋体" w:eastAsia="宋体" w:hint="default"/>
          <w:spacing w:val="-30"/>
        </w:rPr>
        <w:t> </w:t>
      </w:r>
      <w:r>
        <w:rPr/>
        <w:t>项；参加第十八届中国国际软件博览会</w:t>
      </w:r>
      <w:r>
        <w:rPr>
          <w:spacing w:val="-3"/>
          <w:w w:val="100"/>
        </w:rPr>
        <w:t> </w:t>
      </w:r>
      <w:r>
        <w:rPr>
          <w:spacing w:val="-2"/>
        </w:rPr>
        <w:t>凭借《方直金太阳教育软件》客户端产品取得“第十八届中国国际软件博览会金奖”荣誉；荣获“</w:t>
      </w:r>
      <w:r>
        <w:rPr>
          <w:rFonts w:ascii="宋体" w:hAnsi="宋体" w:cs="宋体" w:eastAsia="宋体" w:hint="default"/>
          <w:spacing w:val="-2"/>
        </w:rPr>
        <w:t>2014</w:t>
      </w:r>
      <w:r>
        <w:rPr>
          <w:spacing w:val="-2"/>
        </w:rPr>
        <w:t>年</w:t>
      </w:r>
    </w:p>
    <w:p>
      <w:pPr>
        <w:pStyle w:val="BodyText"/>
        <w:spacing w:line="314" w:lineRule="auto" w:before="22"/>
        <w:ind w:right="106"/>
        <w:jc w:val="left"/>
      </w:pPr>
      <w:r>
        <w:rPr/>
        <w:t>（七届）中国软件和信息服务业企业信用等级评价</w:t>
      </w:r>
      <w:r>
        <w:rPr>
          <w:rFonts w:ascii="宋体" w:hAnsi="宋体" w:cs="宋体" w:eastAsia="宋体" w:hint="default"/>
        </w:rPr>
        <w:t>AAA</w:t>
      </w:r>
      <w:r>
        <w:rPr/>
        <w:t>级企业”，公司将会进一步积极参与信用建设，对</w:t>
      </w:r>
      <w:r>
        <w:rPr>
          <w:w w:val="100"/>
        </w:rPr>
        <w:t> </w:t>
      </w:r>
      <w:r>
        <w:rPr>
          <w:spacing w:val="-2"/>
        </w:rPr>
        <w:t>照标准严格要求，不断改进和提高自身水平，时刻保持诚信自律，在行业中起到表率和示范作用，经得起</w:t>
      </w:r>
      <w:r>
        <w:rPr>
          <w:spacing w:val="-50"/>
        </w:rPr>
        <w:t> </w:t>
      </w:r>
      <w:r>
        <w:rPr>
          <w:spacing w:val="-50"/>
        </w:rPr>
      </w:r>
      <w:r>
        <w:rPr>
          <w:spacing w:val="-2"/>
        </w:rPr>
        <w:t>时间和市场的检验，为全行业的和谐和发展做出新贡献。荣获“深圳市南山区第八批高层次创新型人才实</w:t>
      </w:r>
      <w:r>
        <w:rPr>
          <w:spacing w:val="-44"/>
        </w:rPr>
        <w:t> </w:t>
      </w:r>
      <w:r>
        <w:rPr>
          <w:spacing w:val="-44"/>
        </w:rPr>
      </w:r>
      <w:r>
        <w:rPr>
          <w:spacing w:val="-5"/>
        </w:rPr>
        <w:t>训基地”，将会进一步拓展人才引进、培养渠道，提高人才与企业的磨合效率，营造良好的人才集聚环境，</w:t>
      </w:r>
      <w:r>
        <w:rPr>
          <w:spacing w:val="-8"/>
        </w:rPr>
        <w:t> </w:t>
      </w:r>
      <w:r>
        <w:rPr>
          <w:spacing w:val="-8"/>
        </w:rPr>
      </w:r>
      <w:r>
        <w:rPr/>
        <w:t>推动企业自主创新体系的不断发展与进步；</w:t>
      </w:r>
      <w:r>
        <w:rPr>
          <w:rFonts w:ascii="宋体" w:hAnsi="宋体" w:cs="宋体" w:eastAsia="宋体" w:hint="default"/>
        </w:rPr>
        <w:t>2015</w:t>
      </w:r>
      <w:r>
        <w:rPr/>
        <w:t>年</w:t>
      </w:r>
      <w:r>
        <w:rPr>
          <w:rFonts w:ascii="宋体" w:hAnsi="宋体" w:cs="宋体" w:eastAsia="宋体" w:hint="default"/>
        </w:rPr>
        <w:t>1</w:t>
      </w:r>
      <w:r>
        <w:rPr/>
        <w:t>月，湖南第一师范学院实践教学基地授牌仪式在深圳</w:t>
      </w:r>
      <w:r>
        <w:rPr>
          <w:w w:val="100"/>
        </w:rPr>
        <w:t> </w:t>
      </w:r>
      <w:r>
        <w:rPr/>
        <w:t>市方直科技股份有限公司长沙分公司会议室圆满落幕，这标志着我司与湖南第一师范学院的“校企合作”</w:t>
      </w:r>
      <w:r>
        <w:rPr>
          <w:w w:val="100"/>
        </w:rPr>
        <w:t> </w:t>
      </w:r>
      <w:r>
        <w:rPr>
          <w:spacing w:val="-5"/>
        </w:rPr>
        <w:t>模式正式启动。同时公司在上缴税收、吸收就业、劳动保障等方面认真履行社会责任，做出了一定的贡献，</w:t>
      </w:r>
      <w:r>
        <w:rPr>
          <w:spacing w:val="-9"/>
        </w:rPr>
        <w:t> </w:t>
      </w:r>
      <w:r>
        <w:rPr>
          <w:spacing w:val="-9"/>
        </w:rPr>
      </w:r>
      <w:r>
        <w:rPr/>
        <w:t>同时促进了公司的发展。</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34"/>
        <w:ind w:right="106"/>
        <w:jc w:val="left"/>
        <w:rPr>
          <w:b w:val="0"/>
          <w:bCs w:val="0"/>
        </w:rPr>
      </w:pPr>
      <w:bookmarkStart w:name="2、报告期内主要经营情况" w:id="21"/>
      <w:bookmarkEnd w:id="21"/>
      <w:r>
        <w:rPr>
          <w:b w:val="0"/>
          <w:bCs w:val="0"/>
        </w:rPr>
      </w:r>
      <w:r>
        <w:rPr>
          <w:rFonts w:ascii="Times New Roman" w:hAnsi="Times New Roman" w:cs="Times New Roman" w:eastAsia="Times New Roman" w:hint="default"/>
        </w:rPr>
        <w:t>2</w:t>
      </w:r>
      <w:r>
        <w:rPr/>
        <w:t>、报告期内主要经营情况</w:t>
      </w:r>
      <w:r>
        <w:rPr>
          <w:b w:val="0"/>
          <w:bCs w:val="0"/>
        </w:rPr>
      </w:r>
    </w:p>
    <w:p>
      <w:pPr>
        <w:spacing w:line="240" w:lineRule="auto" w:before="0"/>
        <w:rPr>
          <w:rFonts w:ascii="宋体" w:hAnsi="宋体" w:cs="宋体" w:eastAsia="宋体" w:hint="default"/>
          <w:b/>
          <w:bCs/>
          <w:sz w:val="22"/>
          <w:szCs w:val="22"/>
        </w:rPr>
      </w:pPr>
    </w:p>
    <w:p>
      <w:pPr>
        <w:spacing w:line="240" w:lineRule="auto" w:before="9"/>
        <w:rPr>
          <w:rFonts w:ascii="宋体" w:hAnsi="宋体" w:cs="宋体" w:eastAsia="宋体" w:hint="default"/>
          <w:b/>
          <w:bCs/>
          <w:sz w:val="25"/>
          <w:szCs w:val="25"/>
        </w:rPr>
      </w:pPr>
    </w:p>
    <w:p>
      <w:pPr>
        <w:pStyle w:val="Heading5"/>
        <w:spacing w:line="240" w:lineRule="auto"/>
        <w:ind w:right="106"/>
        <w:jc w:val="left"/>
        <w:rPr>
          <w:b w:val="0"/>
          <w:bCs w:val="0"/>
        </w:rPr>
      </w:pPr>
      <w:bookmarkStart w:name="（1）主营业务分析" w:id="22"/>
      <w:bookmarkEnd w:id="22"/>
      <w:r>
        <w:rPr>
          <w:b w:val="0"/>
          <w:bCs w:val="0"/>
        </w:rPr>
      </w:r>
      <w:r>
        <w:rPr/>
        <w:t>（</w:t>
      </w:r>
      <w:r>
        <w:rPr>
          <w:rFonts w:ascii="Times New Roman" w:hAnsi="Times New Roman" w:cs="Times New Roman" w:eastAsia="Times New Roman" w:hint="default"/>
        </w:rPr>
        <w:t>1</w:t>
      </w:r>
      <w:r>
        <w:rPr/>
        <w:t>）主营业务分析</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right="106"/>
        <w:jc w:val="left"/>
      </w:pPr>
      <w:r>
        <w:rPr>
          <w:rFonts w:ascii="Times New Roman" w:hAnsi="Times New Roman" w:cs="Times New Roman" w:eastAsia="Times New Roman" w:hint="default"/>
        </w:rPr>
        <w:t>1</w:t>
      </w:r>
      <w:r>
        <w:rPr/>
        <w:t>）概述</w:t>
      </w:r>
    </w:p>
    <w:p>
      <w:pPr>
        <w:pStyle w:val="BodyText"/>
        <w:spacing w:line="314" w:lineRule="auto" w:before="45"/>
        <w:ind w:left="153" w:right="106" w:firstLine="419"/>
        <w:jc w:val="left"/>
      </w:pPr>
      <w:r>
        <w:rPr>
          <w:spacing w:val="-5"/>
        </w:rPr>
        <w:t>目前金太阳教育软件是公司的主要产品。包括学生教材配套软件、教师用书配套软件及网络在线服务。</w:t>
      </w:r>
      <w:r>
        <w:rPr>
          <w:spacing w:val="-3"/>
          <w:w w:val="100"/>
        </w:rPr>
        <w:t> </w:t>
      </w:r>
      <w:r>
        <w:rPr/>
        <w:t>报告期内，公司主营业务未发生重大变化。</w:t>
      </w:r>
    </w:p>
    <w:p>
      <w:pPr>
        <w:pStyle w:val="BodyText"/>
        <w:spacing w:line="314" w:lineRule="auto" w:before="17"/>
        <w:ind w:left="153" w:right="106" w:firstLine="420"/>
        <w:jc w:val="left"/>
      </w:pPr>
      <w:r>
        <w:rPr>
          <w:rFonts w:ascii="宋体" w:hAnsi="宋体" w:cs="宋体" w:eastAsia="宋体" w:hint="default"/>
          <w:spacing w:val="-2"/>
        </w:rPr>
        <w:t>2014</w:t>
      </w:r>
      <w:r>
        <w:rPr>
          <w:spacing w:val="-2"/>
        </w:rPr>
        <w:t>年公司实现营业收入</w:t>
      </w:r>
      <w:r>
        <w:rPr>
          <w:rFonts w:ascii="宋体" w:hAnsi="宋体" w:cs="宋体" w:eastAsia="宋体" w:hint="default"/>
          <w:spacing w:val="-2"/>
        </w:rPr>
        <w:t>82,827,812.22</w:t>
      </w:r>
      <w:r>
        <w:rPr>
          <w:spacing w:val="-2"/>
        </w:rPr>
        <w:t>元，较去年同期增长</w:t>
      </w:r>
      <w:r>
        <w:rPr>
          <w:rFonts w:ascii="宋体" w:hAnsi="宋体" w:cs="宋体" w:eastAsia="宋体" w:hint="default"/>
          <w:spacing w:val="-2"/>
        </w:rPr>
        <w:t>10.31%</w:t>
      </w:r>
      <w:r>
        <w:rPr>
          <w:spacing w:val="-2"/>
        </w:rPr>
        <w:t>；营业利润</w:t>
      </w:r>
      <w:r>
        <w:rPr>
          <w:rFonts w:ascii="宋体" w:hAnsi="宋体" w:cs="宋体" w:eastAsia="宋体" w:hint="default"/>
          <w:spacing w:val="-2"/>
        </w:rPr>
        <w:t>18,530,428.52</w:t>
      </w:r>
      <w:r>
        <w:rPr>
          <w:spacing w:val="-2"/>
        </w:rPr>
        <w:t>元，较</w:t>
      </w:r>
      <w:r>
        <w:rPr>
          <w:spacing w:val="-8"/>
          <w:w w:val="100"/>
        </w:rPr>
        <w:t> </w:t>
      </w:r>
      <w:r>
        <w:rPr/>
        <w:t>去年同期增长</w:t>
      </w:r>
      <w:r>
        <w:rPr>
          <w:rFonts w:ascii="宋体" w:hAnsi="宋体" w:cs="宋体" w:eastAsia="宋体" w:hint="default"/>
        </w:rPr>
        <w:t>5.76%</w:t>
      </w:r>
      <w:r>
        <w:rPr/>
        <w:t>；净利润为</w:t>
      </w:r>
      <w:r>
        <w:rPr>
          <w:rFonts w:ascii="宋体" w:hAnsi="宋体" w:cs="宋体" w:eastAsia="宋体" w:hint="default"/>
        </w:rPr>
        <w:t>22,523,905.35</w:t>
      </w:r>
      <w:r>
        <w:rPr/>
        <w:t>元，较去年同期减少</w:t>
      </w:r>
      <w:r>
        <w:rPr>
          <w:rFonts w:ascii="宋体" w:hAnsi="宋体" w:cs="宋体" w:eastAsia="宋体" w:hint="default"/>
        </w:rPr>
        <w:t>3.38%</w:t>
      </w:r>
      <w:r>
        <w:rPr/>
        <w:t>。报告期内，在全体研发人员共</w:t>
      </w:r>
      <w:r>
        <w:rPr>
          <w:w w:val="100"/>
        </w:rPr>
        <w:t> </w:t>
      </w:r>
      <w:r>
        <w:rPr>
          <w:spacing w:val="-2"/>
        </w:rPr>
        <w:t>同努力下，按时完成了新旧产品的升级替换，及时满足了客户对新课标同步教材、教参配套软件的需求，</w:t>
      </w:r>
      <w:r>
        <w:rPr>
          <w:spacing w:val="-21"/>
        </w:rPr>
        <w:t> </w:t>
      </w:r>
      <w:r>
        <w:rPr>
          <w:spacing w:val="-21"/>
        </w:rPr>
      </w:r>
      <w:r>
        <w:rPr>
          <w:spacing w:val="-2"/>
        </w:rPr>
        <w:t>方直金太阳教育软件销售收入及技术服务收入较上年有所增长；但子公司的产品销售收入受到人、财、物</w:t>
      </w:r>
      <w:r>
        <w:rPr>
          <w:spacing w:val="-43"/>
        </w:rPr>
        <w:t> </w:t>
      </w:r>
      <w:r>
        <w:rPr>
          <w:spacing w:val="-43"/>
        </w:rPr>
      </w:r>
      <w:r>
        <w:rPr>
          <w:spacing w:val="-2"/>
        </w:rPr>
        <w:t>投入减少等不利因素的影响，较上年同期有所下降。综合以上原因本公司的合并报表收入较上年同期增长</w:t>
      </w:r>
      <w:r>
        <w:rPr>
          <w:spacing w:val="-44"/>
        </w:rPr>
        <w:t> </w:t>
      </w:r>
      <w:r>
        <w:rPr>
          <w:spacing w:val="-44"/>
        </w:rPr>
      </w:r>
      <w:r>
        <w:rPr>
          <w:rFonts w:ascii="宋体" w:hAnsi="宋体" w:cs="宋体" w:eastAsia="宋体" w:hint="default"/>
          <w:spacing w:val="-2"/>
        </w:rPr>
        <w:t>10.31%</w:t>
      </w:r>
      <w:r>
        <w:rPr>
          <w:spacing w:val="-2"/>
        </w:rPr>
        <w:t>。同时为加快网络在线教育的战略步伐，加大了对网络技术及运营管理人力的投入，导致销售和管</w:t>
      </w:r>
      <w:r>
        <w:rPr>
          <w:spacing w:val="-38"/>
        </w:rPr>
        <w:t> </w:t>
      </w:r>
      <w:r>
        <w:rPr>
          <w:spacing w:val="-38"/>
        </w:rPr>
      </w:r>
      <w:r>
        <w:rPr>
          <w:spacing w:val="-2"/>
        </w:rPr>
        <w:t>理费用同比增加较多。上述原因致使公司的营业利润虽略有上升，而全年营业外收入同比下降较多，最终</w:t>
      </w:r>
      <w:r>
        <w:rPr>
          <w:spacing w:val="-44"/>
        </w:rPr>
        <w:t> </w:t>
      </w:r>
      <w:r>
        <w:rPr>
          <w:spacing w:val="-44"/>
        </w:rPr>
      </w:r>
      <w:r>
        <w:rPr/>
        <w:t>致使净利润同比略有下降。</w:t>
      </w:r>
    </w:p>
    <w:p>
      <w:pPr>
        <w:pStyle w:val="BodyText"/>
        <w:spacing w:line="284" w:lineRule="exact"/>
        <w:ind w:left="153" w:right="106"/>
        <w:jc w:val="left"/>
      </w:pPr>
      <w:r>
        <w:rPr>
          <w:rFonts w:ascii="Times New Roman" w:hAnsi="Times New Roman" w:cs="Times New Roman" w:eastAsia="Times New Roman" w:hint="default"/>
        </w:rPr>
        <w:t>2</w:t>
      </w:r>
      <w:r>
        <w:rPr/>
        <w:t>）报告期利润构成或利润来源发生重大变动的说明</w:t>
      </w:r>
    </w:p>
    <w:p>
      <w:pPr>
        <w:pStyle w:val="BodyText"/>
        <w:spacing w:line="240" w:lineRule="auto" w:before="21"/>
        <w:ind w:left="153" w:right="10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21"/>
        <w:ind w:left="153" w:right="106"/>
        <w:jc w:val="left"/>
      </w:pPr>
      <w:r>
        <w:rPr>
          <w:rFonts w:ascii="Times New Roman" w:hAnsi="Times New Roman" w:cs="Times New Roman" w:eastAsia="Times New Roman" w:hint="default"/>
        </w:rPr>
        <w:t>3</w:t>
      </w:r>
      <w:r>
        <w:rPr/>
        <w:t>）收入</w:t>
      </w:r>
    </w:p>
    <w:p>
      <w:pPr>
        <w:spacing w:line="240" w:lineRule="auto" w:before="5"/>
        <w:rPr>
          <w:rFonts w:ascii="宋体" w:hAnsi="宋体" w:cs="宋体" w:eastAsia="宋体" w:hint="default"/>
          <w:sz w:val="4"/>
          <w:szCs w:val="4"/>
        </w:rPr>
      </w:pPr>
    </w:p>
    <w:tbl>
      <w:tblPr>
        <w:tblW w:w="0" w:type="auto"/>
        <w:jc w:val="left"/>
        <w:tblInd w:w="148" w:type="dxa"/>
        <w:tblLayout w:type="fixed"/>
        <w:tblCellMar>
          <w:top w:w="0" w:type="dxa"/>
          <w:left w:w="0" w:type="dxa"/>
          <w:bottom w:w="0" w:type="dxa"/>
          <w:right w:w="0" w:type="dxa"/>
        </w:tblCellMar>
        <w:tblLook w:val="01E0"/>
      </w:tblPr>
      <w:tblGrid>
        <w:gridCol w:w="2393"/>
        <w:gridCol w:w="2390"/>
        <w:gridCol w:w="2393"/>
        <w:gridCol w:w="2393"/>
      </w:tblGrid>
      <w:tr>
        <w:trPr>
          <w:trHeight w:val="326"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81"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81"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65" w:lineRule="exact"/>
              <w:ind w:left="561" w:right="0"/>
              <w:jc w:val="left"/>
              <w:rPr>
                <w:rFonts w:ascii="宋体" w:hAnsi="宋体" w:cs="宋体" w:eastAsia="宋体" w:hint="default"/>
                <w:sz w:val="21"/>
                <w:szCs w:val="21"/>
              </w:rPr>
            </w:pPr>
            <w:r>
              <w:rPr>
                <w:rFonts w:ascii="宋体" w:hAnsi="宋体" w:cs="宋体" w:eastAsia="宋体" w:hint="default"/>
                <w:sz w:val="21"/>
                <w:szCs w:val="21"/>
              </w:rPr>
              <w:t>同比增减情况</w:t>
            </w:r>
          </w:p>
        </w:tc>
      </w:tr>
      <w:tr>
        <w:trPr>
          <w:trHeight w:val="408"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2"/>
              <w:ind w:left="24"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390" w:type="dxa"/>
            <w:tcBorders>
              <w:top w:val="single" w:sz="23" w:space="0" w:color="D4D4D4"/>
              <w:left w:val="single" w:sz="10" w:space="0" w:color="D4D4D4"/>
              <w:bottom w:val="single" w:sz="4" w:space="0" w:color="000000"/>
              <w:right w:val="single" w:sz="4" w:space="0" w:color="000000"/>
            </w:tcBorders>
          </w:tcPr>
          <w:p>
            <w:pPr>
              <w:pStyle w:val="TableParagraph"/>
              <w:spacing w:line="240" w:lineRule="auto" w:before="63"/>
              <w:ind w:left="1144" w:right="0"/>
              <w:jc w:val="left"/>
              <w:rPr>
                <w:rFonts w:ascii="Times New Roman" w:hAnsi="Times New Roman" w:cs="Times New Roman" w:eastAsia="Times New Roman" w:hint="default"/>
                <w:sz w:val="21"/>
                <w:szCs w:val="21"/>
              </w:rPr>
            </w:pPr>
            <w:r>
              <w:rPr>
                <w:rFonts w:ascii="Times New Roman"/>
                <w:sz w:val="21"/>
              </w:rPr>
              <w:t>82,827,812.22</w:t>
            </w:r>
          </w:p>
        </w:tc>
        <w:tc>
          <w:tcPr>
            <w:tcW w:w="2393" w:type="dxa"/>
            <w:tcBorders>
              <w:top w:val="single" w:sz="23" w:space="0" w:color="D4D4D4"/>
              <w:left w:val="single" w:sz="4" w:space="0" w:color="000000"/>
              <w:bottom w:val="single" w:sz="4" w:space="0" w:color="000000"/>
              <w:right w:val="single" w:sz="4" w:space="0" w:color="000000"/>
            </w:tcBorders>
          </w:tcPr>
          <w:p>
            <w:pPr>
              <w:pStyle w:val="TableParagraph"/>
              <w:spacing w:line="240" w:lineRule="auto" w:before="63"/>
              <w:ind w:left="1151" w:right="0"/>
              <w:jc w:val="left"/>
              <w:rPr>
                <w:rFonts w:ascii="Times New Roman" w:hAnsi="Times New Roman" w:cs="Times New Roman" w:eastAsia="Times New Roman" w:hint="default"/>
                <w:sz w:val="21"/>
                <w:szCs w:val="21"/>
              </w:rPr>
            </w:pPr>
            <w:r>
              <w:rPr>
                <w:rFonts w:ascii="Times New Roman"/>
                <w:sz w:val="21"/>
              </w:rPr>
              <w:t>75,089,058.91</w:t>
            </w:r>
          </w:p>
        </w:tc>
        <w:tc>
          <w:tcPr>
            <w:tcW w:w="2393" w:type="dxa"/>
            <w:tcBorders>
              <w:top w:val="single" w:sz="23" w:space="0" w:color="D4D4D4"/>
              <w:left w:val="single" w:sz="4" w:space="0" w:color="000000"/>
              <w:bottom w:val="single" w:sz="4" w:space="0" w:color="000000"/>
              <w:right w:val="single" w:sz="4" w:space="0" w:color="000000"/>
            </w:tcBorders>
          </w:tcPr>
          <w:p>
            <w:pPr>
              <w:pStyle w:val="TableParagraph"/>
              <w:spacing w:line="240" w:lineRule="auto" w:before="63"/>
              <w:ind w:right="18"/>
              <w:jc w:val="right"/>
              <w:rPr>
                <w:rFonts w:ascii="Times New Roman" w:hAnsi="Times New Roman" w:cs="Times New Roman" w:eastAsia="Times New Roman" w:hint="default"/>
                <w:sz w:val="21"/>
                <w:szCs w:val="21"/>
              </w:rPr>
            </w:pPr>
            <w:r>
              <w:rPr>
                <w:rFonts w:ascii="Times New Roman"/>
                <w:sz w:val="21"/>
              </w:rPr>
              <w:t>10.31%</w:t>
            </w:r>
          </w:p>
        </w:tc>
      </w:tr>
    </w:tbl>
    <w:p>
      <w:pPr>
        <w:pStyle w:val="BodyText"/>
        <w:spacing w:line="292" w:lineRule="auto"/>
        <w:ind w:left="572" w:right="106" w:hanging="421"/>
        <w:jc w:val="left"/>
      </w:pPr>
      <w:r>
        <w:rPr/>
        <w:t>驱动收入变化的因素</w:t>
      </w:r>
      <w:r>
        <w:rPr>
          <w:w w:val="100"/>
        </w:rPr>
        <w:t> </w:t>
      </w:r>
      <w:r>
        <w:rPr>
          <w:spacing w:val="-2"/>
        </w:rPr>
        <w:t>报告期公司实现营业总收入</w:t>
      </w:r>
      <w:r>
        <w:rPr>
          <w:rFonts w:ascii="宋体" w:hAnsi="宋体" w:cs="宋体" w:eastAsia="宋体" w:hint="default"/>
          <w:spacing w:val="-2"/>
        </w:rPr>
        <w:t>82,827,812.22</w:t>
      </w:r>
      <w:r>
        <w:rPr>
          <w:spacing w:val="-2"/>
        </w:rPr>
        <w:t>元，实现主营业务收入为</w:t>
      </w:r>
      <w:r>
        <w:rPr>
          <w:rFonts w:ascii="宋体" w:hAnsi="宋体" w:cs="宋体" w:eastAsia="宋体" w:hint="default"/>
          <w:spacing w:val="-2"/>
        </w:rPr>
        <w:t>82,827,812.22</w:t>
      </w:r>
      <w:r>
        <w:rPr>
          <w:spacing w:val="-2"/>
        </w:rPr>
        <w:t>元，主营业务收入</w:t>
      </w:r>
      <w:r>
        <w:rPr/>
      </w:r>
    </w:p>
    <w:p>
      <w:pPr>
        <w:pStyle w:val="BodyText"/>
        <w:spacing w:line="312" w:lineRule="auto" w:before="39"/>
        <w:ind w:right="106"/>
        <w:jc w:val="left"/>
      </w:pPr>
      <w:r>
        <w:rPr>
          <w:spacing w:val="-2"/>
        </w:rPr>
        <w:t>较上年同期增长</w:t>
      </w:r>
      <w:r>
        <w:rPr>
          <w:rFonts w:ascii="宋体" w:hAnsi="宋体" w:cs="宋体" w:eastAsia="宋体" w:hint="default"/>
          <w:spacing w:val="-2"/>
        </w:rPr>
        <w:t>10.31%</w:t>
      </w:r>
      <w:r>
        <w:rPr>
          <w:spacing w:val="-2"/>
        </w:rPr>
        <w:t>，除渠道销售较同期有所下滑外，其他渠道均有不同程度的增长。公司开发队伍的</w:t>
      </w:r>
      <w:r>
        <w:rPr>
          <w:spacing w:val="-41"/>
        </w:rPr>
        <w:t> </w:t>
      </w:r>
      <w:r>
        <w:rPr>
          <w:spacing w:val="-41"/>
        </w:rPr>
      </w:r>
      <w:r>
        <w:rPr>
          <w:spacing w:val="-2"/>
        </w:rPr>
        <w:t>持续建设及扩充，使技术服务收入有较大幅度提升，较上年同期增长</w:t>
      </w:r>
      <w:r>
        <w:rPr>
          <w:rFonts w:ascii="宋体" w:hAnsi="宋体" w:cs="宋体" w:eastAsia="宋体" w:hint="default"/>
          <w:spacing w:val="-2"/>
        </w:rPr>
        <w:t>67.37%</w:t>
      </w:r>
      <w:r>
        <w:rPr>
          <w:spacing w:val="-2"/>
        </w:rPr>
        <w:t>。公司核心产品业务及其结构</w:t>
      </w:r>
      <w:r>
        <w:rPr/>
      </w:r>
    </w:p>
    <w:p>
      <w:pPr>
        <w:spacing w:after="0" w:line="312" w:lineRule="auto"/>
        <w:jc w:val="left"/>
        <w:sectPr>
          <w:pgSz w:w="11910" w:h="16840"/>
          <w:pgMar w:header="748" w:footer="982" w:top="1060" w:bottom="1180" w:left="980" w:right="920"/>
        </w:sectPr>
      </w:pPr>
    </w:p>
    <w:p>
      <w:pPr>
        <w:spacing w:line="240" w:lineRule="auto" w:before="6"/>
        <w:rPr>
          <w:rFonts w:ascii="宋体" w:hAnsi="宋体" w:cs="宋体" w:eastAsia="宋体" w:hint="default"/>
          <w:sz w:val="26"/>
          <w:szCs w:val="26"/>
        </w:rPr>
      </w:pPr>
    </w:p>
    <w:p>
      <w:pPr>
        <w:pStyle w:val="BodyText"/>
        <w:spacing w:line="314" w:lineRule="auto" w:before="36"/>
        <w:ind w:right="0"/>
        <w:jc w:val="left"/>
      </w:pPr>
      <w:r>
        <w:rPr>
          <w:spacing w:val="-2"/>
        </w:rPr>
        <w:t>未发生重大变化，金太阳教育软件的开发、销售业务仍是公司的核心业务。华南、华东和华北三个地区是</w:t>
      </w:r>
      <w:r>
        <w:rPr>
          <w:spacing w:val="-50"/>
        </w:rPr>
        <w:t> </w:t>
      </w:r>
      <w:r>
        <w:rPr>
          <w:spacing w:val="-50"/>
        </w:rPr>
      </w:r>
      <w:r>
        <w:rPr/>
        <w:t>公司产品销售比较集中的区域，报告期内各地区销售收入占主营业务收入比例分别为</w:t>
      </w:r>
      <w:r>
        <w:rPr>
          <w:rFonts w:ascii="宋体" w:hAnsi="宋体" w:cs="宋体" w:eastAsia="宋体" w:hint="default"/>
        </w:rPr>
        <w:t>57.90%</w:t>
      </w:r>
      <w:r>
        <w:rPr/>
        <w:t>、</w:t>
      </w:r>
      <w:r>
        <w:rPr>
          <w:rFonts w:ascii="宋体" w:hAnsi="宋体" w:cs="宋体" w:eastAsia="宋体" w:hint="default"/>
        </w:rPr>
        <w:t>19.85%</w:t>
      </w:r>
      <w:r>
        <w:rPr/>
        <w:t>、</w:t>
      </w:r>
      <w:r>
        <w:rPr>
          <w:w w:val="100"/>
        </w:rPr>
        <w:t> </w:t>
      </w:r>
      <w:r>
        <w:rPr>
          <w:rFonts w:ascii="宋体" w:hAnsi="宋体" w:cs="宋体" w:eastAsia="宋体" w:hint="default"/>
        </w:rPr>
        <w:t>15.53%</w:t>
      </w:r>
      <w:r>
        <w:rPr/>
        <w:t>。</w:t>
      </w:r>
    </w:p>
    <w:p>
      <w:pPr>
        <w:pStyle w:val="BodyText"/>
        <w:spacing w:line="269" w:lineRule="exact"/>
        <w:ind w:right="0"/>
        <w:jc w:val="left"/>
      </w:pPr>
      <w:r>
        <w:rPr/>
        <w:t>公司实物销售收入是否大于劳务收入</w:t>
      </w:r>
    </w:p>
    <w:p>
      <w:pPr>
        <w:pStyle w:val="BodyText"/>
        <w:spacing w:line="240" w:lineRule="auto" w:before="3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否</w:t>
      </w:r>
    </w:p>
    <w:p>
      <w:pPr>
        <w:spacing w:line="240" w:lineRule="auto" w:before="7"/>
        <w:rPr>
          <w:rFonts w:ascii="宋体" w:hAnsi="宋体" w:cs="宋体" w:eastAsia="宋体" w:hint="default"/>
          <w:sz w:val="4"/>
          <w:szCs w:val="4"/>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330" w:hRule="exact"/>
        </w:trPr>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82" w:lineRule="exact"/>
              <w:ind w:left="134" w:right="0"/>
              <w:jc w:val="left"/>
              <w:rPr>
                <w:rFonts w:ascii="宋体" w:hAnsi="宋体" w:cs="宋体" w:eastAsia="宋体" w:hint="default"/>
                <w:sz w:val="21"/>
                <w:szCs w:val="21"/>
              </w:rPr>
            </w:pPr>
            <w:r>
              <w:rPr>
                <w:rFonts w:ascii="宋体" w:hAnsi="宋体" w:cs="宋体" w:eastAsia="宋体" w:hint="default"/>
                <w:sz w:val="21"/>
                <w:szCs w:val="21"/>
              </w:rPr>
              <w:t>行业分类</w:t>
            </w:r>
            <w:r>
              <w:rPr>
                <w:rFonts w:ascii="Times New Roman" w:hAnsi="Times New Roman" w:cs="Times New Roman" w:eastAsia="Times New Roman" w:hint="default"/>
                <w:sz w:val="21"/>
                <w:szCs w:val="21"/>
              </w:rPr>
              <w:t>/</w:t>
            </w:r>
            <w:r>
              <w:rPr>
                <w:rFonts w:ascii="宋体" w:hAnsi="宋体" w:cs="宋体" w:eastAsia="宋体" w:hint="default"/>
                <w:sz w:val="21"/>
                <w:szCs w:val="21"/>
              </w:rPr>
              <w:t>产品</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66"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66" w:lineRule="exact"/>
              <w:ind w:left="4" w:right="0"/>
              <w:jc w:val="center"/>
              <w:rPr>
                <w:rFonts w:ascii="宋体" w:hAnsi="宋体" w:cs="宋体" w:eastAsia="宋体" w:hint="default"/>
                <w:sz w:val="21"/>
                <w:szCs w:val="21"/>
              </w:rPr>
            </w:pPr>
            <w:r>
              <w:rPr>
                <w:rFonts w:ascii="宋体" w:hAnsi="宋体" w:cs="宋体" w:eastAsia="宋体" w:hint="default"/>
                <w:sz w:val="21"/>
                <w:szCs w:val="21"/>
              </w:rPr>
              <w:t>单位</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82" w:lineRule="exact"/>
              <w:ind w:left="45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82" w:lineRule="exact"/>
              <w:ind w:left="45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66" w:lineRule="exact"/>
              <w:ind w:left="371" w:right="0"/>
              <w:jc w:val="left"/>
              <w:rPr>
                <w:rFonts w:ascii="宋体" w:hAnsi="宋体" w:cs="宋体" w:eastAsia="宋体" w:hint="default"/>
                <w:sz w:val="21"/>
                <w:szCs w:val="21"/>
              </w:rPr>
            </w:pPr>
            <w:r>
              <w:rPr>
                <w:rFonts w:ascii="宋体" w:hAnsi="宋体" w:cs="宋体" w:eastAsia="宋体" w:hint="default"/>
                <w:sz w:val="21"/>
                <w:szCs w:val="21"/>
              </w:rPr>
              <w:t>同比增减</w:t>
            </w:r>
          </w:p>
        </w:tc>
      </w:tr>
      <w:tr>
        <w:trPr>
          <w:trHeight w:val="403" w:hRule="exact"/>
        </w:trPr>
        <w:tc>
          <w:tcPr>
            <w:tcW w:w="1596" w:type="dxa"/>
            <w:vMerge w:val="restart"/>
            <w:tcBorders>
              <w:top w:val="single" w:sz="23" w:space="0" w:color="D4D4D4"/>
              <w:left w:val="single" w:sz="4" w:space="0" w:color="000000"/>
              <w:right w:val="single" w:sz="13" w:space="0" w:color="D4D4D4"/>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left="24" w:right="0"/>
              <w:jc w:val="left"/>
              <w:rPr>
                <w:rFonts w:ascii="宋体" w:hAnsi="宋体" w:cs="宋体" w:eastAsia="宋体" w:hint="default"/>
                <w:sz w:val="21"/>
                <w:szCs w:val="21"/>
              </w:rPr>
            </w:pPr>
            <w:r>
              <w:rPr>
                <w:rFonts w:ascii="宋体" w:hAnsi="宋体" w:cs="宋体" w:eastAsia="宋体" w:hint="default"/>
                <w:sz w:val="21"/>
                <w:szCs w:val="21"/>
              </w:rPr>
              <w:t>金太阳教育软件</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0"/>
              <w:ind w:left="23" w:right="0"/>
              <w:jc w:val="left"/>
              <w:rPr>
                <w:rFonts w:ascii="宋体" w:hAnsi="宋体" w:cs="宋体" w:eastAsia="宋体" w:hint="default"/>
                <w:sz w:val="21"/>
                <w:szCs w:val="21"/>
              </w:rPr>
            </w:pPr>
            <w:r>
              <w:rPr>
                <w:rFonts w:ascii="宋体" w:hAnsi="宋体" w:cs="宋体" w:eastAsia="宋体" w:hint="default"/>
                <w:sz w:val="21"/>
                <w:szCs w:val="21"/>
              </w:rPr>
              <w:t>销售量</w:t>
            </w:r>
          </w:p>
        </w:tc>
        <w:tc>
          <w:tcPr>
            <w:tcW w:w="1594" w:type="dxa"/>
            <w:tcBorders>
              <w:top w:val="single" w:sz="23" w:space="0" w:color="D4D4D4"/>
              <w:left w:val="single" w:sz="10" w:space="0" w:color="D4D4D4"/>
              <w:bottom w:val="single" w:sz="4" w:space="0" w:color="000000"/>
              <w:right w:val="single" w:sz="4" w:space="0" w:color="000000"/>
            </w:tcBorders>
          </w:tcPr>
          <w:p>
            <w:pPr>
              <w:pStyle w:val="TableParagraph"/>
              <w:spacing w:line="240" w:lineRule="auto" w:before="16"/>
              <w:ind w:left="16" w:right="0"/>
              <w:jc w:val="left"/>
              <w:rPr>
                <w:rFonts w:ascii="宋体" w:hAnsi="宋体" w:cs="宋体" w:eastAsia="宋体" w:hint="default"/>
                <w:sz w:val="21"/>
                <w:szCs w:val="21"/>
              </w:rPr>
            </w:pPr>
            <w:r>
              <w:rPr>
                <w:rFonts w:ascii="宋体" w:hAnsi="宋体" w:cs="宋体" w:eastAsia="宋体" w:hint="default"/>
                <w:w w:val="100"/>
                <w:sz w:val="21"/>
                <w:szCs w:val="21"/>
              </w:rPr>
              <w:t>套</w:t>
            </w:r>
          </w:p>
        </w:tc>
        <w:tc>
          <w:tcPr>
            <w:tcW w:w="1596" w:type="dxa"/>
            <w:tcBorders>
              <w:top w:val="single" w:sz="23" w:space="0" w:color="D4D4D4"/>
              <w:left w:val="single" w:sz="4" w:space="0" w:color="000000"/>
              <w:bottom w:val="single" w:sz="4" w:space="0" w:color="000000"/>
              <w:right w:val="single" w:sz="4" w:space="0" w:color="000000"/>
            </w:tcBorders>
          </w:tcPr>
          <w:p>
            <w:pPr>
              <w:pStyle w:val="TableParagraph"/>
              <w:spacing w:line="240" w:lineRule="auto" w:before="58"/>
              <w:ind w:right="19"/>
              <w:jc w:val="right"/>
              <w:rPr>
                <w:rFonts w:ascii="Times New Roman" w:hAnsi="Times New Roman" w:cs="Times New Roman" w:eastAsia="Times New Roman" w:hint="default"/>
                <w:sz w:val="21"/>
                <w:szCs w:val="21"/>
              </w:rPr>
            </w:pPr>
            <w:r>
              <w:rPr>
                <w:rFonts w:ascii="Times New Roman"/>
                <w:spacing w:val="-2"/>
                <w:sz w:val="21"/>
              </w:rPr>
              <w:t>11,439,731</w:t>
            </w:r>
          </w:p>
        </w:tc>
        <w:tc>
          <w:tcPr>
            <w:tcW w:w="1594" w:type="dxa"/>
            <w:tcBorders>
              <w:top w:val="single" w:sz="23" w:space="0" w:color="D4D4D4"/>
              <w:left w:val="single" w:sz="4" w:space="0" w:color="000000"/>
              <w:bottom w:val="single" w:sz="4" w:space="0" w:color="000000"/>
              <w:right w:val="single" w:sz="4" w:space="0" w:color="000000"/>
            </w:tcBorders>
          </w:tcPr>
          <w:p>
            <w:pPr>
              <w:pStyle w:val="TableParagraph"/>
              <w:spacing w:line="240" w:lineRule="auto" w:before="58"/>
              <w:ind w:right="17"/>
              <w:jc w:val="right"/>
              <w:rPr>
                <w:rFonts w:ascii="Times New Roman" w:hAnsi="Times New Roman" w:cs="Times New Roman" w:eastAsia="Times New Roman" w:hint="default"/>
                <w:sz w:val="21"/>
                <w:szCs w:val="21"/>
              </w:rPr>
            </w:pPr>
            <w:r>
              <w:rPr>
                <w:rFonts w:ascii="Times New Roman"/>
                <w:spacing w:val="-1"/>
                <w:sz w:val="21"/>
              </w:rPr>
              <w:t>9,550,807</w:t>
            </w:r>
          </w:p>
        </w:tc>
        <w:tc>
          <w:tcPr>
            <w:tcW w:w="1594" w:type="dxa"/>
            <w:tcBorders>
              <w:top w:val="single" w:sz="23" w:space="0" w:color="D4D4D4"/>
              <w:left w:val="single" w:sz="4" w:space="0" w:color="000000"/>
              <w:bottom w:val="single" w:sz="4" w:space="0" w:color="000000"/>
              <w:right w:val="single" w:sz="4" w:space="0" w:color="000000"/>
            </w:tcBorders>
          </w:tcPr>
          <w:p>
            <w:pPr>
              <w:pStyle w:val="TableParagraph"/>
              <w:spacing w:line="240" w:lineRule="auto" w:before="58"/>
              <w:ind w:right="16"/>
              <w:jc w:val="right"/>
              <w:rPr>
                <w:rFonts w:ascii="Times New Roman" w:hAnsi="Times New Roman" w:cs="Times New Roman" w:eastAsia="Times New Roman" w:hint="default"/>
                <w:sz w:val="21"/>
                <w:szCs w:val="21"/>
              </w:rPr>
            </w:pPr>
            <w:r>
              <w:rPr>
                <w:rFonts w:ascii="Times New Roman"/>
                <w:sz w:val="21"/>
              </w:rPr>
              <w:t>19.78%</w:t>
            </w:r>
          </w:p>
        </w:tc>
      </w:tr>
      <w:tr>
        <w:trPr>
          <w:trHeight w:val="379" w:hRule="exact"/>
        </w:trPr>
        <w:tc>
          <w:tcPr>
            <w:tcW w:w="1596" w:type="dxa"/>
            <w:vMerge/>
            <w:tcBorders>
              <w:left w:val="single" w:sz="4" w:space="0" w:color="000000"/>
              <w:right w:val="single" w:sz="13" w:space="0" w:color="D4D4D4"/>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4"/>
              <w:ind w:left="23" w:right="0"/>
              <w:jc w:val="left"/>
              <w:rPr>
                <w:rFonts w:ascii="宋体" w:hAnsi="宋体" w:cs="宋体" w:eastAsia="宋体" w:hint="default"/>
                <w:sz w:val="21"/>
                <w:szCs w:val="21"/>
              </w:rPr>
            </w:pPr>
            <w:r>
              <w:rPr>
                <w:rFonts w:ascii="宋体" w:hAnsi="宋体" w:cs="宋体" w:eastAsia="宋体" w:hint="default"/>
                <w:sz w:val="21"/>
                <w:szCs w:val="21"/>
              </w:rPr>
              <w:t>生产量</w:t>
            </w:r>
          </w:p>
        </w:tc>
        <w:tc>
          <w:tcPr>
            <w:tcW w:w="159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4"/>
              <w:ind w:left="16" w:right="0"/>
              <w:jc w:val="left"/>
              <w:rPr>
                <w:rFonts w:ascii="宋体" w:hAnsi="宋体" w:cs="宋体" w:eastAsia="宋体" w:hint="default"/>
                <w:sz w:val="21"/>
                <w:szCs w:val="21"/>
              </w:rPr>
            </w:pPr>
            <w:r>
              <w:rPr>
                <w:rFonts w:ascii="宋体" w:hAnsi="宋体" w:cs="宋体" w:eastAsia="宋体" w:hint="default"/>
                <w:w w:val="100"/>
                <w:sz w:val="21"/>
                <w:szCs w:val="21"/>
              </w:rPr>
              <w:t>套</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Times New Roman" w:hAnsi="Times New Roman" w:cs="Times New Roman" w:eastAsia="Times New Roman" w:hint="default"/>
                <w:sz w:val="21"/>
                <w:szCs w:val="21"/>
              </w:rPr>
            </w:pPr>
            <w:r>
              <w:rPr>
                <w:rFonts w:ascii="Times New Roman"/>
                <w:spacing w:val="-2"/>
                <w:sz w:val="21"/>
              </w:rPr>
              <w:t>11,499,578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Times New Roman" w:hAnsi="Times New Roman" w:cs="Times New Roman" w:eastAsia="Times New Roman" w:hint="default"/>
                <w:sz w:val="21"/>
                <w:szCs w:val="21"/>
              </w:rPr>
            </w:pPr>
            <w:r>
              <w:rPr>
                <w:rFonts w:ascii="Times New Roman"/>
                <w:spacing w:val="-2"/>
                <w:sz w:val="21"/>
              </w:rPr>
              <w:t>11,203,603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6"/>
              <w:jc w:val="right"/>
              <w:rPr>
                <w:rFonts w:ascii="Times New Roman" w:hAnsi="Times New Roman" w:cs="Times New Roman" w:eastAsia="Times New Roman" w:hint="default"/>
                <w:sz w:val="21"/>
                <w:szCs w:val="21"/>
              </w:rPr>
            </w:pPr>
            <w:r>
              <w:rPr>
                <w:rFonts w:ascii="Times New Roman"/>
                <w:sz w:val="21"/>
              </w:rPr>
              <w:t>2.64%</w:t>
            </w:r>
          </w:p>
        </w:tc>
      </w:tr>
      <w:tr>
        <w:trPr>
          <w:trHeight w:val="379" w:hRule="exact"/>
        </w:trPr>
        <w:tc>
          <w:tcPr>
            <w:tcW w:w="1596" w:type="dxa"/>
            <w:vMerge/>
            <w:tcBorders>
              <w:left w:val="single" w:sz="4" w:space="0" w:color="000000"/>
              <w:bottom w:val="single" w:sz="4" w:space="0" w:color="000000"/>
              <w:right w:val="single" w:sz="13" w:space="0" w:color="D4D4D4"/>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4"/>
              <w:ind w:left="23" w:right="0"/>
              <w:jc w:val="left"/>
              <w:rPr>
                <w:rFonts w:ascii="宋体" w:hAnsi="宋体" w:cs="宋体" w:eastAsia="宋体" w:hint="default"/>
                <w:sz w:val="21"/>
                <w:szCs w:val="21"/>
              </w:rPr>
            </w:pPr>
            <w:r>
              <w:rPr>
                <w:rFonts w:ascii="宋体" w:hAnsi="宋体" w:cs="宋体" w:eastAsia="宋体" w:hint="default"/>
                <w:sz w:val="21"/>
                <w:szCs w:val="21"/>
              </w:rPr>
              <w:t>库存量</w:t>
            </w:r>
          </w:p>
        </w:tc>
        <w:tc>
          <w:tcPr>
            <w:tcW w:w="159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4"/>
              <w:ind w:left="16" w:right="0"/>
              <w:jc w:val="left"/>
              <w:rPr>
                <w:rFonts w:ascii="宋体" w:hAnsi="宋体" w:cs="宋体" w:eastAsia="宋体" w:hint="default"/>
                <w:sz w:val="21"/>
                <w:szCs w:val="21"/>
              </w:rPr>
            </w:pPr>
            <w:r>
              <w:rPr>
                <w:rFonts w:ascii="宋体" w:hAnsi="宋体" w:cs="宋体" w:eastAsia="宋体" w:hint="default"/>
                <w:w w:val="100"/>
                <w:sz w:val="21"/>
                <w:szCs w:val="21"/>
              </w:rPr>
              <w:t>套</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Times New Roman" w:hAnsi="Times New Roman" w:cs="Times New Roman" w:eastAsia="Times New Roman" w:hint="default"/>
                <w:sz w:val="21"/>
                <w:szCs w:val="21"/>
              </w:rPr>
            </w:pPr>
            <w:r>
              <w:rPr>
                <w:rFonts w:ascii="Times New Roman"/>
                <w:spacing w:val="-1"/>
                <w:sz w:val="21"/>
              </w:rPr>
              <w:t>2,528,309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Times New Roman" w:hAnsi="Times New Roman" w:cs="Times New Roman" w:eastAsia="Times New Roman" w:hint="default"/>
                <w:sz w:val="21"/>
                <w:szCs w:val="21"/>
              </w:rPr>
            </w:pPr>
            <w:r>
              <w:rPr>
                <w:rFonts w:ascii="Times New Roman"/>
                <w:spacing w:val="-1"/>
                <w:sz w:val="21"/>
              </w:rPr>
              <w:t>2,468,462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6"/>
              <w:jc w:val="right"/>
              <w:rPr>
                <w:rFonts w:ascii="Times New Roman" w:hAnsi="Times New Roman" w:cs="Times New Roman" w:eastAsia="Times New Roman" w:hint="default"/>
                <w:sz w:val="21"/>
                <w:szCs w:val="21"/>
              </w:rPr>
            </w:pPr>
            <w:r>
              <w:rPr>
                <w:rFonts w:ascii="Times New Roman"/>
                <w:sz w:val="21"/>
              </w:rPr>
              <w:t>2.24%</w:t>
            </w:r>
          </w:p>
        </w:tc>
      </w:tr>
      <w:tr>
        <w:trPr>
          <w:trHeight w:val="379" w:hRule="exact"/>
        </w:trPr>
        <w:tc>
          <w:tcPr>
            <w:tcW w:w="1596" w:type="dxa"/>
            <w:vMerge w:val="restart"/>
            <w:tcBorders>
              <w:top w:val="single" w:sz="4" w:space="0" w:color="000000"/>
              <w:left w:val="single" w:sz="4" w:space="0" w:color="000000"/>
              <w:right w:val="single" w:sz="13" w:space="0" w:color="D4D4D4"/>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left="24" w:right="0"/>
              <w:jc w:val="left"/>
              <w:rPr>
                <w:rFonts w:ascii="宋体" w:hAnsi="宋体" w:cs="宋体" w:eastAsia="宋体" w:hint="default"/>
                <w:sz w:val="21"/>
                <w:szCs w:val="21"/>
              </w:rPr>
            </w:pPr>
            <w:r>
              <w:rPr>
                <w:rFonts w:ascii="宋体" w:hAnsi="宋体" w:cs="宋体" w:eastAsia="宋体" w:hint="default"/>
                <w:sz w:val="21"/>
                <w:szCs w:val="21"/>
              </w:rPr>
              <w:t>其他产品</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4"/>
              <w:ind w:left="23" w:right="0"/>
              <w:jc w:val="left"/>
              <w:rPr>
                <w:rFonts w:ascii="宋体" w:hAnsi="宋体" w:cs="宋体" w:eastAsia="宋体" w:hint="default"/>
                <w:sz w:val="21"/>
                <w:szCs w:val="21"/>
              </w:rPr>
            </w:pPr>
            <w:r>
              <w:rPr>
                <w:rFonts w:ascii="宋体" w:hAnsi="宋体" w:cs="宋体" w:eastAsia="宋体" w:hint="default"/>
                <w:sz w:val="21"/>
                <w:szCs w:val="21"/>
              </w:rPr>
              <w:t>销售量</w:t>
            </w:r>
          </w:p>
        </w:tc>
        <w:tc>
          <w:tcPr>
            <w:tcW w:w="159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4"/>
              <w:ind w:left="16" w:right="0"/>
              <w:jc w:val="left"/>
              <w:rPr>
                <w:rFonts w:ascii="宋体" w:hAnsi="宋体" w:cs="宋体" w:eastAsia="宋体" w:hint="default"/>
                <w:sz w:val="21"/>
                <w:szCs w:val="21"/>
              </w:rPr>
            </w:pPr>
            <w:r>
              <w:rPr>
                <w:rFonts w:ascii="宋体" w:hAnsi="宋体" w:cs="宋体" w:eastAsia="宋体" w:hint="default"/>
                <w:w w:val="100"/>
                <w:sz w:val="21"/>
                <w:szCs w:val="21"/>
              </w:rPr>
              <w:t>套</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Times New Roman" w:hAnsi="Times New Roman" w:cs="Times New Roman" w:eastAsia="Times New Roman" w:hint="default"/>
                <w:sz w:val="21"/>
                <w:szCs w:val="21"/>
              </w:rPr>
            </w:pPr>
            <w:r>
              <w:rPr>
                <w:rFonts w:ascii="Times New Roman"/>
                <w:sz w:val="21"/>
              </w:rPr>
              <w:t>7,025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Times New Roman" w:hAnsi="Times New Roman" w:cs="Times New Roman" w:eastAsia="Times New Roman" w:hint="default"/>
                <w:sz w:val="21"/>
                <w:szCs w:val="21"/>
              </w:rPr>
            </w:pPr>
            <w:r>
              <w:rPr>
                <w:rFonts w:ascii="Times New Roman"/>
                <w:sz w:val="21"/>
              </w:rPr>
              <w:t>5,040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6"/>
              <w:jc w:val="right"/>
              <w:rPr>
                <w:rFonts w:ascii="Times New Roman" w:hAnsi="Times New Roman" w:cs="Times New Roman" w:eastAsia="Times New Roman" w:hint="default"/>
                <w:sz w:val="21"/>
                <w:szCs w:val="21"/>
              </w:rPr>
            </w:pPr>
            <w:r>
              <w:rPr>
                <w:rFonts w:ascii="Times New Roman"/>
                <w:sz w:val="21"/>
              </w:rPr>
              <w:t>39.38%</w:t>
            </w:r>
          </w:p>
        </w:tc>
      </w:tr>
      <w:tr>
        <w:trPr>
          <w:trHeight w:val="379" w:hRule="exact"/>
        </w:trPr>
        <w:tc>
          <w:tcPr>
            <w:tcW w:w="1596" w:type="dxa"/>
            <w:vMerge/>
            <w:tcBorders>
              <w:left w:val="single" w:sz="4" w:space="0" w:color="000000"/>
              <w:right w:val="single" w:sz="13" w:space="0" w:color="D4D4D4"/>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4"/>
              <w:ind w:left="23" w:right="0"/>
              <w:jc w:val="left"/>
              <w:rPr>
                <w:rFonts w:ascii="宋体" w:hAnsi="宋体" w:cs="宋体" w:eastAsia="宋体" w:hint="default"/>
                <w:sz w:val="21"/>
                <w:szCs w:val="21"/>
              </w:rPr>
            </w:pPr>
            <w:r>
              <w:rPr>
                <w:rFonts w:ascii="宋体" w:hAnsi="宋体" w:cs="宋体" w:eastAsia="宋体" w:hint="default"/>
                <w:sz w:val="21"/>
                <w:szCs w:val="21"/>
              </w:rPr>
              <w:t>生产量</w:t>
            </w:r>
          </w:p>
        </w:tc>
        <w:tc>
          <w:tcPr>
            <w:tcW w:w="159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4"/>
              <w:ind w:left="16" w:right="0"/>
              <w:jc w:val="left"/>
              <w:rPr>
                <w:rFonts w:ascii="宋体" w:hAnsi="宋体" w:cs="宋体" w:eastAsia="宋体" w:hint="default"/>
                <w:sz w:val="21"/>
                <w:szCs w:val="21"/>
              </w:rPr>
            </w:pPr>
            <w:r>
              <w:rPr>
                <w:rFonts w:ascii="宋体" w:hAnsi="宋体" w:cs="宋体" w:eastAsia="宋体" w:hint="default"/>
                <w:w w:val="100"/>
                <w:sz w:val="21"/>
                <w:szCs w:val="21"/>
              </w:rPr>
              <w:t>套</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Times New Roman" w:hAnsi="Times New Roman" w:cs="Times New Roman" w:eastAsia="Times New Roman" w:hint="default"/>
                <w:sz w:val="21"/>
                <w:szCs w:val="21"/>
              </w:rPr>
            </w:pPr>
            <w:r>
              <w:rPr>
                <w:rFonts w:ascii="Times New Roman"/>
                <w:sz w:val="21"/>
              </w:rPr>
              <w:t>219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Times New Roman" w:hAnsi="Times New Roman" w:cs="Times New Roman" w:eastAsia="Times New Roman" w:hint="default"/>
                <w:sz w:val="21"/>
                <w:szCs w:val="21"/>
              </w:rPr>
            </w:pPr>
            <w:r>
              <w:rPr>
                <w:rFonts w:ascii="Times New Roman"/>
                <w:sz w:val="21"/>
              </w:rPr>
              <w:t>3,794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8"/>
              <w:jc w:val="right"/>
              <w:rPr>
                <w:rFonts w:ascii="Times New Roman" w:hAnsi="Times New Roman" w:cs="Times New Roman" w:eastAsia="Times New Roman" w:hint="default"/>
                <w:sz w:val="21"/>
                <w:szCs w:val="21"/>
              </w:rPr>
            </w:pPr>
            <w:r>
              <w:rPr>
                <w:rFonts w:ascii="Times New Roman"/>
                <w:spacing w:val="-1"/>
                <w:sz w:val="21"/>
              </w:rPr>
              <w:t>-94.23%</w:t>
            </w:r>
          </w:p>
        </w:tc>
      </w:tr>
      <w:tr>
        <w:trPr>
          <w:trHeight w:val="379" w:hRule="exact"/>
        </w:trPr>
        <w:tc>
          <w:tcPr>
            <w:tcW w:w="1596" w:type="dxa"/>
            <w:vMerge/>
            <w:tcBorders>
              <w:left w:val="single" w:sz="4" w:space="0" w:color="000000"/>
              <w:bottom w:val="single" w:sz="4" w:space="0" w:color="000000"/>
              <w:right w:val="single" w:sz="13" w:space="0" w:color="D4D4D4"/>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4"/>
              <w:ind w:left="23" w:right="0"/>
              <w:jc w:val="left"/>
              <w:rPr>
                <w:rFonts w:ascii="宋体" w:hAnsi="宋体" w:cs="宋体" w:eastAsia="宋体" w:hint="default"/>
                <w:sz w:val="21"/>
                <w:szCs w:val="21"/>
              </w:rPr>
            </w:pPr>
            <w:r>
              <w:rPr>
                <w:rFonts w:ascii="宋体" w:hAnsi="宋体" w:cs="宋体" w:eastAsia="宋体" w:hint="default"/>
                <w:sz w:val="21"/>
                <w:szCs w:val="21"/>
              </w:rPr>
              <w:t>库存量</w:t>
            </w:r>
          </w:p>
        </w:tc>
        <w:tc>
          <w:tcPr>
            <w:tcW w:w="159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4"/>
              <w:ind w:left="16" w:right="0"/>
              <w:jc w:val="left"/>
              <w:rPr>
                <w:rFonts w:ascii="宋体" w:hAnsi="宋体" w:cs="宋体" w:eastAsia="宋体" w:hint="default"/>
                <w:sz w:val="21"/>
                <w:szCs w:val="21"/>
              </w:rPr>
            </w:pPr>
            <w:r>
              <w:rPr>
                <w:rFonts w:ascii="宋体" w:hAnsi="宋体" w:cs="宋体" w:eastAsia="宋体" w:hint="default"/>
                <w:w w:val="100"/>
                <w:sz w:val="21"/>
                <w:szCs w:val="21"/>
              </w:rPr>
              <w:t>套</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Times New Roman" w:hAnsi="Times New Roman" w:cs="Times New Roman" w:eastAsia="Times New Roman" w:hint="default"/>
                <w:sz w:val="21"/>
                <w:szCs w:val="21"/>
              </w:rPr>
            </w:pPr>
            <w:r>
              <w:rPr>
                <w:rFonts w:ascii="Times New Roman"/>
                <w:sz w:val="21"/>
              </w:rPr>
              <w:t>290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Times New Roman" w:hAnsi="Times New Roman" w:cs="Times New Roman" w:eastAsia="Times New Roman" w:hint="default"/>
                <w:sz w:val="21"/>
                <w:szCs w:val="21"/>
              </w:rPr>
            </w:pPr>
            <w:r>
              <w:rPr>
                <w:rFonts w:ascii="Times New Roman"/>
                <w:sz w:val="21"/>
              </w:rPr>
              <w:t>7,096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8"/>
              <w:jc w:val="right"/>
              <w:rPr>
                <w:rFonts w:ascii="Times New Roman" w:hAnsi="Times New Roman" w:cs="Times New Roman" w:eastAsia="Times New Roman" w:hint="default"/>
                <w:sz w:val="21"/>
                <w:szCs w:val="21"/>
              </w:rPr>
            </w:pPr>
            <w:r>
              <w:rPr>
                <w:rFonts w:ascii="Times New Roman"/>
                <w:spacing w:val="-1"/>
                <w:sz w:val="21"/>
              </w:rPr>
              <w:t>-95.91%</w:t>
            </w:r>
          </w:p>
        </w:tc>
      </w:tr>
    </w:tbl>
    <w:p>
      <w:pPr>
        <w:spacing w:after="0" w:line="240" w:lineRule="auto"/>
        <w:jc w:val="right"/>
        <w:rPr>
          <w:rFonts w:ascii="Times New Roman" w:hAnsi="Times New Roman" w:cs="Times New Roman" w:eastAsia="Times New Roman" w:hint="default"/>
          <w:sz w:val="21"/>
          <w:szCs w:val="21"/>
        </w:rPr>
        <w:sectPr>
          <w:pgSz w:w="11910" w:h="16840"/>
          <w:pgMar w:header="748" w:footer="982" w:top="1060" w:bottom="1180" w:left="980" w:right="980"/>
        </w:sectPr>
      </w:pPr>
    </w:p>
    <w:p>
      <w:pPr>
        <w:pStyle w:val="BodyText"/>
        <w:spacing w:line="278" w:lineRule="exact"/>
        <w:ind w:right="0"/>
        <w:jc w:val="left"/>
      </w:pPr>
      <w:r>
        <w:rPr/>
        <w:t>相关数据同比发生变动</w:t>
      </w:r>
      <w:r>
        <w:rPr>
          <w:spacing w:val="-62"/>
        </w:rPr>
        <w:t> </w:t>
      </w:r>
      <w:r>
        <w:rPr>
          <w:rFonts w:ascii="Times New Roman" w:hAnsi="Times New Roman" w:cs="Times New Roman" w:eastAsia="Times New Roman" w:hint="default"/>
        </w:rPr>
        <w:t>30%</w:t>
      </w:r>
      <w:r>
        <w:rPr/>
        <w:t>以上的原因说明</w:t>
      </w:r>
    </w:p>
    <w:p>
      <w:pPr>
        <w:pStyle w:val="BodyText"/>
        <w:spacing w:line="256" w:lineRule="auto" w:before="21"/>
        <w:ind w:left="153" w:right="127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公司重大的在手订单情况</w:t>
      </w:r>
    </w:p>
    <w:p>
      <w:pPr>
        <w:pStyle w:val="BodyText"/>
        <w:spacing w:line="256" w:lineRule="auto" w:before="22"/>
        <w:ind w:left="153" w:right="314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1"/>
        </w:rPr>
        <w:t>数量分散的订单情况</w:t>
      </w:r>
    </w:p>
    <w:p>
      <w:pPr>
        <w:pStyle w:val="BodyText"/>
        <w:spacing w:line="256" w:lineRule="auto" w:before="22"/>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公司报告期内产品或服务发生重大变化或调整有关情况</w:t>
      </w:r>
    </w:p>
    <w:p>
      <w:pPr>
        <w:pStyle w:val="BodyText"/>
        <w:spacing w:line="240" w:lineRule="auto" w:before="22"/>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21"/>
        <w:ind w:left="153" w:right="0"/>
        <w:jc w:val="left"/>
      </w:pPr>
      <w:r>
        <w:rPr>
          <w:rFonts w:ascii="Times New Roman" w:hAnsi="Times New Roman" w:cs="Times New Roman" w:eastAsia="Times New Roman" w:hint="default"/>
        </w:rPr>
        <w:t>4</w:t>
      </w:r>
      <w:r>
        <w:rPr/>
        <w:t>）成本</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8"/>
        <w:ind w:right="0"/>
        <w:jc w:val="left"/>
      </w:pPr>
      <w:r>
        <w:rPr/>
        <w:t>单位：元</w:t>
      </w:r>
    </w:p>
    <w:p>
      <w:pPr>
        <w:spacing w:after="0" w:line="240" w:lineRule="auto"/>
        <w:jc w:val="left"/>
        <w:sectPr>
          <w:type w:val="continuous"/>
          <w:pgSz w:w="11910" w:h="16840"/>
          <w:pgMar w:top="1060" w:bottom="1180" w:left="980" w:right="980"/>
          <w:cols w:num="2" w:equalWidth="0">
            <w:col w:w="5199" w:space="3600"/>
            <w:col w:w="1151"/>
          </w:cols>
        </w:sectPr>
      </w:pPr>
    </w:p>
    <w:p>
      <w:pPr>
        <w:spacing w:line="240" w:lineRule="auto" w:before="11"/>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379" w:hRule="exact"/>
        </w:trPr>
        <w:tc>
          <w:tcPr>
            <w:tcW w:w="159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87" w:type="dxa"/>
            <w:gridSpan w:val="2"/>
            <w:tcBorders>
              <w:top w:val="single" w:sz="4" w:space="0" w:color="000000"/>
              <w:left w:val="single" w:sz="4" w:space="0" w:color="000000"/>
              <w:bottom w:val="single" w:sz="4" w:space="0" w:color="FFFFFF"/>
              <w:right w:val="single" w:sz="4" w:space="0" w:color="000000"/>
            </w:tcBorders>
            <w:shd w:val="clear" w:color="auto" w:fill="D4D4D4"/>
          </w:tcPr>
          <w:p>
            <w:pPr>
              <w:pStyle w:val="TableParagraph"/>
              <w:spacing w:line="240" w:lineRule="auto" w:before="14"/>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p>
        </w:tc>
        <w:tc>
          <w:tcPr>
            <w:tcW w:w="3190" w:type="dxa"/>
            <w:gridSpan w:val="2"/>
            <w:tcBorders>
              <w:top w:val="single" w:sz="4" w:space="0" w:color="000000"/>
              <w:left w:val="single" w:sz="4" w:space="0" w:color="000000"/>
              <w:bottom w:val="single" w:sz="4" w:space="0" w:color="FFFFFF"/>
              <w:right w:val="single" w:sz="4" w:space="0" w:color="000000"/>
            </w:tcBorders>
            <w:shd w:val="clear" w:color="auto" w:fill="D4D4D4"/>
          </w:tcPr>
          <w:p>
            <w:pPr>
              <w:pStyle w:val="TableParagraph"/>
              <w:spacing w:line="240" w:lineRule="auto" w:before="14"/>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p>
        </w:tc>
        <w:tc>
          <w:tcPr>
            <w:tcW w:w="159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71" w:right="0"/>
              <w:jc w:val="left"/>
              <w:rPr>
                <w:rFonts w:ascii="宋体" w:hAnsi="宋体" w:cs="宋体" w:eastAsia="宋体" w:hint="default"/>
                <w:sz w:val="21"/>
                <w:szCs w:val="21"/>
              </w:rPr>
            </w:pPr>
            <w:r>
              <w:rPr>
                <w:rFonts w:ascii="宋体" w:hAnsi="宋体" w:cs="宋体" w:eastAsia="宋体" w:hint="default"/>
                <w:sz w:val="21"/>
                <w:szCs w:val="21"/>
              </w:rPr>
              <w:t>同比增减</w:t>
            </w:r>
          </w:p>
        </w:tc>
      </w:tr>
      <w:tr>
        <w:trPr>
          <w:trHeight w:val="379" w:hRule="exact"/>
        </w:trPr>
        <w:tc>
          <w:tcPr>
            <w:tcW w:w="1595" w:type="dxa"/>
            <w:vMerge/>
            <w:tcBorders>
              <w:left w:val="single" w:sz="4" w:space="0" w:color="000000"/>
              <w:bottom w:val="single" w:sz="4" w:space="0" w:color="000000"/>
              <w:right w:val="single" w:sz="4" w:space="0" w:color="000000"/>
            </w:tcBorders>
            <w:shd w:val="clear" w:color="auto" w:fill="D4D4D4"/>
          </w:tcPr>
          <w:p>
            <w:pPr/>
          </w:p>
        </w:tc>
        <w:tc>
          <w:tcPr>
            <w:tcW w:w="1594" w:type="dxa"/>
            <w:tcBorders>
              <w:top w:val="single" w:sz="4" w:space="0" w:color="FFFFFF"/>
              <w:left w:val="single" w:sz="4" w:space="0" w:color="000000"/>
              <w:bottom w:val="single" w:sz="4" w:space="0" w:color="000000"/>
              <w:right w:val="single" w:sz="4" w:space="0" w:color="000000"/>
            </w:tcBorders>
            <w:shd w:val="clear" w:color="auto" w:fill="D4D4D4"/>
          </w:tcPr>
          <w:p>
            <w:pPr>
              <w:pStyle w:val="TableParagraph"/>
              <w:spacing w:line="240" w:lineRule="auto" w:before="14"/>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594" w:type="dxa"/>
            <w:tcBorders>
              <w:top w:val="single" w:sz="4" w:space="0" w:color="FFFFFF"/>
              <w:left w:val="single" w:sz="4" w:space="0" w:color="000000"/>
              <w:bottom w:val="single" w:sz="4" w:space="0" w:color="000000"/>
              <w:right w:val="single" w:sz="4" w:space="0" w:color="000000"/>
            </w:tcBorders>
            <w:shd w:val="clear" w:color="auto" w:fill="D4D4D4"/>
          </w:tcPr>
          <w:p>
            <w:pPr>
              <w:pStyle w:val="TableParagraph"/>
              <w:spacing w:line="240" w:lineRule="auto" w:before="14"/>
              <w:ind w:right="50"/>
              <w:jc w:val="right"/>
              <w:rPr>
                <w:rFonts w:ascii="宋体" w:hAnsi="宋体" w:cs="宋体" w:eastAsia="宋体" w:hint="default"/>
                <w:sz w:val="21"/>
                <w:szCs w:val="21"/>
              </w:rPr>
            </w:pPr>
            <w:r>
              <w:rPr>
                <w:rFonts w:ascii="宋体" w:hAnsi="宋体" w:cs="宋体" w:eastAsia="宋体" w:hint="default"/>
                <w:spacing w:val="-1"/>
                <w:sz w:val="21"/>
                <w:szCs w:val="21"/>
              </w:rPr>
              <w:t>占营业成本比重</w:t>
            </w:r>
          </w:p>
        </w:tc>
        <w:tc>
          <w:tcPr>
            <w:tcW w:w="1596" w:type="dxa"/>
            <w:tcBorders>
              <w:top w:val="single" w:sz="4" w:space="0" w:color="FFFFFF"/>
              <w:left w:val="single" w:sz="4" w:space="0" w:color="000000"/>
              <w:bottom w:val="single" w:sz="4" w:space="0" w:color="000000"/>
              <w:right w:val="single" w:sz="4" w:space="0" w:color="000000"/>
            </w:tcBorders>
            <w:shd w:val="clear" w:color="auto" w:fill="D4D4D4"/>
          </w:tcPr>
          <w:p>
            <w:pPr>
              <w:pStyle w:val="TableParagraph"/>
              <w:spacing w:line="240" w:lineRule="auto" w:before="14"/>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594" w:type="dxa"/>
            <w:tcBorders>
              <w:top w:val="single" w:sz="4" w:space="0" w:color="FFFFFF"/>
              <w:left w:val="single" w:sz="4" w:space="0" w:color="000000"/>
              <w:bottom w:val="single" w:sz="4" w:space="0" w:color="000000"/>
              <w:right w:val="single" w:sz="4" w:space="0" w:color="000000"/>
            </w:tcBorders>
            <w:shd w:val="clear" w:color="auto" w:fill="D4D4D4"/>
          </w:tcPr>
          <w:p>
            <w:pPr>
              <w:pStyle w:val="TableParagraph"/>
              <w:spacing w:line="240" w:lineRule="auto" w:before="14"/>
              <w:ind w:right="50"/>
              <w:jc w:val="right"/>
              <w:rPr>
                <w:rFonts w:ascii="宋体" w:hAnsi="宋体" w:cs="宋体" w:eastAsia="宋体" w:hint="default"/>
                <w:sz w:val="21"/>
                <w:szCs w:val="21"/>
              </w:rPr>
            </w:pPr>
            <w:r>
              <w:rPr>
                <w:rFonts w:ascii="宋体" w:hAnsi="宋体" w:cs="宋体" w:eastAsia="宋体" w:hint="default"/>
                <w:spacing w:val="-1"/>
                <w:sz w:val="21"/>
                <w:szCs w:val="21"/>
              </w:rPr>
              <w:t>占营业成本比重</w:t>
            </w:r>
          </w:p>
        </w:tc>
        <w:tc>
          <w:tcPr>
            <w:tcW w:w="1594" w:type="dxa"/>
            <w:vMerge/>
            <w:tcBorders>
              <w:left w:val="single" w:sz="4" w:space="0" w:color="000000"/>
              <w:bottom w:val="single" w:sz="4" w:space="0" w:color="000000"/>
              <w:right w:val="single" w:sz="4" w:space="0" w:color="000000"/>
            </w:tcBorders>
            <w:shd w:val="clear" w:color="auto" w:fill="D4D4D4"/>
          </w:tcPr>
          <w:p>
            <w:pPr/>
          </w:p>
        </w:tc>
      </w:tr>
      <w:tr>
        <w:trPr>
          <w:trHeight w:val="379"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55" w:right="0"/>
              <w:jc w:val="left"/>
              <w:rPr>
                <w:rFonts w:ascii="Times New Roman" w:hAnsi="Times New Roman" w:cs="Times New Roman" w:eastAsia="Times New Roman" w:hint="default"/>
                <w:sz w:val="21"/>
                <w:szCs w:val="21"/>
              </w:rPr>
            </w:pPr>
            <w:r>
              <w:rPr>
                <w:rFonts w:ascii="Times New Roman"/>
                <w:sz w:val="21"/>
              </w:rPr>
              <w:t>21,566,659.94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6"/>
              <w:jc w:val="right"/>
              <w:rPr>
                <w:rFonts w:ascii="Times New Roman" w:hAnsi="Times New Roman" w:cs="Times New Roman" w:eastAsia="Times New Roman" w:hint="default"/>
                <w:sz w:val="21"/>
                <w:szCs w:val="21"/>
              </w:rPr>
            </w:pPr>
            <w:r>
              <w:rPr>
                <w:rFonts w:ascii="Times New Roman"/>
                <w:sz w:val="21"/>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55" w:right="0"/>
              <w:jc w:val="left"/>
              <w:rPr>
                <w:rFonts w:ascii="Times New Roman" w:hAnsi="Times New Roman" w:cs="Times New Roman" w:eastAsia="Times New Roman" w:hint="default"/>
                <w:sz w:val="21"/>
                <w:szCs w:val="21"/>
              </w:rPr>
            </w:pPr>
            <w:r>
              <w:rPr>
                <w:rFonts w:ascii="Times New Roman"/>
                <w:sz w:val="21"/>
              </w:rPr>
              <w:t>21,047,545.62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6"/>
              <w:jc w:val="right"/>
              <w:rPr>
                <w:rFonts w:ascii="Times New Roman" w:hAnsi="Times New Roman" w:cs="Times New Roman" w:eastAsia="Times New Roman" w:hint="default"/>
                <w:sz w:val="21"/>
                <w:szCs w:val="21"/>
              </w:rPr>
            </w:pPr>
            <w:r>
              <w:rPr>
                <w:rFonts w:ascii="Times New Roman"/>
                <w:sz w:val="21"/>
              </w:rPr>
              <w:t>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19" w:right="0"/>
              <w:jc w:val="left"/>
              <w:rPr>
                <w:rFonts w:ascii="Times New Roman" w:hAnsi="Times New Roman" w:cs="Times New Roman" w:eastAsia="Times New Roman" w:hint="default"/>
                <w:sz w:val="21"/>
                <w:szCs w:val="21"/>
              </w:rPr>
            </w:pPr>
            <w:r>
              <w:rPr>
                <w:rFonts w:ascii="Times New Roman"/>
                <w:sz w:val="21"/>
              </w:rPr>
              <w:t>2.47%</w:t>
            </w:r>
          </w:p>
        </w:tc>
      </w:tr>
    </w:tbl>
    <w:p>
      <w:pPr>
        <w:pStyle w:val="BodyText"/>
        <w:spacing w:line="278" w:lineRule="exact"/>
        <w:ind w:right="0"/>
        <w:jc w:val="left"/>
      </w:pPr>
      <w:r>
        <w:rPr>
          <w:rFonts w:ascii="Times New Roman" w:hAnsi="Times New Roman" w:cs="Times New Roman" w:eastAsia="Times New Roman" w:hint="default"/>
        </w:rPr>
        <w:t>5</w:t>
      </w:r>
      <w:r>
        <w:rPr/>
        <w:t>）费用</w:t>
      </w:r>
    </w:p>
    <w:p>
      <w:pPr>
        <w:pStyle w:val="BodyText"/>
        <w:spacing w:line="240" w:lineRule="auto" w:before="21"/>
        <w:ind w:left="0" w:right="150"/>
        <w:jc w:val="right"/>
      </w:pPr>
      <w:r>
        <w:rPr>
          <w:spacing w:val="-1"/>
        </w:rPr>
        <w:t>单位：元</w:t>
      </w:r>
    </w:p>
    <w:p>
      <w:pPr>
        <w:spacing w:line="240" w:lineRule="auto" w:before="4"/>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915"/>
        <w:gridCol w:w="1637"/>
        <w:gridCol w:w="1637"/>
        <w:gridCol w:w="1462"/>
        <w:gridCol w:w="2918"/>
      </w:tblGrid>
      <w:tr>
        <w:trPr>
          <w:trHeight w:val="314"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72" w:lineRule="exact"/>
              <w:ind w:left="47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72" w:lineRule="exact"/>
              <w:ind w:left="47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56" w:lineRule="exact"/>
              <w:ind w:left="304" w:right="0"/>
              <w:jc w:val="left"/>
              <w:rPr>
                <w:rFonts w:ascii="宋体" w:hAnsi="宋体" w:cs="宋体" w:eastAsia="宋体" w:hint="default"/>
                <w:sz w:val="21"/>
                <w:szCs w:val="21"/>
              </w:rPr>
            </w:pPr>
            <w:r>
              <w:rPr>
                <w:rFonts w:ascii="宋体" w:hAnsi="宋体" w:cs="宋体" w:eastAsia="宋体" w:hint="default"/>
                <w:sz w:val="21"/>
                <w:szCs w:val="21"/>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56" w:lineRule="exact"/>
              <w:ind w:left="825" w:right="0"/>
              <w:jc w:val="left"/>
              <w:rPr>
                <w:rFonts w:ascii="宋体" w:hAnsi="宋体" w:cs="宋体" w:eastAsia="宋体" w:hint="default"/>
                <w:sz w:val="21"/>
                <w:szCs w:val="21"/>
              </w:rPr>
            </w:pPr>
            <w:r>
              <w:rPr>
                <w:rFonts w:ascii="宋体" w:hAnsi="宋体" w:cs="宋体" w:eastAsia="宋体" w:hint="default"/>
                <w:sz w:val="21"/>
                <w:szCs w:val="21"/>
              </w:rPr>
              <w:t>重大变动说明</w:t>
            </w:r>
          </w:p>
        </w:tc>
      </w:tr>
      <w:tr>
        <w:trPr>
          <w:trHeight w:val="412"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6"/>
              <w:ind w:left="24"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637" w:type="dxa"/>
            <w:tcBorders>
              <w:top w:val="single" w:sz="19" w:space="0" w:color="D4D4D4"/>
              <w:left w:val="single" w:sz="9" w:space="0" w:color="D4D4D4"/>
              <w:bottom w:val="single" w:sz="4" w:space="0" w:color="000000"/>
              <w:right w:val="single" w:sz="4" w:space="0" w:color="000000"/>
            </w:tcBorders>
          </w:tcPr>
          <w:p>
            <w:pPr>
              <w:pStyle w:val="TableParagraph"/>
              <w:spacing w:line="240" w:lineRule="auto" w:before="71"/>
              <w:ind w:right="17"/>
              <w:jc w:val="right"/>
              <w:rPr>
                <w:rFonts w:ascii="Times New Roman" w:hAnsi="Times New Roman" w:cs="Times New Roman" w:eastAsia="Times New Roman" w:hint="default"/>
                <w:sz w:val="21"/>
                <w:szCs w:val="21"/>
              </w:rPr>
            </w:pPr>
            <w:r>
              <w:rPr>
                <w:rFonts w:ascii="Times New Roman"/>
                <w:spacing w:val="-1"/>
                <w:sz w:val="21"/>
              </w:rPr>
              <w:t>19,842,376.58</w:t>
            </w:r>
          </w:p>
        </w:tc>
        <w:tc>
          <w:tcPr>
            <w:tcW w:w="1637" w:type="dxa"/>
            <w:tcBorders>
              <w:top w:val="single" w:sz="19" w:space="0" w:color="D4D4D4"/>
              <w:left w:val="single" w:sz="4" w:space="0" w:color="000000"/>
              <w:bottom w:val="single" w:sz="4" w:space="0" w:color="000000"/>
              <w:right w:val="single" w:sz="4" w:space="0" w:color="000000"/>
            </w:tcBorders>
          </w:tcPr>
          <w:p>
            <w:pPr>
              <w:pStyle w:val="TableParagraph"/>
              <w:spacing w:line="240" w:lineRule="auto" w:before="71"/>
              <w:ind w:left="398" w:right="0"/>
              <w:jc w:val="left"/>
              <w:rPr>
                <w:rFonts w:ascii="Times New Roman" w:hAnsi="Times New Roman" w:cs="Times New Roman" w:eastAsia="Times New Roman" w:hint="default"/>
                <w:sz w:val="21"/>
                <w:szCs w:val="21"/>
              </w:rPr>
            </w:pPr>
            <w:r>
              <w:rPr>
                <w:rFonts w:ascii="Times New Roman"/>
                <w:sz w:val="21"/>
              </w:rPr>
              <w:t>15,715,741.04</w:t>
            </w:r>
          </w:p>
        </w:tc>
        <w:tc>
          <w:tcPr>
            <w:tcW w:w="1462" w:type="dxa"/>
            <w:tcBorders>
              <w:top w:val="single" w:sz="19" w:space="0" w:color="D4D4D4"/>
              <w:left w:val="single" w:sz="4" w:space="0" w:color="000000"/>
              <w:bottom w:val="single" w:sz="4" w:space="0" w:color="000000"/>
              <w:right w:val="single" w:sz="4" w:space="0" w:color="000000"/>
            </w:tcBorders>
          </w:tcPr>
          <w:p>
            <w:pPr>
              <w:pStyle w:val="TableParagraph"/>
              <w:spacing w:line="240" w:lineRule="auto" w:before="71"/>
              <w:ind w:right="18"/>
              <w:jc w:val="right"/>
              <w:rPr>
                <w:rFonts w:ascii="Times New Roman" w:hAnsi="Times New Roman" w:cs="Times New Roman" w:eastAsia="Times New Roman" w:hint="default"/>
                <w:sz w:val="21"/>
                <w:szCs w:val="21"/>
              </w:rPr>
            </w:pPr>
            <w:r>
              <w:rPr>
                <w:rFonts w:ascii="Times New Roman"/>
                <w:sz w:val="21"/>
              </w:rPr>
              <w:t>26.26%</w:t>
            </w:r>
          </w:p>
        </w:tc>
        <w:tc>
          <w:tcPr>
            <w:tcW w:w="2918" w:type="dxa"/>
            <w:tcBorders>
              <w:top w:val="single" w:sz="19" w:space="0" w:color="D4D4D4"/>
              <w:left w:val="single" w:sz="4" w:space="0" w:color="000000"/>
              <w:bottom w:val="single" w:sz="4" w:space="0" w:color="000000"/>
              <w:right w:val="single" w:sz="4" w:space="0" w:color="000000"/>
            </w:tcBorders>
          </w:tcPr>
          <w:p>
            <w:pPr/>
          </w:p>
        </w:tc>
      </w:tr>
      <w:tr>
        <w:trPr>
          <w:trHeight w:val="379"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4"/>
              <w:ind w:left="24"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637"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58"/>
              <w:ind w:right="17"/>
              <w:jc w:val="right"/>
              <w:rPr>
                <w:rFonts w:ascii="Times New Roman" w:hAnsi="Times New Roman" w:cs="Times New Roman" w:eastAsia="Times New Roman" w:hint="default"/>
                <w:sz w:val="21"/>
                <w:szCs w:val="21"/>
              </w:rPr>
            </w:pPr>
            <w:r>
              <w:rPr>
                <w:rFonts w:ascii="Times New Roman"/>
                <w:spacing w:val="-1"/>
                <w:sz w:val="21"/>
              </w:rPr>
              <w:t>27,454,266.93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98" w:right="0"/>
              <w:jc w:val="left"/>
              <w:rPr>
                <w:rFonts w:ascii="Times New Roman" w:hAnsi="Times New Roman" w:cs="Times New Roman" w:eastAsia="Times New Roman" w:hint="default"/>
                <w:sz w:val="21"/>
                <w:szCs w:val="21"/>
              </w:rPr>
            </w:pPr>
            <w:r>
              <w:rPr>
                <w:rFonts w:ascii="Times New Roman"/>
                <w:sz w:val="21"/>
              </w:rPr>
              <w:t>25,840,517.20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8"/>
              <w:jc w:val="right"/>
              <w:rPr>
                <w:rFonts w:ascii="Times New Roman" w:hAnsi="Times New Roman" w:cs="Times New Roman" w:eastAsia="Times New Roman" w:hint="default"/>
                <w:sz w:val="21"/>
                <w:szCs w:val="21"/>
              </w:rPr>
            </w:pPr>
            <w:r>
              <w:rPr>
                <w:rFonts w:ascii="Times New Roman"/>
                <w:sz w:val="21"/>
              </w:rPr>
              <w:t>6.25%</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4"/>
              <w:ind w:left="24"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637"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56"/>
              <w:ind w:right="17"/>
              <w:jc w:val="right"/>
              <w:rPr>
                <w:rFonts w:ascii="Times New Roman" w:hAnsi="Times New Roman" w:cs="Times New Roman" w:eastAsia="Times New Roman" w:hint="default"/>
                <w:sz w:val="21"/>
                <w:szCs w:val="21"/>
              </w:rPr>
            </w:pPr>
            <w:r>
              <w:rPr>
                <w:rFonts w:ascii="Times New Roman"/>
                <w:spacing w:val="-1"/>
                <w:sz w:val="21"/>
              </w:rPr>
              <w:t>-3,013,132.64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31" w:right="0"/>
              <w:jc w:val="left"/>
              <w:rPr>
                <w:rFonts w:ascii="Times New Roman" w:hAnsi="Times New Roman" w:cs="Times New Roman" w:eastAsia="Times New Roman" w:hint="default"/>
                <w:sz w:val="21"/>
                <w:szCs w:val="21"/>
              </w:rPr>
            </w:pPr>
            <w:r>
              <w:rPr>
                <w:rFonts w:ascii="Times New Roman"/>
                <w:sz w:val="21"/>
              </w:rPr>
              <w:t>-3,538,263.33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1"/>
              <w:jc w:val="right"/>
              <w:rPr>
                <w:rFonts w:ascii="Times New Roman" w:hAnsi="Times New Roman" w:cs="Times New Roman" w:eastAsia="Times New Roman" w:hint="default"/>
                <w:sz w:val="21"/>
                <w:szCs w:val="21"/>
              </w:rPr>
            </w:pPr>
            <w:r>
              <w:rPr>
                <w:rFonts w:ascii="Times New Roman"/>
                <w:spacing w:val="-1"/>
                <w:sz w:val="21"/>
              </w:rPr>
              <w:t>-14.84%</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4"/>
              <w:ind w:left="24" w:right="0"/>
              <w:jc w:val="left"/>
              <w:rPr>
                <w:rFonts w:ascii="宋体" w:hAnsi="宋体" w:cs="宋体" w:eastAsia="宋体" w:hint="default"/>
                <w:sz w:val="21"/>
                <w:szCs w:val="21"/>
              </w:rPr>
            </w:pPr>
            <w:r>
              <w:rPr>
                <w:rFonts w:ascii="宋体" w:hAnsi="宋体" w:cs="宋体" w:eastAsia="宋体" w:hint="default"/>
                <w:sz w:val="21"/>
                <w:szCs w:val="21"/>
              </w:rPr>
              <w:t>所得税</w:t>
            </w:r>
          </w:p>
        </w:tc>
        <w:tc>
          <w:tcPr>
            <w:tcW w:w="1637"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56"/>
              <w:ind w:right="17"/>
              <w:jc w:val="right"/>
              <w:rPr>
                <w:rFonts w:ascii="Times New Roman" w:hAnsi="Times New Roman" w:cs="Times New Roman" w:eastAsia="Times New Roman" w:hint="default"/>
                <w:sz w:val="21"/>
                <w:szCs w:val="21"/>
              </w:rPr>
            </w:pPr>
            <w:r>
              <w:rPr>
                <w:rFonts w:ascii="Times New Roman"/>
                <w:spacing w:val="-1"/>
                <w:sz w:val="21"/>
              </w:rPr>
              <w:t>3,385,423.47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503" w:right="0"/>
              <w:jc w:val="left"/>
              <w:rPr>
                <w:rFonts w:ascii="Times New Roman" w:hAnsi="Times New Roman" w:cs="Times New Roman" w:eastAsia="Times New Roman" w:hint="default"/>
                <w:sz w:val="21"/>
                <w:szCs w:val="21"/>
              </w:rPr>
            </w:pPr>
            <w:r>
              <w:rPr>
                <w:rFonts w:ascii="Times New Roman"/>
                <w:sz w:val="21"/>
              </w:rPr>
              <w:t>3,780,605.01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1"/>
              <w:jc w:val="right"/>
              <w:rPr>
                <w:rFonts w:ascii="Times New Roman" w:hAnsi="Times New Roman" w:cs="Times New Roman" w:eastAsia="Times New Roman" w:hint="default"/>
                <w:sz w:val="21"/>
                <w:szCs w:val="21"/>
              </w:rPr>
            </w:pPr>
            <w:r>
              <w:rPr>
                <w:rFonts w:ascii="Times New Roman"/>
                <w:spacing w:val="-1"/>
                <w:sz w:val="21"/>
              </w:rPr>
              <w:t>-10.45%</w:t>
            </w:r>
          </w:p>
        </w:tc>
        <w:tc>
          <w:tcPr>
            <w:tcW w:w="291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78" w:lineRule="exact"/>
        <w:ind w:right="0"/>
        <w:jc w:val="left"/>
      </w:pPr>
      <w:r>
        <w:rPr>
          <w:rFonts w:ascii="Times New Roman" w:hAnsi="Times New Roman" w:cs="Times New Roman" w:eastAsia="Times New Roman" w:hint="default"/>
        </w:rPr>
        <w:t>6</w:t>
      </w:r>
      <w:r>
        <w:rPr/>
        <w:t>）研发投入</w:t>
      </w:r>
    </w:p>
    <w:p>
      <w:pPr>
        <w:pStyle w:val="BodyText"/>
        <w:spacing w:line="261" w:lineRule="auto" w:before="2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持续的自主创新能力是市场竞争力的核心要素，公司积极投入同步教学软件及在线教育网络服务开发平台</w:t>
      </w:r>
      <w:r>
        <w:rPr>
          <w:spacing w:val="-43"/>
        </w:rPr>
        <w:t> </w:t>
      </w:r>
      <w:r>
        <w:rPr>
          <w:spacing w:val="-43"/>
        </w:rPr>
      </w:r>
      <w:r>
        <w:rPr>
          <w:spacing w:val="-2"/>
        </w:rPr>
        <w:t>的开发，近几年研发投入一直都保持在公司营业收入的</w:t>
      </w:r>
      <w:r>
        <w:rPr>
          <w:rFonts w:ascii="Times New Roman" w:hAnsi="Times New Roman" w:cs="Times New Roman" w:eastAsia="Times New Roman" w:hint="default"/>
          <w:spacing w:val="-2"/>
        </w:rPr>
        <w:t>15%</w:t>
      </w:r>
      <w:r>
        <w:rPr>
          <w:spacing w:val="-2"/>
        </w:rPr>
        <w:t>以上，</w:t>
      </w:r>
      <w:r>
        <w:rPr>
          <w:rFonts w:ascii="Times New Roman" w:hAnsi="Times New Roman" w:cs="Times New Roman" w:eastAsia="Times New Roman" w:hint="default"/>
          <w:spacing w:val="-2"/>
        </w:rPr>
        <w:t>2014</w:t>
      </w:r>
      <w:r>
        <w:rPr>
          <w:spacing w:val="-2"/>
        </w:rPr>
        <w:t>年达到</w:t>
      </w:r>
      <w:r>
        <w:rPr>
          <w:rFonts w:ascii="Times New Roman" w:hAnsi="Times New Roman" w:cs="Times New Roman" w:eastAsia="Times New Roman" w:hint="default"/>
          <w:spacing w:val="-2"/>
        </w:rPr>
        <w:t>20%</w:t>
      </w:r>
      <w:r>
        <w:rPr>
          <w:spacing w:val="-2"/>
        </w:rPr>
        <w:t>，持续的研发投入为公</w:t>
      </w:r>
      <w:r>
        <w:rPr>
          <w:spacing w:val="-13"/>
        </w:rPr>
        <w:t> </w:t>
      </w:r>
      <w:r>
        <w:rPr>
          <w:spacing w:val="-13"/>
        </w:rPr>
      </w:r>
      <w:r>
        <w:rPr/>
        <w:t>司提高产品竞争优势提供了有力的技术保障。</w:t>
      </w:r>
    </w:p>
    <w:p>
      <w:pPr>
        <w:pStyle w:val="BodyText"/>
        <w:spacing w:line="240" w:lineRule="auto" w:before="18"/>
        <w:ind w:left="153" w:right="0"/>
        <w:jc w:val="left"/>
      </w:pPr>
      <w:r>
        <w:rPr/>
        <w:t>近三年公司研发投入金额及占营业收入的比例</w:t>
      </w:r>
    </w:p>
    <w:p>
      <w:pPr>
        <w:spacing w:line="240" w:lineRule="auto" w:before="3"/>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393"/>
        <w:gridCol w:w="2390"/>
        <w:gridCol w:w="2393"/>
        <w:gridCol w:w="2393"/>
      </w:tblGrid>
      <w:tr>
        <w:trPr>
          <w:trHeight w:val="316"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73"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73"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73"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p>
        </w:tc>
      </w:tr>
      <w:tr>
        <w:trPr>
          <w:trHeight w:val="412"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6"/>
              <w:ind w:left="24" w:right="0"/>
              <w:jc w:val="left"/>
              <w:rPr>
                <w:rFonts w:ascii="宋体" w:hAnsi="宋体" w:cs="宋体" w:eastAsia="宋体" w:hint="default"/>
                <w:sz w:val="21"/>
                <w:szCs w:val="21"/>
              </w:rPr>
            </w:pPr>
            <w:r>
              <w:rPr>
                <w:rFonts w:ascii="宋体" w:hAnsi="宋体" w:cs="宋体" w:eastAsia="宋体" w:hint="default"/>
                <w:sz w:val="21"/>
                <w:szCs w:val="21"/>
              </w:rPr>
              <w:t>研发投入金额（元）</w:t>
            </w:r>
          </w:p>
        </w:tc>
        <w:tc>
          <w:tcPr>
            <w:tcW w:w="2390" w:type="dxa"/>
            <w:tcBorders>
              <w:top w:val="single" w:sz="19" w:space="0" w:color="D4D4D4"/>
              <w:left w:val="single" w:sz="10" w:space="0" w:color="D4D4D4"/>
              <w:bottom w:val="single" w:sz="4" w:space="0" w:color="000000"/>
              <w:right w:val="single" w:sz="4" w:space="0" w:color="000000"/>
            </w:tcBorders>
          </w:tcPr>
          <w:p>
            <w:pPr>
              <w:pStyle w:val="TableParagraph"/>
              <w:spacing w:line="240" w:lineRule="auto" w:before="69"/>
              <w:ind w:left="1144" w:right="0"/>
              <w:jc w:val="left"/>
              <w:rPr>
                <w:rFonts w:ascii="Times New Roman" w:hAnsi="Times New Roman" w:cs="Times New Roman" w:eastAsia="Times New Roman" w:hint="default"/>
                <w:sz w:val="21"/>
                <w:szCs w:val="21"/>
              </w:rPr>
            </w:pPr>
            <w:r>
              <w:rPr>
                <w:rFonts w:ascii="Times New Roman"/>
                <w:sz w:val="21"/>
              </w:rPr>
              <w:t>16,571,986.75</w:t>
            </w:r>
          </w:p>
        </w:tc>
        <w:tc>
          <w:tcPr>
            <w:tcW w:w="2393" w:type="dxa"/>
            <w:tcBorders>
              <w:top w:val="single" w:sz="19" w:space="0" w:color="D4D4D4"/>
              <w:left w:val="single" w:sz="4" w:space="0" w:color="000000"/>
              <w:bottom w:val="single" w:sz="4" w:space="0" w:color="000000"/>
              <w:right w:val="single" w:sz="4" w:space="0" w:color="000000"/>
            </w:tcBorders>
          </w:tcPr>
          <w:p>
            <w:pPr>
              <w:pStyle w:val="TableParagraph"/>
              <w:spacing w:line="240" w:lineRule="auto" w:before="69"/>
              <w:ind w:left="1151" w:right="0"/>
              <w:jc w:val="left"/>
              <w:rPr>
                <w:rFonts w:ascii="Times New Roman" w:hAnsi="Times New Roman" w:cs="Times New Roman" w:eastAsia="Times New Roman" w:hint="default"/>
                <w:sz w:val="21"/>
                <w:szCs w:val="21"/>
              </w:rPr>
            </w:pPr>
            <w:r>
              <w:rPr>
                <w:rFonts w:ascii="Times New Roman"/>
                <w:sz w:val="21"/>
              </w:rPr>
              <w:t>12,671,145.86</w:t>
            </w:r>
          </w:p>
        </w:tc>
        <w:tc>
          <w:tcPr>
            <w:tcW w:w="2393" w:type="dxa"/>
            <w:tcBorders>
              <w:top w:val="single" w:sz="19" w:space="0" w:color="D4D4D4"/>
              <w:left w:val="single" w:sz="4" w:space="0" w:color="000000"/>
              <w:bottom w:val="single" w:sz="4" w:space="0" w:color="000000"/>
              <w:right w:val="single" w:sz="4" w:space="0" w:color="000000"/>
            </w:tcBorders>
          </w:tcPr>
          <w:p>
            <w:pPr>
              <w:pStyle w:val="TableParagraph"/>
              <w:spacing w:line="240" w:lineRule="auto" w:before="69"/>
              <w:ind w:left="1159" w:right="0"/>
              <w:jc w:val="left"/>
              <w:rPr>
                <w:rFonts w:ascii="Times New Roman" w:hAnsi="Times New Roman" w:cs="Times New Roman" w:eastAsia="Times New Roman" w:hint="default"/>
                <w:sz w:val="21"/>
                <w:szCs w:val="21"/>
              </w:rPr>
            </w:pPr>
            <w:r>
              <w:rPr>
                <w:rFonts w:ascii="Times New Roman"/>
                <w:sz w:val="21"/>
              </w:rPr>
              <w:t>11,015,259.44</w:t>
            </w:r>
          </w:p>
        </w:tc>
      </w:tr>
    </w:tbl>
    <w:p>
      <w:pPr>
        <w:spacing w:after="0" w:line="240" w:lineRule="auto"/>
        <w:jc w:val="left"/>
        <w:rPr>
          <w:rFonts w:ascii="Times New Roman" w:hAnsi="Times New Roman" w:cs="Times New Roman" w:eastAsia="Times New Roman" w:hint="default"/>
          <w:sz w:val="21"/>
          <w:szCs w:val="21"/>
        </w:rPr>
        <w:sectPr>
          <w:type w:val="continuous"/>
          <w:pgSz w:w="11910" w:h="16840"/>
          <w:pgMar w:top="1060" w:bottom="1180" w:left="980" w:right="98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0"/>
        <w:gridCol w:w="2393"/>
        <w:gridCol w:w="2393"/>
      </w:tblGrid>
      <w:tr>
        <w:trPr>
          <w:trHeight w:val="379"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4"/>
              <w:ind w:left="22" w:right="0"/>
              <w:jc w:val="left"/>
              <w:rPr>
                <w:rFonts w:ascii="宋体" w:hAnsi="宋体" w:cs="宋体" w:eastAsia="宋体" w:hint="default"/>
                <w:sz w:val="21"/>
                <w:szCs w:val="21"/>
              </w:rPr>
            </w:pPr>
            <w:r>
              <w:rPr>
                <w:rFonts w:ascii="宋体" w:hAnsi="宋体" w:cs="宋体" w:eastAsia="宋体" w:hint="default"/>
                <w:sz w:val="21"/>
                <w:szCs w:val="21"/>
              </w:rPr>
              <w:t>研发投入占营业收入比例</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6"/>
              <w:jc w:val="right"/>
              <w:rPr>
                <w:rFonts w:ascii="Times New Roman" w:hAnsi="Times New Roman" w:cs="Times New Roman" w:eastAsia="Times New Roman" w:hint="default"/>
                <w:sz w:val="21"/>
                <w:szCs w:val="21"/>
              </w:rPr>
            </w:pPr>
            <w:r>
              <w:rPr>
                <w:rFonts w:ascii="Times New Roman"/>
                <w:sz w:val="21"/>
              </w:rPr>
              <w:t>20.01%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8"/>
              <w:jc w:val="right"/>
              <w:rPr>
                <w:rFonts w:ascii="Times New Roman" w:hAnsi="Times New Roman" w:cs="Times New Roman" w:eastAsia="Times New Roman" w:hint="default"/>
                <w:sz w:val="21"/>
                <w:szCs w:val="21"/>
              </w:rPr>
            </w:pPr>
            <w:r>
              <w:rPr>
                <w:rFonts w:ascii="Times New Roman"/>
                <w:sz w:val="21"/>
              </w:rPr>
              <w:t>16.87%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8"/>
              <w:jc w:val="right"/>
              <w:rPr>
                <w:rFonts w:ascii="Times New Roman" w:hAnsi="Times New Roman" w:cs="Times New Roman" w:eastAsia="Times New Roman" w:hint="default"/>
                <w:sz w:val="21"/>
                <w:szCs w:val="21"/>
              </w:rPr>
            </w:pPr>
            <w:r>
              <w:rPr>
                <w:rFonts w:ascii="Times New Roman"/>
                <w:sz w:val="21"/>
              </w:rPr>
              <w:t>14.27%</w:t>
            </w:r>
          </w:p>
        </w:tc>
      </w:tr>
      <w:tr>
        <w:trPr>
          <w:trHeight w:val="557"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研发支出资本化的金额</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（元）</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1"/>
                <w:sz w:val="21"/>
              </w:rPr>
              <w:t>963,465.59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3,272,657.91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3,313,728.69</w:t>
            </w:r>
          </w:p>
        </w:tc>
      </w:tr>
      <w:tr>
        <w:trPr>
          <w:trHeight w:val="554"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9" w:lineRule="exact"/>
              <w:ind w:left="22" w:right="0"/>
              <w:jc w:val="left"/>
              <w:rPr>
                <w:rFonts w:ascii="宋体" w:hAnsi="宋体" w:cs="宋体" w:eastAsia="宋体" w:hint="default"/>
                <w:sz w:val="21"/>
                <w:szCs w:val="21"/>
              </w:rPr>
            </w:pPr>
            <w:r>
              <w:rPr>
                <w:rFonts w:ascii="宋体" w:hAnsi="宋体" w:cs="宋体" w:eastAsia="宋体" w:hint="default"/>
                <w:sz w:val="21"/>
                <w:szCs w:val="21"/>
              </w:rPr>
              <w:t>资本化研发支出占研发投</w:t>
            </w:r>
          </w:p>
          <w:p>
            <w:pPr>
              <w:pStyle w:val="TableParagraph"/>
              <w:spacing w:line="273" w:lineRule="exact"/>
              <w:ind w:left="22" w:right="0"/>
              <w:jc w:val="left"/>
              <w:rPr>
                <w:rFonts w:ascii="宋体" w:hAnsi="宋体" w:cs="宋体" w:eastAsia="宋体" w:hint="default"/>
                <w:sz w:val="21"/>
                <w:szCs w:val="21"/>
              </w:rPr>
            </w:pPr>
            <w:r>
              <w:rPr>
                <w:rFonts w:ascii="宋体" w:hAnsi="宋体" w:cs="宋体" w:eastAsia="宋体" w:hint="default"/>
                <w:sz w:val="21"/>
                <w:szCs w:val="21"/>
              </w:rPr>
              <w:t>入的比例</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21"/>
                <w:szCs w:val="21"/>
              </w:rPr>
            </w:pPr>
            <w:r>
              <w:rPr>
                <w:rFonts w:ascii="Times New Roman"/>
                <w:sz w:val="21"/>
              </w:rPr>
              <w:t>5.81%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
              <w:jc w:val="right"/>
              <w:rPr>
                <w:rFonts w:ascii="Times New Roman" w:hAnsi="Times New Roman" w:cs="Times New Roman" w:eastAsia="Times New Roman" w:hint="default"/>
                <w:sz w:val="21"/>
                <w:szCs w:val="21"/>
              </w:rPr>
            </w:pPr>
            <w:r>
              <w:rPr>
                <w:rFonts w:ascii="Times New Roman"/>
                <w:sz w:val="21"/>
              </w:rPr>
              <w:t>25.83%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
              <w:jc w:val="right"/>
              <w:rPr>
                <w:rFonts w:ascii="Times New Roman" w:hAnsi="Times New Roman" w:cs="Times New Roman" w:eastAsia="Times New Roman" w:hint="default"/>
                <w:sz w:val="21"/>
                <w:szCs w:val="21"/>
              </w:rPr>
            </w:pPr>
            <w:r>
              <w:rPr>
                <w:rFonts w:ascii="Times New Roman"/>
                <w:sz w:val="21"/>
              </w:rPr>
              <w:t>30.08%</w:t>
            </w:r>
          </w:p>
        </w:tc>
      </w:tr>
      <w:tr>
        <w:trPr>
          <w:trHeight w:val="557"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资本化研发支出占当期净</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利润的比重</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6"/>
              <w:jc w:val="right"/>
              <w:rPr>
                <w:rFonts w:ascii="Times New Roman" w:hAnsi="Times New Roman" w:cs="Times New Roman" w:eastAsia="Times New Roman" w:hint="default"/>
                <w:sz w:val="21"/>
                <w:szCs w:val="21"/>
              </w:rPr>
            </w:pPr>
            <w:r>
              <w:rPr>
                <w:rFonts w:ascii="Times New Roman"/>
                <w:sz w:val="21"/>
              </w:rPr>
              <w:t>4.28%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8"/>
              <w:jc w:val="right"/>
              <w:rPr>
                <w:rFonts w:ascii="Times New Roman" w:hAnsi="Times New Roman" w:cs="Times New Roman" w:eastAsia="Times New Roman" w:hint="default"/>
                <w:sz w:val="21"/>
                <w:szCs w:val="21"/>
              </w:rPr>
            </w:pPr>
            <w:r>
              <w:rPr>
                <w:rFonts w:ascii="Times New Roman"/>
                <w:sz w:val="21"/>
              </w:rPr>
              <w:t>14.04%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8"/>
              <w:jc w:val="right"/>
              <w:rPr>
                <w:rFonts w:ascii="Times New Roman" w:hAnsi="Times New Roman" w:cs="Times New Roman" w:eastAsia="Times New Roman" w:hint="default"/>
                <w:sz w:val="21"/>
                <w:szCs w:val="21"/>
              </w:rPr>
            </w:pPr>
            <w:r>
              <w:rPr>
                <w:rFonts w:ascii="Times New Roman"/>
                <w:sz w:val="21"/>
              </w:rPr>
              <w:t>15.73%</w:t>
            </w:r>
          </w:p>
        </w:tc>
      </w:tr>
    </w:tbl>
    <w:p>
      <w:pPr>
        <w:spacing w:after="0" w:line="240" w:lineRule="auto"/>
        <w:jc w:val="right"/>
        <w:rPr>
          <w:rFonts w:ascii="Times New Roman" w:hAnsi="Times New Roman" w:cs="Times New Roman" w:eastAsia="Times New Roman" w:hint="default"/>
          <w:sz w:val="21"/>
          <w:szCs w:val="21"/>
        </w:rPr>
        <w:sectPr>
          <w:pgSz w:w="11910" w:h="16840"/>
          <w:pgMar w:header="748" w:footer="982" w:top="1060" w:bottom="1180" w:left="980" w:right="980"/>
        </w:sectPr>
      </w:pPr>
    </w:p>
    <w:p>
      <w:pPr>
        <w:pStyle w:val="BodyText"/>
        <w:spacing w:line="262" w:lineRule="exact"/>
        <w:ind w:right="0"/>
        <w:jc w:val="left"/>
      </w:pPr>
      <w:r>
        <w:rPr>
          <w:spacing w:val="-2"/>
        </w:rPr>
        <w:t>研发投入资本化率大幅变动的原因及其合理性说明</w:t>
      </w:r>
    </w:p>
    <w:p>
      <w:pPr>
        <w:pStyle w:val="BodyText"/>
        <w:spacing w:line="240" w:lineRule="auto" w:before="3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21"/>
        <w:ind w:right="0"/>
        <w:jc w:val="left"/>
      </w:pPr>
      <w:r>
        <w:rPr>
          <w:rFonts w:ascii="Times New Roman" w:hAnsi="Times New Roman" w:cs="Times New Roman" w:eastAsia="Times New Roman" w:hint="default"/>
        </w:rPr>
        <w:t>7</w:t>
      </w:r>
      <w:r>
        <w:rPr/>
        <w:t>）现金流</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8"/>
        <w:ind w:right="0"/>
        <w:jc w:val="left"/>
      </w:pPr>
      <w:r>
        <w:rPr/>
        <w:t>单位：元</w:t>
      </w:r>
    </w:p>
    <w:p>
      <w:pPr>
        <w:spacing w:after="0" w:line="240" w:lineRule="auto"/>
        <w:jc w:val="left"/>
        <w:sectPr>
          <w:type w:val="continuous"/>
          <w:pgSz w:w="11910" w:h="16840"/>
          <w:pgMar w:top="1060" w:bottom="1180" w:left="980" w:right="980"/>
          <w:cols w:num="2" w:equalWidth="0">
            <w:col w:w="4779" w:space="4020"/>
            <w:col w:w="1151"/>
          </w:cols>
        </w:sectPr>
      </w:pPr>
    </w:p>
    <w:p>
      <w:pPr>
        <w:spacing w:line="240" w:lineRule="auto" w:before="8"/>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393"/>
        <w:gridCol w:w="2390"/>
        <w:gridCol w:w="2393"/>
        <w:gridCol w:w="2393"/>
      </w:tblGrid>
      <w:tr>
        <w:trPr>
          <w:trHeight w:val="326"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81"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81"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65" w:lineRule="exact"/>
              <w:ind w:left="770" w:right="0"/>
              <w:jc w:val="left"/>
              <w:rPr>
                <w:rFonts w:ascii="宋体" w:hAnsi="宋体" w:cs="宋体" w:eastAsia="宋体" w:hint="default"/>
                <w:sz w:val="21"/>
                <w:szCs w:val="21"/>
              </w:rPr>
            </w:pPr>
            <w:r>
              <w:rPr>
                <w:rFonts w:ascii="宋体" w:hAnsi="宋体" w:cs="宋体" w:eastAsia="宋体" w:hint="default"/>
                <w:sz w:val="21"/>
                <w:szCs w:val="21"/>
              </w:rPr>
              <w:t>同比增减</w:t>
            </w:r>
          </w:p>
        </w:tc>
      </w:tr>
      <w:tr>
        <w:trPr>
          <w:trHeight w:val="408"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2"/>
              <w:ind w:left="24"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2390" w:type="dxa"/>
            <w:tcBorders>
              <w:top w:val="single" w:sz="23" w:space="0" w:color="D4D4D4"/>
              <w:left w:val="single" w:sz="10" w:space="0" w:color="D4D4D4"/>
              <w:bottom w:val="single" w:sz="4" w:space="0" w:color="000000"/>
              <w:right w:val="single" w:sz="4" w:space="0" w:color="000000"/>
            </w:tcBorders>
          </w:tcPr>
          <w:p>
            <w:pPr>
              <w:pStyle w:val="TableParagraph"/>
              <w:spacing w:line="240" w:lineRule="auto" w:before="63"/>
              <w:ind w:right="17"/>
              <w:jc w:val="right"/>
              <w:rPr>
                <w:rFonts w:ascii="Times New Roman" w:hAnsi="Times New Roman" w:cs="Times New Roman" w:eastAsia="Times New Roman" w:hint="default"/>
                <w:sz w:val="21"/>
                <w:szCs w:val="21"/>
              </w:rPr>
            </w:pPr>
            <w:r>
              <w:rPr>
                <w:rFonts w:ascii="Times New Roman"/>
                <w:spacing w:val="-1"/>
                <w:sz w:val="21"/>
              </w:rPr>
              <w:t>104,668,374.97</w:t>
            </w:r>
          </w:p>
        </w:tc>
        <w:tc>
          <w:tcPr>
            <w:tcW w:w="2393" w:type="dxa"/>
            <w:tcBorders>
              <w:top w:val="single" w:sz="23" w:space="0" w:color="D4D4D4"/>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21"/>
                <w:szCs w:val="21"/>
              </w:rPr>
            </w:pPr>
            <w:r>
              <w:rPr>
                <w:rFonts w:ascii="Times New Roman"/>
                <w:spacing w:val="-1"/>
                <w:sz w:val="21"/>
              </w:rPr>
              <w:t>89,336,932.73</w:t>
            </w:r>
          </w:p>
        </w:tc>
        <w:tc>
          <w:tcPr>
            <w:tcW w:w="2393" w:type="dxa"/>
            <w:tcBorders>
              <w:top w:val="single" w:sz="23" w:space="0" w:color="D4D4D4"/>
              <w:left w:val="single" w:sz="4" w:space="0" w:color="000000"/>
              <w:bottom w:val="single" w:sz="4" w:space="0" w:color="000000"/>
              <w:right w:val="single" w:sz="4" w:space="0" w:color="000000"/>
            </w:tcBorders>
          </w:tcPr>
          <w:p>
            <w:pPr>
              <w:pStyle w:val="TableParagraph"/>
              <w:spacing w:line="240" w:lineRule="auto" w:before="63"/>
              <w:ind w:right="18"/>
              <w:jc w:val="right"/>
              <w:rPr>
                <w:rFonts w:ascii="Times New Roman" w:hAnsi="Times New Roman" w:cs="Times New Roman" w:eastAsia="Times New Roman" w:hint="default"/>
                <w:sz w:val="21"/>
                <w:szCs w:val="21"/>
              </w:rPr>
            </w:pPr>
            <w:r>
              <w:rPr>
                <w:rFonts w:ascii="Times New Roman"/>
                <w:sz w:val="21"/>
              </w:rPr>
              <w:t>17.16%</w:t>
            </w:r>
          </w:p>
        </w:tc>
      </w:tr>
      <w:tr>
        <w:trPr>
          <w:trHeight w:val="379"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4"/>
              <w:ind w:left="24"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239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58"/>
              <w:ind w:right="17"/>
              <w:jc w:val="right"/>
              <w:rPr>
                <w:rFonts w:ascii="Times New Roman" w:hAnsi="Times New Roman" w:cs="Times New Roman" w:eastAsia="Times New Roman" w:hint="default"/>
                <w:sz w:val="21"/>
                <w:szCs w:val="21"/>
              </w:rPr>
            </w:pPr>
            <w:r>
              <w:rPr>
                <w:rFonts w:ascii="Times New Roman"/>
                <w:spacing w:val="-1"/>
                <w:sz w:val="21"/>
              </w:rPr>
              <w:t>84,030,529.22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Times New Roman" w:hAnsi="Times New Roman" w:cs="Times New Roman" w:eastAsia="Times New Roman" w:hint="default"/>
                <w:sz w:val="21"/>
                <w:szCs w:val="21"/>
              </w:rPr>
            </w:pPr>
            <w:r>
              <w:rPr>
                <w:rFonts w:ascii="Times New Roman"/>
                <w:spacing w:val="-1"/>
                <w:sz w:val="21"/>
              </w:rPr>
              <w:t>71,539,627.28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8"/>
              <w:jc w:val="right"/>
              <w:rPr>
                <w:rFonts w:ascii="Times New Roman" w:hAnsi="Times New Roman" w:cs="Times New Roman" w:eastAsia="Times New Roman" w:hint="default"/>
                <w:sz w:val="21"/>
                <w:szCs w:val="21"/>
              </w:rPr>
            </w:pPr>
            <w:r>
              <w:rPr>
                <w:rFonts w:ascii="Times New Roman"/>
                <w:sz w:val="21"/>
              </w:rPr>
              <w:t>17.46%</w:t>
            </w:r>
          </w:p>
        </w:tc>
      </w:tr>
      <w:tr>
        <w:trPr>
          <w:trHeight w:val="554" w:hRule="exact"/>
        </w:trPr>
        <w:tc>
          <w:tcPr>
            <w:tcW w:w="2393" w:type="dxa"/>
            <w:tcBorders>
              <w:top w:val="single" w:sz="4" w:space="0" w:color="000000"/>
              <w:left w:val="single" w:sz="4" w:space="0" w:color="000000"/>
              <w:bottom w:val="single" w:sz="4" w:space="0" w:color="FFFFFF"/>
              <w:right w:val="single" w:sz="4" w:space="0" w:color="000000"/>
            </w:tcBorders>
            <w:shd w:val="clear" w:color="auto" w:fill="D4D4D4"/>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经营活动产生的现金流量</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2390" w:type="dxa"/>
            <w:tcBorders>
              <w:top w:val="single" w:sz="4" w:space="0" w:color="000000"/>
              <w:left w:val="single" w:sz="10" w:space="0" w:color="D4D4D4"/>
              <w:bottom w:val="single" w:sz="4" w:space="0" w:color="FFFFFF"/>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20,637,845.75</w:t>
            </w:r>
          </w:p>
        </w:tc>
        <w:tc>
          <w:tcPr>
            <w:tcW w:w="2393"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17,797,305.45</w:t>
            </w:r>
          </w:p>
        </w:tc>
        <w:tc>
          <w:tcPr>
            <w:tcW w:w="2393"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44"/>
              <w:ind w:right="18"/>
              <w:jc w:val="right"/>
              <w:rPr>
                <w:rFonts w:ascii="Times New Roman" w:hAnsi="Times New Roman" w:cs="Times New Roman" w:eastAsia="Times New Roman" w:hint="default"/>
                <w:sz w:val="21"/>
                <w:szCs w:val="21"/>
              </w:rPr>
            </w:pPr>
            <w:r>
              <w:rPr>
                <w:rFonts w:ascii="Times New Roman"/>
                <w:sz w:val="21"/>
              </w:rPr>
              <w:t>15.96%</w:t>
            </w:r>
          </w:p>
        </w:tc>
      </w:tr>
      <w:tr>
        <w:trPr>
          <w:trHeight w:val="379" w:hRule="exact"/>
        </w:trPr>
        <w:tc>
          <w:tcPr>
            <w:tcW w:w="2393" w:type="dxa"/>
            <w:tcBorders>
              <w:top w:val="single" w:sz="4" w:space="0" w:color="FFFFFF"/>
              <w:left w:val="single" w:sz="4" w:space="0" w:color="000000"/>
              <w:bottom w:val="single" w:sz="4" w:space="0" w:color="000000"/>
              <w:right w:val="single" w:sz="4" w:space="0" w:color="000000"/>
            </w:tcBorders>
            <w:shd w:val="clear" w:color="auto" w:fill="D4D4D4"/>
          </w:tcPr>
          <w:p>
            <w:pPr>
              <w:pStyle w:val="TableParagraph"/>
              <w:spacing w:line="240" w:lineRule="auto" w:before="16"/>
              <w:ind w:left="24"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2390" w:type="dxa"/>
            <w:tcBorders>
              <w:top w:val="single" w:sz="4" w:space="0" w:color="FFFFFF"/>
              <w:left w:val="single" w:sz="10" w:space="0" w:color="D4D4D4"/>
              <w:bottom w:val="single" w:sz="4" w:space="0" w:color="000000"/>
              <w:right w:val="single" w:sz="4" w:space="0" w:color="000000"/>
            </w:tcBorders>
          </w:tcPr>
          <w:p>
            <w:pPr>
              <w:pStyle w:val="TableParagraph"/>
              <w:spacing w:line="240" w:lineRule="auto" w:before="58"/>
              <w:ind w:right="17"/>
              <w:jc w:val="right"/>
              <w:rPr>
                <w:rFonts w:ascii="Times New Roman" w:hAnsi="Times New Roman" w:cs="Times New Roman" w:eastAsia="Times New Roman" w:hint="default"/>
                <w:sz w:val="21"/>
                <w:szCs w:val="21"/>
              </w:rPr>
            </w:pPr>
            <w:r>
              <w:rPr>
                <w:rFonts w:ascii="Times New Roman"/>
                <w:spacing w:val="-1"/>
                <w:sz w:val="21"/>
              </w:rPr>
              <w:t>218,934,330.79</w:t>
            </w:r>
          </w:p>
        </w:tc>
        <w:tc>
          <w:tcPr>
            <w:tcW w:w="2393"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8"/>
              <w:ind w:right="19"/>
              <w:jc w:val="right"/>
              <w:rPr>
                <w:rFonts w:ascii="Times New Roman" w:hAnsi="Times New Roman" w:cs="Times New Roman" w:eastAsia="Times New Roman" w:hint="default"/>
                <w:sz w:val="21"/>
                <w:szCs w:val="21"/>
              </w:rPr>
            </w:pPr>
            <w:r>
              <w:rPr>
                <w:rFonts w:ascii="Times New Roman"/>
                <w:spacing w:val="-1"/>
                <w:sz w:val="21"/>
              </w:rPr>
              <w:t>336,777,804.09</w:t>
            </w:r>
          </w:p>
        </w:tc>
        <w:tc>
          <w:tcPr>
            <w:tcW w:w="2393"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8"/>
              <w:ind w:right="21"/>
              <w:jc w:val="right"/>
              <w:rPr>
                <w:rFonts w:ascii="Times New Roman" w:hAnsi="Times New Roman" w:cs="Times New Roman" w:eastAsia="Times New Roman" w:hint="default"/>
                <w:sz w:val="21"/>
                <w:szCs w:val="21"/>
              </w:rPr>
            </w:pPr>
            <w:r>
              <w:rPr>
                <w:rFonts w:ascii="Times New Roman"/>
                <w:spacing w:val="-1"/>
                <w:sz w:val="21"/>
              </w:rPr>
              <w:t>-34.99%</w:t>
            </w:r>
          </w:p>
        </w:tc>
      </w:tr>
      <w:tr>
        <w:trPr>
          <w:trHeight w:val="379"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6"/>
              <w:ind w:left="24"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239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58"/>
              <w:ind w:right="17"/>
              <w:jc w:val="right"/>
              <w:rPr>
                <w:rFonts w:ascii="Times New Roman" w:hAnsi="Times New Roman" w:cs="Times New Roman" w:eastAsia="Times New Roman" w:hint="default"/>
                <w:sz w:val="21"/>
                <w:szCs w:val="21"/>
              </w:rPr>
            </w:pPr>
            <w:r>
              <w:rPr>
                <w:rFonts w:ascii="Times New Roman"/>
                <w:spacing w:val="-1"/>
                <w:sz w:val="21"/>
              </w:rPr>
              <w:t>240,939,673.92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Times New Roman" w:hAnsi="Times New Roman" w:cs="Times New Roman" w:eastAsia="Times New Roman" w:hint="default"/>
                <w:sz w:val="21"/>
                <w:szCs w:val="21"/>
              </w:rPr>
            </w:pPr>
            <w:r>
              <w:rPr>
                <w:rFonts w:ascii="Times New Roman"/>
                <w:spacing w:val="-1"/>
                <w:sz w:val="21"/>
              </w:rPr>
              <w:t>449,746,604.52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1"/>
              <w:jc w:val="right"/>
              <w:rPr>
                <w:rFonts w:ascii="Times New Roman" w:hAnsi="Times New Roman" w:cs="Times New Roman" w:eastAsia="Times New Roman" w:hint="default"/>
                <w:sz w:val="21"/>
                <w:szCs w:val="21"/>
              </w:rPr>
            </w:pPr>
            <w:r>
              <w:rPr>
                <w:rFonts w:ascii="Times New Roman"/>
                <w:spacing w:val="-1"/>
                <w:sz w:val="21"/>
              </w:rPr>
              <w:t>-46.43%</w:t>
            </w:r>
          </w:p>
        </w:tc>
      </w:tr>
      <w:tr>
        <w:trPr>
          <w:trHeight w:val="557"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投资活动产生的现金流量</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239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1"/>
                <w:sz w:val="21"/>
              </w:rPr>
              <w:t>-22,005,343.13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-112,968,800.43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8"/>
              <w:jc w:val="right"/>
              <w:rPr>
                <w:rFonts w:ascii="Times New Roman" w:hAnsi="Times New Roman" w:cs="Times New Roman" w:eastAsia="Times New Roman" w:hint="default"/>
                <w:sz w:val="21"/>
                <w:szCs w:val="21"/>
              </w:rPr>
            </w:pPr>
            <w:r>
              <w:rPr>
                <w:rFonts w:ascii="Times New Roman"/>
                <w:sz w:val="21"/>
              </w:rPr>
              <w:t>80.52%</w:t>
            </w:r>
          </w:p>
        </w:tc>
      </w:tr>
      <w:tr>
        <w:trPr>
          <w:trHeight w:val="379"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4"/>
              <w:ind w:left="24"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239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58"/>
              <w:ind w:right="17"/>
              <w:jc w:val="right"/>
              <w:rPr>
                <w:rFonts w:ascii="Times New Roman" w:hAnsi="Times New Roman" w:cs="Times New Roman" w:eastAsia="Times New Roman" w:hint="default"/>
                <w:sz w:val="21"/>
                <w:szCs w:val="21"/>
              </w:rPr>
            </w:pPr>
            <w:r>
              <w:rPr>
                <w:rFonts w:ascii="Times New Roman"/>
                <w:spacing w:val="-1"/>
                <w:sz w:val="21"/>
              </w:rPr>
              <w:t>1,560,939.09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Times New Roman" w:hAnsi="Times New Roman" w:cs="Times New Roman" w:eastAsia="Times New Roman" w:hint="default"/>
                <w:sz w:val="21"/>
                <w:szCs w:val="21"/>
              </w:rPr>
            </w:pPr>
            <w:r>
              <w:rPr>
                <w:rFonts w:ascii="Times New Roman"/>
                <w:spacing w:val="-1"/>
                <w:sz w:val="21"/>
              </w:rPr>
              <w:t>2,847,652.27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1"/>
              <w:jc w:val="right"/>
              <w:rPr>
                <w:rFonts w:ascii="Times New Roman" w:hAnsi="Times New Roman" w:cs="Times New Roman" w:eastAsia="Times New Roman" w:hint="default"/>
                <w:sz w:val="21"/>
                <w:szCs w:val="21"/>
              </w:rPr>
            </w:pPr>
            <w:r>
              <w:rPr>
                <w:rFonts w:ascii="Times New Roman"/>
                <w:spacing w:val="-1"/>
                <w:sz w:val="21"/>
              </w:rPr>
              <w:t>-45.19%</w:t>
            </w:r>
          </w:p>
        </w:tc>
      </w:tr>
      <w:tr>
        <w:trPr>
          <w:trHeight w:val="379"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4"/>
              <w:ind w:left="24"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239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58"/>
              <w:ind w:right="17"/>
              <w:jc w:val="right"/>
              <w:rPr>
                <w:rFonts w:ascii="Times New Roman" w:hAnsi="Times New Roman" w:cs="Times New Roman" w:eastAsia="Times New Roman" w:hint="default"/>
                <w:sz w:val="21"/>
                <w:szCs w:val="21"/>
              </w:rPr>
            </w:pPr>
            <w:r>
              <w:rPr>
                <w:rFonts w:ascii="Times New Roman"/>
                <w:spacing w:val="-1"/>
                <w:sz w:val="21"/>
              </w:rPr>
              <w:t>5,279,978.26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Times New Roman" w:hAnsi="Times New Roman" w:cs="Times New Roman" w:eastAsia="Times New Roman" w:hint="default"/>
                <w:sz w:val="21"/>
                <w:szCs w:val="21"/>
              </w:rPr>
            </w:pPr>
            <w:r>
              <w:rPr>
                <w:rFonts w:ascii="Times New Roman"/>
                <w:spacing w:val="-3"/>
                <w:sz w:val="21"/>
              </w:rPr>
              <w:t>1,111.40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8"/>
              <w:jc w:val="right"/>
              <w:rPr>
                <w:rFonts w:ascii="Times New Roman" w:hAnsi="Times New Roman" w:cs="Times New Roman" w:eastAsia="Times New Roman" w:hint="default"/>
                <w:sz w:val="21"/>
                <w:szCs w:val="21"/>
              </w:rPr>
            </w:pPr>
            <w:r>
              <w:rPr>
                <w:rFonts w:ascii="Times New Roman"/>
                <w:spacing w:val="-1"/>
                <w:sz w:val="21"/>
              </w:rPr>
              <w:t>474,974.52%</w:t>
            </w:r>
          </w:p>
        </w:tc>
      </w:tr>
      <w:tr>
        <w:trPr>
          <w:trHeight w:val="554"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筹资活动产生的现金流量</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239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-3,719,039.17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2,846,540.87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-230.65%</w:t>
            </w:r>
          </w:p>
        </w:tc>
      </w:tr>
      <w:tr>
        <w:trPr>
          <w:trHeight w:val="557"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现金及现金等价物净增加</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239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1"/>
                <w:sz w:val="21"/>
              </w:rPr>
              <w:t>-5,086,536.55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2"/>
                <w:sz w:val="21"/>
              </w:rPr>
              <w:t>-92,324,954.11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8"/>
              <w:jc w:val="right"/>
              <w:rPr>
                <w:rFonts w:ascii="Times New Roman" w:hAnsi="Times New Roman" w:cs="Times New Roman" w:eastAsia="Times New Roman" w:hint="default"/>
                <w:sz w:val="21"/>
                <w:szCs w:val="21"/>
              </w:rPr>
            </w:pPr>
            <w:r>
              <w:rPr>
                <w:rFonts w:ascii="Times New Roman"/>
                <w:sz w:val="21"/>
              </w:rPr>
              <w:t>94.49%</w:t>
            </w:r>
          </w:p>
        </w:tc>
      </w:tr>
    </w:tbl>
    <w:p>
      <w:pPr>
        <w:pStyle w:val="BodyText"/>
        <w:spacing w:line="278" w:lineRule="exact"/>
        <w:ind w:right="0"/>
        <w:jc w:val="left"/>
      </w:pPr>
      <w:r>
        <w:rPr/>
        <w:t>相关数据同比发生变动</w:t>
      </w:r>
      <w:r>
        <w:rPr>
          <w:spacing w:val="-62"/>
        </w:rPr>
        <w:t> </w:t>
      </w:r>
      <w:r>
        <w:rPr>
          <w:rFonts w:ascii="Times New Roman" w:hAnsi="Times New Roman" w:cs="Times New Roman" w:eastAsia="Times New Roman" w:hint="default"/>
        </w:rPr>
        <w:t>30%</w:t>
      </w:r>
      <w:r>
        <w:rPr/>
        <w:t>以上的原因说明</w:t>
      </w:r>
    </w:p>
    <w:p>
      <w:pPr>
        <w:pStyle w:val="BodyText"/>
        <w:spacing w:line="278" w:lineRule="auto" w:before="21"/>
        <w:ind w:left="572" w:right="0" w:hanging="4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报告期，投资活动产生的现金流量净额比上期末增加了</w:t>
      </w:r>
      <w:r>
        <w:rPr>
          <w:rFonts w:ascii="宋体" w:hAnsi="宋体" w:cs="宋体" w:eastAsia="宋体" w:hint="default"/>
          <w:spacing w:val="-2"/>
        </w:rPr>
        <w:t>80.52%</w:t>
      </w:r>
      <w:r>
        <w:rPr>
          <w:spacing w:val="-2"/>
        </w:rPr>
        <w:t>，主要原因是本年度对银行保本保收益</w:t>
      </w:r>
    </w:p>
    <w:p>
      <w:pPr>
        <w:pStyle w:val="BodyText"/>
        <w:spacing w:line="312" w:lineRule="auto" w:before="51"/>
        <w:ind w:left="573" w:right="0" w:hanging="421"/>
        <w:jc w:val="left"/>
      </w:pPr>
      <w:r>
        <w:rPr/>
        <w:t>类理财产品的投资到期，资金及时回笼形成。</w:t>
      </w:r>
      <w:r>
        <w:rPr>
          <w:w w:val="100"/>
        </w:rPr>
        <w:t> </w:t>
      </w:r>
      <w:r>
        <w:rPr>
          <w:spacing w:val="-2"/>
        </w:rPr>
        <w:t>报告期，筹资活动产生的现金流量净额比上年同期下降了</w:t>
      </w:r>
      <w:r>
        <w:rPr>
          <w:rFonts w:ascii="宋体" w:hAnsi="宋体" w:cs="宋体" w:eastAsia="宋体" w:hint="default"/>
          <w:spacing w:val="-2"/>
        </w:rPr>
        <w:t>230.65%</w:t>
      </w:r>
      <w:r>
        <w:rPr>
          <w:spacing w:val="-2"/>
        </w:rPr>
        <w:t>，主要原因系</w:t>
      </w:r>
      <w:r>
        <w:rPr>
          <w:rFonts w:ascii="宋体" w:hAnsi="宋体" w:cs="宋体" w:eastAsia="宋体" w:hint="default"/>
          <w:spacing w:val="-2"/>
        </w:rPr>
        <w:t>2014</w:t>
      </w:r>
      <w:r>
        <w:rPr>
          <w:spacing w:val="-2"/>
        </w:rPr>
        <w:t>年支付了利润分</w:t>
      </w:r>
      <w:r>
        <w:rPr/>
      </w:r>
    </w:p>
    <w:p>
      <w:pPr>
        <w:pStyle w:val="BodyText"/>
        <w:spacing w:line="240" w:lineRule="auto" w:before="22"/>
        <w:ind w:left="153" w:right="0"/>
        <w:jc w:val="left"/>
      </w:pPr>
      <w:r>
        <w:rPr/>
        <w:t>配的现金分红所致。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9"/>
        <w:ind w:left="153" w:right="0"/>
        <w:jc w:val="left"/>
      </w:pPr>
      <w:r>
        <w:rPr/>
        <w:t>报告期内公司经营活动的现金流量与本年度净利润存在重大差异的原因说明</w:t>
      </w:r>
    </w:p>
    <w:p>
      <w:pPr>
        <w:pStyle w:val="BodyText"/>
        <w:spacing w:line="256" w:lineRule="auto" w:before="37"/>
        <w:ind w:left="153" w:right="5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rFonts w:ascii="Times New Roman" w:hAnsi="Times New Roman" w:cs="Times New Roman" w:eastAsia="Times New Roman" w:hint="default"/>
          <w:spacing w:val="-2"/>
        </w:rPr>
        <w:t>8</w:t>
      </w:r>
      <w:r>
        <w:rPr>
          <w:spacing w:val="-2"/>
        </w:rPr>
        <w:t>）公司主要供应商、客户情况</w:t>
      </w:r>
      <w:r>
        <w:rPr>
          <w:spacing w:val="-79"/>
        </w:rPr>
        <w:t> </w:t>
      </w:r>
      <w:r>
        <w:rPr>
          <w:spacing w:val="-79"/>
        </w:rPr>
      </w:r>
      <w:r>
        <w:rPr/>
        <w:t>公司主要销售客户情况</w:t>
      </w:r>
    </w:p>
    <w:p>
      <w:pPr>
        <w:spacing w:line="240" w:lineRule="auto" w:before="9"/>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6"/>
        <w:gridCol w:w="5311"/>
      </w:tblGrid>
      <w:tr>
        <w:trPr>
          <w:trHeight w:val="403" w:hRule="exact"/>
        </w:trPr>
        <w:tc>
          <w:tcPr>
            <w:tcW w:w="4256" w:type="dxa"/>
            <w:tcBorders>
              <w:top w:val="single" w:sz="4" w:space="0" w:color="000000"/>
              <w:left w:val="single" w:sz="4" w:space="0" w:color="000000"/>
              <w:bottom w:val="single" w:sz="23" w:space="0" w:color="FFFFFF"/>
              <w:right w:val="single" w:sz="4" w:space="0" w:color="000000"/>
            </w:tcBorders>
            <w:shd w:val="clear" w:color="auto" w:fill="D4D4D4"/>
          </w:tcPr>
          <w:p>
            <w:pPr>
              <w:pStyle w:val="TableParagraph"/>
              <w:spacing w:line="240" w:lineRule="auto" w:before="14"/>
              <w:ind w:left="22" w:right="0"/>
              <w:jc w:val="left"/>
              <w:rPr>
                <w:rFonts w:ascii="宋体" w:hAnsi="宋体" w:cs="宋体" w:eastAsia="宋体" w:hint="default"/>
                <w:sz w:val="21"/>
                <w:szCs w:val="21"/>
              </w:rPr>
            </w:pPr>
            <w:r>
              <w:rPr>
                <w:rFonts w:ascii="宋体" w:hAnsi="宋体" w:cs="宋体" w:eastAsia="宋体" w:hint="default"/>
                <w:sz w:val="21"/>
                <w:szCs w:val="21"/>
              </w:rPr>
              <w:t>前五名客户合计销售金额（元）</w:t>
            </w:r>
          </w:p>
        </w:tc>
        <w:tc>
          <w:tcPr>
            <w:tcW w:w="5311" w:type="dxa"/>
            <w:tcBorders>
              <w:top w:val="single" w:sz="4" w:space="0" w:color="000000"/>
              <w:left w:val="single" w:sz="4" w:space="0" w:color="000000"/>
              <w:bottom w:val="single" w:sz="23" w:space="0" w:color="FFFFFF"/>
              <w:right w:val="single" w:sz="4" w:space="0" w:color="000000"/>
            </w:tcBorders>
          </w:tcPr>
          <w:p>
            <w:pPr>
              <w:pStyle w:val="TableParagraph"/>
              <w:spacing w:line="240" w:lineRule="auto" w:before="58"/>
              <w:ind w:right="17"/>
              <w:jc w:val="right"/>
              <w:rPr>
                <w:rFonts w:ascii="Times New Roman" w:hAnsi="Times New Roman" w:cs="Times New Roman" w:eastAsia="Times New Roman" w:hint="default"/>
                <w:sz w:val="21"/>
                <w:szCs w:val="21"/>
              </w:rPr>
            </w:pPr>
            <w:r>
              <w:rPr>
                <w:rFonts w:ascii="Times New Roman"/>
                <w:spacing w:val="-1"/>
                <w:sz w:val="21"/>
              </w:rPr>
              <w:t>31,079,283.71</w:t>
            </w:r>
          </w:p>
        </w:tc>
      </w:tr>
      <w:tr>
        <w:trPr>
          <w:trHeight w:val="355" w:hRule="exact"/>
        </w:trPr>
        <w:tc>
          <w:tcPr>
            <w:tcW w:w="4256" w:type="dxa"/>
            <w:tcBorders>
              <w:top w:val="single" w:sz="23" w:space="0" w:color="FFFFFF"/>
              <w:left w:val="single" w:sz="4" w:space="0" w:color="000000"/>
              <w:bottom w:val="single" w:sz="4" w:space="0" w:color="000000"/>
              <w:right w:val="single" w:sz="4" w:space="0" w:color="000000"/>
            </w:tcBorders>
            <w:shd w:val="clear" w:color="auto" w:fill="D4D4D4"/>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pacing w:val="-2"/>
                <w:sz w:val="21"/>
                <w:szCs w:val="21"/>
              </w:rPr>
              <w:t>前五名客户合计销售金额占年度销售总额比例</w:t>
            </w:r>
          </w:p>
        </w:tc>
        <w:tc>
          <w:tcPr>
            <w:tcW w:w="5311" w:type="dxa"/>
            <w:tcBorders>
              <w:top w:val="single" w:sz="23" w:space="0" w:color="FFFFFF"/>
              <w:left w:val="single" w:sz="4" w:space="0" w:color="000000"/>
              <w:bottom w:val="single" w:sz="4" w:space="0" w:color="000000"/>
              <w:right w:val="single" w:sz="4" w:space="0" w:color="000000"/>
            </w:tcBorders>
          </w:tcPr>
          <w:p>
            <w:pPr>
              <w:pStyle w:val="TableParagraph"/>
              <w:spacing w:line="240" w:lineRule="auto" w:before="10"/>
              <w:ind w:right="16"/>
              <w:jc w:val="right"/>
              <w:rPr>
                <w:rFonts w:ascii="Times New Roman" w:hAnsi="Times New Roman" w:cs="Times New Roman" w:eastAsia="Times New Roman" w:hint="default"/>
                <w:sz w:val="21"/>
                <w:szCs w:val="21"/>
              </w:rPr>
            </w:pPr>
            <w:r>
              <w:rPr>
                <w:rFonts w:ascii="Times New Roman"/>
                <w:sz w:val="21"/>
              </w:rPr>
              <w:t>37.52%</w:t>
            </w:r>
          </w:p>
        </w:tc>
      </w:tr>
    </w:tbl>
    <w:p>
      <w:pPr>
        <w:pStyle w:val="BodyText"/>
        <w:spacing w:line="278" w:lineRule="exact"/>
        <w:ind w:right="0"/>
        <w:jc w:val="left"/>
      </w:pPr>
      <w:r>
        <w:rPr/>
        <w:t>向单一客户销售比例超过</w:t>
      </w:r>
      <w:r>
        <w:rPr>
          <w:spacing w:val="-56"/>
        </w:rPr>
        <w:t> </w:t>
      </w:r>
      <w:r>
        <w:rPr>
          <w:rFonts w:ascii="Times New Roman" w:hAnsi="Times New Roman" w:cs="Times New Roman" w:eastAsia="Times New Roman" w:hint="default"/>
        </w:rPr>
        <w:t>30%</w:t>
      </w:r>
      <w:r>
        <w:rPr/>
        <w:t>的客户资料</w:t>
      </w:r>
    </w:p>
    <w:p>
      <w:pPr>
        <w:pStyle w:val="BodyText"/>
        <w:spacing w:line="256" w:lineRule="auto" w:before="21"/>
        <w:ind w:left="153" w:right="78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1"/>
        </w:rPr>
        <w:t>公司主要供应商情况</w:t>
      </w:r>
    </w:p>
    <w:p>
      <w:pPr>
        <w:spacing w:after="0" w:line="256" w:lineRule="auto"/>
        <w:jc w:val="left"/>
        <w:sectPr>
          <w:type w:val="continuous"/>
          <w:pgSz w:w="11910" w:h="16840"/>
          <w:pgMar w:top="1060" w:bottom="1180" w:left="980" w:right="98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256"/>
        <w:gridCol w:w="5311"/>
      </w:tblGrid>
      <w:tr>
        <w:trPr>
          <w:trHeight w:val="379" w:hRule="exact"/>
        </w:trPr>
        <w:tc>
          <w:tcPr>
            <w:tcW w:w="42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4"/>
              <w:ind w:left="22" w:right="0"/>
              <w:jc w:val="left"/>
              <w:rPr>
                <w:rFonts w:ascii="宋体" w:hAnsi="宋体" w:cs="宋体" w:eastAsia="宋体" w:hint="default"/>
                <w:sz w:val="21"/>
                <w:szCs w:val="21"/>
              </w:rPr>
            </w:pPr>
            <w:r>
              <w:rPr>
                <w:rFonts w:ascii="宋体" w:hAnsi="宋体" w:cs="宋体" w:eastAsia="宋体" w:hint="default"/>
                <w:sz w:val="21"/>
                <w:szCs w:val="21"/>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Times New Roman" w:hAnsi="Times New Roman" w:cs="Times New Roman" w:eastAsia="Times New Roman" w:hint="default"/>
                <w:sz w:val="21"/>
                <w:szCs w:val="21"/>
              </w:rPr>
            </w:pPr>
            <w:r>
              <w:rPr>
                <w:rFonts w:ascii="Times New Roman"/>
                <w:spacing w:val="-1"/>
                <w:sz w:val="21"/>
              </w:rPr>
              <w:t>12,170,861.08</w:t>
            </w:r>
          </w:p>
        </w:tc>
      </w:tr>
      <w:tr>
        <w:trPr>
          <w:trHeight w:val="557" w:hRule="exact"/>
        </w:trPr>
        <w:tc>
          <w:tcPr>
            <w:tcW w:w="42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pacing w:val="-2"/>
                <w:sz w:val="21"/>
                <w:szCs w:val="21"/>
              </w:rPr>
              <w:t>前五名供应商合计采购金额占年度采购总额比</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w w:val="100"/>
                <w:sz w:val="21"/>
                <w:szCs w:val="21"/>
              </w:rPr>
              <w:t>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6"/>
              <w:jc w:val="right"/>
              <w:rPr>
                <w:rFonts w:ascii="Times New Roman" w:hAnsi="Times New Roman" w:cs="Times New Roman" w:eastAsia="Times New Roman" w:hint="default"/>
                <w:sz w:val="21"/>
                <w:szCs w:val="21"/>
              </w:rPr>
            </w:pPr>
            <w:r>
              <w:rPr>
                <w:rFonts w:ascii="Times New Roman"/>
                <w:sz w:val="21"/>
              </w:rPr>
              <w:t>61.07%</w:t>
            </w:r>
          </w:p>
        </w:tc>
      </w:tr>
    </w:tbl>
    <w:p>
      <w:pPr>
        <w:pStyle w:val="BodyText"/>
        <w:spacing w:line="278" w:lineRule="exact"/>
        <w:ind w:right="106"/>
        <w:jc w:val="left"/>
      </w:pPr>
      <w:r>
        <w:rPr/>
        <w:t>向单一供应商采购比例超过</w:t>
      </w:r>
      <w:r>
        <w:rPr>
          <w:spacing w:val="-59"/>
        </w:rPr>
        <w:t> </w:t>
      </w:r>
      <w:r>
        <w:rPr>
          <w:rFonts w:ascii="Times New Roman" w:hAnsi="Times New Roman" w:cs="Times New Roman" w:eastAsia="Times New Roman" w:hint="default"/>
        </w:rPr>
        <w:t>30%</w:t>
      </w:r>
      <w:r>
        <w:rPr/>
        <w:t>的客户资料</w:t>
      </w:r>
    </w:p>
    <w:p>
      <w:pPr>
        <w:pStyle w:val="BodyText"/>
        <w:spacing w:line="240" w:lineRule="auto" w:before="21"/>
        <w:ind w:right="10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56" w:lineRule="auto" w:before="21"/>
        <w:ind w:right="106"/>
        <w:jc w:val="left"/>
      </w:pPr>
      <w:r>
        <w:rPr>
          <w:rFonts w:ascii="Times New Roman" w:hAnsi="Times New Roman" w:cs="Times New Roman" w:eastAsia="Times New Roman" w:hint="default"/>
        </w:rPr>
        <w:t>9</w:t>
      </w:r>
      <w:r>
        <w:rPr/>
        <w:t>）公司未来发展与规划延续至报告期的说明</w:t>
      </w:r>
      <w:r>
        <w:rPr>
          <w:spacing w:val="-3"/>
          <w:w w:val="100"/>
        </w:rPr>
        <w:t> </w:t>
      </w:r>
      <w:r>
        <w:rPr>
          <w:spacing w:val="-2"/>
        </w:rPr>
        <w:t>首次公开发行招股说明书中披露的未来发展与规划在本报告期的实施情况</w:t>
      </w:r>
    </w:p>
    <w:p>
      <w:pPr>
        <w:pStyle w:val="BodyText"/>
        <w:spacing w:line="256" w:lineRule="auto" w:before="22"/>
        <w:ind w:right="40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前期披露的发展战略和经营计划在报告期内的进展情况</w:t>
      </w:r>
    </w:p>
    <w:p>
      <w:pPr>
        <w:pStyle w:val="BodyText"/>
        <w:spacing w:line="312" w:lineRule="auto" w:before="46"/>
        <w:ind w:right="106" w:firstLine="420"/>
        <w:jc w:val="left"/>
      </w:pPr>
      <w:r>
        <w:rPr>
          <w:spacing w:val="-2"/>
        </w:rPr>
        <w:t>报告期内，公司按照发展规划和经营计划，继续实施市场战略、质量战略、产品战略、人才战略，努</w:t>
      </w:r>
      <w:r>
        <w:rPr>
          <w:w w:val="100"/>
        </w:rPr>
        <w:t> </w:t>
      </w:r>
      <w:r>
        <w:rPr>
          <w:spacing w:val="-2"/>
        </w:rPr>
        <w:t>力稳定和扩大市场占有率。与此同时，公司持续改善和提升产品质量，加快各类新产品的研发，提升公司</w:t>
      </w:r>
      <w:r>
        <w:rPr>
          <w:spacing w:val="-47"/>
        </w:rPr>
        <w:t> </w:t>
      </w:r>
      <w:r>
        <w:rPr>
          <w:spacing w:val="-47"/>
        </w:rPr>
      </w:r>
      <w:r>
        <w:rPr>
          <w:spacing w:val="-5"/>
        </w:rPr>
        <w:t>品牌影响力，加强内部控制，不断规范公司的管理和运营流程，注重人才队伍建设，强化和完善基础管理，</w:t>
      </w:r>
      <w:r>
        <w:rPr>
          <w:spacing w:val="-10"/>
        </w:rPr>
        <w:t> </w:t>
      </w:r>
      <w:r>
        <w:rPr>
          <w:spacing w:val="-10"/>
        </w:rPr>
      </w:r>
      <w:r>
        <w:rPr/>
        <w:t>以上均取得了一定的经营成效。</w:t>
      </w:r>
    </w:p>
    <w:p>
      <w:pPr>
        <w:pStyle w:val="BodyText"/>
        <w:spacing w:line="289" w:lineRule="exact"/>
        <w:ind w:right="106"/>
        <w:jc w:val="left"/>
      </w:pPr>
      <w:r>
        <w:rPr>
          <w:spacing w:val="-2"/>
        </w:rPr>
        <w:t>公司实际经营业绩较曾公开披露过的本年度盈利预测低于或高于</w:t>
      </w:r>
      <w:r>
        <w:rPr>
          <w:spacing w:val="14"/>
        </w:rPr>
        <w:t> </w:t>
      </w:r>
      <w:r>
        <w:rPr>
          <w:rFonts w:ascii="Times New Roman" w:hAnsi="Times New Roman" w:cs="Times New Roman" w:eastAsia="Times New Roman" w:hint="default"/>
          <w:spacing w:val="-2"/>
        </w:rPr>
        <w:t>20%</w:t>
      </w:r>
      <w:r>
        <w:rPr>
          <w:spacing w:val="-2"/>
        </w:rPr>
        <w:t>以上的差异原因</w:t>
      </w:r>
      <w:r>
        <w:rPr/>
      </w:r>
    </w:p>
    <w:p>
      <w:pPr>
        <w:pStyle w:val="BodyText"/>
        <w:spacing w:line="240" w:lineRule="auto" w:before="21"/>
        <w:ind w:right="10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8"/>
        <w:rPr>
          <w:rFonts w:ascii="宋体" w:hAnsi="宋体" w:cs="宋体" w:eastAsia="宋体" w:hint="default"/>
          <w:sz w:val="24"/>
          <w:szCs w:val="24"/>
        </w:rPr>
      </w:pPr>
    </w:p>
    <w:p>
      <w:pPr>
        <w:pStyle w:val="Heading5"/>
        <w:spacing w:line="240" w:lineRule="auto"/>
        <w:ind w:right="106"/>
        <w:jc w:val="left"/>
        <w:rPr>
          <w:b w:val="0"/>
          <w:bCs w:val="0"/>
        </w:rPr>
      </w:pPr>
      <w:bookmarkStart w:name="（2）主营业务分部报告" w:id="23"/>
      <w:bookmarkEnd w:id="23"/>
      <w:r>
        <w:rPr>
          <w:b w:val="0"/>
          <w:bCs w:val="0"/>
        </w:rPr>
      </w:r>
      <w:r>
        <w:rPr/>
        <w:t>（</w:t>
      </w:r>
      <w:r>
        <w:rPr>
          <w:rFonts w:ascii="Times New Roman" w:hAnsi="Times New Roman" w:cs="Times New Roman" w:eastAsia="Times New Roman" w:hint="default"/>
        </w:rPr>
        <w:t>2</w:t>
      </w:r>
      <w:r>
        <w:rPr/>
        <w:t>）主营业务分部报告</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right="106"/>
        <w:jc w:val="left"/>
      </w:pPr>
      <w:r>
        <w:rPr>
          <w:rFonts w:ascii="Times New Roman" w:hAnsi="Times New Roman" w:cs="Times New Roman" w:eastAsia="Times New Roman" w:hint="default"/>
        </w:rPr>
        <w:t>1</w:t>
      </w:r>
      <w:r>
        <w:rPr/>
        <w:t>）占比</w:t>
      </w:r>
      <w:r>
        <w:rPr>
          <w:spacing w:val="-53"/>
        </w:rPr>
        <w:t> </w:t>
      </w:r>
      <w:r>
        <w:rPr>
          <w:rFonts w:ascii="Times New Roman" w:hAnsi="Times New Roman" w:cs="Times New Roman" w:eastAsia="Times New Roman" w:hint="default"/>
        </w:rPr>
        <w:t>10%</w:t>
      </w:r>
      <w:r>
        <w:rPr/>
        <w:t>以上的产品、行业或地区情况</w:t>
      </w:r>
    </w:p>
    <w:p>
      <w:pPr>
        <w:pStyle w:val="BodyText"/>
        <w:spacing w:line="240" w:lineRule="auto" w:before="21"/>
        <w:ind w:right="10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56" w:lineRule="auto" w:before="21"/>
        <w:ind w:right="289"/>
        <w:jc w:val="left"/>
      </w:pPr>
      <w:r>
        <w:rPr>
          <w:rFonts w:ascii="Times New Roman" w:hAnsi="Times New Roman" w:cs="Times New Roman" w:eastAsia="Times New Roman" w:hint="default"/>
        </w:rPr>
        <w:t>2</w:t>
      </w:r>
      <w:r>
        <w:rPr/>
        <w:t>）公司主营业务数据统计口径在报告期发生调整的情况下，公司最近</w:t>
      </w:r>
      <w:r>
        <w:rPr>
          <w:spacing w:val="-57"/>
        </w:rPr>
        <w:t> </w:t>
      </w:r>
      <w:r>
        <w:rPr>
          <w:rFonts w:ascii="Times New Roman" w:hAnsi="Times New Roman" w:cs="Times New Roman" w:eastAsia="Times New Roman" w:hint="default"/>
        </w:rPr>
        <w:t>3</w:t>
      </w:r>
      <w:r>
        <w:rPr>
          <w:rFonts w:ascii="Times New Roman" w:hAnsi="Times New Roman" w:cs="Times New Roman" w:eastAsia="Times New Roman" w:hint="default"/>
          <w:spacing w:val="-6"/>
        </w:rPr>
        <w:t> </w:t>
      </w:r>
      <w:r>
        <w:rPr/>
        <w:t>年按报告期末口径调整后的主营</w:t>
      </w:r>
      <w:r>
        <w:rPr>
          <w:w w:val="100"/>
        </w:rPr>
        <w:t> </w:t>
      </w:r>
      <w:r>
        <w:rPr/>
        <w:t>业务数据</w:t>
      </w:r>
    </w:p>
    <w:p>
      <w:pPr>
        <w:pStyle w:val="BodyText"/>
        <w:spacing w:line="240" w:lineRule="auto" w:before="22"/>
        <w:ind w:right="10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7"/>
        <w:rPr>
          <w:rFonts w:ascii="宋体" w:hAnsi="宋体" w:cs="宋体" w:eastAsia="宋体" w:hint="default"/>
          <w:sz w:val="24"/>
          <w:szCs w:val="24"/>
        </w:rPr>
      </w:pPr>
    </w:p>
    <w:p>
      <w:pPr>
        <w:pStyle w:val="Heading5"/>
        <w:spacing w:line="240" w:lineRule="auto"/>
        <w:ind w:right="106"/>
        <w:jc w:val="left"/>
        <w:rPr>
          <w:b w:val="0"/>
          <w:bCs w:val="0"/>
        </w:rPr>
      </w:pPr>
      <w:bookmarkStart w:name="（3）资产、负债状况分析" w:id="24"/>
      <w:bookmarkEnd w:id="24"/>
      <w:r>
        <w:rPr>
          <w:b w:val="0"/>
          <w:bCs w:val="0"/>
        </w:rPr>
      </w:r>
      <w:r>
        <w:rPr/>
        <w:t>（</w:t>
      </w:r>
      <w:r>
        <w:rPr>
          <w:rFonts w:ascii="Times New Roman" w:hAnsi="Times New Roman" w:cs="Times New Roman" w:eastAsia="Times New Roman" w:hint="default"/>
        </w:rPr>
        <w:t>3</w:t>
      </w:r>
      <w:r>
        <w:rPr/>
        <w:t>）资产、负债状况分析</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right="106"/>
        <w:jc w:val="left"/>
      </w:pPr>
      <w:r>
        <w:rPr>
          <w:rFonts w:ascii="Times New Roman" w:hAnsi="Times New Roman" w:cs="Times New Roman" w:eastAsia="Times New Roman" w:hint="default"/>
        </w:rPr>
        <w:t>1</w:t>
      </w:r>
      <w:r>
        <w:rPr/>
        <w:t>）资产项目重大变动情况</w:t>
      </w:r>
    </w:p>
    <w:p>
      <w:pPr>
        <w:pStyle w:val="BodyText"/>
        <w:spacing w:line="240" w:lineRule="auto" w:before="21"/>
        <w:ind w:left="0" w:right="210"/>
        <w:jc w:val="right"/>
      </w:pPr>
      <w:r>
        <w:rPr>
          <w:spacing w:val="-1"/>
        </w:rPr>
        <w:t>单位：元</w:t>
      </w:r>
    </w:p>
    <w:p>
      <w:pPr>
        <w:spacing w:line="240" w:lineRule="auto" w:before="8"/>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368"/>
        <w:gridCol w:w="1164"/>
        <w:gridCol w:w="1063"/>
        <w:gridCol w:w="1195"/>
        <w:gridCol w:w="1063"/>
        <w:gridCol w:w="797"/>
        <w:gridCol w:w="2918"/>
      </w:tblGrid>
      <w:tr>
        <w:trPr>
          <w:trHeight w:val="170" w:hRule="exact"/>
        </w:trPr>
        <w:tc>
          <w:tcPr>
            <w:tcW w:w="1368" w:type="dxa"/>
            <w:vMerge w:val="restart"/>
            <w:tcBorders>
              <w:top w:val="single" w:sz="4" w:space="0" w:color="000000"/>
              <w:left w:val="single" w:sz="4" w:space="0" w:color="000000"/>
              <w:right w:val="single" w:sz="4" w:space="0" w:color="000000"/>
            </w:tcBorders>
            <w:shd w:val="clear" w:color="auto" w:fill="D4D4D4"/>
          </w:tcPr>
          <w:p>
            <w:pPr/>
          </w:p>
        </w:tc>
        <w:tc>
          <w:tcPr>
            <w:tcW w:w="2227"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81" w:lineRule="exact"/>
              <w:ind w:left="66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2258"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81" w:lineRule="exact"/>
              <w:ind w:left="67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797" w:type="dxa"/>
            <w:tcBorders>
              <w:top w:val="single" w:sz="4" w:space="0" w:color="000000"/>
              <w:left w:val="single" w:sz="4" w:space="0" w:color="000000"/>
              <w:bottom w:val="nil" w:sz="6" w:space="0" w:color="auto"/>
              <w:right w:val="single" w:sz="4" w:space="0" w:color="000000"/>
            </w:tcBorders>
            <w:shd w:val="clear" w:color="auto" w:fill="D4D4D4"/>
          </w:tcPr>
          <w:p>
            <w:pPr/>
          </w:p>
        </w:tc>
        <w:tc>
          <w:tcPr>
            <w:tcW w:w="2918" w:type="dxa"/>
            <w:vMerge w:val="restart"/>
            <w:tcBorders>
              <w:top w:val="single" w:sz="4" w:space="0" w:color="000000"/>
              <w:left w:val="single" w:sz="4" w:space="0" w:color="000000"/>
              <w:right w:val="single" w:sz="4" w:space="0" w:color="000000"/>
            </w:tcBorders>
            <w:shd w:val="clear" w:color="auto" w:fill="D4D4D4"/>
          </w:tcPr>
          <w:p>
            <w:pPr/>
          </w:p>
        </w:tc>
      </w:tr>
      <w:tr>
        <w:trPr>
          <w:trHeight w:val="149" w:hRule="exact"/>
        </w:trPr>
        <w:tc>
          <w:tcPr>
            <w:tcW w:w="1368" w:type="dxa"/>
            <w:vMerge/>
            <w:tcBorders>
              <w:left w:val="single" w:sz="4" w:space="0" w:color="000000"/>
              <w:bottom w:val="nil" w:sz="6" w:space="0" w:color="auto"/>
              <w:right w:val="single" w:sz="4" w:space="0" w:color="000000"/>
            </w:tcBorders>
            <w:shd w:val="clear" w:color="auto" w:fill="D4D4D4"/>
          </w:tcPr>
          <w:p>
            <w:pPr/>
          </w:p>
        </w:tc>
        <w:tc>
          <w:tcPr>
            <w:tcW w:w="2227" w:type="dxa"/>
            <w:gridSpan w:val="2"/>
            <w:vMerge/>
            <w:tcBorders>
              <w:left w:val="single" w:sz="4" w:space="0" w:color="000000"/>
              <w:bottom w:val="single" w:sz="4" w:space="0" w:color="000000"/>
              <w:right w:val="single" w:sz="4" w:space="0" w:color="000000"/>
            </w:tcBorders>
            <w:shd w:val="clear" w:color="auto" w:fill="D4D4D4"/>
          </w:tcPr>
          <w:p>
            <w:pPr/>
          </w:p>
        </w:tc>
        <w:tc>
          <w:tcPr>
            <w:tcW w:w="2258" w:type="dxa"/>
            <w:gridSpan w:val="2"/>
            <w:vMerge/>
            <w:tcBorders>
              <w:left w:val="single" w:sz="4" w:space="0" w:color="000000"/>
              <w:bottom w:val="single" w:sz="4" w:space="0" w:color="000000"/>
              <w:right w:val="single" w:sz="4" w:space="0" w:color="000000"/>
            </w:tcBorders>
            <w:shd w:val="clear" w:color="auto" w:fill="D4D4D4"/>
          </w:tcPr>
          <w:p>
            <w:pPr/>
          </w:p>
        </w:tc>
        <w:tc>
          <w:tcPr>
            <w:tcW w:w="79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比重增</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减</w:t>
            </w:r>
          </w:p>
        </w:tc>
        <w:tc>
          <w:tcPr>
            <w:tcW w:w="2918" w:type="dxa"/>
            <w:vMerge/>
            <w:tcBorders>
              <w:left w:val="single" w:sz="4" w:space="0" w:color="000000"/>
              <w:bottom w:val="nil" w:sz="6" w:space="0" w:color="auto"/>
              <w:right w:val="single" w:sz="4" w:space="0" w:color="000000"/>
            </w:tcBorders>
            <w:shd w:val="clear" w:color="auto" w:fill="D4D4D4"/>
          </w:tcPr>
          <w:p>
            <w:pPr/>
          </w:p>
        </w:tc>
      </w:tr>
      <w:tr>
        <w:trPr>
          <w:trHeight w:val="207" w:hRule="exact"/>
        </w:trPr>
        <w:tc>
          <w:tcPr>
            <w:tcW w:w="1368" w:type="dxa"/>
            <w:tcBorders>
              <w:top w:val="nil" w:sz="6" w:space="0" w:color="auto"/>
              <w:left w:val="single" w:sz="4" w:space="0" w:color="000000"/>
              <w:bottom w:val="single" w:sz="24" w:space="0" w:color="FFFFFF"/>
              <w:right w:val="single" w:sz="4" w:space="0" w:color="000000"/>
            </w:tcBorders>
            <w:shd w:val="clear" w:color="auto" w:fill="D4D4D4"/>
          </w:tcPr>
          <w:p>
            <w:pPr/>
          </w:p>
        </w:tc>
        <w:tc>
          <w:tcPr>
            <w:tcW w:w="1164" w:type="dxa"/>
            <w:tcBorders>
              <w:top w:val="single" w:sz="4" w:space="0" w:color="000000"/>
              <w:left w:val="single" w:sz="4" w:space="0" w:color="000000"/>
              <w:bottom w:val="single" w:sz="24" w:space="0" w:color="FFFFFF"/>
              <w:right w:val="single" w:sz="4" w:space="0" w:color="000000"/>
            </w:tcBorders>
            <w:shd w:val="clear" w:color="auto" w:fill="D4D4D4"/>
          </w:tcPr>
          <w:p>
            <w:pPr/>
          </w:p>
        </w:tc>
        <w:tc>
          <w:tcPr>
            <w:tcW w:w="106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left="316" w:right="101" w:hanging="209"/>
              <w:jc w:val="left"/>
              <w:rPr>
                <w:rFonts w:ascii="宋体" w:hAnsi="宋体" w:cs="宋体" w:eastAsia="宋体" w:hint="default"/>
                <w:sz w:val="21"/>
                <w:szCs w:val="21"/>
              </w:rPr>
            </w:pPr>
            <w:r>
              <w:rPr>
                <w:rFonts w:ascii="宋体" w:hAnsi="宋体" w:cs="宋体" w:eastAsia="宋体" w:hint="default"/>
                <w:sz w:val="21"/>
                <w:szCs w:val="21"/>
              </w:rPr>
              <w:t>占总资产</w:t>
            </w:r>
            <w:r>
              <w:rPr>
                <w:rFonts w:ascii="宋体" w:hAnsi="宋体" w:cs="宋体" w:eastAsia="宋体" w:hint="default"/>
                <w:w w:val="100"/>
                <w:sz w:val="21"/>
                <w:szCs w:val="21"/>
              </w:rPr>
              <w:t> </w:t>
            </w:r>
            <w:r>
              <w:rPr>
                <w:rFonts w:ascii="宋体" w:hAnsi="宋体" w:cs="宋体" w:eastAsia="宋体" w:hint="default"/>
                <w:sz w:val="21"/>
                <w:szCs w:val="21"/>
              </w:rPr>
              <w:t>比例</w:t>
            </w:r>
          </w:p>
        </w:tc>
        <w:tc>
          <w:tcPr>
            <w:tcW w:w="1195" w:type="dxa"/>
            <w:tcBorders>
              <w:top w:val="single" w:sz="4" w:space="0" w:color="000000"/>
              <w:left w:val="single" w:sz="4" w:space="0" w:color="000000"/>
              <w:bottom w:val="nil" w:sz="6" w:space="0" w:color="auto"/>
              <w:right w:val="single" w:sz="4" w:space="0" w:color="000000"/>
            </w:tcBorders>
            <w:shd w:val="clear" w:color="auto" w:fill="D4D4D4"/>
          </w:tcPr>
          <w:p>
            <w:pPr/>
          </w:p>
        </w:tc>
        <w:tc>
          <w:tcPr>
            <w:tcW w:w="106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left="316" w:right="101" w:hanging="209"/>
              <w:jc w:val="left"/>
              <w:rPr>
                <w:rFonts w:ascii="宋体" w:hAnsi="宋体" w:cs="宋体" w:eastAsia="宋体" w:hint="default"/>
                <w:sz w:val="21"/>
                <w:szCs w:val="21"/>
              </w:rPr>
            </w:pPr>
            <w:r>
              <w:rPr>
                <w:rFonts w:ascii="宋体" w:hAnsi="宋体" w:cs="宋体" w:eastAsia="宋体" w:hint="default"/>
                <w:sz w:val="21"/>
                <w:szCs w:val="21"/>
              </w:rPr>
              <w:t>占总资产</w:t>
            </w:r>
            <w:r>
              <w:rPr>
                <w:rFonts w:ascii="宋体" w:hAnsi="宋体" w:cs="宋体" w:eastAsia="宋体" w:hint="default"/>
                <w:w w:val="100"/>
                <w:sz w:val="21"/>
                <w:szCs w:val="21"/>
              </w:rPr>
              <w:t> </w:t>
            </w:r>
            <w:r>
              <w:rPr>
                <w:rFonts w:ascii="宋体" w:hAnsi="宋体" w:cs="宋体" w:eastAsia="宋体" w:hint="default"/>
                <w:sz w:val="21"/>
                <w:szCs w:val="21"/>
              </w:rPr>
              <w:t>比例</w:t>
            </w:r>
          </w:p>
        </w:tc>
        <w:tc>
          <w:tcPr>
            <w:tcW w:w="797" w:type="dxa"/>
            <w:vMerge/>
            <w:tcBorders>
              <w:left w:val="single" w:sz="4" w:space="0" w:color="000000"/>
              <w:right w:val="single" w:sz="4" w:space="0" w:color="000000"/>
            </w:tcBorders>
            <w:shd w:val="clear" w:color="auto" w:fill="D4D4D4"/>
          </w:tcPr>
          <w:p>
            <w:pPr/>
          </w:p>
        </w:tc>
        <w:tc>
          <w:tcPr>
            <w:tcW w:w="291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29" w:lineRule="exact"/>
              <w:ind w:left="825" w:right="0"/>
              <w:jc w:val="left"/>
              <w:rPr>
                <w:rFonts w:ascii="宋体" w:hAnsi="宋体" w:cs="宋体" w:eastAsia="宋体" w:hint="default"/>
                <w:sz w:val="21"/>
                <w:szCs w:val="21"/>
              </w:rPr>
            </w:pPr>
            <w:r>
              <w:rPr>
                <w:rFonts w:ascii="宋体" w:hAnsi="宋体" w:cs="宋体" w:eastAsia="宋体" w:hint="default"/>
                <w:sz w:val="21"/>
                <w:szCs w:val="21"/>
              </w:rPr>
              <w:t>重大变动说明</w:t>
            </w:r>
          </w:p>
        </w:tc>
      </w:tr>
      <w:tr>
        <w:trPr>
          <w:trHeight w:val="160" w:hRule="exact"/>
        </w:trPr>
        <w:tc>
          <w:tcPr>
            <w:tcW w:w="1368" w:type="dxa"/>
            <w:vMerge w:val="restart"/>
            <w:tcBorders>
              <w:top w:val="single" w:sz="24" w:space="0" w:color="FFFFFF"/>
              <w:left w:val="single" w:sz="4" w:space="0" w:color="000000"/>
              <w:right w:val="single" w:sz="4" w:space="0" w:color="000000"/>
            </w:tcBorders>
            <w:shd w:val="clear" w:color="auto" w:fill="D4D4D4"/>
          </w:tcPr>
          <w:p>
            <w:pPr/>
          </w:p>
        </w:tc>
        <w:tc>
          <w:tcPr>
            <w:tcW w:w="1164" w:type="dxa"/>
            <w:vMerge w:val="restart"/>
            <w:tcBorders>
              <w:top w:val="single" w:sz="24" w:space="0" w:color="FFFFFF"/>
              <w:left w:val="single" w:sz="4" w:space="0" w:color="000000"/>
              <w:right w:val="single" w:sz="4" w:space="0" w:color="000000"/>
            </w:tcBorders>
            <w:shd w:val="clear" w:color="auto" w:fill="D4D4D4"/>
          </w:tcPr>
          <w:p>
            <w:pPr>
              <w:pStyle w:val="TableParagraph"/>
              <w:spacing w:line="182" w:lineRule="exact"/>
              <w:ind w:left="367"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063" w:type="dxa"/>
            <w:vMerge/>
            <w:tcBorders>
              <w:left w:val="single" w:sz="4" w:space="0" w:color="000000"/>
              <w:right w:val="single" w:sz="4" w:space="0" w:color="000000"/>
            </w:tcBorders>
            <w:shd w:val="clear" w:color="auto" w:fill="D4D4D4"/>
          </w:tcPr>
          <w:p>
            <w:pPr/>
          </w:p>
        </w:tc>
        <w:tc>
          <w:tcPr>
            <w:tcW w:w="1195" w:type="dxa"/>
            <w:vMerge w:val="restart"/>
            <w:tcBorders>
              <w:top w:val="nil" w:sz="6" w:space="0" w:color="auto"/>
              <w:left w:val="single" w:sz="4" w:space="0" w:color="000000"/>
              <w:right w:val="single" w:sz="4" w:space="0" w:color="000000"/>
            </w:tcBorders>
            <w:shd w:val="clear" w:color="auto" w:fill="D4D4D4"/>
          </w:tcPr>
          <w:p>
            <w:pPr>
              <w:pStyle w:val="TableParagraph"/>
              <w:spacing w:line="207" w:lineRule="exact"/>
              <w:ind w:left="384"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063" w:type="dxa"/>
            <w:vMerge/>
            <w:tcBorders>
              <w:left w:val="single" w:sz="4" w:space="0" w:color="000000"/>
              <w:right w:val="single" w:sz="4" w:space="0" w:color="000000"/>
            </w:tcBorders>
            <w:shd w:val="clear" w:color="auto" w:fill="D4D4D4"/>
          </w:tcPr>
          <w:p>
            <w:pPr/>
          </w:p>
        </w:tc>
        <w:tc>
          <w:tcPr>
            <w:tcW w:w="797" w:type="dxa"/>
            <w:vMerge/>
            <w:tcBorders>
              <w:left w:val="single" w:sz="4" w:space="0" w:color="000000"/>
              <w:bottom w:val="nil" w:sz="6" w:space="0" w:color="auto"/>
              <w:right w:val="single" w:sz="4" w:space="0" w:color="000000"/>
            </w:tcBorders>
            <w:shd w:val="clear" w:color="auto" w:fill="D4D4D4"/>
          </w:tcPr>
          <w:p>
            <w:pPr/>
          </w:p>
        </w:tc>
        <w:tc>
          <w:tcPr>
            <w:tcW w:w="2918" w:type="dxa"/>
            <w:vMerge w:val="restart"/>
            <w:tcBorders>
              <w:top w:val="nil" w:sz="6" w:space="0" w:color="auto"/>
              <w:left w:val="single" w:sz="4" w:space="0" w:color="000000"/>
              <w:right w:val="single" w:sz="4" w:space="0" w:color="000000"/>
            </w:tcBorders>
            <w:shd w:val="clear" w:color="auto" w:fill="D4D4D4"/>
          </w:tcPr>
          <w:p>
            <w:pPr/>
          </w:p>
        </w:tc>
      </w:tr>
      <w:tr>
        <w:trPr>
          <w:trHeight w:val="194" w:hRule="exact"/>
        </w:trPr>
        <w:tc>
          <w:tcPr>
            <w:tcW w:w="1368" w:type="dxa"/>
            <w:vMerge/>
            <w:tcBorders>
              <w:left w:val="single" w:sz="4" w:space="0" w:color="000000"/>
              <w:bottom w:val="single" w:sz="4" w:space="0" w:color="000000"/>
              <w:right w:val="single" w:sz="4" w:space="0" w:color="000000"/>
            </w:tcBorders>
            <w:shd w:val="clear" w:color="auto" w:fill="D4D4D4"/>
          </w:tcPr>
          <w:p>
            <w:pPr/>
          </w:p>
        </w:tc>
        <w:tc>
          <w:tcPr>
            <w:tcW w:w="1164" w:type="dxa"/>
            <w:vMerge/>
            <w:tcBorders>
              <w:left w:val="single" w:sz="4" w:space="0" w:color="000000"/>
              <w:bottom w:val="single" w:sz="4" w:space="0" w:color="000000"/>
              <w:right w:val="single" w:sz="4" w:space="0" w:color="000000"/>
            </w:tcBorders>
            <w:shd w:val="clear" w:color="auto" w:fill="D4D4D4"/>
          </w:tcPr>
          <w:p>
            <w:pPr/>
          </w:p>
        </w:tc>
        <w:tc>
          <w:tcPr>
            <w:tcW w:w="1063" w:type="dxa"/>
            <w:vMerge/>
            <w:tcBorders>
              <w:left w:val="single" w:sz="4" w:space="0" w:color="000000"/>
              <w:bottom w:val="single" w:sz="4" w:space="0" w:color="000000"/>
              <w:right w:val="single" w:sz="4" w:space="0" w:color="000000"/>
            </w:tcBorders>
            <w:shd w:val="clear" w:color="auto" w:fill="D4D4D4"/>
          </w:tcPr>
          <w:p>
            <w:pPr/>
          </w:p>
        </w:tc>
        <w:tc>
          <w:tcPr>
            <w:tcW w:w="1195" w:type="dxa"/>
            <w:vMerge/>
            <w:tcBorders>
              <w:left w:val="single" w:sz="4" w:space="0" w:color="000000"/>
              <w:bottom w:val="single" w:sz="4" w:space="0" w:color="000000"/>
              <w:right w:val="single" w:sz="4" w:space="0" w:color="000000"/>
            </w:tcBorders>
            <w:shd w:val="clear" w:color="auto" w:fill="D4D4D4"/>
          </w:tcPr>
          <w:p>
            <w:pPr/>
          </w:p>
        </w:tc>
        <w:tc>
          <w:tcPr>
            <w:tcW w:w="1063" w:type="dxa"/>
            <w:vMerge/>
            <w:tcBorders>
              <w:left w:val="single" w:sz="4" w:space="0" w:color="000000"/>
              <w:bottom w:val="single" w:sz="4" w:space="0" w:color="000000"/>
              <w:right w:val="single" w:sz="4" w:space="0" w:color="000000"/>
            </w:tcBorders>
            <w:shd w:val="clear" w:color="auto" w:fill="D4D4D4"/>
          </w:tcPr>
          <w:p>
            <w:pPr/>
          </w:p>
        </w:tc>
        <w:tc>
          <w:tcPr>
            <w:tcW w:w="797" w:type="dxa"/>
            <w:tcBorders>
              <w:top w:val="nil" w:sz="6" w:space="0" w:color="auto"/>
              <w:left w:val="single" w:sz="4" w:space="0" w:color="000000"/>
              <w:bottom w:val="single" w:sz="4" w:space="0" w:color="000000"/>
              <w:right w:val="single" w:sz="4" w:space="0" w:color="000000"/>
            </w:tcBorders>
            <w:shd w:val="clear" w:color="auto" w:fill="D4D4D4"/>
          </w:tcPr>
          <w:p>
            <w:pPr/>
          </w:p>
        </w:tc>
        <w:tc>
          <w:tcPr>
            <w:tcW w:w="2918" w:type="dxa"/>
            <w:vMerge/>
            <w:tcBorders>
              <w:left w:val="single" w:sz="4" w:space="0" w:color="000000"/>
              <w:bottom w:val="single" w:sz="4" w:space="0" w:color="000000"/>
              <w:right w:val="single" w:sz="4" w:space="0" w:color="000000"/>
            </w:tcBorders>
            <w:shd w:val="clear" w:color="auto" w:fill="D4D4D4"/>
          </w:tcPr>
          <w:p>
            <w:pPr/>
          </w:p>
        </w:tc>
      </w:tr>
      <w:tr>
        <w:trPr>
          <w:trHeight w:val="110" w:hRule="exact"/>
        </w:trPr>
        <w:tc>
          <w:tcPr>
            <w:tcW w:w="1368" w:type="dxa"/>
            <w:tcBorders>
              <w:top w:val="single" w:sz="4" w:space="0" w:color="000000"/>
              <w:left w:val="single" w:sz="4" w:space="0" w:color="000000"/>
              <w:bottom w:val="nil" w:sz="6" w:space="0" w:color="auto"/>
              <w:right w:val="single" w:sz="4" w:space="0" w:color="000000"/>
            </w:tcBorders>
            <w:shd w:val="clear" w:color="auto" w:fill="D4D4D4"/>
          </w:tcPr>
          <w:p>
            <w:pPr/>
          </w:p>
        </w:tc>
        <w:tc>
          <w:tcPr>
            <w:tcW w:w="1164" w:type="dxa"/>
            <w:vMerge w:val="restart"/>
            <w:tcBorders>
              <w:top w:val="single" w:sz="54" w:space="0" w:color="D4D4D4"/>
              <w:left w:val="single" w:sz="12" w:space="0" w:color="D4D4D4"/>
              <w:right w:val="single" w:sz="4" w:space="0" w:color="000000"/>
            </w:tcBorders>
          </w:tcPr>
          <w:p>
            <w:pPr>
              <w:pStyle w:val="TableParagraph"/>
              <w:spacing w:line="174" w:lineRule="exact"/>
              <w:ind w:right="17"/>
              <w:jc w:val="right"/>
              <w:rPr>
                <w:rFonts w:ascii="Times New Roman" w:hAnsi="Times New Roman" w:cs="Times New Roman" w:eastAsia="Times New Roman" w:hint="default"/>
                <w:sz w:val="21"/>
                <w:szCs w:val="21"/>
              </w:rPr>
            </w:pPr>
            <w:r>
              <w:rPr>
                <w:rFonts w:ascii="Times New Roman"/>
                <w:spacing w:val="-1"/>
                <w:sz w:val="21"/>
              </w:rPr>
              <w:t>121,299,781.</w:t>
            </w:r>
          </w:p>
          <w:p>
            <w:pPr>
              <w:pStyle w:val="TableParagraph"/>
              <w:spacing w:line="241" w:lineRule="exact"/>
              <w:ind w:right="19"/>
              <w:jc w:val="right"/>
              <w:rPr>
                <w:rFonts w:ascii="Times New Roman" w:hAnsi="Times New Roman" w:cs="Times New Roman" w:eastAsia="Times New Roman" w:hint="default"/>
                <w:sz w:val="21"/>
                <w:szCs w:val="21"/>
              </w:rPr>
            </w:pPr>
            <w:r>
              <w:rPr>
                <w:rFonts w:ascii="Times New Roman"/>
                <w:sz w:val="21"/>
              </w:rPr>
              <w:t>90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16"/>
              <w:ind w:left="383" w:right="0"/>
              <w:jc w:val="left"/>
              <w:rPr>
                <w:rFonts w:ascii="Times New Roman" w:hAnsi="Times New Roman" w:cs="Times New Roman" w:eastAsia="Times New Roman" w:hint="default"/>
                <w:sz w:val="21"/>
                <w:szCs w:val="21"/>
              </w:rPr>
            </w:pPr>
            <w:r>
              <w:rPr>
                <w:rFonts w:ascii="Times New Roman"/>
                <w:sz w:val="21"/>
              </w:rPr>
              <w:t>34.19%</w:t>
            </w:r>
          </w:p>
        </w:tc>
        <w:tc>
          <w:tcPr>
            <w:tcW w:w="1195" w:type="dxa"/>
            <w:vMerge w:val="restart"/>
            <w:tcBorders>
              <w:top w:val="single" w:sz="54" w:space="0" w:color="D4D4D4"/>
              <w:left w:val="single" w:sz="4" w:space="0" w:color="000000"/>
              <w:right w:val="single" w:sz="4" w:space="0" w:color="000000"/>
            </w:tcBorders>
          </w:tcPr>
          <w:p>
            <w:pPr>
              <w:pStyle w:val="TableParagraph"/>
              <w:spacing w:line="174" w:lineRule="exact"/>
              <w:ind w:right="17"/>
              <w:jc w:val="right"/>
              <w:rPr>
                <w:rFonts w:ascii="Times New Roman" w:hAnsi="Times New Roman" w:cs="Times New Roman" w:eastAsia="Times New Roman" w:hint="default"/>
                <w:sz w:val="21"/>
                <w:szCs w:val="21"/>
              </w:rPr>
            </w:pPr>
            <w:r>
              <w:rPr>
                <w:rFonts w:ascii="Times New Roman"/>
                <w:spacing w:val="-1"/>
                <w:sz w:val="21"/>
              </w:rPr>
              <w:t>126,386,318.</w:t>
            </w:r>
          </w:p>
          <w:p>
            <w:pPr>
              <w:pStyle w:val="TableParagraph"/>
              <w:spacing w:line="241" w:lineRule="exact"/>
              <w:ind w:right="19"/>
              <w:jc w:val="right"/>
              <w:rPr>
                <w:rFonts w:ascii="Times New Roman" w:hAnsi="Times New Roman" w:cs="Times New Roman" w:eastAsia="Times New Roman" w:hint="default"/>
                <w:sz w:val="21"/>
                <w:szCs w:val="21"/>
              </w:rPr>
            </w:pPr>
            <w:r>
              <w:rPr>
                <w:rFonts w:ascii="Times New Roman"/>
                <w:sz w:val="21"/>
              </w:rPr>
              <w:t>45</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16"/>
              <w:ind w:left="383" w:right="0"/>
              <w:jc w:val="left"/>
              <w:rPr>
                <w:rFonts w:ascii="Times New Roman" w:hAnsi="Times New Roman" w:cs="Times New Roman" w:eastAsia="Times New Roman" w:hint="default"/>
                <w:sz w:val="21"/>
                <w:szCs w:val="21"/>
              </w:rPr>
            </w:pPr>
            <w:r>
              <w:rPr>
                <w:rFonts w:ascii="Times New Roman"/>
                <w:sz w:val="21"/>
              </w:rPr>
              <w:t>37.77%</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16"/>
              <w:ind w:left="153" w:right="0"/>
              <w:jc w:val="left"/>
              <w:rPr>
                <w:rFonts w:ascii="Times New Roman" w:hAnsi="Times New Roman" w:cs="Times New Roman" w:eastAsia="Times New Roman" w:hint="default"/>
                <w:sz w:val="21"/>
                <w:szCs w:val="21"/>
              </w:rPr>
            </w:pPr>
            <w:r>
              <w:rPr>
                <w:rFonts w:ascii="Times New Roman"/>
                <w:sz w:val="21"/>
              </w:rPr>
              <w:t>-3.58%</w:t>
            </w:r>
          </w:p>
        </w:tc>
        <w:tc>
          <w:tcPr>
            <w:tcW w:w="2918" w:type="dxa"/>
            <w:vMerge w:val="restart"/>
            <w:tcBorders>
              <w:top w:val="single" w:sz="4" w:space="0" w:color="000000"/>
              <w:left w:val="single" w:sz="4" w:space="0" w:color="000000"/>
              <w:right w:val="single" w:sz="4" w:space="0" w:color="000000"/>
            </w:tcBorders>
          </w:tcPr>
          <w:p>
            <w:pPr/>
          </w:p>
        </w:tc>
      </w:tr>
      <w:tr>
        <w:trPr>
          <w:trHeight w:val="384" w:hRule="exact"/>
        </w:trPr>
        <w:tc>
          <w:tcPr>
            <w:tcW w:w="1368" w:type="dxa"/>
            <w:tcBorders>
              <w:top w:val="nil" w:sz="6" w:space="0" w:color="auto"/>
              <w:left w:val="single" w:sz="4" w:space="0" w:color="000000"/>
              <w:bottom w:val="single" w:sz="4" w:space="0" w:color="000000"/>
              <w:right w:val="single" w:sz="4" w:space="0" w:color="000000"/>
            </w:tcBorders>
            <w:shd w:val="clear" w:color="auto" w:fill="D4D4D4"/>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164" w:type="dxa"/>
            <w:vMerge/>
            <w:tcBorders>
              <w:left w:val="single" w:sz="12" w:space="0" w:color="D4D4D4"/>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08" w:hRule="exact"/>
        </w:trPr>
        <w:tc>
          <w:tcPr>
            <w:tcW w:w="1368" w:type="dxa"/>
            <w:tcBorders>
              <w:top w:val="single" w:sz="4" w:space="0" w:color="000000"/>
              <w:left w:val="single" w:sz="4" w:space="0" w:color="000000"/>
              <w:bottom w:val="nil" w:sz="6" w:space="0" w:color="auto"/>
              <w:right w:val="single" w:sz="4" w:space="0" w:color="000000"/>
            </w:tcBorders>
            <w:shd w:val="clear" w:color="auto" w:fill="D4D4D4"/>
          </w:tcPr>
          <w:p>
            <w:pPr/>
          </w:p>
        </w:tc>
        <w:tc>
          <w:tcPr>
            <w:tcW w:w="1164" w:type="dxa"/>
            <w:vMerge w:val="restart"/>
            <w:tcBorders>
              <w:top w:val="single" w:sz="4" w:space="0" w:color="000000"/>
              <w:left w:val="single" w:sz="12" w:space="0" w:color="D4D4D4"/>
              <w:right w:val="single" w:sz="4" w:space="0" w:color="000000"/>
            </w:tcBorders>
          </w:tcPr>
          <w:p>
            <w:pPr>
              <w:pStyle w:val="TableParagraph"/>
              <w:spacing w:line="234" w:lineRule="exact"/>
              <w:ind w:right="17"/>
              <w:jc w:val="right"/>
              <w:rPr>
                <w:rFonts w:ascii="Times New Roman" w:hAnsi="Times New Roman" w:cs="Times New Roman" w:eastAsia="Times New Roman" w:hint="default"/>
                <w:sz w:val="21"/>
                <w:szCs w:val="21"/>
              </w:rPr>
            </w:pPr>
            <w:r>
              <w:rPr>
                <w:rFonts w:ascii="Times New Roman"/>
                <w:spacing w:val="-1"/>
                <w:sz w:val="21"/>
              </w:rPr>
              <w:t>16,749,408.8</w:t>
            </w:r>
          </w:p>
          <w:p>
            <w:pPr>
              <w:pStyle w:val="TableParagraph"/>
              <w:spacing w:line="241" w:lineRule="exact"/>
              <w:ind w:right="19"/>
              <w:jc w:val="right"/>
              <w:rPr>
                <w:rFonts w:ascii="Times New Roman" w:hAnsi="Times New Roman" w:cs="Times New Roman" w:eastAsia="Times New Roman" w:hint="default"/>
                <w:sz w:val="21"/>
                <w:szCs w:val="21"/>
              </w:rPr>
            </w:pPr>
            <w:r>
              <w:rPr>
                <w:rFonts w:ascii="Times New Roman"/>
                <w:w w:val="100"/>
                <w:sz w:val="21"/>
              </w:rPr>
              <w:t>8</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13"/>
              <w:ind w:left="489" w:right="0"/>
              <w:jc w:val="left"/>
              <w:rPr>
                <w:rFonts w:ascii="Times New Roman" w:hAnsi="Times New Roman" w:cs="Times New Roman" w:eastAsia="Times New Roman" w:hint="default"/>
                <w:sz w:val="21"/>
                <w:szCs w:val="21"/>
              </w:rPr>
            </w:pPr>
            <w:r>
              <w:rPr>
                <w:rFonts w:ascii="Times New Roman"/>
                <w:sz w:val="21"/>
              </w:rPr>
              <w:t>4.72%</w:t>
            </w:r>
          </w:p>
        </w:tc>
        <w:tc>
          <w:tcPr>
            <w:tcW w:w="1195" w:type="dxa"/>
            <w:vMerge w:val="restart"/>
            <w:tcBorders>
              <w:top w:val="single" w:sz="4" w:space="0" w:color="000000"/>
              <w:left w:val="single" w:sz="4" w:space="0" w:color="000000"/>
              <w:right w:val="single" w:sz="4" w:space="0" w:color="000000"/>
            </w:tcBorders>
          </w:tcPr>
          <w:p>
            <w:pPr>
              <w:pStyle w:val="TableParagraph"/>
              <w:spacing w:line="234" w:lineRule="exact"/>
              <w:ind w:right="17"/>
              <w:jc w:val="right"/>
              <w:rPr>
                <w:rFonts w:ascii="Times New Roman" w:hAnsi="Times New Roman" w:cs="Times New Roman" w:eastAsia="Times New Roman" w:hint="default"/>
                <w:sz w:val="21"/>
                <w:szCs w:val="21"/>
              </w:rPr>
            </w:pPr>
            <w:r>
              <w:rPr>
                <w:rFonts w:ascii="Times New Roman"/>
                <w:spacing w:val="-1"/>
                <w:sz w:val="21"/>
              </w:rPr>
              <w:t>18,799,895.9</w:t>
            </w:r>
          </w:p>
          <w:p>
            <w:pPr>
              <w:pStyle w:val="TableParagraph"/>
              <w:spacing w:line="241" w:lineRule="exact"/>
              <w:ind w:right="19"/>
              <w:jc w:val="right"/>
              <w:rPr>
                <w:rFonts w:ascii="Times New Roman" w:hAnsi="Times New Roman" w:cs="Times New Roman" w:eastAsia="Times New Roman" w:hint="default"/>
                <w:sz w:val="21"/>
                <w:szCs w:val="21"/>
              </w:rPr>
            </w:pPr>
            <w:r>
              <w:rPr>
                <w:rFonts w:ascii="Times New Roman"/>
                <w:w w:val="100"/>
                <w:sz w:val="21"/>
              </w:rPr>
              <w:t>1</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13"/>
              <w:ind w:left="489" w:right="0"/>
              <w:jc w:val="left"/>
              <w:rPr>
                <w:rFonts w:ascii="Times New Roman" w:hAnsi="Times New Roman" w:cs="Times New Roman" w:eastAsia="Times New Roman" w:hint="default"/>
                <w:sz w:val="21"/>
                <w:szCs w:val="21"/>
              </w:rPr>
            </w:pPr>
            <w:r>
              <w:rPr>
                <w:rFonts w:ascii="Times New Roman"/>
                <w:sz w:val="21"/>
              </w:rPr>
              <w:t>5.62%</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13"/>
              <w:ind w:left="153" w:right="0"/>
              <w:jc w:val="left"/>
              <w:rPr>
                <w:rFonts w:ascii="Times New Roman" w:hAnsi="Times New Roman" w:cs="Times New Roman" w:eastAsia="Times New Roman" w:hint="default"/>
                <w:sz w:val="21"/>
                <w:szCs w:val="21"/>
              </w:rPr>
            </w:pPr>
            <w:r>
              <w:rPr>
                <w:rFonts w:ascii="Times New Roman"/>
                <w:sz w:val="21"/>
              </w:rPr>
              <w:t>-0.90%</w:t>
            </w:r>
          </w:p>
        </w:tc>
        <w:tc>
          <w:tcPr>
            <w:tcW w:w="2918" w:type="dxa"/>
            <w:vMerge w:val="restart"/>
            <w:tcBorders>
              <w:top w:val="single" w:sz="4" w:space="0" w:color="000000"/>
              <w:left w:val="single" w:sz="4" w:space="0" w:color="000000"/>
              <w:right w:val="single" w:sz="4" w:space="0" w:color="000000"/>
            </w:tcBorders>
          </w:tcPr>
          <w:p>
            <w:pPr/>
          </w:p>
        </w:tc>
      </w:tr>
      <w:tr>
        <w:trPr>
          <w:trHeight w:val="384" w:hRule="exact"/>
        </w:trPr>
        <w:tc>
          <w:tcPr>
            <w:tcW w:w="1368" w:type="dxa"/>
            <w:tcBorders>
              <w:top w:val="nil" w:sz="6" w:space="0" w:color="auto"/>
              <w:left w:val="single" w:sz="4" w:space="0" w:color="000000"/>
              <w:bottom w:val="single" w:sz="4" w:space="0" w:color="000000"/>
              <w:right w:val="single" w:sz="4" w:space="0" w:color="000000"/>
            </w:tcBorders>
            <w:shd w:val="clear" w:color="auto" w:fill="D4D4D4"/>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164" w:type="dxa"/>
            <w:vMerge/>
            <w:tcBorders>
              <w:left w:val="single" w:sz="12" w:space="0" w:color="D4D4D4"/>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379"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4"/>
              <w:ind w:left="24"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16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58"/>
              <w:ind w:right="17"/>
              <w:jc w:val="right"/>
              <w:rPr>
                <w:rFonts w:ascii="Times New Roman" w:hAnsi="Times New Roman" w:cs="Times New Roman" w:eastAsia="Times New Roman" w:hint="default"/>
                <w:sz w:val="21"/>
                <w:szCs w:val="21"/>
              </w:rPr>
            </w:pPr>
            <w:r>
              <w:rPr>
                <w:rFonts w:ascii="Times New Roman"/>
                <w:spacing w:val="-1"/>
                <w:sz w:val="21"/>
              </w:rPr>
              <w:t>5,137,881.57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6"/>
              <w:jc w:val="right"/>
              <w:rPr>
                <w:rFonts w:ascii="Times New Roman" w:hAnsi="Times New Roman" w:cs="Times New Roman" w:eastAsia="Times New Roman" w:hint="default"/>
                <w:sz w:val="21"/>
                <w:szCs w:val="21"/>
              </w:rPr>
            </w:pPr>
            <w:r>
              <w:rPr>
                <w:rFonts w:ascii="Times New Roman"/>
                <w:sz w:val="21"/>
              </w:rPr>
              <w:t>1.45%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Times New Roman" w:hAnsi="Times New Roman" w:cs="Times New Roman" w:eastAsia="Times New Roman" w:hint="default"/>
                <w:sz w:val="21"/>
                <w:szCs w:val="21"/>
              </w:rPr>
            </w:pPr>
            <w:r>
              <w:rPr>
                <w:rFonts w:ascii="Times New Roman"/>
                <w:spacing w:val="-1"/>
                <w:sz w:val="21"/>
              </w:rPr>
              <w:t>6,968,567.42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6"/>
              <w:jc w:val="right"/>
              <w:rPr>
                <w:rFonts w:ascii="Times New Roman" w:hAnsi="Times New Roman" w:cs="Times New Roman" w:eastAsia="Times New Roman" w:hint="default"/>
                <w:sz w:val="21"/>
                <w:szCs w:val="21"/>
              </w:rPr>
            </w:pPr>
            <w:r>
              <w:rPr>
                <w:rFonts w:ascii="Times New Roman"/>
                <w:sz w:val="21"/>
              </w:rPr>
              <w:t>2.08%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8"/>
              <w:jc w:val="right"/>
              <w:rPr>
                <w:rFonts w:ascii="Times New Roman" w:hAnsi="Times New Roman" w:cs="Times New Roman" w:eastAsia="Times New Roman" w:hint="default"/>
                <w:sz w:val="21"/>
                <w:szCs w:val="21"/>
              </w:rPr>
            </w:pPr>
            <w:r>
              <w:rPr>
                <w:rFonts w:ascii="Times New Roman"/>
                <w:spacing w:val="-1"/>
                <w:sz w:val="21"/>
              </w:rPr>
              <w:t>-0.63%</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110" w:hRule="exact"/>
        </w:trPr>
        <w:tc>
          <w:tcPr>
            <w:tcW w:w="1368" w:type="dxa"/>
            <w:tcBorders>
              <w:top w:val="single" w:sz="4" w:space="0" w:color="000000"/>
              <w:left w:val="single" w:sz="4" w:space="0" w:color="000000"/>
              <w:bottom w:val="nil" w:sz="6" w:space="0" w:color="auto"/>
              <w:right w:val="single" w:sz="4" w:space="0" w:color="000000"/>
            </w:tcBorders>
            <w:shd w:val="clear" w:color="auto" w:fill="D4D4D4"/>
          </w:tcPr>
          <w:p>
            <w:pPr/>
          </w:p>
        </w:tc>
        <w:tc>
          <w:tcPr>
            <w:tcW w:w="1164" w:type="dxa"/>
            <w:vMerge w:val="restart"/>
            <w:tcBorders>
              <w:top w:val="single" w:sz="4" w:space="0" w:color="000000"/>
              <w:left w:val="single" w:sz="12" w:space="0" w:color="D4D4D4"/>
              <w:right w:val="single" w:sz="4" w:space="0" w:color="000000"/>
            </w:tcBorders>
          </w:tcPr>
          <w:p>
            <w:pPr>
              <w:pStyle w:val="TableParagraph"/>
              <w:spacing w:line="234" w:lineRule="exact"/>
              <w:ind w:right="17"/>
              <w:jc w:val="right"/>
              <w:rPr>
                <w:rFonts w:ascii="Times New Roman" w:hAnsi="Times New Roman" w:cs="Times New Roman" w:eastAsia="Times New Roman" w:hint="default"/>
                <w:sz w:val="21"/>
                <w:szCs w:val="21"/>
              </w:rPr>
            </w:pPr>
            <w:r>
              <w:rPr>
                <w:rFonts w:ascii="Times New Roman"/>
                <w:spacing w:val="-1"/>
                <w:sz w:val="21"/>
              </w:rPr>
              <w:t>18,849,079.6</w:t>
            </w:r>
          </w:p>
          <w:p>
            <w:pPr>
              <w:pStyle w:val="TableParagraph"/>
              <w:spacing w:line="241" w:lineRule="exact"/>
              <w:ind w:right="19"/>
              <w:jc w:val="right"/>
              <w:rPr>
                <w:rFonts w:ascii="Times New Roman" w:hAnsi="Times New Roman" w:cs="Times New Roman" w:eastAsia="Times New Roman" w:hint="default"/>
                <w:sz w:val="21"/>
                <w:szCs w:val="21"/>
              </w:rPr>
            </w:pPr>
            <w:r>
              <w:rPr>
                <w:rFonts w:ascii="Times New Roman"/>
                <w:w w:val="100"/>
                <w:sz w:val="21"/>
              </w:rPr>
              <w:t>2</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13"/>
              <w:ind w:left="489" w:right="0"/>
              <w:jc w:val="left"/>
              <w:rPr>
                <w:rFonts w:ascii="Times New Roman" w:hAnsi="Times New Roman" w:cs="Times New Roman" w:eastAsia="Times New Roman" w:hint="default"/>
                <w:sz w:val="21"/>
                <w:szCs w:val="21"/>
              </w:rPr>
            </w:pPr>
            <w:r>
              <w:rPr>
                <w:rFonts w:ascii="Times New Roman"/>
                <w:sz w:val="21"/>
              </w:rPr>
              <w:t>5.31%</w:t>
            </w:r>
          </w:p>
        </w:tc>
        <w:tc>
          <w:tcPr>
            <w:tcW w:w="1195" w:type="dxa"/>
            <w:vMerge w:val="restart"/>
            <w:tcBorders>
              <w:top w:val="single" w:sz="4" w:space="0" w:color="000000"/>
              <w:left w:val="single" w:sz="4" w:space="0" w:color="000000"/>
              <w:right w:val="single" w:sz="4" w:space="0" w:color="000000"/>
            </w:tcBorders>
          </w:tcPr>
          <w:p>
            <w:pPr>
              <w:pStyle w:val="TableParagraph"/>
              <w:spacing w:line="234" w:lineRule="exact"/>
              <w:ind w:right="17"/>
              <w:jc w:val="right"/>
              <w:rPr>
                <w:rFonts w:ascii="Times New Roman" w:hAnsi="Times New Roman" w:cs="Times New Roman" w:eastAsia="Times New Roman" w:hint="default"/>
                <w:sz w:val="21"/>
                <w:szCs w:val="21"/>
              </w:rPr>
            </w:pPr>
            <w:r>
              <w:rPr>
                <w:rFonts w:ascii="Times New Roman"/>
                <w:spacing w:val="-1"/>
                <w:sz w:val="21"/>
              </w:rPr>
              <w:t>19,379,022.8</w:t>
            </w:r>
          </w:p>
          <w:p>
            <w:pPr>
              <w:pStyle w:val="TableParagraph"/>
              <w:spacing w:line="241" w:lineRule="exact"/>
              <w:ind w:right="19"/>
              <w:jc w:val="right"/>
              <w:rPr>
                <w:rFonts w:ascii="Times New Roman" w:hAnsi="Times New Roman" w:cs="Times New Roman" w:eastAsia="Times New Roman" w:hint="default"/>
                <w:sz w:val="21"/>
                <w:szCs w:val="21"/>
              </w:rPr>
            </w:pPr>
            <w:r>
              <w:rPr>
                <w:rFonts w:ascii="Times New Roman"/>
                <w:w w:val="100"/>
                <w:sz w:val="21"/>
              </w:rPr>
              <w:t>4</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13"/>
              <w:ind w:left="489" w:right="0"/>
              <w:jc w:val="left"/>
              <w:rPr>
                <w:rFonts w:ascii="Times New Roman" w:hAnsi="Times New Roman" w:cs="Times New Roman" w:eastAsia="Times New Roman" w:hint="default"/>
                <w:sz w:val="21"/>
                <w:szCs w:val="21"/>
              </w:rPr>
            </w:pPr>
            <w:r>
              <w:rPr>
                <w:rFonts w:ascii="Times New Roman"/>
                <w:sz w:val="21"/>
              </w:rPr>
              <w:t>5.79%</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13"/>
              <w:ind w:left="153" w:right="0"/>
              <w:jc w:val="left"/>
              <w:rPr>
                <w:rFonts w:ascii="Times New Roman" w:hAnsi="Times New Roman" w:cs="Times New Roman" w:eastAsia="Times New Roman" w:hint="default"/>
                <w:sz w:val="21"/>
                <w:szCs w:val="21"/>
              </w:rPr>
            </w:pPr>
            <w:r>
              <w:rPr>
                <w:rFonts w:ascii="Times New Roman"/>
                <w:sz w:val="21"/>
              </w:rPr>
              <w:t>-0.48%</w:t>
            </w:r>
          </w:p>
        </w:tc>
        <w:tc>
          <w:tcPr>
            <w:tcW w:w="2918" w:type="dxa"/>
            <w:vMerge w:val="restart"/>
            <w:tcBorders>
              <w:top w:val="single" w:sz="4" w:space="0" w:color="000000"/>
              <w:left w:val="single" w:sz="4" w:space="0" w:color="000000"/>
              <w:right w:val="single" w:sz="4" w:space="0" w:color="000000"/>
            </w:tcBorders>
          </w:tcPr>
          <w:p>
            <w:pPr/>
          </w:p>
        </w:tc>
      </w:tr>
      <w:tr>
        <w:trPr>
          <w:trHeight w:val="382" w:hRule="exact"/>
        </w:trPr>
        <w:tc>
          <w:tcPr>
            <w:tcW w:w="1368" w:type="dxa"/>
            <w:tcBorders>
              <w:top w:val="nil" w:sz="6" w:space="0" w:color="auto"/>
              <w:left w:val="single" w:sz="4" w:space="0" w:color="000000"/>
              <w:bottom w:val="single" w:sz="4" w:space="0" w:color="000000"/>
              <w:right w:val="single" w:sz="4" w:space="0" w:color="000000"/>
            </w:tcBorders>
            <w:shd w:val="clear" w:color="auto" w:fill="D4D4D4"/>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164" w:type="dxa"/>
            <w:vMerge/>
            <w:tcBorders>
              <w:left w:val="single" w:sz="12" w:space="0" w:color="D4D4D4"/>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557" w:hRule="exact"/>
        </w:trPr>
        <w:tc>
          <w:tcPr>
            <w:tcW w:w="1368" w:type="dxa"/>
            <w:tcBorders>
              <w:top w:val="single" w:sz="42" w:space="0" w:color="D4D4D4"/>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1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1"/>
                <w:sz w:val="21"/>
              </w:rPr>
              <w:t>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6"/>
              <w:jc w:val="right"/>
              <w:rPr>
                <w:rFonts w:ascii="Times New Roman" w:hAnsi="Times New Roman" w:cs="Times New Roman" w:eastAsia="Times New Roman" w:hint="default"/>
                <w:sz w:val="21"/>
                <w:szCs w:val="21"/>
              </w:rPr>
            </w:pPr>
            <w:r>
              <w:rPr>
                <w:rFonts w:ascii="Times New Roman"/>
                <w:sz w:val="21"/>
              </w:rPr>
              <w:t>0.15%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8"/>
              <w:jc w:val="right"/>
              <w:rPr>
                <w:rFonts w:ascii="Times New Roman" w:hAnsi="Times New Roman" w:cs="Times New Roman" w:eastAsia="Times New Roman" w:hint="default"/>
                <w:sz w:val="21"/>
                <w:szCs w:val="21"/>
              </w:rPr>
            </w:pPr>
            <w:r>
              <w:rPr>
                <w:rFonts w:ascii="Times New Roman"/>
                <w:spacing w:val="-1"/>
                <w:sz w:val="21"/>
              </w:rPr>
              <w:t>-0.15%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7"/>
                <w:sz w:val="21"/>
                <w:szCs w:val="21"/>
              </w:rPr>
              <w:t>主要系票据到期，银行承兑汇票</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款</w:t>
            </w:r>
          </w:p>
        </w:tc>
      </w:tr>
      <w:tr>
        <w:trPr>
          <w:trHeight w:val="82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3,368,725.73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0.95%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852,273.26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0.25%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0.70%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主要系按合同预付的部份采购</w:t>
            </w:r>
          </w:p>
          <w:p>
            <w:pPr>
              <w:pStyle w:val="TableParagraph"/>
              <w:spacing w:line="272" w:lineRule="exact" w:before="27"/>
              <w:ind w:left="23" w:right="16"/>
              <w:jc w:val="left"/>
              <w:rPr>
                <w:rFonts w:ascii="宋体" w:hAnsi="宋体" w:cs="宋体" w:eastAsia="宋体" w:hint="default"/>
                <w:sz w:val="21"/>
                <w:szCs w:val="21"/>
              </w:rPr>
            </w:pPr>
            <w:r>
              <w:rPr>
                <w:rFonts w:ascii="宋体" w:hAnsi="宋体" w:cs="宋体" w:eastAsia="宋体" w:hint="default"/>
                <w:spacing w:val="-7"/>
                <w:sz w:val="21"/>
                <w:szCs w:val="21"/>
              </w:rPr>
              <w:t>订金和预付待摊的版权费、写字</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楼租金等</w:t>
            </w:r>
          </w:p>
        </w:tc>
      </w:tr>
      <w:tr>
        <w:trPr>
          <w:trHeight w:val="55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1"/>
                <w:sz w:val="21"/>
              </w:rPr>
              <w:t>1,628,808.89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6"/>
              <w:jc w:val="right"/>
              <w:rPr>
                <w:rFonts w:ascii="Times New Roman" w:hAnsi="Times New Roman" w:cs="Times New Roman" w:eastAsia="Times New Roman" w:hint="default"/>
                <w:sz w:val="21"/>
                <w:szCs w:val="21"/>
              </w:rPr>
            </w:pPr>
            <w:r>
              <w:rPr>
                <w:rFonts w:ascii="Times New Roman"/>
                <w:sz w:val="21"/>
              </w:rPr>
              <w:t>0.46%</w:t>
            </w:r>
          </w:p>
        </w:tc>
        <w:tc>
          <w:tcPr>
            <w:tcW w:w="119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6"/>
              <w:jc w:val="right"/>
              <w:rPr>
                <w:rFonts w:ascii="Times New Roman" w:hAnsi="Times New Roman" w:cs="Times New Roman" w:eastAsia="Times New Roman" w:hint="default"/>
                <w:sz w:val="21"/>
                <w:szCs w:val="21"/>
              </w:rPr>
            </w:pPr>
            <w:r>
              <w:rPr>
                <w:rFonts w:ascii="Times New Roman"/>
                <w:sz w:val="21"/>
              </w:rPr>
              <w:t>0.46%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主要系本年度计提了定期存款</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和理财产品应计利息</w:t>
            </w:r>
          </w:p>
        </w:tc>
      </w:tr>
    </w:tbl>
    <w:p>
      <w:pPr>
        <w:spacing w:after="0" w:line="274" w:lineRule="exact"/>
        <w:jc w:val="left"/>
        <w:rPr>
          <w:rFonts w:ascii="宋体" w:hAnsi="宋体" w:cs="宋体" w:eastAsia="宋体" w:hint="default"/>
          <w:sz w:val="21"/>
          <w:szCs w:val="21"/>
        </w:rPr>
        <w:sectPr>
          <w:pgSz w:w="11910" w:h="16840"/>
          <w:pgMar w:header="748" w:footer="982" w:top="1060" w:bottom="1180" w:left="980" w:right="92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164"/>
        <w:gridCol w:w="1063"/>
        <w:gridCol w:w="1195"/>
        <w:gridCol w:w="1063"/>
        <w:gridCol w:w="797"/>
        <w:gridCol w:w="2918"/>
      </w:tblGrid>
      <w:tr>
        <w:trPr>
          <w:trHeight w:val="37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Times New Roman" w:hAnsi="Times New Roman" w:cs="Times New Roman" w:eastAsia="Times New Roman" w:hint="default"/>
                <w:sz w:val="21"/>
                <w:szCs w:val="21"/>
              </w:rPr>
            </w:pPr>
            <w:r>
              <w:rPr>
                <w:rFonts w:ascii="Times New Roman"/>
                <w:spacing w:val="-1"/>
                <w:sz w:val="21"/>
              </w:rPr>
              <w:t>1,138,190.09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6"/>
              <w:jc w:val="right"/>
              <w:rPr>
                <w:rFonts w:ascii="Times New Roman" w:hAnsi="Times New Roman" w:cs="Times New Roman" w:eastAsia="Times New Roman" w:hint="default"/>
                <w:sz w:val="21"/>
                <w:szCs w:val="21"/>
              </w:rPr>
            </w:pPr>
            <w:r>
              <w:rPr>
                <w:rFonts w:ascii="Times New Roman"/>
                <w:sz w:val="21"/>
              </w:rPr>
              <w:t>0.32%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Times New Roman" w:hAnsi="Times New Roman" w:cs="Times New Roman" w:eastAsia="Times New Roman" w:hint="default"/>
                <w:sz w:val="21"/>
                <w:szCs w:val="21"/>
              </w:rPr>
            </w:pPr>
            <w:r>
              <w:rPr>
                <w:rFonts w:ascii="Times New Roman"/>
                <w:spacing w:val="-1"/>
                <w:sz w:val="21"/>
              </w:rPr>
              <w:t>737,112.24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6"/>
              <w:jc w:val="right"/>
              <w:rPr>
                <w:rFonts w:ascii="Times New Roman" w:hAnsi="Times New Roman" w:cs="Times New Roman" w:eastAsia="Times New Roman" w:hint="default"/>
                <w:sz w:val="21"/>
                <w:szCs w:val="21"/>
              </w:rPr>
            </w:pPr>
            <w:r>
              <w:rPr>
                <w:rFonts w:ascii="Times New Roman"/>
                <w:sz w:val="21"/>
              </w:rPr>
              <w:t>0.22%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6"/>
              <w:jc w:val="right"/>
              <w:rPr>
                <w:rFonts w:ascii="Times New Roman" w:hAnsi="Times New Roman" w:cs="Times New Roman" w:eastAsia="Times New Roman" w:hint="default"/>
                <w:sz w:val="21"/>
                <w:szCs w:val="21"/>
              </w:rPr>
            </w:pPr>
            <w:r>
              <w:rPr>
                <w:rFonts w:ascii="Times New Roman"/>
                <w:sz w:val="21"/>
              </w:rPr>
              <w:t>0.10%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可供出售金融</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1"/>
                <w:sz w:val="21"/>
              </w:rPr>
              <w:t>6,000,000.00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6"/>
              <w:jc w:val="right"/>
              <w:rPr>
                <w:rFonts w:ascii="Times New Roman" w:hAnsi="Times New Roman" w:cs="Times New Roman" w:eastAsia="Times New Roman" w:hint="default"/>
                <w:sz w:val="21"/>
                <w:szCs w:val="21"/>
              </w:rPr>
            </w:pPr>
            <w:r>
              <w:rPr>
                <w:rFonts w:ascii="Times New Roman"/>
                <w:sz w:val="21"/>
              </w:rPr>
              <w:t>1.69%</w:t>
            </w:r>
          </w:p>
        </w:tc>
        <w:tc>
          <w:tcPr>
            <w:tcW w:w="119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6"/>
              <w:jc w:val="right"/>
              <w:rPr>
                <w:rFonts w:ascii="Times New Roman" w:hAnsi="Times New Roman" w:cs="Times New Roman" w:eastAsia="Times New Roman" w:hint="default"/>
                <w:sz w:val="21"/>
                <w:szCs w:val="21"/>
              </w:rPr>
            </w:pPr>
            <w:r>
              <w:rPr>
                <w:rFonts w:ascii="Times New Roman"/>
                <w:sz w:val="21"/>
              </w:rPr>
              <w:t>1.69%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主要系本年度投资深圳市科葩</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信息技术有限公司</w:t>
            </w:r>
          </w:p>
        </w:tc>
      </w:tr>
      <w:tr>
        <w:trPr>
          <w:trHeight w:val="37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4"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7"/>
              <w:jc w:val="right"/>
              <w:rPr>
                <w:rFonts w:ascii="Times New Roman" w:hAnsi="Times New Roman" w:cs="Times New Roman" w:eastAsia="Times New Roman" w:hint="default"/>
                <w:sz w:val="21"/>
                <w:szCs w:val="21"/>
              </w:rPr>
            </w:pPr>
            <w:r>
              <w:rPr>
                <w:rFonts w:ascii="Times New Roman"/>
                <w:spacing w:val="-1"/>
                <w:sz w:val="21"/>
              </w:rPr>
              <w:t>2,421,278.60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6"/>
              <w:jc w:val="right"/>
              <w:rPr>
                <w:rFonts w:ascii="Times New Roman" w:hAnsi="Times New Roman" w:cs="Times New Roman" w:eastAsia="Times New Roman" w:hint="default"/>
                <w:sz w:val="21"/>
                <w:szCs w:val="21"/>
              </w:rPr>
            </w:pPr>
            <w:r>
              <w:rPr>
                <w:rFonts w:ascii="Times New Roman"/>
                <w:sz w:val="21"/>
              </w:rPr>
              <w:t>0.68%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7"/>
              <w:jc w:val="right"/>
              <w:rPr>
                <w:rFonts w:ascii="Times New Roman" w:hAnsi="Times New Roman" w:cs="Times New Roman" w:eastAsia="Times New Roman" w:hint="default"/>
                <w:sz w:val="21"/>
                <w:szCs w:val="21"/>
              </w:rPr>
            </w:pPr>
            <w:r>
              <w:rPr>
                <w:rFonts w:ascii="Times New Roman"/>
                <w:spacing w:val="-1"/>
                <w:sz w:val="21"/>
              </w:rPr>
              <w:t>1,457,813.01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6"/>
              <w:jc w:val="right"/>
              <w:rPr>
                <w:rFonts w:ascii="Times New Roman" w:hAnsi="Times New Roman" w:cs="Times New Roman" w:eastAsia="Times New Roman" w:hint="default"/>
                <w:sz w:val="21"/>
                <w:szCs w:val="21"/>
              </w:rPr>
            </w:pPr>
            <w:r>
              <w:rPr>
                <w:rFonts w:ascii="Times New Roman"/>
                <w:sz w:val="21"/>
              </w:rPr>
              <w:t>0.44%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6"/>
              <w:jc w:val="right"/>
              <w:rPr>
                <w:rFonts w:ascii="Times New Roman" w:hAnsi="Times New Roman" w:cs="Times New Roman" w:eastAsia="Times New Roman" w:hint="default"/>
                <w:sz w:val="21"/>
                <w:szCs w:val="21"/>
              </w:rPr>
            </w:pPr>
            <w:r>
              <w:rPr>
                <w:rFonts w:ascii="Times New Roman"/>
                <w:sz w:val="21"/>
              </w:rPr>
              <w:t>0.24%</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4"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Times New Roman" w:hAnsi="Times New Roman" w:cs="Times New Roman" w:eastAsia="Times New Roman" w:hint="default"/>
                <w:sz w:val="21"/>
                <w:szCs w:val="21"/>
              </w:rPr>
            </w:pPr>
            <w:r>
              <w:rPr>
                <w:rFonts w:ascii="Times New Roman"/>
                <w:spacing w:val="-1"/>
                <w:sz w:val="21"/>
              </w:rPr>
              <w:t>32,004.01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6"/>
              <w:jc w:val="right"/>
              <w:rPr>
                <w:rFonts w:ascii="Times New Roman" w:hAnsi="Times New Roman" w:cs="Times New Roman" w:eastAsia="Times New Roman" w:hint="default"/>
                <w:sz w:val="21"/>
                <w:szCs w:val="21"/>
              </w:rPr>
            </w:pPr>
            <w:r>
              <w:rPr>
                <w:rFonts w:ascii="Times New Roman"/>
                <w:sz w:val="21"/>
              </w:rPr>
              <w:t>0.01%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Times New Roman" w:hAnsi="Times New Roman" w:cs="Times New Roman" w:eastAsia="Times New Roman" w:hint="default"/>
                <w:sz w:val="21"/>
                <w:szCs w:val="21"/>
              </w:rPr>
            </w:pPr>
            <w:r>
              <w:rPr>
                <w:rFonts w:ascii="Times New Roman"/>
                <w:spacing w:val="-1"/>
                <w:sz w:val="21"/>
              </w:rPr>
              <w:t>99,415.99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6"/>
              <w:jc w:val="right"/>
              <w:rPr>
                <w:rFonts w:ascii="Times New Roman" w:hAnsi="Times New Roman" w:cs="Times New Roman" w:eastAsia="Times New Roman" w:hint="default"/>
                <w:sz w:val="21"/>
                <w:szCs w:val="21"/>
              </w:rPr>
            </w:pPr>
            <w:r>
              <w:rPr>
                <w:rFonts w:ascii="Times New Roman"/>
                <w:sz w:val="21"/>
              </w:rPr>
              <w:t>0.03%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8"/>
              <w:jc w:val="right"/>
              <w:rPr>
                <w:rFonts w:ascii="Times New Roman" w:hAnsi="Times New Roman" w:cs="Times New Roman" w:eastAsia="Times New Roman" w:hint="default"/>
                <w:sz w:val="21"/>
                <w:szCs w:val="21"/>
              </w:rPr>
            </w:pPr>
            <w:r>
              <w:rPr>
                <w:rFonts w:ascii="Times New Roman"/>
                <w:spacing w:val="-1"/>
                <w:sz w:val="21"/>
              </w:rPr>
              <w:t>-0.02%</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递延所得税资</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1"/>
                <w:sz w:val="21"/>
              </w:rPr>
              <w:t>310,894.98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6"/>
              <w:jc w:val="right"/>
              <w:rPr>
                <w:rFonts w:ascii="Times New Roman" w:hAnsi="Times New Roman" w:cs="Times New Roman" w:eastAsia="Times New Roman" w:hint="default"/>
                <w:sz w:val="21"/>
                <w:szCs w:val="21"/>
              </w:rPr>
            </w:pPr>
            <w:r>
              <w:rPr>
                <w:rFonts w:ascii="Times New Roman"/>
                <w:sz w:val="21"/>
              </w:rPr>
              <w:t>0.09%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1"/>
                <w:sz w:val="21"/>
              </w:rPr>
              <w:t>195,419.25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6"/>
              <w:jc w:val="right"/>
              <w:rPr>
                <w:rFonts w:ascii="Times New Roman" w:hAnsi="Times New Roman" w:cs="Times New Roman" w:eastAsia="Times New Roman" w:hint="default"/>
                <w:sz w:val="21"/>
                <w:szCs w:val="21"/>
              </w:rPr>
            </w:pPr>
            <w:r>
              <w:rPr>
                <w:rFonts w:ascii="Times New Roman"/>
                <w:sz w:val="21"/>
              </w:rPr>
              <w:t>0.06%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6"/>
              <w:jc w:val="right"/>
              <w:rPr>
                <w:rFonts w:ascii="Times New Roman" w:hAnsi="Times New Roman" w:cs="Times New Roman" w:eastAsia="Times New Roman" w:hint="default"/>
                <w:sz w:val="21"/>
                <w:szCs w:val="21"/>
              </w:rPr>
            </w:pPr>
            <w:r>
              <w:rPr>
                <w:rFonts w:ascii="Times New Roman"/>
                <w:sz w:val="21"/>
              </w:rPr>
              <w:t>0.03%</w:t>
            </w:r>
          </w:p>
        </w:tc>
        <w:tc>
          <w:tcPr>
            <w:tcW w:w="291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78" w:lineRule="exact"/>
        <w:ind w:right="0"/>
        <w:jc w:val="left"/>
      </w:pPr>
      <w:r>
        <w:rPr>
          <w:rFonts w:ascii="Times New Roman" w:hAnsi="Times New Roman" w:cs="Times New Roman" w:eastAsia="Times New Roman" w:hint="default"/>
        </w:rPr>
        <w:t>2</w:t>
      </w:r>
      <w:r>
        <w:rPr/>
        <w:t>）负债项目重大变动情况</w:t>
      </w:r>
    </w:p>
    <w:p>
      <w:pPr>
        <w:pStyle w:val="BodyText"/>
        <w:spacing w:line="240" w:lineRule="auto" w:before="21"/>
        <w:ind w:left="0" w:right="150"/>
        <w:jc w:val="right"/>
      </w:pPr>
      <w:r>
        <w:rPr>
          <w:spacing w:val="-1"/>
        </w:rPr>
        <w:t>单位：元</w:t>
      </w:r>
    </w:p>
    <w:p>
      <w:pPr>
        <w:spacing w:line="240" w:lineRule="auto" w:before="10"/>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1368"/>
        <w:gridCol w:w="1164"/>
        <w:gridCol w:w="1063"/>
        <w:gridCol w:w="1195"/>
        <w:gridCol w:w="1063"/>
        <w:gridCol w:w="797"/>
        <w:gridCol w:w="2918"/>
      </w:tblGrid>
      <w:tr>
        <w:trPr>
          <w:trHeight w:val="379" w:hRule="exact"/>
        </w:trPr>
        <w:tc>
          <w:tcPr>
            <w:tcW w:w="1368" w:type="dxa"/>
            <w:vMerge w:val="restart"/>
            <w:tcBorders>
              <w:top w:val="single" w:sz="4" w:space="0" w:color="000000"/>
              <w:left w:val="single" w:sz="4" w:space="0" w:color="000000"/>
              <w:right w:val="single" w:sz="4" w:space="0" w:color="000000"/>
            </w:tcBorders>
            <w:shd w:val="clear" w:color="auto" w:fill="D4D4D4"/>
          </w:tcPr>
          <w:p>
            <w:pPr/>
          </w:p>
        </w:tc>
        <w:tc>
          <w:tcPr>
            <w:tcW w:w="222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4"/>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p>
        </w:tc>
        <w:tc>
          <w:tcPr>
            <w:tcW w:w="225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4"/>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55"/>
              <w:ind w:left="287" w:right="72" w:hanging="209"/>
              <w:jc w:val="left"/>
              <w:rPr>
                <w:rFonts w:ascii="宋体" w:hAnsi="宋体" w:cs="宋体" w:eastAsia="宋体" w:hint="default"/>
                <w:sz w:val="21"/>
                <w:szCs w:val="21"/>
              </w:rPr>
            </w:pPr>
            <w:r>
              <w:rPr>
                <w:rFonts w:ascii="宋体" w:hAnsi="宋体" w:cs="宋体" w:eastAsia="宋体" w:hint="default"/>
                <w:sz w:val="21"/>
                <w:szCs w:val="21"/>
              </w:rPr>
              <w:t>比重增</w:t>
            </w:r>
            <w:r>
              <w:rPr>
                <w:rFonts w:ascii="宋体" w:hAnsi="宋体" w:cs="宋体" w:eastAsia="宋体" w:hint="default"/>
                <w:spacing w:val="-102"/>
                <w:sz w:val="21"/>
                <w:szCs w:val="21"/>
              </w:rPr>
              <w:t> </w:t>
            </w:r>
            <w:r>
              <w:rPr>
                <w:rFonts w:ascii="宋体" w:hAnsi="宋体" w:cs="宋体" w:eastAsia="宋体" w:hint="default"/>
                <w:sz w:val="21"/>
                <w:szCs w:val="21"/>
              </w:rPr>
              <w:t>减</w:t>
            </w:r>
          </w:p>
        </w:tc>
        <w:tc>
          <w:tcPr>
            <w:tcW w:w="291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825" w:right="0"/>
              <w:jc w:val="left"/>
              <w:rPr>
                <w:rFonts w:ascii="宋体" w:hAnsi="宋体" w:cs="宋体" w:eastAsia="宋体" w:hint="default"/>
                <w:sz w:val="21"/>
                <w:szCs w:val="21"/>
              </w:rPr>
            </w:pPr>
            <w:r>
              <w:rPr>
                <w:rFonts w:ascii="宋体" w:hAnsi="宋体" w:cs="宋体" w:eastAsia="宋体" w:hint="default"/>
                <w:sz w:val="21"/>
                <w:szCs w:val="21"/>
              </w:rPr>
              <w:t>重大变动说明</w:t>
            </w:r>
          </w:p>
        </w:tc>
      </w:tr>
      <w:tr>
        <w:trPr>
          <w:trHeight w:val="557" w:hRule="exact"/>
        </w:trPr>
        <w:tc>
          <w:tcPr>
            <w:tcW w:w="1368" w:type="dxa"/>
            <w:vMerge/>
            <w:tcBorders>
              <w:left w:val="single" w:sz="4" w:space="0" w:color="000000"/>
              <w:bottom w:val="single" w:sz="4" w:space="0" w:color="000000"/>
              <w:right w:val="single" w:sz="4" w:space="0" w:color="000000"/>
            </w:tcBorders>
            <w:shd w:val="clear" w:color="auto" w:fill="D4D4D4"/>
          </w:tcPr>
          <w:p>
            <w:pPr/>
          </w:p>
        </w:tc>
        <w:tc>
          <w:tcPr>
            <w:tcW w:w="1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2"/>
              <w:ind w:left="367"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占总资产</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2"/>
              <w:ind w:left="384"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占总资产</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797" w:type="dxa"/>
            <w:vMerge/>
            <w:tcBorders>
              <w:left w:val="single" w:sz="4" w:space="0" w:color="000000"/>
              <w:bottom w:val="single" w:sz="4" w:space="0" w:color="000000"/>
              <w:right w:val="single" w:sz="4" w:space="0" w:color="000000"/>
            </w:tcBorders>
            <w:shd w:val="clear" w:color="auto" w:fill="D4D4D4"/>
          </w:tcPr>
          <w:p>
            <w:pPr/>
          </w:p>
        </w:tc>
        <w:tc>
          <w:tcPr>
            <w:tcW w:w="2918" w:type="dxa"/>
            <w:vMerge/>
            <w:tcBorders>
              <w:left w:val="single" w:sz="4" w:space="0" w:color="000000"/>
              <w:bottom w:val="single" w:sz="4" w:space="0" w:color="000000"/>
              <w:right w:val="single" w:sz="4" w:space="0" w:color="000000"/>
            </w:tcBorders>
            <w:shd w:val="clear" w:color="auto" w:fill="D4D4D4"/>
          </w:tcPr>
          <w:p>
            <w:pPr/>
          </w:p>
        </w:tc>
      </w:tr>
      <w:tr>
        <w:trPr>
          <w:trHeight w:val="37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4"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Times New Roman" w:hAnsi="Times New Roman" w:cs="Times New Roman" w:eastAsia="Times New Roman" w:hint="default"/>
                <w:sz w:val="21"/>
                <w:szCs w:val="21"/>
              </w:rPr>
            </w:pPr>
            <w:r>
              <w:rPr>
                <w:rFonts w:ascii="Times New Roman"/>
                <w:spacing w:val="-1"/>
                <w:sz w:val="21"/>
              </w:rPr>
              <w:t>1,218,599.82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6"/>
              <w:jc w:val="right"/>
              <w:rPr>
                <w:rFonts w:ascii="Times New Roman" w:hAnsi="Times New Roman" w:cs="Times New Roman" w:eastAsia="Times New Roman" w:hint="default"/>
                <w:sz w:val="21"/>
                <w:szCs w:val="21"/>
              </w:rPr>
            </w:pPr>
            <w:r>
              <w:rPr>
                <w:rFonts w:ascii="Times New Roman"/>
                <w:sz w:val="21"/>
              </w:rPr>
              <w:t>0.34%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Times New Roman" w:hAnsi="Times New Roman" w:cs="Times New Roman" w:eastAsia="Times New Roman" w:hint="default"/>
                <w:sz w:val="21"/>
                <w:szCs w:val="21"/>
              </w:rPr>
            </w:pPr>
            <w:r>
              <w:rPr>
                <w:rFonts w:ascii="Times New Roman"/>
                <w:spacing w:val="-1"/>
                <w:sz w:val="21"/>
              </w:rPr>
              <w:t>673,126.44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6"/>
              <w:jc w:val="right"/>
              <w:rPr>
                <w:rFonts w:ascii="Times New Roman" w:hAnsi="Times New Roman" w:cs="Times New Roman" w:eastAsia="Times New Roman" w:hint="default"/>
                <w:sz w:val="21"/>
                <w:szCs w:val="21"/>
              </w:rPr>
            </w:pPr>
            <w:r>
              <w:rPr>
                <w:rFonts w:ascii="Times New Roman"/>
                <w:sz w:val="21"/>
              </w:rPr>
              <w:t>0.20%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6"/>
              <w:jc w:val="right"/>
              <w:rPr>
                <w:rFonts w:ascii="Times New Roman" w:hAnsi="Times New Roman" w:cs="Times New Roman" w:eastAsia="Times New Roman" w:hint="default"/>
                <w:sz w:val="21"/>
                <w:szCs w:val="21"/>
              </w:rPr>
            </w:pPr>
            <w:r>
              <w:rPr>
                <w:rFonts w:ascii="Times New Roman"/>
                <w:sz w:val="21"/>
              </w:rPr>
              <w:t>0.14%</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4"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Times New Roman" w:hAnsi="Times New Roman" w:cs="Times New Roman" w:eastAsia="Times New Roman" w:hint="default"/>
                <w:sz w:val="21"/>
                <w:szCs w:val="21"/>
              </w:rPr>
            </w:pPr>
            <w:r>
              <w:rPr>
                <w:rFonts w:ascii="Times New Roman"/>
                <w:spacing w:val="-1"/>
                <w:sz w:val="21"/>
              </w:rPr>
              <w:t>833,936.88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6"/>
              <w:jc w:val="right"/>
              <w:rPr>
                <w:rFonts w:ascii="Times New Roman" w:hAnsi="Times New Roman" w:cs="Times New Roman" w:eastAsia="Times New Roman" w:hint="default"/>
                <w:sz w:val="21"/>
                <w:szCs w:val="21"/>
              </w:rPr>
            </w:pPr>
            <w:r>
              <w:rPr>
                <w:rFonts w:ascii="Times New Roman"/>
                <w:sz w:val="21"/>
              </w:rPr>
              <w:t>0.24%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Times New Roman" w:hAnsi="Times New Roman" w:cs="Times New Roman" w:eastAsia="Times New Roman" w:hint="default"/>
                <w:sz w:val="21"/>
                <w:szCs w:val="21"/>
              </w:rPr>
            </w:pPr>
            <w:r>
              <w:rPr>
                <w:rFonts w:ascii="Times New Roman"/>
                <w:spacing w:val="-2"/>
                <w:sz w:val="21"/>
              </w:rPr>
              <w:t>600,311.81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6"/>
              <w:jc w:val="right"/>
              <w:rPr>
                <w:rFonts w:ascii="Times New Roman" w:hAnsi="Times New Roman" w:cs="Times New Roman" w:eastAsia="Times New Roman" w:hint="default"/>
                <w:sz w:val="21"/>
                <w:szCs w:val="21"/>
              </w:rPr>
            </w:pPr>
            <w:r>
              <w:rPr>
                <w:rFonts w:ascii="Times New Roman"/>
                <w:sz w:val="21"/>
              </w:rPr>
              <w:t>0.18%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6"/>
              <w:jc w:val="right"/>
              <w:rPr>
                <w:rFonts w:ascii="Times New Roman" w:hAnsi="Times New Roman" w:cs="Times New Roman" w:eastAsia="Times New Roman" w:hint="default"/>
                <w:sz w:val="21"/>
                <w:szCs w:val="21"/>
              </w:rPr>
            </w:pPr>
            <w:r>
              <w:rPr>
                <w:rFonts w:ascii="Times New Roman"/>
                <w:sz w:val="21"/>
              </w:rPr>
              <w:t>0.06%</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4"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7"/>
              <w:jc w:val="right"/>
              <w:rPr>
                <w:rFonts w:ascii="Times New Roman" w:hAnsi="Times New Roman" w:cs="Times New Roman" w:eastAsia="Times New Roman" w:hint="default"/>
                <w:sz w:val="21"/>
                <w:szCs w:val="21"/>
              </w:rPr>
            </w:pPr>
            <w:r>
              <w:rPr>
                <w:rFonts w:ascii="Times New Roman"/>
                <w:spacing w:val="-1"/>
                <w:sz w:val="21"/>
              </w:rPr>
              <w:t>424,528.58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6"/>
              <w:jc w:val="right"/>
              <w:rPr>
                <w:rFonts w:ascii="Times New Roman" w:hAnsi="Times New Roman" w:cs="Times New Roman" w:eastAsia="Times New Roman" w:hint="default"/>
                <w:sz w:val="21"/>
                <w:szCs w:val="21"/>
              </w:rPr>
            </w:pPr>
            <w:r>
              <w:rPr>
                <w:rFonts w:ascii="Times New Roman"/>
                <w:sz w:val="21"/>
              </w:rPr>
              <w:t>0.12%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7"/>
              <w:jc w:val="right"/>
              <w:rPr>
                <w:rFonts w:ascii="Times New Roman" w:hAnsi="Times New Roman" w:cs="Times New Roman" w:eastAsia="Times New Roman" w:hint="default"/>
                <w:sz w:val="21"/>
                <w:szCs w:val="21"/>
              </w:rPr>
            </w:pPr>
            <w:r>
              <w:rPr>
                <w:rFonts w:ascii="Times New Roman"/>
                <w:spacing w:val="-1"/>
                <w:sz w:val="21"/>
              </w:rPr>
              <w:t>861,678.02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6"/>
              <w:jc w:val="right"/>
              <w:rPr>
                <w:rFonts w:ascii="Times New Roman" w:hAnsi="Times New Roman" w:cs="Times New Roman" w:eastAsia="Times New Roman" w:hint="default"/>
                <w:sz w:val="21"/>
                <w:szCs w:val="21"/>
              </w:rPr>
            </w:pPr>
            <w:r>
              <w:rPr>
                <w:rFonts w:ascii="Times New Roman"/>
                <w:sz w:val="21"/>
              </w:rPr>
              <w:t>0.26%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21"/>
                <w:szCs w:val="21"/>
              </w:rPr>
            </w:pPr>
            <w:r>
              <w:rPr>
                <w:rFonts w:ascii="Times New Roman"/>
                <w:spacing w:val="-1"/>
                <w:sz w:val="21"/>
              </w:rPr>
              <w:t>-0.14%</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11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17"/>
              <w:jc w:val="right"/>
              <w:rPr>
                <w:rFonts w:ascii="Times New Roman" w:hAnsi="Times New Roman" w:cs="Times New Roman" w:eastAsia="Times New Roman" w:hint="default"/>
                <w:sz w:val="21"/>
                <w:szCs w:val="21"/>
              </w:rPr>
            </w:pPr>
            <w:r>
              <w:rPr>
                <w:rFonts w:ascii="Times New Roman"/>
                <w:spacing w:val="-1"/>
                <w:sz w:val="21"/>
              </w:rPr>
              <w:t>4,478,877.25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16"/>
              <w:jc w:val="right"/>
              <w:rPr>
                <w:rFonts w:ascii="Times New Roman" w:hAnsi="Times New Roman" w:cs="Times New Roman" w:eastAsia="Times New Roman" w:hint="default"/>
                <w:sz w:val="21"/>
                <w:szCs w:val="21"/>
              </w:rPr>
            </w:pPr>
            <w:r>
              <w:rPr>
                <w:rFonts w:ascii="Times New Roman"/>
                <w:sz w:val="21"/>
              </w:rPr>
              <w:t>1.26%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17"/>
              <w:jc w:val="right"/>
              <w:rPr>
                <w:rFonts w:ascii="Times New Roman" w:hAnsi="Times New Roman" w:cs="Times New Roman" w:eastAsia="Times New Roman" w:hint="default"/>
                <w:sz w:val="21"/>
                <w:szCs w:val="21"/>
              </w:rPr>
            </w:pPr>
            <w:r>
              <w:rPr>
                <w:rFonts w:ascii="Times New Roman"/>
                <w:spacing w:val="-1"/>
                <w:sz w:val="21"/>
              </w:rPr>
              <w:t>1,228,539.08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16"/>
              <w:jc w:val="right"/>
              <w:rPr>
                <w:rFonts w:ascii="Times New Roman" w:hAnsi="Times New Roman" w:cs="Times New Roman" w:eastAsia="Times New Roman" w:hint="default"/>
                <w:sz w:val="21"/>
                <w:szCs w:val="21"/>
              </w:rPr>
            </w:pPr>
            <w:r>
              <w:rPr>
                <w:rFonts w:ascii="Times New Roman"/>
                <w:sz w:val="21"/>
              </w:rPr>
              <w:t>0.37%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16"/>
              <w:jc w:val="right"/>
              <w:rPr>
                <w:rFonts w:ascii="Times New Roman" w:hAnsi="Times New Roman" w:cs="Times New Roman" w:eastAsia="Times New Roman" w:hint="default"/>
                <w:sz w:val="21"/>
                <w:szCs w:val="21"/>
              </w:rPr>
            </w:pPr>
            <w:r>
              <w:rPr>
                <w:rFonts w:ascii="Times New Roman"/>
                <w:sz w:val="21"/>
              </w:rPr>
              <w:t>0.89%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主要系对深圳市科葩信息技术</w:t>
            </w:r>
          </w:p>
          <w:p>
            <w:pPr>
              <w:pStyle w:val="TableParagraph"/>
              <w:spacing w:line="240" w:lineRule="auto"/>
              <w:ind w:left="23" w:right="16"/>
              <w:jc w:val="left"/>
              <w:rPr>
                <w:rFonts w:ascii="宋体" w:hAnsi="宋体" w:cs="宋体" w:eastAsia="宋体" w:hint="default"/>
                <w:sz w:val="21"/>
                <w:szCs w:val="21"/>
              </w:rPr>
            </w:pPr>
            <w:r>
              <w:rPr>
                <w:rFonts w:ascii="宋体" w:hAnsi="宋体" w:cs="宋体" w:eastAsia="宋体" w:hint="default"/>
                <w:spacing w:val="-7"/>
                <w:sz w:val="21"/>
                <w:szCs w:val="21"/>
              </w:rPr>
              <w:t>有限公司投资款，由于产品的商</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品化延后，资金的投入相应延</w:t>
            </w:r>
            <w:r>
              <w:rPr>
                <w:rFonts w:ascii="宋体" w:hAnsi="宋体" w:cs="宋体" w:eastAsia="宋体" w:hint="default"/>
                <w:w w:val="100"/>
                <w:sz w:val="21"/>
                <w:szCs w:val="21"/>
              </w:rPr>
              <w:t> </w:t>
            </w:r>
            <w:r>
              <w:rPr>
                <w:rFonts w:ascii="宋体" w:hAnsi="宋体" w:cs="宋体" w:eastAsia="宋体" w:hint="default"/>
                <w:sz w:val="21"/>
                <w:szCs w:val="21"/>
              </w:rPr>
              <w:t>缓。</w:t>
            </w:r>
          </w:p>
        </w:tc>
      </w:tr>
    </w:tbl>
    <w:p>
      <w:pPr>
        <w:pStyle w:val="BodyText"/>
        <w:spacing w:line="278" w:lineRule="exact"/>
        <w:ind w:right="0"/>
        <w:jc w:val="left"/>
      </w:pPr>
      <w:r>
        <w:rPr>
          <w:rFonts w:ascii="Times New Roman" w:hAnsi="Times New Roman" w:cs="Times New Roman" w:eastAsia="Times New Roman" w:hint="default"/>
        </w:rPr>
        <w:t>3</w:t>
      </w:r>
      <w:r>
        <w:rPr/>
        <w:t>）以公允价值计量的资产和负债</w:t>
      </w:r>
    </w:p>
    <w:p>
      <w:pPr>
        <w:pStyle w:val="BodyText"/>
        <w:spacing w:line="240" w:lineRule="auto" w:before="2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7"/>
        <w:rPr>
          <w:rFonts w:ascii="宋体" w:hAnsi="宋体" w:cs="宋体" w:eastAsia="宋体" w:hint="default"/>
          <w:sz w:val="24"/>
          <w:szCs w:val="24"/>
        </w:rPr>
      </w:pPr>
    </w:p>
    <w:p>
      <w:pPr>
        <w:pStyle w:val="Heading5"/>
        <w:spacing w:line="240" w:lineRule="auto"/>
        <w:ind w:right="0"/>
        <w:jc w:val="left"/>
        <w:rPr>
          <w:b w:val="0"/>
          <w:bCs w:val="0"/>
        </w:rPr>
      </w:pPr>
      <w:bookmarkStart w:name="（4）公司竞争能力重大变化分析" w:id="25"/>
      <w:bookmarkEnd w:id="25"/>
      <w:r>
        <w:rPr>
          <w:b w:val="0"/>
          <w:bCs w:val="0"/>
        </w:rPr>
      </w:r>
      <w:r>
        <w:rPr/>
        <w:t>（</w:t>
      </w:r>
      <w:r>
        <w:rPr>
          <w:rFonts w:ascii="Times New Roman" w:hAnsi="Times New Roman" w:cs="Times New Roman" w:eastAsia="Times New Roman" w:hint="default"/>
        </w:rPr>
        <w:t>4</w:t>
      </w:r>
      <w:r>
        <w:rPr/>
        <w:t>）公司竞争能力重大变化分析</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7"/>
        <w:rPr>
          <w:rFonts w:ascii="宋体" w:hAnsi="宋体" w:cs="宋体" w:eastAsia="宋体" w:hint="default"/>
          <w:sz w:val="24"/>
          <w:szCs w:val="24"/>
        </w:rPr>
      </w:pPr>
    </w:p>
    <w:p>
      <w:pPr>
        <w:pStyle w:val="Heading5"/>
        <w:spacing w:line="240" w:lineRule="auto"/>
        <w:ind w:right="0"/>
        <w:jc w:val="left"/>
        <w:rPr>
          <w:b w:val="0"/>
          <w:bCs w:val="0"/>
        </w:rPr>
      </w:pPr>
      <w:bookmarkStart w:name="（5）投资状况分析" w:id="26"/>
      <w:bookmarkEnd w:id="26"/>
      <w:r>
        <w:rPr>
          <w:b w:val="0"/>
          <w:bCs w:val="0"/>
        </w:rPr>
      </w:r>
      <w:r>
        <w:rPr/>
        <w:t>（</w:t>
      </w:r>
      <w:r>
        <w:rPr>
          <w:rFonts w:ascii="Times New Roman" w:hAnsi="Times New Roman" w:cs="Times New Roman" w:eastAsia="Times New Roman" w:hint="default"/>
        </w:rPr>
        <w:t>5</w:t>
      </w:r>
      <w:r>
        <w:rPr/>
        <w:t>）投资状况分析</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right="0"/>
        <w:jc w:val="left"/>
      </w:pPr>
      <w:r>
        <w:rPr>
          <w:rFonts w:ascii="Times New Roman" w:hAnsi="Times New Roman" w:cs="Times New Roman" w:eastAsia="Times New Roman" w:hint="default"/>
        </w:rPr>
        <w:t>1</w:t>
      </w:r>
      <w:r>
        <w:rPr/>
        <w:t>）对外投资情况</w:t>
      </w:r>
    </w:p>
    <w:p>
      <w:pPr>
        <w:pStyle w:val="BodyText"/>
        <w:spacing w:line="240" w:lineRule="auto" w:before="21"/>
        <w:ind w:right="0"/>
        <w:jc w:val="left"/>
      </w:pPr>
      <w:r>
        <w:rPr/>
        <w:pict>
          <v:shape style="position:absolute;margin-left:475.682892pt;margin-top:108.761551pt;width:59.2pt;height:12.1pt;mso-position-horizontal-relative:page;mso-position-vertical-relative:paragraph;z-index:-1160464" type="#_x0000_t202" filled="false" stroked="false">
            <v:textbox inset="0,0,0,0">
              <w:txbxContent>
                <w:p>
                  <w:pPr>
                    <w:pStyle w:val="BodyText"/>
                    <w:spacing w:line="211" w:lineRule="exact"/>
                    <w:ind w:left="0" w:right="0"/>
                    <w:jc w:val="left"/>
                  </w:pPr>
                  <w:r>
                    <w:rPr>
                      <w:w w:val="100"/>
                    </w:rPr>
                    <w:t>）</w:t>
                  </w:r>
                </w:p>
              </w:txbxContent>
            </v:textbox>
            <w10:wrap type="none"/>
          </v:shape>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8"/>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2134"/>
        <w:gridCol w:w="1058"/>
        <w:gridCol w:w="670"/>
        <w:gridCol w:w="1594"/>
        <w:gridCol w:w="924"/>
        <w:gridCol w:w="139"/>
        <w:gridCol w:w="1063"/>
        <w:gridCol w:w="929"/>
        <w:gridCol w:w="96"/>
        <w:gridCol w:w="962"/>
      </w:tblGrid>
      <w:tr>
        <w:trPr>
          <w:trHeight w:val="379" w:hRule="exact"/>
        </w:trPr>
        <w:tc>
          <w:tcPr>
            <w:tcW w:w="9569" w:type="dxa"/>
            <w:gridSpan w:val="10"/>
            <w:tcBorders>
              <w:top w:val="single" w:sz="4" w:space="0" w:color="000000"/>
              <w:left w:val="single" w:sz="4" w:space="0" w:color="000000"/>
              <w:bottom w:val="single" w:sz="4" w:space="0" w:color="auto"/>
              <w:right w:val="single" w:sz="4" w:space="0" w:color="000000"/>
            </w:tcBorders>
            <w:shd w:val="clear" w:color="auto" w:fill="D4D4D4"/>
          </w:tcPr>
          <w:p>
            <w:pPr>
              <w:pStyle w:val="TableParagraph"/>
              <w:spacing w:line="240" w:lineRule="auto" w:before="14"/>
              <w:ind w:left="2" w:right="0"/>
              <w:jc w:val="center"/>
              <w:rPr>
                <w:rFonts w:ascii="宋体" w:hAnsi="宋体" w:cs="宋体" w:eastAsia="宋体" w:hint="default"/>
                <w:sz w:val="21"/>
                <w:szCs w:val="21"/>
              </w:rPr>
            </w:pPr>
            <w:r>
              <w:rPr>
                <w:rFonts w:ascii="宋体" w:hAnsi="宋体" w:cs="宋体" w:eastAsia="宋体" w:hint="default"/>
                <w:sz w:val="21"/>
                <w:szCs w:val="21"/>
              </w:rPr>
              <w:t>对外投资情况</w:t>
            </w:r>
          </w:p>
        </w:tc>
      </w:tr>
      <w:tr>
        <w:trPr>
          <w:trHeight w:val="379" w:hRule="exact"/>
        </w:trPr>
        <w:tc>
          <w:tcPr>
            <w:tcW w:w="3192" w:type="dxa"/>
            <w:gridSpan w:val="2"/>
            <w:tcBorders>
              <w:top w:val="single" w:sz="4" w:space="0" w:color="FFFFFF"/>
              <w:left w:val="single" w:sz="4" w:space="0" w:color="000000"/>
              <w:bottom w:val="single" w:sz="4" w:space="0" w:color="000000"/>
              <w:right w:val="single" w:sz="4" w:space="0" w:color="000000"/>
            </w:tcBorders>
            <w:shd w:val="clear" w:color="auto" w:fill="D4D4D4"/>
          </w:tcPr>
          <w:p>
            <w:pPr>
              <w:pStyle w:val="TableParagraph"/>
              <w:spacing w:line="240" w:lineRule="auto" w:before="14"/>
              <w:ind w:left="645" w:right="0"/>
              <w:jc w:val="left"/>
              <w:rPr>
                <w:rFonts w:ascii="宋体" w:hAnsi="宋体" w:cs="宋体" w:eastAsia="宋体" w:hint="default"/>
                <w:sz w:val="21"/>
                <w:szCs w:val="21"/>
              </w:rPr>
            </w:pPr>
            <w:r>
              <w:rPr>
                <w:rFonts w:ascii="宋体" w:hAnsi="宋体" w:cs="宋体" w:eastAsia="宋体" w:hint="default"/>
                <w:sz w:val="21"/>
                <w:szCs w:val="21"/>
              </w:rPr>
              <w:t>报告期投资额（元）</w:t>
            </w:r>
          </w:p>
        </w:tc>
        <w:tc>
          <w:tcPr>
            <w:tcW w:w="3187" w:type="dxa"/>
            <w:gridSpan w:val="3"/>
            <w:tcBorders>
              <w:top w:val="single" w:sz="4" w:space="0" w:color="FFFFFF"/>
              <w:left w:val="single" w:sz="4" w:space="0" w:color="000000"/>
              <w:bottom w:val="single" w:sz="4" w:space="0" w:color="000000"/>
              <w:right w:val="single" w:sz="4" w:space="0" w:color="000000"/>
            </w:tcBorders>
            <w:shd w:val="clear" w:color="auto" w:fill="D4D4D4"/>
          </w:tcPr>
          <w:p>
            <w:pPr>
              <w:pStyle w:val="TableParagraph"/>
              <w:spacing w:line="240" w:lineRule="auto" w:before="14"/>
              <w:ind w:left="539" w:right="0"/>
              <w:jc w:val="left"/>
              <w:rPr>
                <w:rFonts w:ascii="宋体" w:hAnsi="宋体" w:cs="宋体" w:eastAsia="宋体" w:hint="default"/>
                <w:sz w:val="21"/>
                <w:szCs w:val="21"/>
              </w:rPr>
            </w:pPr>
            <w:r>
              <w:rPr>
                <w:rFonts w:ascii="宋体" w:hAnsi="宋体" w:cs="宋体" w:eastAsia="宋体" w:hint="default"/>
                <w:sz w:val="21"/>
                <w:szCs w:val="21"/>
              </w:rPr>
              <w:t>上年同期投资额（元）</w:t>
            </w:r>
          </w:p>
        </w:tc>
        <w:tc>
          <w:tcPr>
            <w:tcW w:w="3190" w:type="dxa"/>
            <w:gridSpan w:val="5"/>
            <w:tcBorders>
              <w:top w:val="single" w:sz="4" w:space="0" w:color="FFFFFF"/>
              <w:left w:val="single" w:sz="4" w:space="0" w:color="000000"/>
              <w:bottom w:val="single" w:sz="4" w:space="0" w:color="000000"/>
              <w:right w:val="single" w:sz="4" w:space="0" w:color="000000"/>
            </w:tcBorders>
            <w:shd w:val="clear" w:color="auto" w:fill="D4D4D4"/>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变动幅度</w:t>
            </w:r>
          </w:p>
        </w:tc>
      </w:tr>
      <w:tr>
        <w:trPr>
          <w:trHeight w:val="379" w:hRule="exact"/>
        </w:trPr>
        <w:tc>
          <w:tcPr>
            <w:tcW w:w="31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056" w:right="0"/>
              <w:jc w:val="left"/>
              <w:rPr>
                <w:rFonts w:ascii="Times New Roman" w:hAnsi="Times New Roman" w:cs="Times New Roman" w:eastAsia="Times New Roman" w:hint="default"/>
                <w:sz w:val="21"/>
                <w:szCs w:val="21"/>
              </w:rPr>
            </w:pPr>
            <w:r>
              <w:rPr>
                <w:rFonts w:ascii="Times New Roman"/>
                <w:sz w:val="21"/>
              </w:rPr>
              <w:t>6,000,000.00</w:t>
            </w:r>
          </w:p>
        </w:tc>
        <w:tc>
          <w:tcPr>
            <w:tcW w:w="31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Times New Roman" w:hAnsi="Times New Roman" w:cs="Times New Roman" w:eastAsia="Times New Roman" w:hint="default"/>
                <w:sz w:val="21"/>
                <w:szCs w:val="21"/>
              </w:rPr>
            </w:pPr>
            <w:r>
              <w:rPr>
                <w:rFonts w:ascii="Times New Roman"/>
                <w:sz w:val="21"/>
              </w:rPr>
              <w:t>0.00</w:t>
            </w:r>
          </w:p>
        </w:tc>
        <w:tc>
          <w:tcPr>
            <w:tcW w:w="31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8"/>
              <w:jc w:val="right"/>
              <w:rPr>
                <w:rFonts w:ascii="Times New Roman" w:hAnsi="Times New Roman" w:cs="Times New Roman" w:eastAsia="Times New Roman" w:hint="default"/>
                <w:sz w:val="21"/>
                <w:szCs w:val="21"/>
              </w:rPr>
            </w:pPr>
            <w:r>
              <w:rPr>
                <w:rFonts w:ascii="Times New Roman"/>
                <w:sz w:val="21"/>
              </w:rPr>
              <w:t>100.00%</w:t>
            </w:r>
          </w:p>
        </w:tc>
      </w:tr>
      <w:tr>
        <w:trPr>
          <w:trHeight w:val="379" w:hRule="exact"/>
        </w:trPr>
        <w:tc>
          <w:tcPr>
            <w:tcW w:w="9569" w:type="dxa"/>
            <w:gridSpan w:val="10"/>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4"/>
              <w:ind w:left="2" w:right="0"/>
              <w:jc w:val="center"/>
              <w:rPr>
                <w:rFonts w:ascii="宋体" w:hAnsi="宋体" w:cs="宋体" w:eastAsia="宋体" w:hint="default"/>
                <w:sz w:val="21"/>
                <w:szCs w:val="21"/>
              </w:rPr>
            </w:pPr>
            <w:r>
              <w:rPr>
                <w:rFonts w:ascii="宋体" w:hAnsi="宋体" w:cs="宋体" w:eastAsia="宋体" w:hint="default"/>
                <w:sz w:val="21"/>
                <w:szCs w:val="21"/>
              </w:rPr>
              <w:t>被投资公司情况</w:t>
            </w:r>
          </w:p>
        </w:tc>
      </w:tr>
      <w:tr>
        <w:trPr>
          <w:trHeight w:val="554" w:hRule="exact"/>
        </w:trPr>
        <w:tc>
          <w:tcPr>
            <w:tcW w:w="21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2"/>
              <w:ind w:left="640"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172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2"/>
              <w:ind w:left="439" w:right="0"/>
              <w:jc w:val="left"/>
              <w:rPr>
                <w:rFonts w:ascii="宋体" w:hAnsi="宋体" w:cs="宋体" w:eastAsia="宋体" w:hint="default"/>
                <w:sz w:val="21"/>
                <w:szCs w:val="21"/>
              </w:rPr>
            </w:pPr>
            <w:r>
              <w:rPr>
                <w:rFonts w:ascii="宋体" w:hAnsi="宋体" w:cs="宋体" w:eastAsia="宋体" w:hint="default"/>
                <w:sz w:val="21"/>
                <w:szCs w:val="21"/>
              </w:rPr>
              <w:t>主要业务</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exact"/>
              <w:ind w:left="57" w:right="0"/>
              <w:jc w:val="left"/>
              <w:rPr>
                <w:rFonts w:ascii="宋体" w:hAnsi="宋体" w:cs="宋体" w:eastAsia="宋体" w:hint="default"/>
                <w:sz w:val="21"/>
                <w:szCs w:val="21"/>
              </w:rPr>
            </w:pPr>
            <w:r>
              <w:rPr>
                <w:rFonts w:ascii="宋体" w:hAnsi="宋体" w:cs="宋体" w:eastAsia="宋体" w:hint="default"/>
                <w:sz w:val="21"/>
                <w:szCs w:val="21"/>
              </w:rPr>
              <w:t>上市公司占被投</w:t>
            </w:r>
          </w:p>
          <w:p>
            <w:pPr>
              <w:pStyle w:val="TableParagraph"/>
              <w:spacing w:line="274" w:lineRule="exact"/>
              <w:ind w:left="57" w:right="0"/>
              <w:jc w:val="left"/>
              <w:rPr>
                <w:rFonts w:ascii="宋体" w:hAnsi="宋体" w:cs="宋体" w:eastAsia="宋体" w:hint="default"/>
                <w:sz w:val="21"/>
                <w:szCs w:val="21"/>
              </w:rPr>
            </w:pPr>
            <w:r>
              <w:rPr>
                <w:rFonts w:ascii="宋体" w:hAnsi="宋体" w:cs="宋体" w:eastAsia="宋体" w:hint="default"/>
                <w:sz w:val="21"/>
                <w:szCs w:val="21"/>
              </w:rPr>
              <w:t>资公司权益比例</w:t>
            </w:r>
          </w:p>
        </w:tc>
        <w:tc>
          <w:tcPr>
            <w:tcW w:w="1063"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2"/>
              <w:ind w:left="105" w:right="0"/>
              <w:jc w:val="left"/>
              <w:rPr>
                <w:rFonts w:ascii="宋体" w:hAnsi="宋体" w:cs="宋体" w:eastAsia="宋体" w:hint="default"/>
                <w:sz w:val="21"/>
                <w:szCs w:val="21"/>
              </w:rPr>
            </w:pPr>
            <w:r>
              <w:rPr>
                <w:rFonts w:ascii="宋体" w:hAnsi="宋体" w:cs="宋体" w:eastAsia="宋体" w:hint="default"/>
                <w:sz w:val="21"/>
                <w:szCs w:val="21"/>
              </w:rPr>
              <w:t>资金来源</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2"/>
              <w:ind w:left="211" w:right="0"/>
              <w:jc w:val="left"/>
              <w:rPr>
                <w:rFonts w:ascii="宋体" w:hAnsi="宋体" w:cs="宋体" w:eastAsia="宋体" w:hint="default"/>
                <w:sz w:val="21"/>
                <w:szCs w:val="21"/>
              </w:rPr>
            </w:pPr>
            <w:r>
              <w:rPr>
                <w:rFonts w:ascii="宋体" w:hAnsi="宋体" w:cs="宋体" w:eastAsia="宋体" w:hint="default"/>
                <w:sz w:val="21"/>
                <w:szCs w:val="21"/>
              </w:rPr>
              <w:t>合作方</w:t>
            </w:r>
          </w:p>
        </w:tc>
        <w:tc>
          <w:tcPr>
            <w:tcW w:w="9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exact"/>
              <w:ind w:left="23" w:right="0" w:firstLine="16"/>
              <w:jc w:val="left"/>
              <w:rPr>
                <w:rFonts w:ascii="宋体" w:hAnsi="宋体" w:cs="宋体" w:eastAsia="宋体" w:hint="default"/>
                <w:sz w:val="21"/>
                <w:szCs w:val="21"/>
              </w:rPr>
            </w:pPr>
            <w:r>
              <w:rPr>
                <w:rFonts w:ascii="宋体" w:hAnsi="宋体" w:cs="宋体" w:eastAsia="宋体" w:hint="default"/>
                <w:sz w:val="21"/>
                <w:szCs w:val="21"/>
              </w:rPr>
              <w:t>本期投资</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pacing w:val="-19"/>
                <w:sz w:val="21"/>
                <w:szCs w:val="21"/>
              </w:rPr>
              <w:t>盈亏（元</w:t>
            </w:r>
          </w:p>
        </w:tc>
        <w:tc>
          <w:tcPr>
            <w:tcW w:w="96" w:type="dxa"/>
            <w:tcBorders>
              <w:top w:val="single" w:sz="4" w:space="0" w:color="000000"/>
              <w:left w:val="single" w:sz="4" w:space="0" w:color="000000"/>
              <w:bottom w:val="single" w:sz="4" w:space="0" w:color="000000"/>
              <w:right w:val="nil" w:sz="6" w:space="0" w:color="auto"/>
            </w:tcBorders>
            <w:shd w:val="clear" w:color="auto" w:fill="D4D4D4"/>
          </w:tcPr>
          <w:p>
            <w:pPr/>
          </w:p>
        </w:tc>
        <w:tc>
          <w:tcPr>
            <w:tcW w:w="962" w:type="dxa"/>
            <w:tcBorders>
              <w:top w:val="single" w:sz="4" w:space="0" w:color="000000"/>
              <w:left w:val="nil" w:sz="6" w:space="0" w:color="auto"/>
              <w:bottom w:val="single" w:sz="4" w:space="0" w:color="000000"/>
              <w:right w:val="single" w:sz="4" w:space="0" w:color="000000"/>
            </w:tcBorders>
            <w:shd w:val="clear" w:color="auto" w:fill="D4D4D4"/>
          </w:tcPr>
          <w:p>
            <w:pPr>
              <w:pStyle w:val="TableParagraph"/>
              <w:spacing w:line="240" w:lineRule="auto" w:before="102"/>
              <w:ind w:left="14" w:right="0"/>
              <w:jc w:val="left"/>
              <w:rPr>
                <w:rFonts w:ascii="宋体" w:hAnsi="宋体" w:cs="宋体" w:eastAsia="宋体" w:hint="default"/>
                <w:sz w:val="21"/>
                <w:szCs w:val="21"/>
              </w:rPr>
            </w:pPr>
            <w:r>
              <w:rPr>
                <w:rFonts w:ascii="宋体" w:hAnsi="宋体" w:cs="宋体" w:eastAsia="宋体" w:hint="default"/>
                <w:sz w:val="21"/>
                <w:szCs w:val="21"/>
              </w:rPr>
              <w:t>是否涉诉</w:t>
            </w:r>
          </w:p>
        </w:tc>
      </w:tr>
      <w:tr>
        <w:trPr>
          <w:trHeight w:val="1922" w:hRule="exact"/>
        </w:trPr>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24" w:right="204"/>
              <w:jc w:val="left"/>
              <w:rPr>
                <w:rFonts w:ascii="宋体" w:hAnsi="宋体" w:cs="宋体" w:eastAsia="宋体" w:hint="default"/>
                <w:sz w:val="21"/>
                <w:szCs w:val="21"/>
              </w:rPr>
            </w:pPr>
            <w:r>
              <w:rPr>
                <w:rFonts w:ascii="宋体" w:hAnsi="宋体" w:cs="宋体" w:eastAsia="宋体" w:hint="default"/>
                <w:sz w:val="21"/>
                <w:szCs w:val="21"/>
              </w:rPr>
              <w:t>深圳市科葩信息技术</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7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计算机生物识别</w:t>
            </w:r>
          </w:p>
          <w:p>
            <w:pPr>
              <w:pStyle w:val="TableParagraph"/>
              <w:spacing w:line="237" w:lineRule="auto" w:before="2"/>
              <w:ind w:left="23" w:right="9"/>
              <w:jc w:val="left"/>
              <w:rPr>
                <w:rFonts w:ascii="Times New Roman" w:hAnsi="Times New Roman" w:cs="Times New Roman" w:eastAsia="Times New Roman" w:hint="default"/>
                <w:sz w:val="21"/>
                <w:szCs w:val="21"/>
              </w:rPr>
            </w:pPr>
            <w:r>
              <w:rPr>
                <w:rFonts w:ascii="宋体" w:hAnsi="宋体" w:cs="宋体" w:eastAsia="宋体" w:hint="default"/>
                <w:sz w:val="21"/>
                <w:szCs w:val="21"/>
              </w:rPr>
              <w:t>技术及其产品的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3"/>
                <w:sz w:val="21"/>
                <w:szCs w:val="21"/>
              </w:rPr>
              <w:t>研发与销售；安全</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验证技术及其产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品的研发与销售；</w:t>
            </w:r>
            <w:r>
              <w:rPr>
                <w:rFonts w:ascii="宋体" w:hAnsi="宋体" w:cs="宋体" w:eastAsia="宋体" w:hint="default"/>
                <w:w w:val="100"/>
                <w:sz w:val="21"/>
                <w:szCs w:val="21"/>
              </w:rPr>
              <w:t> </w:t>
            </w:r>
            <w:r>
              <w:rPr>
                <w:rFonts w:ascii="宋体" w:hAnsi="宋体" w:cs="宋体" w:eastAsia="宋体" w:hint="default"/>
                <w:sz w:val="21"/>
                <w:szCs w:val="21"/>
              </w:rPr>
              <w:t>计算机系统集成；</w:t>
            </w:r>
            <w:r>
              <w:rPr>
                <w:rFonts w:ascii="宋体" w:hAnsi="宋体" w:cs="宋体" w:eastAsia="宋体" w:hint="default"/>
                <w:w w:val="100"/>
                <w:sz w:val="21"/>
                <w:szCs w:val="21"/>
              </w:rPr>
              <w:t> </w:t>
            </w:r>
            <w:r>
              <w:rPr>
                <w:rFonts w:ascii="宋体" w:hAnsi="宋体" w:cs="宋体" w:eastAsia="宋体" w:hint="default"/>
                <w:sz w:val="21"/>
                <w:szCs w:val="21"/>
              </w:rPr>
              <w:t>经营进出口业务</w:t>
            </w:r>
            <w:r>
              <w:rPr>
                <w:rFonts w:ascii="Times New Roman" w:hAnsi="Times New Roman" w:cs="Times New Roman" w:eastAsia="Times New Roman" w:hint="default"/>
                <w:sz w:val="21"/>
                <w:szCs w:val="21"/>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914" w:right="0"/>
              <w:jc w:val="left"/>
              <w:rPr>
                <w:rFonts w:ascii="Times New Roman" w:hAnsi="Times New Roman" w:cs="Times New Roman" w:eastAsia="Times New Roman" w:hint="default"/>
                <w:sz w:val="21"/>
                <w:szCs w:val="21"/>
              </w:rPr>
            </w:pPr>
            <w:r>
              <w:rPr>
                <w:rFonts w:ascii="Times New Roman"/>
                <w:sz w:val="21"/>
              </w:rPr>
              <w:t>15.00%</w:t>
            </w:r>
          </w:p>
        </w:tc>
        <w:tc>
          <w:tcPr>
            <w:tcW w:w="10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自有资金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37" w:lineRule="auto"/>
              <w:ind w:left="23" w:right="185"/>
              <w:jc w:val="both"/>
              <w:rPr>
                <w:rFonts w:ascii="宋体" w:hAnsi="宋体" w:cs="宋体" w:eastAsia="宋体" w:hint="default"/>
                <w:sz w:val="21"/>
                <w:szCs w:val="21"/>
              </w:rPr>
            </w:pPr>
            <w:r>
              <w:rPr>
                <w:rFonts w:ascii="宋体" w:hAnsi="宋体" w:cs="宋体" w:eastAsia="宋体" w:hint="default"/>
                <w:sz w:val="21"/>
                <w:szCs w:val="21"/>
              </w:rPr>
              <w:t>深圳市科</w:t>
            </w:r>
            <w:r>
              <w:rPr>
                <w:rFonts w:ascii="宋体" w:hAnsi="宋体" w:cs="宋体" w:eastAsia="宋体" w:hint="default"/>
                <w:w w:val="100"/>
                <w:sz w:val="21"/>
                <w:szCs w:val="21"/>
              </w:rPr>
              <w:t> </w:t>
            </w:r>
            <w:r>
              <w:rPr>
                <w:rFonts w:ascii="宋体" w:hAnsi="宋体" w:cs="宋体" w:eastAsia="宋体" w:hint="default"/>
                <w:sz w:val="21"/>
                <w:szCs w:val="21"/>
              </w:rPr>
              <w:t>葩信息技</w:t>
            </w:r>
            <w:r>
              <w:rPr>
                <w:rFonts w:ascii="宋体" w:hAnsi="宋体" w:cs="宋体" w:eastAsia="宋体" w:hint="default"/>
                <w:w w:val="100"/>
                <w:sz w:val="21"/>
                <w:szCs w:val="21"/>
              </w:rPr>
              <w:t> </w:t>
            </w:r>
            <w:r>
              <w:rPr>
                <w:rFonts w:ascii="宋体" w:hAnsi="宋体" w:cs="宋体" w:eastAsia="宋体" w:hint="default"/>
                <w:sz w:val="21"/>
                <w:szCs w:val="21"/>
              </w:rPr>
              <w:t>术有限公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530" w:right="0"/>
              <w:jc w:val="left"/>
              <w:rPr>
                <w:rFonts w:ascii="Times New Roman" w:hAnsi="Times New Roman" w:cs="Times New Roman" w:eastAsia="Times New Roman" w:hint="default"/>
                <w:sz w:val="21"/>
                <w:szCs w:val="21"/>
              </w:rPr>
            </w:pPr>
            <w:r>
              <w:rPr>
                <w:rFonts w:ascii="Times New Roman"/>
                <w:sz w:val="21"/>
              </w:rPr>
              <w:t>0.00</w:t>
            </w:r>
          </w:p>
        </w:tc>
        <w:tc>
          <w:tcPr>
            <w:tcW w:w="1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pStyle w:val="BodyText"/>
        <w:spacing w:line="278" w:lineRule="exact"/>
        <w:ind w:right="0"/>
        <w:jc w:val="left"/>
      </w:pPr>
      <w:r>
        <w:rPr>
          <w:rFonts w:ascii="Times New Roman" w:hAnsi="Times New Roman" w:cs="Times New Roman" w:eastAsia="Times New Roman" w:hint="default"/>
        </w:rPr>
        <w:t>2</w:t>
      </w:r>
      <w:r>
        <w:rPr/>
        <w:t>）募集资金使用情况</w:t>
      </w:r>
    </w:p>
    <w:p>
      <w:pPr>
        <w:spacing w:after="0" w:line="278" w:lineRule="exact"/>
        <w:jc w:val="left"/>
        <w:sectPr>
          <w:pgSz w:w="11910" w:h="16840"/>
          <w:pgMar w:header="748" w:footer="982" w:top="1060" w:bottom="1180" w:left="980" w:right="980"/>
        </w:sectPr>
      </w:pPr>
    </w:p>
    <w:p>
      <w:pPr>
        <w:spacing w:line="240" w:lineRule="auto" w:before="8"/>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748" w:footer="982" w:top="1060" w:bottom="1180" w:left="980" w:right="980"/>
        </w:sectPr>
      </w:pPr>
    </w:p>
    <w:p>
      <w:pPr>
        <w:pStyle w:val="BodyText"/>
        <w:spacing w:line="240" w:lineRule="auto" w:before="36"/>
        <w:ind w:right="-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21"/>
        <w:ind w:right="-4"/>
        <w:jc w:val="left"/>
      </w:pPr>
      <w:r>
        <w:rPr>
          <w:rFonts w:ascii="Times New Roman" w:hAnsi="Times New Roman" w:cs="Times New Roman" w:eastAsia="Times New Roman" w:hint="default"/>
          <w:spacing w:val="-1"/>
        </w:rPr>
        <w:t>1.</w:t>
      </w:r>
      <w:r>
        <w:rPr>
          <w:spacing w:val="-1"/>
        </w:rPr>
        <w:t>募集资金总体使用情况</w:t>
      </w:r>
    </w:p>
    <w:p>
      <w:pPr>
        <w:pStyle w:val="BodyText"/>
        <w:spacing w:line="240" w:lineRule="auto" w:before="21"/>
        <w:ind w:right="-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right="0"/>
        <w:jc w:val="left"/>
      </w:pPr>
      <w:r>
        <w:rPr/>
        <w:t>单位：万元</w:t>
      </w:r>
    </w:p>
    <w:p>
      <w:pPr>
        <w:spacing w:after="0" w:line="240" w:lineRule="auto"/>
        <w:jc w:val="left"/>
        <w:sectPr>
          <w:type w:val="continuous"/>
          <w:pgSz w:w="11910" w:h="16840"/>
          <w:pgMar w:top="1060" w:bottom="1180" w:left="980" w:right="980"/>
          <w:cols w:num="2" w:equalWidth="0">
            <w:col w:w="2414" w:space="6173"/>
            <w:col w:w="1363"/>
          </w:cols>
        </w:sectPr>
      </w:pPr>
    </w:p>
    <w:p>
      <w:pPr>
        <w:spacing w:line="240" w:lineRule="auto" w:before="8"/>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4099"/>
        <w:gridCol w:w="5470"/>
      </w:tblGrid>
      <w:tr>
        <w:trPr>
          <w:trHeight w:val="355" w:hRule="exact"/>
        </w:trPr>
        <w:tc>
          <w:tcPr>
            <w:tcW w:w="40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募集资金总额</w:t>
            </w:r>
          </w:p>
        </w:tc>
        <w:tc>
          <w:tcPr>
            <w:tcW w:w="547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18,563.28</w:t>
            </w:r>
          </w:p>
        </w:tc>
      </w:tr>
      <w:tr>
        <w:trPr>
          <w:trHeight w:val="379" w:hRule="exact"/>
        </w:trPr>
        <w:tc>
          <w:tcPr>
            <w:tcW w:w="40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4"/>
              <w:ind w:left="24" w:right="0"/>
              <w:jc w:val="left"/>
              <w:rPr>
                <w:rFonts w:ascii="宋体" w:hAnsi="宋体" w:cs="宋体" w:eastAsia="宋体" w:hint="default"/>
                <w:sz w:val="21"/>
                <w:szCs w:val="21"/>
              </w:rPr>
            </w:pPr>
            <w:r>
              <w:rPr>
                <w:rFonts w:ascii="宋体" w:hAnsi="宋体" w:cs="宋体" w:eastAsia="宋体" w:hint="default"/>
                <w:sz w:val="21"/>
                <w:szCs w:val="21"/>
              </w:rPr>
              <w:t>报告期投入募集资金总额</w:t>
            </w:r>
          </w:p>
        </w:tc>
        <w:tc>
          <w:tcPr>
            <w:tcW w:w="547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58"/>
              <w:ind w:right="19"/>
              <w:jc w:val="right"/>
              <w:rPr>
                <w:rFonts w:ascii="Times New Roman" w:hAnsi="Times New Roman" w:cs="Times New Roman" w:eastAsia="Times New Roman" w:hint="default"/>
                <w:sz w:val="21"/>
                <w:szCs w:val="21"/>
              </w:rPr>
            </w:pPr>
            <w:r>
              <w:rPr>
                <w:rFonts w:ascii="Times New Roman"/>
                <w:spacing w:val="-1"/>
                <w:sz w:val="21"/>
              </w:rPr>
              <w:t>2,070.52</w:t>
            </w:r>
          </w:p>
        </w:tc>
      </w:tr>
      <w:tr>
        <w:trPr>
          <w:trHeight w:val="408" w:hRule="exact"/>
        </w:trPr>
        <w:tc>
          <w:tcPr>
            <w:tcW w:w="40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4"/>
              <w:ind w:left="24" w:right="0"/>
              <w:jc w:val="left"/>
              <w:rPr>
                <w:rFonts w:ascii="宋体" w:hAnsi="宋体" w:cs="宋体" w:eastAsia="宋体" w:hint="default"/>
                <w:sz w:val="21"/>
                <w:szCs w:val="21"/>
              </w:rPr>
            </w:pPr>
            <w:r>
              <w:rPr>
                <w:rFonts w:ascii="宋体" w:hAnsi="宋体" w:cs="宋体" w:eastAsia="宋体" w:hint="default"/>
                <w:sz w:val="21"/>
                <w:szCs w:val="21"/>
              </w:rPr>
              <w:t>已累计投入募集资金总额</w:t>
            </w:r>
          </w:p>
        </w:tc>
        <w:tc>
          <w:tcPr>
            <w:tcW w:w="5470" w:type="dxa"/>
            <w:tcBorders>
              <w:top w:val="single" w:sz="4" w:space="0" w:color="000000"/>
              <w:left w:val="single" w:sz="10" w:space="0" w:color="D4D4D4"/>
              <w:bottom w:val="single" w:sz="19" w:space="0" w:color="D4D4D4"/>
              <w:right w:val="single" w:sz="4" w:space="0" w:color="000000"/>
            </w:tcBorders>
          </w:tcPr>
          <w:p>
            <w:pPr>
              <w:pStyle w:val="TableParagraph"/>
              <w:spacing w:line="240" w:lineRule="auto" w:before="58"/>
              <w:ind w:right="19"/>
              <w:jc w:val="right"/>
              <w:rPr>
                <w:rFonts w:ascii="Times New Roman" w:hAnsi="Times New Roman" w:cs="Times New Roman" w:eastAsia="Times New Roman" w:hint="default"/>
                <w:sz w:val="21"/>
                <w:szCs w:val="21"/>
              </w:rPr>
            </w:pPr>
            <w:r>
              <w:rPr>
                <w:rFonts w:ascii="Times New Roman"/>
                <w:spacing w:val="-1"/>
                <w:sz w:val="21"/>
              </w:rPr>
              <w:t>15,035.32</w:t>
            </w:r>
          </w:p>
        </w:tc>
      </w:tr>
      <w:tr>
        <w:trPr>
          <w:trHeight w:val="326"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募集资金总体使用情况说明</w:t>
            </w:r>
          </w:p>
        </w:tc>
      </w:tr>
      <w:tr>
        <w:trPr>
          <w:trHeight w:val="852" w:hRule="exact"/>
        </w:trPr>
        <w:tc>
          <w:tcPr>
            <w:tcW w:w="9569" w:type="dxa"/>
            <w:gridSpan w:val="2"/>
            <w:tcBorders>
              <w:top w:val="single" w:sz="19" w:space="0" w:color="D4D4D4"/>
              <w:left w:val="single" w:sz="4" w:space="0" w:color="000000"/>
              <w:bottom w:val="single" w:sz="4" w:space="0" w:color="000000"/>
              <w:right w:val="single" w:sz="4" w:space="0" w:color="000000"/>
            </w:tcBorders>
          </w:tcPr>
          <w:p>
            <w:pPr>
              <w:pStyle w:val="TableParagraph"/>
              <w:spacing w:line="245"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公司</w:t>
            </w:r>
            <w:r>
              <w:rPr>
                <w:rFonts w:ascii="宋体" w:hAnsi="宋体" w:cs="宋体" w:eastAsia="宋体" w:hint="default"/>
                <w:spacing w:val="-3"/>
                <w:w w:val="100"/>
                <w:sz w:val="21"/>
                <w:szCs w:val="21"/>
              </w:rPr>
              <w:t>严</w:t>
            </w:r>
            <w:r>
              <w:rPr>
                <w:rFonts w:ascii="宋体" w:hAnsi="宋体" w:cs="宋体" w:eastAsia="宋体" w:hint="default"/>
                <w:w w:val="100"/>
                <w:sz w:val="21"/>
                <w:szCs w:val="21"/>
              </w:rPr>
              <w:t>格</w:t>
            </w:r>
            <w:r>
              <w:rPr>
                <w:rFonts w:ascii="宋体" w:hAnsi="宋体" w:cs="宋体" w:eastAsia="宋体" w:hint="default"/>
                <w:spacing w:val="-3"/>
                <w:w w:val="100"/>
                <w:sz w:val="21"/>
                <w:szCs w:val="21"/>
              </w:rPr>
              <w:t>按</w:t>
            </w:r>
            <w:r>
              <w:rPr>
                <w:rFonts w:ascii="宋体" w:hAnsi="宋体" w:cs="宋体" w:eastAsia="宋体" w:hint="default"/>
                <w:w w:val="100"/>
                <w:sz w:val="21"/>
                <w:szCs w:val="21"/>
              </w:rPr>
              <w:t>照</w:t>
            </w:r>
            <w:r>
              <w:rPr>
                <w:rFonts w:ascii="宋体" w:hAnsi="宋体" w:cs="宋体" w:eastAsia="宋体" w:hint="default"/>
                <w:spacing w:val="-3"/>
                <w:w w:val="100"/>
                <w:sz w:val="21"/>
                <w:szCs w:val="21"/>
              </w:rPr>
              <w:t>《</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法</w:t>
            </w:r>
            <w:r>
              <w:rPr>
                <w:rFonts w:ascii="宋体" w:hAnsi="宋体" w:cs="宋体" w:eastAsia="宋体" w:hint="default"/>
                <w:spacing w:val="-106"/>
                <w:w w:val="100"/>
                <w:sz w:val="21"/>
                <w:szCs w:val="21"/>
              </w:rPr>
              <w:t>》</w:t>
            </w:r>
            <w:r>
              <w:rPr>
                <w:rFonts w:ascii="宋体" w:hAnsi="宋体" w:cs="宋体" w:eastAsia="宋体" w:hint="default"/>
                <w:spacing w:val="-108"/>
                <w:w w:val="100"/>
                <w:sz w:val="21"/>
                <w:szCs w:val="21"/>
              </w:rPr>
              <w:t>、</w:t>
            </w:r>
            <w:r>
              <w:rPr>
                <w:rFonts w:ascii="宋体" w:hAnsi="宋体" w:cs="宋体" w:eastAsia="宋体" w:hint="default"/>
                <w:w w:val="100"/>
                <w:sz w:val="21"/>
                <w:szCs w:val="21"/>
              </w:rPr>
              <w:t>《证</w:t>
            </w:r>
            <w:r>
              <w:rPr>
                <w:rFonts w:ascii="宋体" w:hAnsi="宋体" w:cs="宋体" w:eastAsia="宋体" w:hint="default"/>
                <w:spacing w:val="-3"/>
                <w:w w:val="100"/>
                <w:sz w:val="21"/>
                <w:szCs w:val="21"/>
              </w:rPr>
              <w:t>券</w:t>
            </w:r>
            <w:r>
              <w:rPr>
                <w:rFonts w:ascii="宋体" w:hAnsi="宋体" w:cs="宋体" w:eastAsia="宋体" w:hint="default"/>
                <w:w w:val="100"/>
                <w:sz w:val="21"/>
                <w:szCs w:val="21"/>
              </w:rPr>
              <w:t>法</w:t>
            </w:r>
            <w:r>
              <w:rPr>
                <w:rFonts w:ascii="宋体" w:hAnsi="宋体" w:cs="宋体" w:eastAsia="宋体" w:hint="default"/>
                <w:spacing w:val="-106"/>
                <w:w w:val="100"/>
                <w:sz w:val="21"/>
                <w:szCs w:val="21"/>
              </w:rPr>
              <w:t>》</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深</w:t>
            </w:r>
            <w:r>
              <w:rPr>
                <w:rFonts w:ascii="宋体" w:hAnsi="宋体" w:cs="宋体" w:eastAsia="宋体" w:hint="default"/>
                <w:w w:val="100"/>
                <w:sz w:val="21"/>
                <w:szCs w:val="21"/>
              </w:rPr>
              <w:t>圳</w:t>
            </w:r>
            <w:r>
              <w:rPr>
                <w:rFonts w:ascii="宋体" w:hAnsi="宋体" w:cs="宋体" w:eastAsia="宋体" w:hint="default"/>
                <w:spacing w:val="-3"/>
                <w:w w:val="100"/>
                <w:sz w:val="21"/>
                <w:szCs w:val="21"/>
              </w:rPr>
              <w:t>证</w:t>
            </w:r>
            <w:r>
              <w:rPr>
                <w:rFonts w:ascii="宋体" w:hAnsi="宋体" w:cs="宋体" w:eastAsia="宋体" w:hint="default"/>
                <w:w w:val="100"/>
                <w:sz w:val="21"/>
                <w:szCs w:val="21"/>
              </w:rPr>
              <w:t>券</w:t>
            </w:r>
            <w:r>
              <w:rPr>
                <w:rFonts w:ascii="宋体" w:hAnsi="宋体" w:cs="宋体" w:eastAsia="宋体" w:hint="default"/>
                <w:spacing w:val="-3"/>
                <w:w w:val="100"/>
                <w:sz w:val="21"/>
                <w:szCs w:val="21"/>
              </w:rPr>
              <w:t>交</w:t>
            </w:r>
            <w:r>
              <w:rPr>
                <w:rFonts w:ascii="宋体" w:hAnsi="宋体" w:cs="宋体" w:eastAsia="宋体" w:hint="default"/>
                <w:w w:val="100"/>
                <w:sz w:val="21"/>
                <w:szCs w:val="21"/>
              </w:rPr>
              <w:t>易所</w:t>
            </w:r>
            <w:r>
              <w:rPr>
                <w:rFonts w:ascii="宋体" w:hAnsi="宋体" w:cs="宋体" w:eastAsia="宋体" w:hint="default"/>
                <w:spacing w:val="-3"/>
                <w:w w:val="100"/>
                <w:sz w:val="21"/>
                <w:szCs w:val="21"/>
              </w:rPr>
              <w:t>创</w:t>
            </w:r>
            <w:r>
              <w:rPr>
                <w:rFonts w:ascii="宋体" w:hAnsi="宋体" w:cs="宋体" w:eastAsia="宋体" w:hint="default"/>
                <w:w w:val="100"/>
                <w:sz w:val="21"/>
                <w:szCs w:val="21"/>
              </w:rPr>
              <w:t>业</w:t>
            </w:r>
            <w:r>
              <w:rPr>
                <w:rFonts w:ascii="宋体" w:hAnsi="宋体" w:cs="宋体" w:eastAsia="宋体" w:hint="default"/>
                <w:spacing w:val="-3"/>
                <w:w w:val="100"/>
                <w:sz w:val="21"/>
                <w:szCs w:val="21"/>
              </w:rPr>
              <w:t>板</w:t>
            </w:r>
            <w:r>
              <w:rPr>
                <w:rFonts w:ascii="宋体" w:hAnsi="宋体" w:cs="宋体" w:eastAsia="宋体" w:hint="default"/>
                <w:w w:val="100"/>
                <w:sz w:val="21"/>
                <w:szCs w:val="21"/>
              </w:rPr>
              <w:t>股</w:t>
            </w:r>
            <w:r>
              <w:rPr>
                <w:rFonts w:ascii="宋体" w:hAnsi="宋体" w:cs="宋体" w:eastAsia="宋体" w:hint="default"/>
                <w:spacing w:val="-3"/>
                <w:w w:val="100"/>
                <w:sz w:val="21"/>
                <w:szCs w:val="21"/>
              </w:rPr>
              <w:t>票</w:t>
            </w:r>
            <w:r>
              <w:rPr>
                <w:rFonts w:ascii="宋体" w:hAnsi="宋体" w:cs="宋体" w:eastAsia="宋体" w:hint="default"/>
                <w:w w:val="100"/>
                <w:sz w:val="21"/>
                <w:szCs w:val="21"/>
              </w:rPr>
              <w:t>上</w:t>
            </w:r>
            <w:r>
              <w:rPr>
                <w:rFonts w:ascii="宋体" w:hAnsi="宋体" w:cs="宋体" w:eastAsia="宋体" w:hint="default"/>
                <w:spacing w:val="-3"/>
                <w:w w:val="100"/>
                <w:sz w:val="21"/>
                <w:szCs w:val="21"/>
              </w:rPr>
              <w:t>市</w:t>
            </w:r>
            <w:r>
              <w:rPr>
                <w:rFonts w:ascii="宋体" w:hAnsi="宋体" w:cs="宋体" w:eastAsia="宋体" w:hint="default"/>
                <w:w w:val="100"/>
                <w:sz w:val="21"/>
                <w:szCs w:val="21"/>
              </w:rPr>
              <w:t>规</w:t>
            </w:r>
            <w:r>
              <w:rPr>
                <w:rFonts w:ascii="宋体" w:hAnsi="宋体" w:cs="宋体" w:eastAsia="宋体" w:hint="default"/>
                <w:spacing w:val="-3"/>
                <w:w w:val="100"/>
                <w:sz w:val="21"/>
                <w:szCs w:val="21"/>
              </w:rPr>
              <w:t>则</w:t>
            </w:r>
            <w:r>
              <w:rPr>
                <w:rFonts w:ascii="宋体" w:hAnsi="宋体" w:cs="宋体" w:eastAsia="宋体" w:hint="default"/>
                <w:spacing w:val="-108"/>
                <w:w w:val="100"/>
                <w:sz w:val="21"/>
                <w:szCs w:val="21"/>
              </w:rPr>
              <w:t>》</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深</w:t>
            </w:r>
            <w:r>
              <w:rPr>
                <w:rFonts w:ascii="宋体" w:hAnsi="宋体" w:cs="宋体" w:eastAsia="宋体" w:hint="default"/>
                <w:w w:val="100"/>
                <w:sz w:val="21"/>
                <w:szCs w:val="21"/>
              </w:rPr>
              <w:t>圳</w:t>
            </w:r>
            <w:r>
              <w:rPr>
                <w:rFonts w:ascii="宋体" w:hAnsi="宋体" w:cs="宋体" w:eastAsia="宋体" w:hint="default"/>
                <w:spacing w:val="-3"/>
                <w:w w:val="100"/>
                <w:sz w:val="21"/>
                <w:szCs w:val="21"/>
              </w:rPr>
              <w:t>证</w:t>
            </w:r>
            <w:r>
              <w:rPr>
                <w:rFonts w:ascii="宋体" w:hAnsi="宋体" w:cs="宋体" w:eastAsia="宋体" w:hint="default"/>
                <w:w w:val="100"/>
                <w:sz w:val="21"/>
                <w:szCs w:val="21"/>
              </w:rPr>
              <w:t>券</w:t>
            </w:r>
            <w:r>
              <w:rPr>
                <w:rFonts w:ascii="宋体" w:hAnsi="宋体" w:cs="宋体" w:eastAsia="宋体" w:hint="default"/>
                <w:spacing w:val="-3"/>
                <w:w w:val="100"/>
                <w:sz w:val="21"/>
                <w:szCs w:val="21"/>
              </w:rPr>
              <w:t>交</w:t>
            </w:r>
            <w:r>
              <w:rPr>
                <w:rFonts w:ascii="宋体" w:hAnsi="宋体" w:cs="宋体" w:eastAsia="宋体" w:hint="default"/>
                <w:w w:val="100"/>
                <w:sz w:val="21"/>
                <w:szCs w:val="21"/>
              </w:rPr>
              <w:t>易</w:t>
            </w:r>
            <w:r>
              <w:rPr>
                <w:rFonts w:ascii="宋体" w:hAnsi="宋体" w:cs="宋体" w:eastAsia="宋体" w:hint="default"/>
                <w:spacing w:val="-3"/>
                <w:w w:val="100"/>
                <w:sz w:val="21"/>
                <w:szCs w:val="21"/>
              </w:rPr>
              <w:t>所</w:t>
            </w:r>
            <w:r>
              <w:rPr>
                <w:rFonts w:ascii="宋体" w:hAnsi="宋体" w:cs="宋体" w:eastAsia="宋体" w:hint="default"/>
                <w:w w:val="100"/>
                <w:sz w:val="21"/>
                <w:szCs w:val="21"/>
              </w:rPr>
              <w:t>创</w:t>
            </w:r>
            <w:r>
              <w:rPr>
                <w:rFonts w:ascii="宋体" w:hAnsi="宋体" w:cs="宋体" w:eastAsia="宋体" w:hint="default"/>
                <w:spacing w:val="-3"/>
                <w:w w:val="100"/>
                <w:sz w:val="21"/>
                <w:szCs w:val="21"/>
              </w:rPr>
              <w:t>业</w:t>
            </w:r>
            <w:r>
              <w:rPr>
                <w:rFonts w:ascii="宋体" w:hAnsi="宋体" w:cs="宋体" w:eastAsia="宋体" w:hint="default"/>
                <w:w w:val="100"/>
                <w:sz w:val="21"/>
                <w:szCs w:val="21"/>
              </w:rPr>
              <w:t>板</w:t>
            </w:r>
          </w:p>
          <w:p>
            <w:pPr>
              <w:pStyle w:val="TableParagraph"/>
              <w:spacing w:line="272" w:lineRule="exact" w:before="27"/>
              <w:ind w:left="24" w:right="18"/>
              <w:jc w:val="left"/>
              <w:rPr>
                <w:rFonts w:ascii="宋体" w:hAnsi="宋体" w:cs="宋体" w:eastAsia="宋体" w:hint="default"/>
                <w:sz w:val="21"/>
                <w:szCs w:val="21"/>
              </w:rPr>
            </w:pPr>
            <w:r>
              <w:rPr>
                <w:rFonts w:ascii="宋体" w:hAnsi="宋体" w:cs="宋体" w:eastAsia="宋体" w:hint="default"/>
                <w:spacing w:val="-5"/>
                <w:w w:val="100"/>
                <w:sz w:val="21"/>
                <w:szCs w:val="21"/>
              </w:rPr>
              <w:t>上市公司规范运作指引》以及中国证监会相关法律法规的规定和要求、《募集资金管理制度》等规定使用</w:t>
            </w:r>
            <w:r>
              <w:rPr>
                <w:rFonts w:ascii="宋体" w:hAnsi="宋体" w:cs="宋体" w:eastAsia="宋体" w:hint="default"/>
                <w:spacing w:val="-91"/>
                <w:w w:val="100"/>
                <w:sz w:val="21"/>
                <w:szCs w:val="21"/>
              </w:rPr>
              <w:t> </w:t>
            </w:r>
            <w:r>
              <w:rPr>
                <w:rFonts w:ascii="宋体" w:hAnsi="宋体" w:cs="宋体" w:eastAsia="宋体" w:hint="default"/>
                <w:spacing w:val="-91"/>
                <w:w w:val="100"/>
                <w:sz w:val="21"/>
                <w:szCs w:val="21"/>
              </w:rPr>
            </w:r>
            <w:r>
              <w:rPr>
                <w:rFonts w:ascii="宋体" w:hAnsi="宋体" w:cs="宋体" w:eastAsia="宋体" w:hint="default"/>
                <w:sz w:val="21"/>
                <w:szCs w:val="21"/>
              </w:rPr>
              <w:t>募集资金，并及时、真实、准确、完整履行相关信息披露工作，不存在违规使用募集资金的情形。</w:t>
            </w:r>
          </w:p>
        </w:tc>
      </w:tr>
    </w:tbl>
    <w:p>
      <w:pPr>
        <w:spacing w:after="0" w:line="272" w:lineRule="exact"/>
        <w:jc w:val="left"/>
        <w:rPr>
          <w:rFonts w:ascii="宋体" w:hAnsi="宋体" w:cs="宋体" w:eastAsia="宋体" w:hint="default"/>
          <w:sz w:val="21"/>
          <w:szCs w:val="21"/>
        </w:rPr>
        <w:sectPr>
          <w:type w:val="continuous"/>
          <w:pgSz w:w="11910" w:h="16840"/>
          <w:pgMar w:top="1060" w:bottom="1180" w:left="980" w:right="980"/>
        </w:sectPr>
      </w:pPr>
    </w:p>
    <w:p>
      <w:pPr>
        <w:pStyle w:val="BodyText"/>
        <w:spacing w:line="278" w:lineRule="exact"/>
        <w:ind w:right="-4"/>
        <w:jc w:val="left"/>
      </w:pPr>
      <w:r>
        <w:rPr>
          <w:rFonts w:ascii="Times New Roman" w:hAnsi="Times New Roman" w:cs="Times New Roman" w:eastAsia="Times New Roman" w:hint="default"/>
          <w:spacing w:val="-1"/>
        </w:rPr>
        <w:t>2.</w:t>
      </w:r>
      <w:r>
        <w:rPr>
          <w:spacing w:val="-1"/>
        </w:rPr>
        <w:t>募集资金承诺项目情况</w:t>
      </w:r>
    </w:p>
    <w:p>
      <w:pPr>
        <w:pStyle w:val="BodyText"/>
        <w:spacing w:line="240" w:lineRule="auto" w:before="21"/>
        <w:ind w:right="-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9"/>
        <w:rPr>
          <w:rFonts w:ascii="宋体" w:hAnsi="宋体" w:cs="宋体" w:eastAsia="宋体" w:hint="default"/>
          <w:sz w:val="26"/>
          <w:szCs w:val="26"/>
        </w:rPr>
      </w:pPr>
    </w:p>
    <w:p>
      <w:pPr>
        <w:pStyle w:val="BodyText"/>
        <w:spacing w:line="240" w:lineRule="auto"/>
        <w:ind w:right="0"/>
        <w:jc w:val="left"/>
      </w:pPr>
      <w:r>
        <w:rPr/>
        <w:t>单位：万元</w:t>
      </w:r>
    </w:p>
    <w:p>
      <w:pPr>
        <w:spacing w:after="0" w:line="240" w:lineRule="auto"/>
        <w:jc w:val="left"/>
        <w:sectPr>
          <w:type w:val="continuous"/>
          <w:pgSz w:w="11910" w:h="16840"/>
          <w:pgMar w:top="1060" w:bottom="1180" w:left="980" w:right="980"/>
          <w:cols w:num="2" w:equalWidth="0">
            <w:col w:w="2414" w:space="6173"/>
            <w:col w:w="1363"/>
          </w:cols>
        </w:sectPr>
      </w:pPr>
    </w:p>
    <w:p>
      <w:pPr>
        <w:spacing w:line="240" w:lineRule="auto" w:before="11"/>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1622"/>
        <w:gridCol w:w="703"/>
        <w:gridCol w:w="752"/>
        <w:gridCol w:w="720"/>
        <w:gridCol w:w="720"/>
        <w:gridCol w:w="706"/>
        <w:gridCol w:w="739"/>
        <w:gridCol w:w="720"/>
        <w:gridCol w:w="722"/>
        <w:gridCol w:w="722"/>
        <w:gridCol w:w="722"/>
        <w:gridCol w:w="722"/>
      </w:tblGrid>
      <w:tr>
        <w:trPr>
          <w:trHeight w:val="1375" w:hRule="exact"/>
        </w:trPr>
        <w:tc>
          <w:tcPr>
            <w:tcW w:w="1622" w:type="dxa"/>
            <w:tcBorders>
              <w:top w:val="single" w:sz="4" w:space="0" w:color="000000"/>
              <w:left w:val="single" w:sz="4" w:space="0" w:color="000000"/>
              <w:bottom w:val="single" w:sz="4" w:space="0" w:color="FFFFFF"/>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82" w:right="59" w:hanging="106"/>
              <w:jc w:val="left"/>
              <w:rPr>
                <w:rFonts w:ascii="宋体" w:hAnsi="宋体" w:cs="宋体" w:eastAsia="宋体" w:hint="default"/>
                <w:sz w:val="21"/>
                <w:szCs w:val="21"/>
              </w:rPr>
            </w:pPr>
            <w:r>
              <w:rPr>
                <w:rFonts w:ascii="宋体" w:hAnsi="宋体" w:cs="宋体" w:eastAsia="宋体" w:hint="default"/>
                <w:sz w:val="21"/>
                <w:szCs w:val="21"/>
              </w:rPr>
              <w:t>承诺投资项目和</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超募资金投向</w:t>
            </w:r>
          </w:p>
        </w:tc>
        <w:tc>
          <w:tcPr>
            <w:tcW w:w="703" w:type="dxa"/>
            <w:tcBorders>
              <w:top w:val="single" w:sz="4" w:space="0" w:color="000000"/>
              <w:left w:val="single" w:sz="4" w:space="0" w:color="000000"/>
              <w:bottom w:val="single" w:sz="4" w:space="0" w:color="FFFFFF"/>
              <w:right w:val="single" w:sz="4" w:space="0" w:color="000000"/>
            </w:tcBorders>
            <w:shd w:val="clear" w:color="auto" w:fill="D4D4D4"/>
          </w:tcPr>
          <w:p>
            <w:pPr>
              <w:pStyle w:val="TableParagraph"/>
              <w:spacing w:line="240" w:lineRule="exact"/>
              <w:ind w:left="47" w:right="0"/>
              <w:jc w:val="center"/>
              <w:rPr>
                <w:rFonts w:ascii="宋体" w:hAnsi="宋体" w:cs="宋体" w:eastAsia="宋体" w:hint="default"/>
                <w:sz w:val="21"/>
                <w:szCs w:val="21"/>
              </w:rPr>
            </w:pPr>
            <w:r>
              <w:rPr>
                <w:rFonts w:ascii="宋体" w:hAnsi="宋体" w:cs="宋体" w:eastAsia="宋体" w:hint="default"/>
                <w:sz w:val="21"/>
                <w:szCs w:val="21"/>
              </w:rPr>
              <w:t>是否已</w:t>
            </w:r>
          </w:p>
          <w:p>
            <w:pPr>
              <w:pStyle w:val="TableParagraph"/>
              <w:spacing w:line="232" w:lineRule="auto" w:before="6"/>
              <w:ind w:left="53" w:right="4"/>
              <w:jc w:val="center"/>
              <w:rPr>
                <w:rFonts w:ascii="Times New Roman" w:hAnsi="Times New Roman" w:cs="Times New Roman" w:eastAsia="Times New Roman" w:hint="default"/>
                <w:sz w:val="21"/>
                <w:szCs w:val="21"/>
              </w:rPr>
            </w:pPr>
            <w:r>
              <w:rPr>
                <w:rFonts w:ascii="宋体" w:hAnsi="宋体" w:cs="宋体" w:eastAsia="宋体" w:hint="default"/>
                <w:sz w:val="21"/>
                <w:szCs w:val="21"/>
              </w:rPr>
              <w:t>变更项</w:t>
            </w:r>
            <w:r>
              <w:rPr>
                <w:rFonts w:ascii="宋体" w:hAnsi="宋体" w:cs="宋体" w:eastAsia="宋体" w:hint="default"/>
                <w:w w:val="100"/>
                <w:sz w:val="21"/>
                <w:szCs w:val="21"/>
              </w:rPr>
              <w:t> </w:t>
            </w:r>
            <w:r>
              <w:rPr>
                <w:rFonts w:ascii="宋体" w:hAnsi="宋体" w:cs="宋体" w:eastAsia="宋体" w:hint="default"/>
                <w:sz w:val="21"/>
                <w:szCs w:val="21"/>
              </w:rPr>
              <w:t>目</w:t>
            </w:r>
            <w:r>
              <w:rPr>
                <w:rFonts w:ascii="Times New Roman" w:hAnsi="Times New Roman" w:cs="Times New Roman" w:eastAsia="Times New Roman" w:hint="default"/>
                <w:sz w:val="21"/>
                <w:szCs w:val="21"/>
              </w:rPr>
              <w:t>(</w:t>
            </w:r>
            <w:r>
              <w:rPr>
                <w:rFonts w:ascii="宋体" w:hAnsi="宋体" w:cs="宋体" w:eastAsia="宋体" w:hint="default"/>
                <w:sz w:val="21"/>
                <w:szCs w:val="21"/>
              </w:rPr>
              <w:t>含</w:t>
            </w:r>
            <w:r>
              <w:rPr>
                <w:rFonts w:ascii="宋体" w:hAnsi="宋体" w:cs="宋体" w:eastAsia="宋体" w:hint="default"/>
                <w:w w:val="100"/>
                <w:sz w:val="21"/>
                <w:szCs w:val="21"/>
              </w:rPr>
              <w:t> </w:t>
            </w:r>
            <w:r>
              <w:rPr>
                <w:rFonts w:ascii="宋体" w:hAnsi="宋体" w:cs="宋体" w:eastAsia="宋体" w:hint="default"/>
                <w:sz w:val="21"/>
                <w:szCs w:val="21"/>
              </w:rPr>
              <w:t>部分变</w:t>
            </w:r>
            <w:r>
              <w:rPr>
                <w:rFonts w:ascii="宋体" w:hAnsi="宋体" w:cs="宋体" w:eastAsia="宋体" w:hint="default"/>
                <w:w w:val="100"/>
                <w:sz w:val="21"/>
                <w:szCs w:val="21"/>
              </w:rPr>
              <w:t> </w:t>
            </w:r>
            <w:r>
              <w:rPr>
                <w:rFonts w:ascii="宋体" w:hAnsi="宋体" w:cs="宋体" w:eastAsia="宋体" w:hint="default"/>
                <w:sz w:val="21"/>
                <w:szCs w:val="21"/>
              </w:rPr>
              <w:t>更</w:t>
            </w:r>
            <w:r>
              <w:rPr>
                <w:rFonts w:ascii="Times New Roman" w:hAnsi="Times New Roman" w:cs="Times New Roman" w:eastAsia="Times New Roman" w:hint="default"/>
                <w:sz w:val="21"/>
                <w:szCs w:val="21"/>
              </w:rPr>
              <w:t>)</w:t>
            </w:r>
          </w:p>
        </w:tc>
        <w:tc>
          <w:tcPr>
            <w:tcW w:w="752" w:type="dxa"/>
            <w:tcBorders>
              <w:top w:val="single" w:sz="4" w:space="0" w:color="000000"/>
              <w:left w:val="single" w:sz="4" w:space="0" w:color="000000"/>
              <w:bottom w:val="single" w:sz="4" w:space="0" w:color="FFFFFF"/>
              <w:right w:val="single" w:sz="4" w:space="0" w:color="000000"/>
            </w:tcBorders>
            <w:shd w:val="clear" w:color="auto" w:fill="D4D4D4"/>
          </w:tcPr>
          <w:p>
            <w:pPr>
              <w:pStyle w:val="TableParagraph"/>
              <w:spacing w:line="240" w:lineRule="auto" w:before="102"/>
              <w:ind w:left="70" w:right="36"/>
              <w:jc w:val="center"/>
              <w:rPr>
                <w:rFonts w:ascii="宋体" w:hAnsi="宋体" w:cs="宋体" w:eastAsia="宋体" w:hint="default"/>
                <w:sz w:val="21"/>
                <w:szCs w:val="21"/>
              </w:rPr>
            </w:pPr>
            <w:r>
              <w:rPr>
                <w:rFonts w:ascii="宋体" w:hAnsi="宋体" w:cs="宋体" w:eastAsia="宋体" w:hint="default"/>
                <w:sz w:val="21"/>
                <w:szCs w:val="21"/>
              </w:rPr>
              <w:t>募集资</w:t>
            </w:r>
            <w:r>
              <w:rPr>
                <w:rFonts w:ascii="宋体" w:hAnsi="宋体" w:cs="宋体" w:eastAsia="宋体" w:hint="default"/>
                <w:w w:val="100"/>
                <w:sz w:val="21"/>
                <w:szCs w:val="21"/>
              </w:rPr>
              <w:t> </w:t>
            </w:r>
            <w:r>
              <w:rPr>
                <w:rFonts w:ascii="宋体" w:hAnsi="宋体" w:cs="宋体" w:eastAsia="宋体" w:hint="default"/>
                <w:sz w:val="21"/>
                <w:szCs w:val="21"/>
              </w:rPr>
              <w:t>金承诺</w:t>
            </w:r>
            <w:r>
              <w:rPr>
                <w:rFonts w:ascii="宋体" w:hAnsi="宋体" w:cs="宋体" w:eastAsia="宋体" w:hint="default"/>
                <w:w w:val="100"/>
                <w:sz w:val="21"/>
                <w:szCs w:val="21"/>
              </w:rPr>
              <w:t> </w:t>
            </w:r>
            <w:r>
              <w:rPr>
                <w:rFonts w:ascii="宋体" w:hAnsi="宋体" w:cs="宋体" w:eastAsia="宋体" w:hint="default"/>
                <w:sz w:val="21"/>
                <w:szCs w:val="21"/>
              </w:rPr>
              <w:t>投资总</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720" w:type="dxa"/>
            <w:tcBorders>
              <w:top w:val="single" w:sz="4" w:space="0" w:color="000000"/>
              <w:left w:val="single" w:sz="4" w:space="0" w:color="000000"/>
              <w:bottom w:val="single" w:sz="4" w:space="0" w:color="FFFFFF"/>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0" w:right="35"/>
              <w:jc w:val="both"/>
              <w:rPr>
                <w:rFonts w:ascii="Times New Roman" w:hAnsi="Times New Roman" w:cs="Times New Roman" w:eastAsia="Times New Roman" w:hint="default"/>
                <w:sz w:val="21"/>
                <w:szCs w:val="21"/>
              </w:rPr>
            </w:pPr>
            <w:r>
              <w:rPr>
                <w:rFonts w:ascii="宋体" w:hAnsi="宋体" w:cs="宋体" w:eastAsia="宋体" w:hint="default"/>
                <w:sz w:val="21"/>
                <w:szCs w:val="21"/>
              </w:rPr>
              <w:t>调整后</w:t>
            </w:r>
            <w:r>
              <w:rPr>
                <w:rFonts w:ascii="宋体" w:hAnsi="宋体" w:cs="宋体" w:eastAsia="宋体" w:hint="default"/>
                <w:spacing w:val="-102"/>
                <w:sz w:val="21"/>
                <w:szCs w:val="21"/>
              </w:rPr>
              <w:t> </w:t>
            </w:r>
            <w:r>
              <w:rPr>
                <w:rFonts w:ascii="宋体" w:hAnsi="宋体" w:cs="宋体" w:eastAsia="宋体" w:hint="default"/>
                <w:sz w:val="21"/>
                <w:szCs w:val="21"/>
              </w:rPr>
              <w:t>投资总</w:t>
            </w:r>
            <w:r>
              <w:rPr>
                <w:rFonts w:ascii="宋体" w:hAnsi="宋体" w:cs="宋体" w:eastAsia="宋体" w:hint="default"/>
                <w:spacing w:val="-102"/>
                <w:sz w:val="21"/>
                <w:szCs w:val="21"/>
              </w:rPr>
              <w:t> </w:t>
            </w:r>
            <w:r>
              <w:rPr>
                <w:rFonts w:ascii="宋体" w:hAnsi="宋体" w:cs="宋体" w:eastAsia="宋体" w:hint="default"/>
                <w:sz w:val="21"/>
                <w:szCs w:val="21"/>
              </w:rPr>
              <w:t>额</w:t>
            </w:r>
            <w:r>
              <w:rPr>
                <w:rFonts w:ascii="Times New Roman" w:hAnsi="Times New Roman" w:cs="Times New Roman" w:eastAsia="Times New Roman" w:hint="default"/>
                <w:sz w:val="21"/>
                <w:szCs w:val="21"/>
              </w:rPr>
              <w:t>(1)</w:t>
            </w:r>
          </w:p>
        </w:tc>
        <w:tc>
          <w:tcPr>
            <w:tcW w:w="720" w:type="dxa"/>
            <w:tcBorders>
              <w:top w:val="single" w:sz="4" w:space="0" w:color="000000"/>
              <w:left w:val="single" w:sz="4" w:space="0" w:color="000000"/>
              <w:bottom w:val="single" w:sz="4" w:space="0" w:color="FFFFFF"/>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0" w:right="35"/>
              <w:jc w:val="both"/>
              <w:rPr>
                <w:rFonts w:ascii="宋体" w:hAnsi="宋体" w:cs="宋体" w:eastAsia="宋体" w:hint="default"/>
                <w:sz w:val="21"/>
                <w:szCs w:val="21"/>
              </w:rPr>
            </w:pPr>
            <w:r>
              <w:rPr>
                <w:rFonts w:ascii="宋体" w:hAnsi="宋体" w:cs="宋体" w:eastAsia="宋体" w:hint="default"/>
                <w:sz w:val="21"/>
                <w:szCs w:val="21"/>
              </w:rPr>
              <w:t>本报告</w:t>
            </w:r>
            <w:r>
              <w:rPr>
                <w:rFonts w:ascii="宋体" w:hAnsi="宋体" w:cs="宋体" w:eastAsia="宋体" w:hint="default"/>
                <w:spacing w:val="-102"/>
                <w:sz w:val="21"/>
                <w:szCs w:val="21"/>
              </w:rPr>
              <w:t> </w:t>
            </w:r>
            <w:r>
              <w:rPr>
                <w:rFonts w:ascii="宋体" w:hAnsi="宋体" w:cs="宋体" w:eastAsia="宋体" w:hint="default"/>
                <w:sz w:val="21"/>
                <w:szCs w:val="21"/>
              </w:rPr>
              <w:t>期投入</w:t>
            </w:r>
            <w:r>
              <w:rPr>
                <w:rFonts w:ascii="宋体" w:hAnsi="宋体" w:cs="宋体" w:eastAsia="宋体" w:hint="default"/>
                <w:spacing w:val="-102"/>
                <w:sz w:val="21"/>
                <w:szCs w:val="21"/>
              </w:rPr>
              <w:t> </w:t>
            </w:r>
            <w:r>
              <w:rPr>
                <w:rFonts w:ascii="宋体" w:hAnsi="宋体" w:cs="宋体" w:eastAsia="宋体" w:hint="default"/>
                <w:sz w:val="21"/>
                <w:szCs w:val="21"/>
              </w:rPr>
              <w:t>金额</w:t>
            </w:r>
          </w:p>
        </w:tc>
        <w:tc>
          <w:tcPr>
            <w:tcW w:w="706" w:type="dxa"/>
            <w:tcBorders>
              <w:top w:val="single" w:sz="4" w:space="0" w:color="000000"/>
              <w:left w:val="single" w:sz="4" w:space="0" w:color="000000"/>
              <w:bottom w:val="single" w:sz="4" w:space="0" w:color="FFFFFF"/>
              <w:right w:val="single" w:sz="4" w:space="0" w:color="000000"/>
            </w:tcBorders>
            <w:shd w:val="clear" w:color="auto" w:fill="D4D4D4"/>
          </w:tcPr>
          <w:p>
            <w:pPr>
              <w:pStyle w:val="TableParagraph"/>
              <w:spacing w:line="240" w:lineRule="auto" w:before="102"/>
              <w:ind w:left="40" w:right="19"/>
              <w:jc w:val="both"/>
              <w:rPr>
                <w:rFonts w:ascii="Times New Roman" w:hAnsi="Times New Roman" w:cs="Times New Roman" w:eastAsia="Times New Roman" w:hint="default"/>
                <w:sz w:val="21"/>
                <w:szCs w:val="21"/>
              </w:rPr>
            </w:pPr>
            <w:r>
              <w:rPr>
                <w:rFonts w:ascii="宋体" w:hAnsi="宋体" w:cs="宋体" w:eastAsia="宋体" w:hint="default"/>
                <w:sz w:val="21"/>
                <w:szCs w:val="21"/>
              </w:rPr>
              <w:t>截至期</w:t>
            </w:r>
            <w:r>
              <w:rPr>
                <w:rFonts w:ascii="宋体" w:hAnsi="宋体" w:cs="宋体" w:eastAsia="宋体" w:hint="default"/>
                <w:spacing w:val="-102"/>
                <w:sz w:val="21"/>
                <w:szCs w:val="21"/>
              </w:rPr>
              <w:t> </w:t>
            </w:r>
            <w:r>
              <w:rPr>
                <w:rFonts w:ascii="宋体" w:hAnsi="宋体" w:cs="宋体" w:eastAsia="宋体" w:hint="default"/>
                <w:sz w:val="21"/>
                <w:szCs w:val="21"/>
              </w:rPr>
              <w:t>末累计</w:t>
            </w:r>
            <w:r>
              <w:rPr>
                <w:rFonts w:ascii="宋体" w:hAnsi="宋体" w:cs="宋体" w:eastAsia="宋体" w:hint="default"/>
                <w:spacing w:val="-102"/>
                <w:sz w:val="21"/>
                <w:szCs w:val="21"/>
              </w:rPr>
              <w:t> </w:t>
            </w:r>
            <w:r>
              <w:rPr>
                <w:rFonts w:ascii="宋体" w:hAnsi="宋体" w:cs="宋体" w:eastAsia="宋体" w:hint="default"/>
                <w:sz w:val="21"/>
                <w:szCs w:val="21"/>
              </w:rPr>
              <w:t>投入金</w:t>
            </w:r>
            <w:r>
              <w:rPr>
                <w:rFonts w:ascii="宋体" w:hAnsi="宋体" w:cs="宋体" w:eastAsia="宋体" w:hint="default"/>
                <w:spacing w:val="-102"/>
                <w:sz w:val="21"/>
                <w:szCs w:val="21"/>
              </w:rPr>
              <w:t> </w:t>
            </w:r>
            <w:r>
              <w:rPr>
                <w:rFonts w:ascii="宋体" w:hAnsi="宋体" w:cs="宋体" w:eastAsia="宋体" w:hint="default"/>
                <w:sz w:val="21"/>
                <w:szCs w:val="21"/>
              </w:rPr>
              <w:t>额</w:t>
            </w:r>
            <w:r>
              <w:rPr>
                <w:rFonts w:ascii="Times New Roman" w:hAnsi="Times New Roman" w:cs="Times New Roman" w:eastAsia="Times New Roman" w:hint="default"/>
                <w:sz w:val="21"/>
                <w:szCs w:val="21"/>
              </w:rPr>
              <w:t>(2)</w:t>
            </w:r>
          </w:p>
        </w:tc>
        <w:tc>
          <w:tcPr>
            <w:tcW w:w="739" w:type="dxa"/>
            <w:tcBorders>
              <w:top w:val="single" w:sz="4" w:space="0" w:color="000000"/>
              <w:left w:val="single" w:sz="4" w:space="0" w:color="000000"/>
              <w:bottom w:val="single" w:sz="4" w:space="0" w:color="FFFFFF"/>
              <w:right w:val="single" w:sz="4" w:space="0" w:color="000000"/>
            </w:tcBorders>
            <w:shd w:val="clear" w:color="auto" w:fill="D4D4D4"/>
          </w:tcPr>
          <w:p>
            <w:pPr>
              <w:pStyle w:val="TableParagraph"/>
              <w:spacing w:line="274" w:lineRule="exact" w:before="9"/>
              <w:ind w:left="40" w:right="18" w:firstLine="16"/>
              <w:jc w:val="both"/>
              <w:rPr>
                <w:rFonts w:ascii="Times New Roman" w:hAnsi="Times New Roman" w:cs="Times New Roman" w:eastAsia="Times New Roman" w:hint="default"/>
                <w:sz w:val="21"/>
                <w:szCs w:val="21"/>
              </w:rPr>
            </w:pPr>
            <w:r>
              <w:rPr>
                <w:rFonts w:ascii="宋体" w:hAnsi="宋体" w:cs="宋体" w:eastAsia="宋体" w:hint="default"/>
                <w:sz w:val="21"/>
                <w:szCs w:val="21"/>
              </w:rPr>
              <w:t>截至期</w:t>
            </w:r>
            <w:r>
              <w:rPr>
                <w:rFonts w:ascii="宋体" w:hAnsi="宋体" w:cs="宋体" w:eastAsia="宋体" w:hint="default"/>
                <w:w w:val="100"/>
                <w:sz w:val="21"/>
                <w:szCs w:val="21"/>
              </w:rPr>
              <w:t> </w:t>
            </w:r>
            <w:r>
              <w:rPr>
                <w:rFonts w:ascii="宋体" w:hAnsi="宋体" w:cs="宋体" w:eastAsia="宋体" w:hint="default"/>
                <w:sz w:val="21"/>
                <w:szCs w:val="21"/>
              </w:rPr>
              <w:t>末投资</w:t>
            </w:r>
            <w:r>
              <w:rPr>
                <w:rFonts w:ascii="宋体" w:hAnsi="宋体" w:cs="宋体" w:eastAsia="宋体" w:hint="default"/>
                <w:spacing w:val="-102"/>
                <w:sz w:val="21"/>
                <w:szCs w:val="21"/>
              </w:rPr>
              <w:t> </w:t>
            </w:r>
            <w:r>
              <w:rPr>
                <w:rFonts w:ascii="宋体" w:hAnsi="宋体" w:cs="宋体" w:eastAsia="宋体" w:hint="default"/>
                <w:sz w:val="21"/>
                <w:szCs w:val="21"/>
              </w:rPr>
              <w:t>进度</w:t>
            </w:r>
            <w:r>
              <w:rPr>
                <w:rFonts w:ascii="Times New Roman" w:hAnsi="Times New Roman" w:cs="Times New Roman" w:eastAsia="Times New Roman" w:hint="default"/>
                <w:sz w:val="21"/>
                <w:szCs w:val="21"/>
              </w:rPr>
              <w:t>(3)</w:t>
            </w:r>
          </w:p>
          <w:p>
            <w:pPr>
              <w:pStyle w:val="TableParagraph"/>
              <w:spacing w:line="246" w:lineRule="exact"/>
              <w:ind w:left="19" w:right="0"/>
              <w:jc w:val="center"/>
              <w:rPr>
                <w:rFonts w:ascii="宋体" w:hAnsi="宋体" w:cs="宋体" w:eastAsia="宋体" w:hint="default"/>
                <w:sz w:val="21"/>
                <w:szCs w:val="21"/>
              </w:rPr>
            </w:pPr>
            <w:r>
              <w:rPr>
                <w:rFonts w:ascii="宋体" w:hAnsi="宋体" w:cs="宋体" w:eastAsia="宋体" w:hint="default"/>
                <w:w w:val="100"/>
                <w:sz w:val="21"/>
                <w:szCs w:val="21"/>
              </w:rPr>
              <w:t>＝</w:t>
            </w:r>
          </w:p>
          <w:p>
            <w:pPr>
              <w:pStyle w:val="TableParagraph"/>
              <w:spacing w:line="240" w:lineRule="auto" w:before="26"/>
              <w:ind w:left="100" w:right="0"/>
              <w:jc w:val="both"/>
              <w:rPr>
                <w:rFonts w:ascii="Times New Roman" w:hAnsi="Times New Roman" w:cs="Times New Roman" w:eastAsia="Times New Roman" w:hint="default"/>
                <w:sz w:val="21"/>
                <w:szCs w:val="21"/>
              </w:rPr>
            </w:pPr>
            <w:r>
              <w:rPr>
                <w:rFonts w:ascii="Times New Roman"/>
                <w:sz w:val="21"/>
              </w:rPr>
              <w:t>(2)/(1)</w:t>
            </w:r>
          </w:p>
        </w:tc>
        <w:tc>
          <w:tcPr>
            <w:tcW w:w="720" w:type="dxa"/>
            <w:tcBorders>
              <w:top w:val="single" w:sz="4" w:space="0" w:color="000000"/>
              <w:left w:val="single" w:sz="4" w:space="0" w:color="000000"/>
              <w:bottom w:val="single" w:sz="4" w:space="0" w:color="FFFFFF"/>
              <w:right w:val="single" w:sz="4" w:space="0" w:color="000000"/>
            </w:tcBorders>
            <w:shd w:val="clear" w:color="auto" w:fill="D4D4D4"/>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项目达</w:t>
            </w:r>
          </w:p>
          <w:p>
            <w:pPr>
              <w:pStyle w:val="TableParagraph"/>
              <w:spacing w:line="237" w:lineRule="auto" w:before="2"/>
              <w:ind w:left="40" w:right="35"/>
              <w:jc w:val="center"/>
              <w:rPr>
                <w:rFonts w:ascii="宋体" w:hAnsi="宋体" w:cs="宋体" w:eastAsia="宋体" w:hint="default"/>
                <w:sz w:val="21"/>
                <w:szCs w:val="21"/>
              </w:rPr>
            </w:pPr>
            <w:r>
              <w:rPr>
                <w:rFonts w:ascii="宋体" w:hAnsi="宋体" w:cs="宋体" w:eastAsia="宋体" w:hint="default"/>
                <w:sz w:val="21"/>
                <w:szCs w:val="21"/>
              </w:rPr>
              <w:t>到预定</w:t>
            </w:r>
            <w:r>
              <w:rPr>
                <w:rFonts w:ascii="宋体" w:hAnsi="宋体" w:cs="宋体" w:eastAsia="宋体" w:hint="default"/>
                <w:w w:val="100"/>
                <w:sz w:val="21"/>
                <w:szCs w:val="21"/>
              </w:rPr>
              <w:t> </w:t>
            </w:r>
            <w:r>
              <w:rPr>
                <w:rFonts w:ascii="宋体" w:hAnsi="宋体" w:cs="宋体" w:eastAsia="宋体" w:hint="default"/>
                <w:sz w:val="21"/>
                <w:szCs w:val="21"/>
              </w:rPr>
              <w:t>可使用</w:t>
            </w:r>
            <w:r>
              <w:rPr>
                <w:rFonts w:ascii="宋体" w:hAnsi="宋体" w:cs="宋体" w:eastAsia="宋体" w:hint="default"/>
                <w:w w:val="100"/>
                <w:sz w:val="21"/>
                <w:szCs w:val="21"/>
              </w:rPr>
              <w:t> </w:t>
            </w:r>
            <w:r>
              <w:rPr>
                <w:rFonts w:ascii="宋体" w:hAnsi="宋体" w:cs="宋体" w:eastAsia="宋体" w:hint="default"/>
                <w:sz w:val="21"/>
                <w:szCs w:val="21"/>
              </w:rPr>
              <w:t>状态日</w:t>
            </w:r>
            <w:r>
              <w:rPr>
                <w:rFonts w:ascii="宋体" w:hAnsi="宋体" w:cs="宋体" w:eastAsia="宋体" w:hint="default"/>
                <w:w w:val="100"/>
                <w:sz w:val="21"/>
                <w:szCs w:val="21"/>
              </w:rPr>
              <w:t> </w:t>
            </w:r>
            <w:r>
              <w:rPr>
                <w:rFonts w:ascii="宋体" w:hAnsi="宋体" w:cs="宋体" w:eastAsia="宋体" w:hint="default"/>
                <w:sz w:val="21"/>
                <w:szCs w:val="21"/>
              </w:rPr>
              <w:t>期</w:t>
            </w:r>
          </w:p>
        </w:tc>
        <w:tc>
          <w:tcPr>
            <w:tcW w:w="722" w:type="dxa"/>
            <w:tcBorders>
              <w:top w:val="single" w:sz="4" w:space="0" w:color="000000"/>
              <w:left w:val="single" w:sz="4" w:space="0" w:color="000000"/>
              <w:bottom w:val="single" w:sz="4" w:space="0" w:color="FFFFFF"/>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0" w:right="36"/>
              <w:jc w:val="both"/>
              <w:rPr>
                <w:rFonts w:ascii="宋体" w:hAnsi="宋体" w:cs="宋体" w:eastAsia="宋体" w:hint="default"/>
                <w:sz w:val="21"/>
                <w:szCs w:val="21"/>
              </w:rPr>
            </w:pPr>
            <w:r>
              <w:rPr>
                <w:rFonts w:ascii="宋体" w:hAnsi="宋体" w:cs="宋体" w:eastAsia="宋体" w:hint="default"/>
                <w:sz w:val="21"/>
                <w:szCs w:val="21"/>
              </w:rPr>
              <w:t>本报告</w:t>
            </w:r>
            <w:r>
              <w:rPr>
                <w:rFonts w:ascii="宋体" w:hAnsi="宋体" w:cs="宋体" w:eastAsia="宋体" w:hint="default"/>
                <w:spacing w:val="-102"/>
                <w:sz w:val="21"/>
                <w:szCs w:val="21"/>
              </w:rPr>
              <w:t> </w:t>
            </w:r>
            <w:r>
              <w:rPr>
                <w:rFonts w:ascii="宋体" w:hAnsi="宋体" w:cs="宋体" w:eastAsia="宋体" w:hint="default"/>
                <w:sz w:val="21"/>
                <w:szCs w:val="21"/>
              </w:rPr>
              <w:t>期实现</w:t>
            </w:r>
            <w:r>
              <w:rPr>
                <w:rFonts w:ascii="宋体" w:hAnsi="宋体" w:cs="宋体" w:eastAsia="宋体" w:hint="default"/>
                <w:spacing w:val="-102"/>
                <w:sz w:val="21"/>
                <w:szCs w:val="21"/>
              </w:rPr>
              <w:t> </w:t>
            </w:r>
            <w:r>
              <w:rPr>
                <w:rFonts w:ascii="宋体" w:hAnsi="宋体" w:cs="宋体" w:eastAsia="宋体" w:hint="default"/>
                <w:sz w:val="21"/>
                <w:szCs w:val="21"/>
              </w:rPr>
              <w:t>的效益</w:t>
            </w:r>
          </w:p>
        </w:tc>
        <w:tc>
          <w:tcPr>
            <w:tcW w:w="722" w:type="dxa"/>
            <w:tcBorders>
              <w:top w:val="single" w:sz="4" w:space="0" w:color="000000"/>
              <w:left w:val="single" w:sz="4" w:space="0" w:color="000000"/>
              <w:bottom w:val="single" w:sz="4" w:space="0" w:color="FFFFFF"/>
              <w:right w:val="single" w:sz="4" w:space="0" w:color="000000"/>
            </w:tcBorders>
            <w:shd w:val="clear" w:color="auto" w:fill="D4D4D4"/>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截止报</w:t>
            </w:r>
          </w:p>
          <w:p>
            <w:pPr>
              <w:pStyle w:val="TableParagraph"/>
              <w:spacing w:line="237" w:lineRule="auto" w:before="2"/>
              <w:ind w:left="40" w:right="36"/>
              <w:jc w:val="center"/>
              <w:rPr>
                <w:rFonts w:ascii="宋体" w:hAnsi="宋体" w:cs="宋体" w:eastAsia="宋体" w:hint="default"/>
                <w:sz w:val="21"/>
                <w:szCs w:val="21"/>
              </w:rPr>
            </w:pPr>
            <w:r>
              <w:rPr>
                <w:rFonts w:ascii="宋体" w:hAnsi="宋体" w:cs="宋体" w:eastAsia="宋体" w:hint="default"/>
                <w:sz w:val="21"/>
                <w:szCs w:val="21"/>
              </w:rPr>
              <w:t>告期末</w:t>
            </w:r>
            <w:r>
              <w:rPr>
                <w:rFonts w:ascii="宋体" w:hAnsi="宋体" w:cs="宋体" w:eastAsia="宋体" w:hint="default"/>
                <w:w w:val="100"/>
                <w:sz w:val="21"/>
                <w:szCs w:val="21"/>
              </w:rPr>
              <w:t> </w:t>
            </w:r>
            <w:r>
              <w:rPr>
                <w:rFonts w:ascii="宋体" w:hAnsi="宋体" w:cs="宋体" w:eastAsia="宋体" w:hint="default"/>
                <w:sz w:val="21"/>
                <w:szCs w:val="21"/>
              </w:rPr>
              <w:t>累计实</w:t>
            </w:r>
            <w:r>
              <w:rPr>
                <w:rFonts w:ascii="宋体" w:hAnsi="宋体" w:cs="宋体" w:eastAsia="宋体" w:hint="default"/>
                <w:w w:val="100"/>
                <w:sz w:val="21"/>
                <w:szCs w:val="21"/>
              </w:rPr>
              <w:t> </w:t>
            </w:r>
            <w:r>
              <w:rPr>
                <w:rFonts w:ascii="宋体" w:hAnsi="宋体" w:cs="宋体" w:eastAsia="宋体" w:hint="default"/>
                <w:sz w:val="21"/>
                <w:szCs w:val="21"/>
              </w:rPr>
              <w:t>现的效</w:t>
            </w:r>
            <w:r>
              <w:rPr>
                <w:rFonts w:ascii="宋体" w:hAnsi="宋体" w:cs="宋体" w:eastAsia="宋体" w:hint="default"/>
                <w:w w:val="100"/>
                <w:sz w:val="21"/>
                <w:szCs w:val="21"/>
              </w:rPr>
              <w:t> </w:t>
            </w:r>
            <w:r>
              <w:rPr>
                <w:rFonts w:ascii="宋体" w:hAnsi="宋体" w:cs="宋体" w:eastAsia="宋体" w:hint="default"/>
                <w:sz w:val="21"/>
                <w:szCs w:val="21"/>
              </w:rPr>
              <w:t>益</w:t>
            </w:r>
          </w:p>
        </w:tc>
        <w:tc>
          <w:tcPr>
            <w:tcW w:w="722" w:type="dxa"/>
            <w:tcBorders>
              <w:top w:val="single" w:sz="4" w:space="0" w:color="000000"/>
              <w:left w:val="single" w:sz="4" w:space="0" w:color="000000"/>
              <w:bottom w:val="single" w:sz="4" w:space="0" w:color="FFFFFF"/>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0" w:right="36"/>
              <w:jc w:val="both"/>
              <w:rPr>
                <w:rFonts w:ascii="宋体" w:hAnsi="宋体" w:cs="宋体" w:eastAsia="宋体" w:hint="default"/>
                <w:sz w:val="21"/>
                <w:szCs w:val="21"/>
              </w:rPr>
            </w:pPr>
            <w:r>
              <w:rPr>
                <w:rFonts w:ascii="宋体" w:hAnsi="宋体" w:cs="宋体" w:eastAsia="宋体" w:hint="default"/>
                <w:sz w:val="21"/>
                <w:szCs w:val="21"/>
              </w:rPr>
              <w:t>是否达</w:t>
            </w:r>
            <w:r>
              <w:rPr>
                <w:rFonts w:ascii="宋体" w:hAnsi="宋体" w:cs="宋体" w:eastAsia="宋体" w:hint="default"/>
                <w:spacing w:val="-102"/>
                <w:sz w:val="21"/>
                <w:szCs w:val="21"/>
              </w:rPr>
              <w:t> </w:t>
            </w:r>
            <w:r>
              <w:rPr>
                <w:rFonts w:ascii="宋体" w:hAnsi="宋体" w:cs="宋体" w:eastAsia="宋体" w:hint="default"/>
                <w:sz w:val="21"/>
                <w:szCs w:val="21"/>
              </w:rPr>
              <w:t>到预计</w:t>
            </w:r>
            <w:r>
              <w:rPr>
                <w:rFonts w:ascii="宋体" w:hAnsi="宋体" w:cs="宋体" w:eastAsia="宋体" w:hint="default"/>
                <w:spacing w:val="-102"/>
                <w:sz w:val="21"/>
                <w:szCs w:val="21"/>
              </w:rPr>
              <w:t> </w:t>
            </w:r>
            <w:r>
              <w:rPr>
                <w:rFonts w:ascii="宋体" w:hAnsi="宋体" w:cs="宋体" w:eastAsia="宋体" w:hint="default"/>
                <w:sz w:val="21"/>
                <w:szCs w:val="21"/>
              </w:rPr>
              <w:t>效益</w:t>
            </w:r>
          </w:p>
        </w:tc>
        <w:tc>
          <w:tcPr>
            <w:tcW w:w="722" w:type="dxa"/>
            <w:tcBorders>
              <w:top w:val="single" w:sz="4" w:space="0" w:color="000000"/>
              <w:left w:val="single" w:sz="4" w:space="0" w:color="000000"/>
              <w:bottom w:val="single" w:sz="4" w:space="0" w:color="FFFFFF"/>
              <w:right w:val="single" w:sz="4" w:space="0" w:color="000000"/>
            </w:tcBorders>
            <w:shd w:val="clear" w:color="auto" w:fill="D4D4D4"/>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项目可</w:t>
            </w:r>
          </w:p>
          <w:p>
            <w:pPr>
              <w:pStyle w:val="TableParagraph"/>
              <w:spacing w:line="237" w:lineRule="auto" w:before="2"/>
              <w:ind w:left="40" w:right="36"/>
              <w:jc w:val="center"/>
              <w:rPr>
                <w:rFonts w:ascii="宋体" w:hAnsi="宋体" w:cs="宋体" w:eastAsia="宋体" w:hint="default"/>
                <w:sz w:val="21"/>
                <w:szCs w:val="21"/>
              </w:rPr>
            </w:pPr>
            <w:r>
              <w:rPr>
                <w:rFonts w:ascii="宋体" w:hAnsi="宋体" w:cs="宋体" w:eastAsia="宋体" w:hint="default"/>
                <w:sz w:val="21"/>
                <w:szCs w:val="21"/>
              </w:rPr>
              <w:t>行性是</w:t>
            </w:r>
            <w:r>
              <w:rPr>
                <w:rFonts w:ascii="宋体" w:hAnsi="宋体" w:cs="宋体" w:eastAsia="宋体" w:hint="default"/>
                <w:w w:val="100"/>
                <w:sz w:val="21"/>
                <w:szCs w:val="21"/>
              </w:rPr>
              <w:t> </w:t>
            </w:r>
            <w:r>
              <w:rPr>
                <w:rFonts w:ascii="宋体" w:hAnsi="宋体" w:cs="宋体" w:eastAsia="宋体" w:hint="default"/>
                <w:sz w:val="21"/>
                <w:szCs w:val="21"/>
              </w:rPr>
              <w:t>否发生</w:t>
            </w:r>
            <w:r>
              <w:rPr>
                <w:rFonts w:ascii="宋体" w:hAnsi="宋体" w:cs="宋体" w:eastAsia="宋体" w:hint="default"/>
                <w:w w:val="100"/>
                <w:sz w:val="21"/>
                <w:szCs w:val="21"/>
              </w:rPr>
              <w:t> </w:t>
            </w:r>
            <w:r>
              <w:rPr>
                <w:rFonts w:ascii="宋体" w:hAnsi="宋体" w:cs="宋体" w:eastAsia="宋体" w:hint="default"/>
                <w:sz w:val="21"/>
                <w:szCs w:val="21"/>
              </w:rPr>
              <w:t>重大变</w:t>
            </w:r>
            <w:r>
              <w:rPr>
                <w:rFonts w:ascii="宋体" w:hAnsi="宋体" w:cs="宋体" w:eastAsia="宋体" w:hint="default"/>
                <w:w w:val="100"/>
                <w:sz w:val="21"/>
                <w:szCs w:val="21"/>
              </w:rPr>
              <w:t> </w:t>
            </w:r>
            <w:r>
              <w:rPr>
                <w:rFonts w:ascii="宋体" w:hAnsi="宋体" w:cs="宋体" w:eastAsia="宋体" w:hint="default"/>
                <w:sz w:val="21"/>
                <w:szCs w:val="21"/>
              </w:rPr>
              <w:t>化</w:t>
            </w:r>
          </w:p>
        </w:tc>
      </w:tr>
      <w:tr>
        <w:trPr>
          <w:trHeight w:val="379" w:hRule="exact"/>
        </w:trPr>
        <w:tc>
          <w:tcPr>
            <w:tcW w:w="9571" w:type="dxa"/>
            <w:gridSpan w:val="12"/>
            <w:tcBorders>
              <w:top w:val="single" w:sz="4" w:space="0" w:color="FFFFFF"/>
              <w:left w:val="single" w:sz="4" w:space="0" w:color="000000"/>
              <w:bottom w:val="single" w:sz="4" w:space="0" w:color="000000"/>
              <w:right w:val="single" w:sz="4" w:space="0" w:color="000000"/>
            </w:tcBorders>
            <w:shd w:val="clear" w:color="auto" w:fill="D4D4D4"/>
          </w:tcPr>
          <w:p>
            <w:pPr>
              <w:pStyle w:val="TableParagraph"/>
              <w:spacing w:line="240" w:lineRule="auto" w:before="14"/>
              <w:ind w:left="24" w:right="0"/>
              <w:jc w:val="left"/>
              <w:rPr>
                <w:rFonts w:ascii="宋体" w:hAnsi="宋体" w:cs="宋体" w:eastAsia="宋体" w:hint="default"/>
                <w:sz w:val="21"/>
                <w:szCs w:val="21"/>
              </w:rPr>
            </w:pPr>
            <w:r>
              <w:rPr>
                <w:rFonts w:ascii="宋体" w:hAnsi="宋体" w:cs="宋体" w:eastAsia="宋体" w:hint="default"/>
                <w:sz w:val="21"/>
                <w:szCs w:val="21"/>
              </w:rPr>
              <w:t>承诺投资项目</w:t>
            </w:r>
          </w:p>
        </w:tc>
      </w:tr>
      <w:tr>
        <w:trPr>
          <w:trHeight w:val="1102" w:hRule="exact"/>
        </w:trPr>
        <w:tc>
          <w:tcPr>
            <w:tcW w:w="1622" w:type="dxa"/>
            <w:tcBorders>
              <w:top w:val="single" w:sz="4" w:space="0" w:color="000000"/>
              <w:left w:val="single" w:sz="4" w:space="0" w:color="000000"/>
              <w:bottom w:val="single" w:sz="4" w:space="0" w:color="000000"/>
              <w:right w:val="single" w:sz="4" w:space="0" w:color="FFFFFF"/>
            </w:tcBorders>
          </w:tcPr>
          <w:p>
            <w:pPr>
              <w:pStyle w:val="TableParagraph"/>
              <w:spacing w:line="248" w:lineRule="exact"/>
              <w:ind w:left="24"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8"/>
                <w:sz w:val="21"/>
                <w:szCs w:val="21"/>
              </w:rPr>
              <w:t> </w:t>
            </w:r>
            <w:r>
              <w:rPr>
                <w:rFonts w:ascii="宋体" w:hAnsi="宋体" w:cs="宋体" w:eastAsia="宋体" w:hint="default"/>
                <w:sz w:val="21"/>
                <w:szCs w:val="21"/>
              </w:rPr>
              <w:t>中小学英语同</w:t>
            </w:r>
          </w:p>
          <w:p>
            <w:pPr>
              <w:pStyle w:val="TableParagraph"/>
              <w:spacing w:line="237" w:lineRule="auto"/>
              <w:ind w:left="24" w:right="112"/>
              <w:jc w:val="both"/>
              <w:rPr>
                <w:rFonts w:ascii="宋体" w:hAnsi="宋体" w:cs="宋体" w:eastAsia="宋体" w:hint="default"/>
                <w:sz w:val="21"/>
                <w:szCs w:val="21"/>
              </w:rPr>
            </w:pPr>
            <w:r>
              <w:rPr>
                <w:rFonts w:ascii="宋体" w:hAnsi="宋体" w:cs="宋体" w:eastAsia="宋体" w:hint="default"/>
                <w:sz w:val="21"/>
                <w:szCs w:val="21"/>
              </w:rPr>
              <w:t>步教育软件项目</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升级及版本扩产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项目</w:t>
            </w:r>
          </w:p>
        </w:tc>
        <w:tc>
          <w:tcPr>
            <w:tcW w:w="703"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17"/>
              <w:jc w:val="right"/>
              <w:rPr>
                <w:rFonts w:ascii="Times New Roman" w:hAnsi="Times New Roman" w:cs="Times New Roman" w:eastAsia="Times New Roman" w:hint="default"/>
                <w:sz w:val="21"/>
                <w:szCs w:val="21"/>
              </w:rPr>
            </w:pPr>
            <w:r>
              <w:rPr>
                <w:rFonts w:ascii="Times New Roman"/>
                <w:sz w:val="21"/>
              </w:rPr>
              <w:t>3,528</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17"/>
              <w:jc w:val="right"/>
              <w:rPr>
                <w:rFonts w:ascii="Times New Roman" w:hAnsi="Times New Roman" w:cs="Times New Roman" w:eastAsia="Times New Roman" w:hint="default"/>
                <w:sz w:val="21"/>
                <w:szCs w:val="21"/>
              </w:rPr>
            </w:pPr>
            <w:r>
              <w:rPr>
                <w:rFonts w:ascii="Times New Roman"/>
                <w:sz w:val="21"/>
              </w:rPr>
              <w:t>3,528</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left="91" w:right="0"/>
              <w:jc w:val="center"/>
              <w:rPr>
                <w:rFonts w:ascii="Times New Roman" w:hAnsi="Times New Roman" w:cs="Times New Roman" w:eastAsia="Times New Roman" w:hint="default"/>
                <w:sz w:val="21"/>
                <w:szCs w:val="21"/>
              </w:rPr>
            </w:pPr>
            <w:r>
              <w:rPr>
                <w:rFonts w:ascii="Times New Roman"/>
                <w:sz w:val="21"/>
              </w:rPr>
              <w:t>963.16</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z w:val="21"/>
              </w:rPr>
              <w:t>3,197.6</w:t>
            </w:r>
          </w:p>
          <w:p>
            <w:pPr>
              <w:pStyle w:val="TableParagraph"/>
              <w:spacing w:line="240" w:lineRule="auto" w:before="1"/>
              <w:ind w:right="2"/>
              <w:jc w:val="right"/>
              <w:rPr>
                <w:rFonts w:ascii="Times New Roman" w:hAnsi="Times New Roman" w:cs="Times New Roman" w:eastAsia="Times New Roman" w:hint="default"/>
                <w:sz w:val="21"/>
                <w:szCs w:val="21"/>
              </w:rPr>
            </w:pPr>
            <w:r>
              <w:rPr>
                <w:rFonts w:ascii="Times New Roman"/>
                <w:w w:val="100"/>
                <w:sz w:val="21"/>
              </w:rPr>
              <w:t>3</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left="41" w:right="0"/>
              <w:jc w:val="center"/>
              <w:rPr>
                <w:rFonts w:ascii="Times New Roman" w:hAnsi="Times New Roman" w:cs="Times New Roman" w:eastAsia="Times New Roman" w:hint="default"/>
                <w:sz w:val="21"/>
                <w:szCs w:val="21"/>
              </w:rPr>
            </w:pPr>
            <w:r>
              <w:rPr>
                <w:rFonts w:ascii="Times New Roman"/>
                <w:sz w:val="21"/>
              </w:rPr>
              <w:t>90.64%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before="102"/>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w:t>
            </w:r>
          </w:p>
          <w:p>
            <w:pPr>
              <w:pStyle w:val="TableParagraph"/>
              <w:spacing w:line="274"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p>
            <w:pPr>
              <w:pStyle w:val="TableParagraph"/>
              <w:spacing w:line="282"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1,002.4</w:t>
            </w:r>
          </w:p>
          <w:p>
            <w:pPr>
              <w:pStyle w:val="TableParagraph"/>
              <w:spacing w:line="240" w:lineRule="auto" w:before="1"/>
              <w:ind w:right="19"/>
              <w:jc w:val="right"/>
              <w:rPr>
                <w:rFonts w:ascii="Times New Roman" w:hAnsi="Times New Roman" w:cs="Times New Roman" w:eastAsia="Times New Roman" w:hint="default"/>
                <w:sz w:val="21"/>
                <w:szCs w:val="21"/>
              </w:rPr>
            </w:pPr>
            <w:r>
              <w:rPr>
                <w:rFonts w:ascii="Times New Roman"/>
                <w:w w:val="100"/>
                <w:sz w:val="21"/>
              </w:rPr>
              <w:t>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2,794.9</w:t>
            </w:r>
          </w:p>
          <w:p>
            <w:pPr>
              <w:pStyle w:val="TableParagraph"/>
              <w:spacing w:line="240" w:lineRule="auto" w:before="1"/>
              <w:ind w:right="19"/>
              <w:jc w:val="right"/>
              <w:rPr>
                <w:rFonts w:ascii="Times New Roman" w:hAnsi="Times New Roman" w:cs="Times New Roman" w:eastAsia="Times New Roman" w:hint="default"/>
                <w:sz w:val="21"/>
                <w:szCs w:val="21"/>
              </w:rPr>
            </w:pPr>
            <w:r>
              <w:rPr>
                <w:rFonts w:ascii="Times New Roman"/>
                <w:w w:val="100"/>
                <w:sz w:val="21"/>
              </w:rPr>
              <w:t>6</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30" w:hRule="exact"/>
        </w:trPr>
        <w:tc>
          <w:tcPr>
            <w:tcW w:w="1622" w:type="dxa"/>
            <w:tcBorders>
              <w:top w:val="single" w:sz="4" w:space="0" w:color="000000"/>
              <w:left w:val="single" w:sz="4" w:space="0" w:color="000000"/>
              <w:bottom w:val="single" w:sz="4" w:space="0" w:color="000000"/>
              <w:right w:val="single" w:sz="4" w:space="0" w:color="FFFFFF"/>
            </w:tcBorders>
          </w:tcPr>
          <w:p>
            <w:pPr>
              <w:pStyle w:val="TableParagraph"/>
              <w:spacing w:line="248"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48"/>
                <w:sz w:val="21"/>
                <w:szCs w:val="21"/>
              </w:rPr>
              <w:t> </w:t>
            </w:r>
            <w:r>
              <w:rPr>
                <w:rFonts w:ascii="宋体" w:hAnsi="宋体" w:cs="宋体" w:eastAsia="宋体" w:hint="default"/>
                <w:sz w:val="21"/>
                <w:szCs w:val="21"/>
              </w:rPr>
              <w:t>中小学多学科</w:t>
            </w:r>
          </w:p>
          <w:p>
            <w:pPr>
              <w:pStyle w:val="TableParagraph"/>
              <w:spacing w:line="274" w:lineRule="exact" w:before="17"/>
              <w:ind w:left="24" w:right="112"/>
              <w:jc w:val="left"/>
              <w:rPr>
                <w:rFonts w:ascii="宋体" w:hAnsi="宋体" w:cs="宋体" w:eastAsia="宋体" w:hint="default"/>
                <w:sz w:val="21"/>
                <w:szCs w:val="21"/>
              </w:rPr>
            </w:pPr>
            <w:r>
              <w:rPr>
                <w:rFonts w:ascii="宋体" w:hAnsi="宋体" w:cs="宋体" w:eastAsia="宋体" w:hint="default"/>
                <w:sz w:val="21"/>
                <w:szCs w:val="21"/>
              </w:rPr>
              <w:t>（不含英语）同</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步教育软件项目</w:t>
            </w:r>
          </w:p>
        </w:tc>
        <w:tc>
          <w:tcPr>
            <w:tcW w:w="703"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2,724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2,724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1" w:right="0"/>
              <w:jc w:val="center"/>
              <w:rPr>
                <w:rFonts w:ascii="Times New Roman" w:hAnsi="Times New Roman" w:cs="Times New Roman" w:eastAsia="Times New Roman" w:hint="default"/>
                <w:sz w:val="21"/>
                <w:szCs w:val="21"/>
              </w:rPr>
            </w:pPr>
            <w:r>
              <w:rPr>
                <w:rFonts w:ascii="Times New Roman"/>
                <w:sz w:val="21"/>
              </w:rPr>
              <w:t>551.37</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0"/>
              <w:jc w:val="right"/>
              <w:rPr>
                <w:rFonts w:ascii="Times New Roman" w:hAnsi="Times New Roman" w:cs="Times New Roman" w:eastAsia="Times New Roman" w:hint="default"/>
                <w:sz w:val="21"/>
                <w:szCs w:val="21"/>
              </w:rPr>
            </w:pPr>
            <w:r>
              <w:rPr>
                <w:rFonts w:ascii="Times New Roman"/>
                <w:sz w:val="21"/>
              </w:rPr>
              <w:t>1,346.8</w:t>
            </w:r>
          </w:p>
          <w:p>
            <w:pPr>
              <w:pStyle w:val="TableParagraph"/>
              <w:spacing w:line="240" w:lineRule="auto" w:before="1"/>
              <w:ind w:right="2"/>
              <w:jc w:val="right"/>
              <w:rPr>
                <w:rFonts w:ascii="Times New Roman" w:hAnsi="Times New Roman" w:cs="Times New Roman" w:eastAsia="Times New Roman" w:hint="default"/>
                <w:sz w:val="21"/>
                <w:szCs w:val="21"/>
              </w:rPr>
            </w:pPr>
            <w:r>
              <w:rPr>
                <w:rFonts w:ascii="Times New Roman"/>
                <w:w w:val="100"/>
                <w:sz w:val="21"/>
              </w:rPr>
              <w:t>2</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41" w:right="0"/>
              <w:jc w:val="center"/>
              <w:rPr>
                <w:rFonts w:ascii="Times New Roman" w:hAnsi="Times New Roman" w:cs="Times New Roman" w:eastAsia="Times New Roman" w:hint="default"/>
                <w:sz w:val="21"/>
                <w:szCs w:val="21"/>
              </w:rPr>
            </w:pPr>
            <w:r>
              <w:rPr>
                <w:rFonts w:ascii="Times New Roman"/>
                <w:sz w:val="21"/>
              </w:rPr>
              <w:t>49.44%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w:t>
            </w:r>
          </w:p>
          <w:p>
            <w:pPr>
              <w:pStyle w:val="TableParagraph"/>
              <w:spacing w:line="274"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p>
            <w:pPr>
              <w:pStyle w:val="TableParagraph"/>
              <w:spacing w:line="282"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12" w:right="0"/>
              <w:jc w:val="left"/>
              <w:rPr>
                <w:rFonts w:ascii="Times New Roman" w:hAnsi="Times New Roman" w:cs="Times New Roman" w:eastAsia="Times New Roman" w:hint="default"/>
                <w:sz w:val="21"/>
                <w:szCs w:val="21"/>
              </w:rPr>
            </w:pPr>
            <w:r>
              <w:rPr>
                <w:rFonts w:ascii="Times New Roman"/>
                <w:sz w:val="21"/>
              </w:rPr>
              <w:t>178.36</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12" w:right="0"/>
              <w:jc w:val="left"/>
              <w:rPr>
                <w:rFonts w:ascii="Times New Roman" w:hAnsi="Times New Roman" w:cs="Times New Roman" w:eastAsia="Times New Roman" w:hint="default"/>
                <w:sz w:val="21"/>
                <w:szCs w:val="21"/>
              </w:rPr>
            </w:pPr>
            <w:r>
              <w:rPr>
                <w:rFonts w:ascii="Times New Roman"/>
                <w:sz w:val="21"/>
              </w:rPr>
              <w:t>265.18</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28" w:hRule="exact"/>
        </w:trPr>
        <w:tc>
          <w:tcPr>
            <w:tcW w:w="1622" w:type="dxa"/>
            <w:tcBorders>
              <w:top w:val="single" w:sz="4" w:space="0" w:color="000000"/>
              <w:left w:val="single" w:sz="4" w:space="0" w:color="000000"/>
              <w:bottom w:val="single" w:sz="4" w:space="0" w:color="000000"/>
              <w:right w:val="single" w:sz="4" w:space="0" w:color="FFFFFF"/>
            </w:tcBorders>
          </w:tcPr>
          <w:p>
            <w:pPr>
              <w:pStyle w:val="TableParagraph"/>
              <w:spacing w:line="272" w:lineRule="exact" w:before="130"/>
              <w:ind w:left="24" w:right="64"/>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49"/>
                <w:sz w:val="21"/>
                <w:szCs w:val="21"/>
              </w:rPr>
              <w:t> </w:t>
            </w:r>
            <w:r>
              <w:rPr>
                <w:rFonts w:ascii="宋体" w:hAnsi="宋体" w:cs="宋体" w:eastAsia="宋体" w:hint="default"/>
                <w:sz w:val="21"/>
                <w:szCs w:val="21"/>
              </w:rPr>
              <w:t>营销服务中心</w:t>
            </w:r>
            <w:r>
              <w:rPr>
                <w:rFonts w:ascii="宋体" w:hAnsi="宋体" w:cs="宋体" w:eastAsia="宋体" w:hint="default"/>
                <w:spacing w:val="-3"/>
                <w:w w:val="100"/>
                <w:sz w:val="21"/>
                <w:szCs w:val="21"/>
              </w:rPr>
              <w:t> </w:t>
            </w:r>
            <w:r>
              <w:rPr>
                <w:rFonts w:ascii="宋体" w:hAnsi="宋体" w:cs="宋体" w:eastAsia="宋体" w:hint="default"/>
                <w:sz w:val="21"/>
                <w:szCs w:val="21"/>
              </w:rPr>
              <w:t>建设项目</w:t>
            </w:r>
          </w:p>
        </w:tc>
        <w:tc>
          <w:tcPr>
            <w:tcW w:w="703"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2,700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2,700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1" w:right="0"/>
              <w:jc w:val="center"/>
              <w:rPr>
                <w:rFonts w:ascii="Times New Roman" w:hAnsi="Times New Roman" w:cs="Times New Roman" w:eastAsia="Times New Roman" w:hint="default"/>
                <w:sz w:val="21"/>
                <w:szCs w:val="21"/>
              </w:rPr>
            </w:pPr>
            <w:r>
              <w:rPr>
                <w:rFonts w:ascii="Times New Roman"/>
                <w:sz w:val="21"/>
              </w:rPr>
              <w:t>134.98</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61"/>
              <w:ind w:right="0"/>
              <w:jc w:val="right"/>
              <w:rPr>
                <w:rFonts w:ascii="Times New Roman" w:hAnsi="Times New Roman" w:cs="Times New Roman" w:eastAsia="Times New Roman" w:hint="default"/>
                <w:sz w:val="21"/>
                <w:szCs w:val="21"/>
              </w:rPr>
            </w:pPr>
            <w:r>
              <w:rPr>
                <w:rFonts w:ascii="Times New Roman"/>
                <w:sz w:val="21"/>
              </w:rPr>
              <w:t>2,361.2</w:t>
            </w:r>
          </w:p>
          <w:p>
            <w:pPr>
              <w:pStyle w:val="TableParagraph"/>
              <w:spacing w:line="241" w:lineRule="exact"/>
              <w:ind w:right="2"/>
              <w:jc w:val="right"/>
              <w:rPr>
                <w:rFonts w:ascii="Times New Roman" w:hAnsi="Times New Roman" w:cs="Times New Roman" w:eastAsia="Times New Roman" w:hint="default"/>
                <w:sz w:val="21"/>
                <w:szCs w:val="21"/>
              </w:rPr>
            </w:pPr>
            <w:r>
              <w:rPr>
                <w:rFonts w:ascii="Times New Roman"/>
                <w:w w:val="100"/>
                <w:sz w:val="21"/>
              </w:rPr>
              <w:t>3</w:t>
            </w:r>
          </w:p>
        </w:tc>
        <w:tc>
          <w:tcPr>
            <w:tcW w:w="739"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w:t>
            </w:r>
          </w:p>
          <w:p>
            <w:pPr>
              <w:pStyle w:val="TableParagraph"/>
              <w:spacing w:line="272"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p>
            <w:pPr>
              <w:pStyle w:val="TableParagraph"/>
              <w:spacing w:line="281"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28" w:hRule="exact"/>
        </w:trPr>
        <w:tc>
          <w:tcPr>
            <w:tcW w:w="1622" w:type="dxa"/>
            <w:tcBorders>
              <w:top w:val="single" w:sz="4" w:space="0" w:color="000000"/>
              <w:left w:val="single" w:sz="4" w:space="0" w:color="000000"/>
              <w:bottom w:val="single" w:sz="4" w:space="0" w:color="000000"/>
              <w:right w:val="single" w:sz="4" w:space="0" w:color="FFFFFF"/>
            </w:tcBorders>
          </w:tcPr>
          <w:p>
            <w:pPr>
              <w:pStyle w:val="TableParagraph"/>
              <w:spacing w:line="274" w:lineRule="exact" w:before="129"/>
              <w:ind w:left="24" w:right="64"/>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49"/>
                <w:sz w:val="21"/>
                <w:szCs w:val="21"/>
              </w:rPr>
              <w:t> </w:t>
            </w:r>
            <w:r>
              <w:rPr>
                <w:rFonts w:ascii="宋体" w:hAnsi="宋体" w:cs="宋体" w:eastAsia="宋体" w:hint="default"/>
                <w:sz w:val="21"/>
                <w:szCs w:val="21"/>
              </w:rPr>
              <w:t>研发中心建设</w:t>
            </w:r>
            <w:r>
              <w:rPr>
                <w:rFonts w:ascii="宋体" w:hAnsi="宋体" w:cs="宋体" w:eastAsia="宋体" w:hint="default"/>
                <w:spacing w:val="-3"/>
                <w:w w:val="100"/>
                <w:sz w:val="21"/>
                <w:szCs w:val="21"/>
              </w:rPr>
              <w:t> </w:t>
            </w:r>
            <w:r>
              <w:rPr>
                <w:rFonts w:ascii="宋体" w:hAnsi="宋体" w:cs="宋体" w:eastAsia="宋体" w:hint="default"/>
                <w:sz w:val="21"/>
                <w:szCs w:val="21"/>
              </w:rPr>
              <w:t>项目</w:t>
            </w:r>
          </w:p>
        </w:tc>
        <w:tc>
          <w:tcPr>
            <w:tcW w:w="703"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1,200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1,200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1" w:right="0"/>
              <w:jc w:val="center"/>
              <w:rPr>
                <w:rFonts w:ascii="Times New Roman" w:hAnsi="Times New Roman" w:cs="Times New Roman" w:eastAsia="Times New Roman" w:hint="default"/>
                <w:sz w:val="21"/>
                <w:szCs w:val="21"/>
              </w:rPr>
            </w:pPr>
            <w:r>
              <w:rPr>
                <w:rFonts w:ascii="Times New Roman"/>
                <w:sz w:val="21"/>
              </w:rPr>
              <w:t>421.01</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12" w:right="0"/>
              <w:jc w:val="left"/>
              <w:rPr>
                <w:rFonts w:ascii="Times New Roman" w:hAnsi="Times New Roman" w:cs="Times New Roman" w:eastAsia="Times New Roman" w:hint="default"/>
                <w:sz w:val="21"/>
                <w:szCs w:val="21"/>
              </w:rPr>
            </w:pPr>
            <w:r>
              <w:rPr>
                <w:rFonts w:ascii="Times New Roman"/>
                <w:sz w:val="21"/>
              </w:rPr>
              <w:t>724.28</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41" w:right="0"/>
              <w:jc w:val="center"/>
              <w:rPr>
                <w:rFonts w:ascii="Times New Roman" w:hAnsi="Times New Roman" w:cs="Times New Roman" w:eastAsia="Times New Roman" w:hint="default"/>
                <w:sz w:val="21"/>
                <w:szCs w:val="21"/>
              </w:rPr>
            </w:pPr>
            <w:r>
              <w:rPr>
                <w:rFonts w:ascii="Times New Roman"/>
                <w:sz w:val="21"/>
              </w:rPr>
              <w:t>60.36%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w:t>
            </w:r>
          </w:p>
          <w:p>
            <w:pPr>
              <w:pStyle w:val="TableParagraph"/>
              <w:spacing w:line="274"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p>
            <w:pPr>
              <w:pStyle w:val="TableParagraph"/>
              <w:spacing w:line="282"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158" w:hRule="exact"/>
        </w:trPr>
        <w:tc>
          <w:tcPr>
            <w:tcW w:w="1622" w:type="dxa"/>
            <w:vMerge w:val="restart"/>
            <w:tcBorders>
              <w:top w:val="single" w:sz="4" w:space="0" w:color="000000"/>
              <w:left w:val="single" w:sz="4" w:space="0" w:color="000000"/>
              <w:right w:val="single" w:sz="4" w:space="0" w:color="FFFFFF"/>
            </w:tcBorders>
            <w:shd w:val="clear" w:color="auto" w:fill="D4D4D4"/>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承诺投资项目小</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计</w:t>
            </w:r>
          </w:p>
        </w:tc>
        <w:tc>
          <w:tcPr>
            <w:tcW w:w="703" w:type="dxa"/>
            <w:tcBorders>
              <w:top w:val="single" w:sz="4" w:space="0" w:color="000000"/>
              <w:left w:val="single" w:sz="4" w:space="0" w:color="FFFFFF"/>
              <w:bottom w:val="nil" w:sz="6" w:space="0" w:color="auto"/>
              <w:right w:val="single" w:sz="4" w:space="0" w:color="000000"/>
            </w:tcBorders>
            <w:shd w:val="clear" w:color="auto" w:fill="D4D4D4"/>
          </w:tcPr>
          <w:p>
            <w:pPr/>
          </w:p>
        </w:tc>
        <w:tc>
          <w:tcPr>
            <w:tcW w:w="752" w:type="dxa"/>
            <w:vMerge w:val="restart"/>
            <w:tcBorders>
              <w:top w:val="single" w:sz="4" w:space="0" w:color="000000"/>
              <w:left w:val="single" w:sz="9" w:space="0" w:color="D4D4D4"/>
              <w:right w:val="single" w:sz="4" w:space="0" w:color="000000"/>
            </w:tcBorders>
          </w:tcPr>
          <w:p>
            <w:pPr>
              <w:pStyle w:val="TableParagraph"/>
              <w:spacing w:line="240" w:lineRule="auto" w:before="147"/>
              <w:ind w:left="136" w:right="0"/>
              <w:jc w:val="left"/>
              <w:rPr>
                <w:rFonts w:ascii="Times New Roman" w:hAnsi="Times New Roman" w:cs="Times New Roman" w:eastAsia="Times New Roman" w:hint="default"/>
                <w:sz w:val="21"/>
                <w:szCs w:val="21"/>
              </w:rPr>
            </w:pPr>
            <w:r>
              <w:rPr>
                <w:rFonts w:ascii="Times New Roman"/>
                <w:sz w:val="21"/>
              </w:rPr>
              <w:t>10,152</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147"/>
              <w:ind w:left="110" w:right="0"/>
              <w:jc w:val="left"/>
              <w:rPr>
                <w:rFonts w:ascii="Times New Roman" w:hAnsi="Times New Roman" w:cs="Times New Roman" w:eastAsia="Times New Roman" w:hint="default"/>
                <w:sz w:val="21"/>
                <w:szCs w:val="21"/>
              </w:rPr>
            </w:pPr>
            <w:r>
              <w:rPr>
                <w:rFonts w:ascii="Times New Roman"/>
                <w:sz w:val="21"/>
              </w:rPr>
              <w:t>10,152</w:t>
            </w:r>
          </w:p>
        </w:tc>
        <w:tc>
          <w:tcPr>
            <w:tcW w:w="720" w:type="dxa"/>
            <w:vMerge w:val="restart"/>
            <w:tcBorders>
              <w:top w:val="single" w:sz="4" w:space="0" w:color="000000"/>
              <w:left w:val="single" w:sz="4" w:space="0" w:color="000000"/>
              <w:right w:val="single" w:sz="4" w:space="0" w:color="000000"/>
            </w:tcBorders>
          </w:tcPr>
          <w:p>
            <w:pPr>
              <w:pStyle w:val="TableParagraph"/>
              <w:spacing w:line="241" w:lineRule="exact" w:before="27"/>
              <w:ind w:right="17"/>
              <w:jc w:val="right"/>
              <w:rPr>
                <w:rFonts w:ascii="Times New Roman" w:hAnsi="Times New Roman" w:cs="Times New Roman" w:eastAsia="Times New Roman" w:hint="default"/>
                <w:sz w:val="21"/>
                <w:szCs w:val="21"/>
              </w:rPr>
            </w:pPr>
            <w:r>
              <w:rPr>
                <w:rFonts w:ascii="Times New Roman"/>
                <w:sz w:val="21"/>
              </w:rPr>
              <w:t>2,070.5</w:t>
            </w:r>
          </w:p>
          <w:p>
            <w:pPr>
              <w:pStyle w:val="TableParagraph"/>
              <w:spacing w:line="241" w:lineRule="exact"/>
              <w:ind w:right="19"/>
              <w:jc w:val="right"/>
              <w:rPr>
                <w:rFonts w:ascii="Times New Roman" w:hAnsi="Times New Roman" w:cs="Times New Roman" w:eastAsia="Times New Roman" w:hint="default"/>
                <w:sz w:val="21"/>
                <w:szCs w:val="21"/>
              </w:rPr>
            </w:pPr>
            <w:r>
              <w:rPr>
                <w:rFonts w:ascii="Times New Roman"/>
                <w:w w:val="100"/>
                <w:sz w:val="21"/>
              </w:rPr>
              <w:t>2</w:t>
            </w:r>
          </w:p>
        </w:tc>
        <w:tc>
          <w:tcPr>
            <w:tcW w:w="706" w:type="dxa"/>
            <w:vMerge w:val="restart"/>
            <w:tcBorders>
              <w:top w:val="single" w:sz="4" w:space="0" w:color="000000"/>
              <w:left w:val="single" w:sz="4" w:space="0" w:color="000000"/>
              <w:right w:val="single" w:sz="10" w:space="0" w:color="D4D4D4"/>
            </w:tcBorders>
          </w:tcPr>
          <w:p>
            <w:pPr>
              <w:pStyle w:val="TableParagraph"/>
              <w:spacing w:line="241" w:lineRule="exact" w:before="27"/>
              <w:ind w:right="-5"/>
              <w:jc w:val="right"/>
              <w:rPr>
                <w:rFonts w:ascii="Times New Roman" w:hAnsi="Times New Roman" w:cs="Times New Roman" w:eastAsia="Times New Roman" w:hint="default"/>
                <w:sz w:val="21"/>
                <w:szCs w:val="21"/>
              </w:rPr>
            </w:pPr>
            <w:r>
              <w:rPr>
                <w:rFonts w:ascii="Times New Roman"/>
                <w:sz w:val="21"/>
              </w:rPr>
              <w:t>7,629.9</w:t>
            </w:r>
          </w:p>
          <w:p>
            <w:pPr>
              <w:pStyle w:val="TableParagraph"/>
              <w:spacing w:line="241" w:lineRule="exact"/>
              <w:ind w:right="-3"/>
              <w:jc w:val="right"/>
              <w:rPr>
                <w:rFonts w:ascii="Times New Roman" w:hAnsi="Times New Roman" w:cs="Times New Roman" w:eastAsia="Times New Roman" w:hint="default"/>
                <w:sz w:val="21"/>
                <w:szCs w:val="21"/>
              </w:rPr>
            </w:pPr>
            <w:r>
              <w:rPr>
                <w:rFonts w:ascii="Times New Roman"/>
                <w:w w:val="100"/>
                <w:sz w:val="21"/>
              </w:rPr>
              <w:t>6</w:t>
            </w:r>
          </w:p>
        </w:tc>
        <w:tc>
          <w:tcPr>
            <w:tcW w:w="739" w:type="dxa"/>
            <w:tcBorders>
              <w:top w:val="single" w:sz="4" w:space="0" w:color="000000"/>
              <w:left w:val="single" w:sz="4" w:space="0" w:color="000000"/>
              <w:bottom w:val="nil" w:sz="6" w:space="0" w:color="auto"/>
              <w:right w:val="single" w:sz="4" w:space="0" w:color="000000"/>
            </w:tcBorders>
            <w:shd w:val="clear" w:color="auto" w:fill="D4D4D4"/>
          </w:tcPr>
          <w:p>
            <w:pPr/>
          </w:p>
        </w:tc>
        <w:tc>
          <w:tcPr>
            <w:tcW w:w="720" w:type="dxa"/>
            <w:tcBorders>
              <w:top w:val="single" w:sz="4" w:space="0" w:color="000000"/>
              <w:left w:val="single" w:sz="4" w:space="0" w:color="000000"/>
              <w:bottom w:val="nil" w:sz="6" w:space="0" w:color="auto"/>
              <w:right w:val="single" w:sz="4" w:space="0" w:color="000000"/>
            </w:tcBorders>
            <w:shd w:val="clear" w:color="auto" w:fill="D4D4D4"/>
          </w:tcPr>
          <w:p>
            <w:pPr/>
          </w:p>
        </w:tc>
        <w:tc>
          <w:tcPr>
            <w:tcW w:w="722" w:type="dxa"/>
            <w:vMerge w:val="restart"/>
            <w:tcBorders>
              <w:top w:val="single" w:sz="4" w:space="0" w:color="000000"/>
              <w:left w:val="single" w:sz="10" w:space="0" w:color="D4D4D4"/>
              <w:right w:val="single" w:sz="4" w:space="0" w:color="000000"/>
            </w:tcBorders>
          </w:tcPr>
          <w:p>
            <w:pPr>
              <w:pStyle w:val="TableParagraph"/>
              <w:spacing w:line="241" w:lineRule="exact" w:before="27"/>
              <w:ind w:right="17"/>
              <w:jc w:val="right"/>
              <w:rPr>
                <w:rFonts w:ascii="Times New Roman" w:hAnsi="Times New Roman" w:cs="Times New Roman" w:eastAsia="Times New Roman" w:hint="default"/>
                <w:sz w:val="21"/>
                <w:szCs w:val="21"/>
              </w:rPr>
            </w:pPr>
            <w:r>
              <w:rPr>
                <w:rFonts w:ascii="Times New Roman"/>
                <w:sz w:val="21"/>
              </w:rPr>
              <w:t>1,180.8</w:t>
            </w:r>
          </w:p>
          <w:p>
            <w:pPr>
              <w:pStyle w:val="TableParagraph"/>
              <w:spacing w:line="241" w:lineRule="exact"/>
              <w:ind w:right="19"/>
              <w:jc w:val="right"/>
              <w:rPr>
                <w:rFonts w:ascii="Times New Roman" w:hAnsi="Times New Roman" w:cs="Times New Roman" w:eastAsia="Times New Roman" w:hint="default"/>
                <w:sz w:val="21"/>
                <w:szCs w:val="21"/>
              </w:rPr>
            </w:pPr>
            <w:r>
              <w:rPr>
                <w:rFonts w:ascii="Times New Roman"/>
                <w:w w:val="100"/>
                <w:sz w:val="21"/>
              </w:rPr>
              <w:t>1</w:t>
            </w:r>
          </w:p>
        </w:tc>
        <w:tc>
          <w:tcPr>
            <w:tcW w:w="722" w:type="dxa"/>
            <w:vMerge w:val="restart"/>
            <w:tcBorders>
              <w:top w:val="single" w:sz="4" w:space="0" w:color="000000"/>
              <w:left w:val="single" w:sz="4" w:space="0" w:color="000000"/>
              <w:right w:val="single" w:sz="10" w:space="0" w:color="D4D4D4"/>
            </w:tcBorders>
          </w:tcPr>
          <w:p>
            <w:pPr>
              <w:pStyle w:val="TableParagraph"/>
              <w:spacing w:line="241" w:lineRule="exact" w:before="27"/>
              <w:ind w:right="10"/>
              <w:jc w:val="right"/>
              <w:rPr>
                <w:rFonts w:ascii="Times New Roman" w:hAnsi="Times New Roman" w:cs="Times New Roman" w:eastAsia="Times New Roman" w:hint="default"/>
                <w:sz w:val="21"/>
                <w:szCs w:val="21"/>
              </w:rPr>
            </w:pPr>
            <w:r>
              <w:rPr>
                <w:rFonts w:ascii="Times New Roman"/>
                <w:sz w:val="21"/>
              </w:rPr>
              <w:t>3,060.1</w:t>
            </w:r>
          </w:p>
          <w:p>
            <w:pPr>
              <w:pStyle w:val="TableParagraph"/>
              <w:spacing w:line="241" w:lineRule="exact"/>
              <w:ind w:right="12"/>
              <w:jc w:val="right"/>
              <w:rPr>
                <w:rFonts w:ascii="Times New Roman" w:hAnsi="Times New Roman" w:cs="Times New Roman" w:eastAsia="Times New Roman" w:hint="default"/>
                <w:sz w:val="21"/>
                <w:szCs w:val="21"/>
              </w:rPr>
            </w:pPr>
            <w:r>
              <w:rPr>
                <w:rFonts w:ascii="Times New Roman"/>
                <w:w w:val="100"/>
                <w:sz w:val="21"/>
              </w:rPr>
              <w:t>4</w:t>
            </w:r>
          </w:p>
        </w:tc>
        <w:tc>
          <w:tcPr>
            <w:tcW w:w="722" w:type="dxa"/>
            <w:tcBorders>
              <w:top w:val="single" w:sz="4" w:space="0" w:color="000000"/>
              <w:left w:val="single" w:sz="4" w:space="0" w:color="000000"/>
              <w:bottom w:val="nil" w:sz="6" w:space="0" w:color="auto"/>
              <w:right w:val="single" w:sz="4" w:space="0" w:color="000000"/>
            </w:tcBorders>
            <w:shd w:val="clear" w:color="auto" w:fill="D4D4D4"/>
          </w:tcPr>
          <w:p>
            <w:pPr/>
          </w:p>
        </w:tc>
        <w:tc>
          <w:tcPr>
            <w:tcW w:w="722"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242" w:hRule="exact"/>
        </w:trPr>
        <w:tc>
          <w:tcPr>
            <w:tcW w:w="1622" w:type="dxa"/>
            <w:vMerge/>
            <w:tcBorders>
              <w:left w:val="single" w:sz="4" w:space="0" w:color="000000"/>
              <w:right w:val="single" w:sz="4" w:space="0" w:color="FFFFFF"/>
            </w:tcBorders>
            <w:shd w:val="clear" w:color="auto" w:fill="D4D4D4"/>
          </w:tcPr>
          <w:p>
            <w:pPr/>
          </w:p>
        </w:tc>
        <w:tc>
          <w:tcPr>
            <w:tcW w:w="703" w:type="dxa"/>
            <w:tcBorders>
              <w:top w:val="nil" w:sz="6" w:space="0" w:color="auto"/>
              <w:left w:val="single" w:sz="4" w:space="0" w:color="FFFFFF"/>
              <w:bottom w:val="nil" w:sz="6" w:space="0" w:color="auto"/>
              <w:right w:val="single" w:sz="4" w:space="0" w:color="000000"/>
            </w:tcBorders>
            <w:shd w:val="clear" w:color="auto" w:fill="D4D4D4"/>
          </w:tcPr>
          <w:p>
            <w:pPr>
              <w:pStyle w:val="TableParagraph"/>
              <w:spacing w:line="235" w:lineRule="exact"/>
              <w:ind w:right="313"/>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752" w:type="dxa"/>
            <w:vMerge/>
            <w:tcBorders>
              <w:left w:val="single" w:sz="9" w:space="0" w:color="D4D4D4"/>
              <w:right w:val="single" w:sz="4" w:space="0" w:color="000000"/>
            </w:tcBorders>
          </w:tcPr>
          <w:p>
            <w:pPr/>
          </w:p>
        </w:tc>
        <w:tc>
          <w:tcPr>
            <w:tcW w:w="720"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706" w:type="dxa"/>
            <w:vMerge/>
            <w:tcBorders>
              <w:left w:val="single" w:sz="4" w:space="0" w:color="000000"/>
              <w:right w:val="single" w:sz="10" w:space="0" w:color="D4D4D4"/>
            </w:tcBorders>
          </w:tcPr>
          <w:p>
            <w:pPr/>
          </w:p>
        </w:tc>
        <w:tc>
          <w:tcPr>
            <w:tcW w:w="739"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35" w:lineRule="exact"/>
              <w:ind w:left="19" w:right="0"/>
              <w:jc w:val="center"/>
              <w:rPr>
                <w:rFonts w:ascii="Times New Roman" w:hAnsi="Times New Roman" w:cs="Times New Roman" w:eastAsia="Times New Roman" w:hint="default"/>
                <w:sz w:val="21"/>
                <w:szCs w:val="21"/>
              </w:rPr>
            </w:pPr>
            <w:r>
              <w:rPr>
                <w:rFonts w:ascii="Times New Roman"/>
                <w:sz w:val="21"/>
              </w:rPr>
              <w:t>--</w:t>
            </w:r>
          </w:p>
        </w:tc>
        <w:tc>
          <w:tcPr>
            <w:tcW w:w="720"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w:t>
            </w:r>
          </w:p>
        </w:tc>
        <w:tc>
          <w:tcPr>
            <w:tcW w:w="722" w:type="dxa"/>
            <w:vMerge/>
            <w:tcBorders>
              <w:left w:val="single" w:sz="10" w:space="0" w:color="D4D4D4"/>
              <w:right w:val="single" w:sz="4" w:space="0" w:color="000000"/>
            </w:tcBorders>
          </w:tcPr>
          <w:p>
            <w:pPr/>
          </w:p>
        </w:tc>
        <w:tc>
          <w:tcPr>
            <w:tcW w:w="722" w:type="dxa"/>
            <w:vMerge/>
            <w:tcBorders>
              <w:left w:val="single" w:sz="4" w:space="0" w:color="000000"/>
              <w:right w:val="single" w:sz="10" w:space="0" w:color="D4D4D4"/>
            </w:tcBorders>
          </w:tcPr>
          <w:p>
            <w:pPr/>
          </w:p>
        </w:tc>
        <w:tc>
          <w:tcPr>
            <w:tcW w:w="722"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w:t>
            </w:r>
          </w:p>
        </w:tc>
        <w:tc>
          <w:tcPr>
            <w:tcW w:w="722"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35" w:lineRule="exact"/>
              <w:ind w:left="3" w:right="0"/>
              <w:jc w:val="center"/>
              <w:rPr>
                <w:rFonts w:ascii="Times New Roman" w:hAnsi="Times New Roman" w:cs="Times New Roman" w:eastAsia="Times New Roman" w:hint="default"/>
                <w:sz w:val="21"/>
                <w:szCs w:val="21"/>
              </w:rPr>
            </w:pPr>
            <w:r>
              <w:rPr>
                <w:rFonts w:ascii="Times New Roman"/>
                <w:sz w:val="21"/>
              </w:rPr>
              <w:t>--</w:t>
            </w:r>
          </w:p>
        </w:tc>
      </w:tr>
      <w:tr>
        <w:trPr>
          <w:trHeight w:val="185" w:hRule="exact"/>
        </w:trPr>
        <w:tc>
          <w:tcPr>
            <w:tcW w:w="1622" w:type="dxa"/>
            <w:vMerge/>
            <w:tcBorders>
              <w:left w:val="single" w:sz="4" w:space="0" w:color="000000"/>
              <w:bottom w:val="single" w:sz="4" w:space="0" w:color="000000"/>
              <w:right w:val="single" w:sz="4" w:space="0" w:color="FFFFFF"/>
            </w:tcBorders>
            <w:shd w:val="clear" w:color="auto" w:fill="D4D4D4"/>
          </w:tcPr>
          <w:p>
            <w:pPr/>
          </w:p>
        </w:tc>
        <w:tc>
          <w:tcPr>
            <w:tcW w:w="703" w:type="dxa"/>
            <w:tcBorders>
              <w:top w:val="nil" w:sz="6" w:space="0" w:color="auto"/>
              <w:left w:val="single" w:sz="4" w:space="0" w:color="FFFFFF"/>
              <w:bottom w:val="single" w:sz="4" w:space="0" w:color="000000"/>
              <w:right w:val="single" w:sz="4" w:space="0" w:color="000000"/>
            </w:tcBorders>
            <w:shd w:val="clear" w:color="auto" w:fill="D4D4D4"/>
          </w:tcPr>
          <w:p>
            <w:pPr/>
          </w:p>
        </w:tc>
        <w:tc>
          <w:tcPr>
            <w:tcW w:w="752" w:type="dxa"/>
            <w:vMerge/>
            <w:tcBorders>
              <w:left w:val="single" w:sz="9" w:space="0" w:color="D4D4D4"/>
              <w:bottom w:val="single" w:sz="23" w:space="0" w:color="D4D4D4"/>
              <w:right w:val="single" w:sz="4" w:space="0" w:color="000000"/>
            </w:tcBorders>
          </w:tcPr>
          <w:p>
            <w:pPr/>
          </w:p>
        </w:tc>
        <w:tc>
          <w:tcPr>
            <w:tcW w:w="720" w:type="dxa"/>
            <w:vMerge/>
            <w:tcBorders>
              <w:left w:val="single" w:sz="4" w:space="0" w:color="000000"/>
              <w:bottom w:val="single" w:sz="23" w:space="0" w:color="D4D4D4"/>
              <w:right w:val="single" w:sz="4" w:space="0" w:color="000000"/>
            </w:tcBorders>
          </w:tcPr>
          <w:p>
            <w:pPr/>
          </w:p>
        </w:tc>
        <w:tc>
          <w:tcPr>
            <w:tcW w:w="720" w:type="dxa"/>
            <w:vMerge/>
            <w:tcBorders>
              <w:left w:val="single" w:sz="4" w:space="0" w:color="000000"/>
              <w:bottom w:val="single" w:sz="23" w:space="0" w:color="D4D4D4"/>
              <w:right w:val="single" w:sz="4" w:space="0" w:color="000000"/>
            </w:tcBorders>
          </w:tcPr>
          <w:p>
            <w:pPr/>
          </w:p>
        </w:tc>
        <w:tc>
          <w:tcPr>
            <w:tcW w:w="706" w:type="dxa"/>
            <w:vMerge/>
            <w:tcBorders>
              <w:left w:val="single" w:sz="4" w:space="0" w:color="000000"/>
              <w:bottom w:val="single" w:sz="23" w:space="0" w:color="D4D4D4"/>
              <w:right w:val="single" w:sz="10" w:space="0" w:color="D4D4D4"/>
            </w:tcBorders>
          </w:tcPr>
          <w:p>
            <w:pPr/>
          </w:p>
        </w:tc>
        <w:tc>
          <w:tcPr>
            <w:tcW w:w="739" w:type="dxa"/>
            <w:tcBorders>
              <w:top w:val="nil" w:sz="6" w:space="0" w:color="auto"/>
              <w:left w:val="single" w:sz="4" w:space="0" w:color="000000"/>
              <w:bottom w:val="single" w:sz="4" w:space="0" w:color="000000"/>
              <w:right w:val="single" w:sz="4" w:space="0" w:color="000000"/>
            </w:tcBorders>
            <w:shd w:val="clear" w:color="auto" w:fill="D4D4D4"/>
          </w:tcPr>
          <w:p>
            <w:pPr/>
          </w:p>
        </w:tc>
        <w:tc>
          <w:tcPr>
            <w:tcW w:w="720" w:type="dxa"/>
            <w:tcBorders>
              <w:top w:val="nil" w:sz="6" w:space="0" w:color="auto"/>
              <w:left w:val="single" w:sz="4" w:space="0" w:color="000000"/>
              <w:bottom w:val="single" w:sz="4" w:space="0" w:color="000000"/>
              <w:right w:val="single" w:sz="4" w:space="0" w:color="000000"/>
            </w:tcBorders>
            <w:shd w:val="clear" w:color="auto" w:fill="D4D4D4"/>
          </w:tcPr>
          <w:p>
            <w:pPr/>
          </w:p>
        </w:tc>
        <w:tc>
          <w:tcPr>
            <w:tcW w:w="722" w:type="dxa"/>
            <w:vMerge/>
            <w:tcBorders>
              <w:left w:val="single" w:sz="10" w:space="0" w:color="D4D4D4"/>
              <w:bottom w:val="single" w:sz="23" w:space="0" w:color="D4D4D4"/>
              <w:right w:val="single" w:sz="4" w:space="0" w:color="000000"/>
            </w:tcBorders>
          </w:tcPr>
          <w:p>
            <w:pPr/>
          </w:p>
        </w:tc>
        <w:tc>
          <w:tcPr>
            <w:tcW w:w="722" w:type="dxa"/>
            <w:vMerge/>
            <w:tcBorders>
              <w:left w:val="single" w:sz="4" w:space="0" w:color="000000"/>
              <w:bottom w:val="single" w:sz="23" w:space="0" w:color="D4D4D4"/>
              <w:right w:val="single" w:sz="10" w:space="0" w:color="D4D4D4"/>
            </w:tcBorders>
          </w:tcPr>
          <w:p>
            <w:pPr/>
          </w:p>
        </w:tc>
        <w:tc>
          <w:tcPr>
            <w:tcW w:w="722" w:type="dxa"/>
            <w:tcBorders>
              <w:top w:val="nil" w:sz="6" w:space="0" w:color="auto"/>
              <w:left w:val="single" w:sz="4" w:space="0" w:color="000000"/>
              <w:bottom w:val="single" w:sz="4" w:space="0" w:color="000000"/>
              <w:right w:val="single" w:sz="4" w:space="0" w:color="000000"/>
            </w:tcBorders>
            <w:shd w:val="clear" w:color="auto" w:fill="D4D4D4"/>
          </w:tcPr>
          <w:p>
            <w:pPr/>
          </w:p>
        </w:tc>
        <w:tc>
          <w:tcPr>
            <w:tcW w:w="722"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326"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超募资金投向</w:t>
            </w:r>
          </w:p>
        </w:tc>
      </w:tr>
      <w:tr>
        <w:trPr>
          <w:trHeight w:val="852" w:hRule="exact"/>
        </w:trPr>
        <w:tc>
          <w:tcPr>
            <w:tcW w:w="1622" w:type="dxa"/>
            <w:tcBorders>
              <w:top w:val="single" w:sz="23" w:space="0" w:color="D4D4D4"/>
              <w:left w:val="single" w:sz="4" w:space="0" w:color="000000"/>
              <w:bottom w:val="single" w:sz="4" w:space="0" w:color="000000"/>
              <w:right w:val="single" w:sz="4" w:space="0" w:color="000000"/>
            </w:tcBorders>
          </w:tcPr>
          <w:p>
            <w:pPr>
              <w:pStyle w:val="TableParagraph"/>
              <w:spacing w:line="248"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8"/>
                <w:sz w:val="21"/>
                <w:szCs w:val="21"/>
              </w:rPr>
              <w:t> </w:t>
            </w:r>
            <w:r>
              <w:rPr>
                <w:rFonts w:ascii="宋体" w:hAnsi="宋体" w:cs="宋体" w:eastAsia="宋体" w:hint="default"/>
                <w:sz w:val="21"/>
                <w:szCs w:val="21"/>
              </w:rPr>
              <w:t>其他与主营业</w:t>
            </w:r>
          </w:p>
          <w:p>
            <w:pPr>
              <w:pStyle w:val="TableParagraph"/>
              <w:spacing w:line="274" w:lineRule="exact" w:before="17"/>
              <w:ind w:left="24" w:right="112"/>
              <w:jc w:val="left"/>
              <w:rPr>
                <w:rFonts w:ascii="宋体" w:hAnsi="宋体" w:cs="宋体" w:eastAsia="宋体" w:hint="default"/>
                <w:sz w:val="21"/>
                <w:szCs w:val="21"/>
              </w:rPr>
            </w:pPr>
            <w:r>
              <w:rPr>
                <w:rFonts w:ascii="宋体" w:hAnsi="宋体" w:cs="宋体" w:eastAsia="宋体" w:hint="default"/>
                <w:sz w:val="21"/>
                <w:szCs w:val="21"/>
              </w:rPr>
              <w:t>务相关的营运资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金项目</w:t>
            </w:r>
          </w:p>
        </w:tc>
        <w:tc>
          <w:tcPr>
            <w:tcW w:w="703" w:type="dxa"/>
            <w:tcBorders>
              <w:top w:val="single" w:sz="23" w:space="0" w:color="D4D4D4"/>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52" w:type="dxa"/>
            <w:tcBorders>
              <w:top w:val="single" w:sz="23" w:space="0" w:color="D4D4D4"/>
              <w:left w:val="single" w:sz="4" w:space="0" w:color="000000"/>
              <w:bottom w:val="single" w:sz="4" w:space="0" w:color="000000"/>
              <w:right w:val="single" w:sz="4" w:space="0" w:color="000000"/>
            </w:tcBorders>
          </w:tcPr>
          <w:p>
            <w:pPr>
              <w:pStyle w:val="TableParagraph"/>
              <w:spacing w:line="240" w:lineRule="auto" w:before="161"/>
              <w:ind w:right="19"/>
              <w:jc w:val="right"/>
              <w:rPr>
                <w:rFonts w:ascii="Times New Roman" w:hAnsi="Times New Roman" w:cs="Times New Roman" w:eastAsia="Times New Roman" w:hint="default"/>
                <w:sz w:val="21"/>
                <w:szCs w:val="21"/>
              </w:rPr>
            </w:pPr>
            <w:r>
              <w:rPr>
                <w:rFonts w:ascii="Times New Roman"/>
                <w:spacing w:val="-2"/>
                <w:sz w:val="21"/>
              </w:rPr>
              <w:t>8,411.2</w:t>
            </w:r>
          </w:p>
          <w:p>
            <w:pPr>
              <w:pStyle w:val="TableParagraph"/>
              <w:spacing w:line="240" w:lineRule="auto" w:before="1"/>
              <w:ind w:right="23"/>
              <w:jc w:val="right"/>
              <w:rPr>
                <w:rFonts w:ascii="Times New Roman" w:hAnsi="Times New Roman" w:cs="Times New Roman" w:eastAsia="Times New Roman" w:hint="default"/>
                <w:sz w:val="21"/>
                <w:szCs w:val="21"/>
              </w:rPr>
            </w:pPr>
            <w:r>
              <w:rPr>
                <w:rFonts w:ascii="Times New Roman"/>
                <w:w w:val="100"/>
                <w:sz w:val="21"/>
              </w:rPr>
              <w:t>8</w:t>
            </w:r>
          </w:p>
        </w:tc>
        <w:tc>
          <w:tcPr>
            <w:tcW w:w="720" w:type="dxa"/>
            <w:tcBorders>
              <w:top w:val="single" w:sz="23" w:space="0" w:color="D4D4D4"/>
              <w:left w:val="single" w:sz="4" w:space="0" w:color="000000"/>
              <w:bottom w:val="single" w:sz="4" w:space="0" w:color="000000"/>
              <w:right w:val="single" w:sz="4" w:space="0" w:color="000000"/>
            </w:tcBorders>
          </w:tcPr>
          <w:p>
            <w:pPr>
              <w:pStyle w:val="TableParagraph"/>
              <w:spacing w:line="240" w:lineRule="auto" w:before="161"/>
              <w:ind w:right="17"/>
              <w:jc w:val="right"/>
              <w:rPr>
                <w:rFonts w:ascii="Times New Roman" w:hAnsi="Times New Roman" w:cs="Times New Roman" w:eastAsia="Times New Roman" w:hint="default"/>
                <w:sz w:val="21"/>
                <w:szCs w:val="21"/>
              </w:rPr>
            </w:pPr>
            <w:r>
              <w:rPr>
                <w:rFonts w:ascii="Times New Roman"/>
                <w:spacing w:val="-2"/>
                <w:sz w:val="21"/>
              </w:rPr>
              <w:t>8,411.2</w:t>
            </w:r>
          </w:p>
          <w:p>
            <w:pPr>
              <w:pStyle w:val="TableParagraph"/>
              <w:spacing w:line="240" w:lineRule="auto" w:before="1"/>
              <w:ind w:right="19"/>
              <w:jc w:val="right"/>
              <w:rPr>
                <w:rFonts w:ascii="Times New Roman" w:hAnsi="Times New Roman" w:cs="Times New Roman" w:eastAsia="Times New Roman" w:hint="default"/>
                <w:sz w:val="21"/>
                <w:szCs w:val="21"/>
              </w:rPr>
            </w:pPr>
            <w:r>
              <w:rPr>
                <w:rFonts w:ascii="Times New Roman"/>
                <w:w w:val="100"/>
                <w:sz w:val="21"/>
              </w:rPr>
              <w:t>8</w:t>
            </w:r>
          </w:p>
        </w:tc>
        <w:tc>
          <w:tcPr>
            <w:tcW w:w="720" w:type="dxa"/>
            <w:tcBorders>
              <w:top w:val="single" w:sz="23" w:space="0" w:color="D4D4D4"/>
              <w:left w:val="single" w:sz="4" w:space="0" w:color="000000"/>
              <w:bottom w:val="single" w:sz="4" w:space="0" w:color="000000"/>
              <w:right w:val="single" w:sz="4" w:space="0" w:color="000000"/>
            </w:tcBorders>
          </w:tcPr>
          <w:p>
            <w:pPr/>
          </w:p>
        </w:tc>
        <w:tc>
          <w:tcPr>
            <w:tcW w:w="706" w:type="dxa"/>
            <w:tcBorders>
              <w:top w:val="single" w:sz="23" w:space="0" w:color="D4D4D4"/>
              <w:left w:val="single" w:sz="4" w:space="0" w:color="000000"/>
              <w:bottom w:val="single" w:sz="4" w:space="0" w:color="000000"/>
              <w:right w:val="single" w:sz="4" w:space="0" w:color="000000"/>
            </w:tcBorders>
          </w:tcPr>
          <w:p>
            <w:pPr>
              <w:pStyle w:val="TableParagraph"/>
              <w:spacing w:line="240" w:lineRule="auto" w:before="161"/>
              <w:ind w:left="115" w:right="0"/>
              <w:jc w:val="left"/>
              <w:rPr>
                <w:rFonts w:ascii="Times New Roman" w:hAnsi="Times New Roman" w:cs="Times New Roman" w:eastAsia="Times New Roman" w:hint="default"/>
                <w:sz w:val="21"/>
                <w:szCs w:val="21"/>
              </w:rPr>
            </w:pPr>
            <w:r>
              <w:rPr>
                <w:rFonts w:ascii="Times New Roman"/>
                <w:sz w:val="21"/>
              </w:rPr>
              <w:t>7,405.</w:t>
            </w:r>
          </w:p>
          <w:p>
            <w:pPr>
              <w:pStyle w:val="TableParagraph"/>
              <w:spacing w:line="240" w:lineRule="auto" w:before="1"/>
              <w:ind w:left="429" w:right="0"/>
              <w:jc w:val="left"/>
              <w:rPr>
                <w:rFonts w:ascii="Times New Roman" w:hAnsi="Times New Roman" w:cs="Times New Roman" w:eastAsia="Times New Roman" w:hint="default"/>
                <w:sz w:val="21"/>
                <w:szCs w:val="21"/>
              </w:rPr>
            </w:pPr>
            <w:r>
              <w:rPr>
                <w:rFonts w:ascii="Times New Roman"/>
                <w:sz w:val="21"/>
              </w:rPr>
              <w:t>36</w:t>
            </w:r>
          </w:p>
        </w:tc>
        <w:tc>
          <w:tcPr>
            <w:tcW w:w="739" w:type="dxa"/>
            <w:tcBorders>
              <w:top w:val="single" w:sz="23" w:space="0" w:color="D4D4D4"/>
              <w:left w:val="single" w:sz="4" w:space="0" w:color="000000"/>
              <w:bottom w:val="single" w:sz="4" w:space="0" w:color="000000"/>
              <w:right w:val="single" w:sz="4" w:space="0" w:color="000000"/>
            </w:tcBorders>
          </w:tcPr>
          <w:p>
            <w:pPr/>
          </w:p>
        </w:tc>
        <w:tc>
          <w:tcPr>
            <w:tcW w:w="720" w:type="dxa"/>
            <w:tcBorders>
              <w:top w:val="single" w:sz="23" w:space="0" w:color="D4D4D4"/>
              <w:left w:val="single" w:sz="4" w:space="0" w:color="000000"/>
              <w:bottom w:val="single" w:sz="4" w:space="0" w:color="000000"/>
              <w:right w:val="single" w:sz="4" w:space="0" w:color="000000"/>
            </w:tcBorders>
          </w:tcPr>
          <w:p>
            <w:pPr/>
          </w:p>
        </w:tc>
        <w:tc>
          <w:tcPr>
            <w:tcW w:w="722" w:type="dxa"/>
            <w:tcBorders>
              <w:top w:val="single" w:sz="23" w:space="0" w:color="D4D4D4"/>
              <w:left w:val="single" w:sz="4" w:space="0" w:color="000000"/>
              <w:bottom w:val="single" w:sz="4" w:space="0" w:color="000000"/>
              <w:right w:val="single" w:sz="4" w:space="0" w:color="000000"/>
            </w:tcBorders>
          </w:tcPr>
          <w:p>
            <w:pPr/>
          </w:p>
        </w:tc>
        <w:tc>
          <w:tcPr>
            <w:tcW w:w="722" w:type="dxa"/>
            <w:tcBorders>
              <w:top w:val="single" w:sz="23" w:space="0" w:color="D4D4D4"/>
              <w:left w:val="single" w:sz="4" w:space="0" w:color="000000"/>
              <w:bottom w:val="single" w:sz="4" w:space="0" w:color="000000"/>
              <w:right w:val="single" w:sz="4" w:space="0" w:color="000000"/>
            </w:tcBorders>
          </w:tcPr>
          <w:p>
            <w:pPr/>
          </w:p>
        </w:tc>
        <w:tc>
          <w:tcPr>
            <w:tcW w:w="722" w:type="dxa"/>
            <w:tcBorders>
              <w:top w:val="single" w:sz="23" w:space="0" w:color="D4D4D4"/>
              <w:left w:val="single" w:sz="4" w:space="0" w:color="000000"/>
              <w:bottom w:val="single" w:sz="4" w:space="0" w:color="000000"/>
              <w:right w:val="single" w:sz="4" w:space="0" w:color="000000"/>
            </w:tcBorders>
          </w:tcPr>
          <w:p>
            <w:pPr/>
          </w:p>
        </w:tc>
        <w:tc>
          <w:tcPr>
            <w:tcW w:w="722" w:type="dxa"/>
            <w:tcBorders>
              <w:top w:val="single" w:sz="23" w:space="0" w:color="D4D4D4"/>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158" w:hRule="exact"/>
        </w:trPr>
        <w:tc>
          <w:tcPr>
            <w:tcW w:w="1622" w:type="dxa"/>
            <w:vMerge w:val="restart"/>
            <w:tcBorders>
              <w:top w:val="single" w:sz="4" w:space="0" w:color="000000"/>
              <w:left w:val="single" w:sz="4" w:space="0" w:color="000000"/>
              <w:right w:val="single" w:sz="4" w:space="0" w:color="000000"/>
            </w:tcBorders>
            <w:shd w:val="clear" w:color="auto" w:fill="D4D4D4"/>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超募资金投向小</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计</w:t>
            </w:r>
          </w:p>
        </w:tc>
        <w:tc>
          <w:tcPr>
            <w:tcW w:w="703" w:type="dxa"/>
            <w:tcBorders>
              <w:top w:val="single" w:sz="4" w:space="0" w:color="000000"/>
              <w:left w:val="single" w:sz="4" w:space="0" w:color="000000"/>
              <w:bottom w:val="nil" w:sz="6" w:space="0" w:color="auto"/>
              <w:right w:val="single" w:sz="4" w:space="0" w:color="000000"/>
            </w:tcBorders>
            <w:shd w:val="clear" w:color="auto" w:fill="D4D4D4"/>
          </w:tcPr>
          <w:p>
            <w:pPr/>
          </w:p>
        </w:tc>
        <w:tc>
          <w:tcPr>
            <w:tcW w:w="752" w:type="dxa"/>
            <w:vMerge w:val="restart"/>
            <w:tcBorders>
              <w:top w:val="single" w:sz="4" w:space="0" w:color="000000"/>
              <w:left w:val="single" w:sz="10" w:space="0" w:color="D4D4D4"/>
              <w:right w:val="single" w:sz="4" w:space="0" w:color="000000"/>
            </w:tcBorders>
          </w:tcPr>
          <w:p>
            <w:pPr>
              <w:pStyle w:val="TableParagraph"/>
              <w:spacing w:line="241" w:lineRule="exact" w:before="27"/>
              <w:ind w:right="19"/>
              <w:jc w:val="right"/>
              <w:rPr>
                <w:rFonts w:ascii="Times New Roman" w:hAnsi="Times New Roman" w:cs="Times New Roman" w:eastAsia="Times New Roman" w:hint="default"/>
                <w:sz w:val="21"/>
                <w:szCs w:val="21"/>
              </w:rPr>
            </w:pPr>
            <w:r>
              <w:rPr>
                <w:rFonts w:ascii="Times New Roman"/>
                <w:spacing w:val="-2"/>
                <w:sz w:val="21"/>
              </w:rPr>
              <w:t>8,411.2</w:t>
            </w:r>
          </w:p>
          <w:p>
            <w:pPr>
              <w:pStyle w:val="TableParagraph"/>
              <w:spacing w:line="241" w:lineRule="exact"/>
              <w:ind w:right="23"/>
              <w:jc w:val="right"/>
              <w:rPr>
                <w:rFonts w:ascii="Times New Roman" w:hAnsi="Times New Roman" w:cs="Times New Roman" w:eastAsia="Times New Roman" w:hint="default"/>
                <w:sz w:val="21"/>
                <w:szCs w:val="21"/>
              </w:rPr>
            </w:pPr>
            <w:r>
              <w:rPr>
                <w:rFonts w:ascii="Times New Roman"/>
                <w:w w:val="100"/>
                <w:sz w:val="21"/>
              </w:rPr>
              <w:t>8</w:t>
            </w:r>
          </w:p>
        </w:tc>
        <w:tc>
          <w:tcPr>
            <w:tcW w:w="720" w:type="dxa"/>
            <w:vMerge w:val="restart"/>
            <w:tcBorders>
              <w:top w:val="single" w:sz="4" w:space="0" w:color="000000"/>
              <w:left w:val="single" w:sz="4" w:space="0" w:color="000000"/>
              <w:right w:val="single" w:sz="4" w:space="0" w:color="000000"/>
            </w:tcBorders>
          </w:tcPr>
          <w:p>
            <w:pPr>
              <w:pStyle w:val="TableParagraph"/>
              <w:spacing w:line="241" w:lineRule="exact" w:before="27"/>
              <w:ind w:right="17"/>
              <w:jc w:val="right"/>
              <w:rPr>
                <w:rFonts w:ascii="Times New Roman" w:hAnsi="Times New Roman" w:cs="Times New Roman" w:eastAsia="Times New Roman" w:hint="default"/>
                <w:sz w:val="21"/>
                <w:szCs w:val="21"/>
              </w:rPr>
            </w:pPr>
            <w:r>
              <w:rPr>
                <w:rFonts w:ascii="Times New Roman"/>
                <w:spacing w:val="-2"/>
                <w:sz w:val="21"/>
              </w:rPr>
              <w:t>8,411.2</w:t>
            </w:r>
          </w:p>
          <w:p>
            <w:pPr>
              <w:pStyle w:val="TableParagraph"/>
              <w:spacing w:line="241" w:lineRule="exact"/>
              <w:ind w:right="19"/>
              <w:jc w:val="right"/>
              <w:rPr>
                <w:rFonts w:ascii="Times New Roman" w:hAnsi="Times New Roman" w:cs="Times New Roman" w:eastAsia="Times New Roman" w:hint="default"/>
                <w:sz w:val="21"/>
                <w:szCs w:val="21"/>
              </w:rPr>
            </w:pPr>
            <w:r>
              <w:rPr>
                <w:rFonts w:ascii="Times New Roman"/>
                <w:w w:val="100"/>
                <w:sz w:val="21"/>
              </w:rPr>
              <w:t>8</w:t>
            </w:r>
          </w:p>
        </w:tc>
        <w:tc>
          <w:tcPr>
            <w:tcW w:w="720" w:type="dxa"/>
            <w:vMerge w:val="restart"/>
            <w:tcBorders>
              <w:top w:val="single" w:sz="4" w:space="0" w:color="000000"/>
              <w:left w:val="single" w:sz="4" w:space="0" w:color="000000"/>
              <w:right w:val="single" w:sz="4" w:space="0" w:color="000000"/>
            </w:tcBorders>
          </w:tcPr>
          <w:p>
            <w:pPr/>
          </w:p>
        </w:tc>
        <w:tc>
          <w:tcPr>
            <w:tcW w:w="706" w:type="dxa"/>
            <w:vMerge w:val="restart"/>
            <w:tcBorders>
              <w:top w:val="single" w:sz="4" w:space="0" w:color="000000"/>
              <w:left w:val="single" w:sz="4" w:space="0" w:color="000000"/>
              <w:right w:val="single" w:sz="4" w:space="0" w:color="000000"/>
            </w:tcBorders>
          </w:tcPr>
          <w:p>
            <w:pPr>
              <w:pStyle w:val="TableParagraph"/>
              <w:spacing w:line="241" w:lineRule="exact" w:before="27"/>
              <w:ind w:left="115" w:right="0"/>
              <w:jc w:val="left"/>
              <w:rPr>
                <w:rFonts w:ascii="Times New Roman" w:hAnsi="Times New Roman" w:cs="Times New Roman" w:eastAsia="Times New Roman" w:hint="default"/>
                <w:sz w:val="21"/>
                <w:szCs w:val="21"/>
              </w:rPr>
            </w:pPr>
            <w:r>
              <w:rPr>
                <w:rFonts w:ascii="Times New Roman"/>
                <w:sz w:val="21"/>
              </w:rPr>
              <w:t>7,405.</w:t>
            </w:r>
          </w:p>
          <w:p>
            <w:pPr>
              <w:pStyle w:val="TableParagraph"/>
              <w:spacing w:line="241" w:lineRule="exact"/>
              <w:ind w:left="429" w:right="0"/>
              <w:jc w:val="left"/>
              <w:rPr>
                <w:rFonts w:ascii="Times New Roman" w:hAnsi="Times New Roman" w:cs="Times New Roman" w:eastAsia="Times New Roman" w:hint="default"/>
                <w:sz w:val="21"/>
                <w:szCs w:val="21"/>
              </w:rPr>
            </w:pPr>
            <w:r>
              <w:rPr>
                <w:rFonts w:ascii="Times New Roman"/>
                <w:sz w:val="21"/>
              </w:rPr>
              <w:t>36</w:t>
            </w:r>
          </w:p>
        </w:tc>
        <w:tc>
          <w:tcPr>
            <w:tcW w:w="73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47"/>
              <w:ind w:right="31"/>
              <w:jc w:val="center"/>
              <w:rPr>
                <w:rFonts w:ascii="Times New Roman" w:hAnsi="Times New Roman" w:cs="Times New Roman" w:eastAsia="Times New Roman" w:hint="default"/>
                <w:sz w:val="21"/>
                <w:szCs w:val="21"/>
              </w:rPr>
            </w:pPr>
            <w:r>
              <w:rPr>
                <w:rFonts w:ascii="Times New Roman"/>
                <w:sz w:val="21"/>
              </w:rPr>
              <w:t>--</w:t>
            </w:r>
          </w:p>
        </w:tc>
        <w:tc>
          <w:tcPr>
            <w:tcW w:w="72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w:t>
            </w:r>
          </w:p>
        </w:tc>
        <w:tc>
          <w:tcPr>
            <w:tcW w:w="722" w:type="dxa"/>
            <w:vMerge w:val="restart"/>
            <w:tcBorders>
              <w:top w:val="single" w:sz="4" w:space="0" w:color="000000"/>
              <w:left w:val="single" w:sz="4" w:space="0" w:color="000000"/>
              <w:right w:val="single" w:sz="4" w:space="0" w:color="000000"/>
            </w:tcBorders>
          </w:tcPr>
          <w:p>
            <w:pPr/>
          </w:p>
        </w:tc>
        <w:tc>
          <w:tcPr>
            <w:tcW w:w="722" w:type="dxa"/>
            <w:vMerge w:val="restart"/>
            <w:tcBorders>
              <w:top w:val="single" w:sz="4" w:space="0" w:color="000000"/>
              <w:left w:val="single" w:sz="4" w:space="0" w:color="000000"/>
              <w:right w:val="single" w:sz="4" w:space="0" w:color="000000"/>
            </w:tcBorders>
          </w:tcPr>
          <w:p>
            <w:pPr/>
          </w:p>
        </w:tc>
        <w:tc>
          <w:tcPr>
            <w:tcW w:w="72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47"/>
              <w:ind w:left="2" w:right="0"/>
              <w:jc w:val="center"/>
              <w:rPr>
                <w:rFonts w:ascii="Times New Roman" w:hAnsi="Times New Roman" w:cs="Times New Roman" w:eastAsia="Times New Roman" w:hint="default"/>
                <w:sz w:val="21"/>
                <w:szCs w:val="21"/>
              </w:rPr>
            </w:pPr>
            <w:r>
              <w:rPr>
                <w:rFonts w:ascii="Times New Roman"/>
                <w:sz w:val="21"/>
              </w:rPr>
              <w:t>--</w:t>
            </w:r>
          </w:p>
        </w:tc>
        <w:tc>
          <w:tcPr>
            <w:tcW w:w="72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47"/>
              <w:ind w:left="3" w:right="0"/>
              <w:jc w:val="center"/>
              <w:rPr>
                <w:rFonts w:ascii="Times New Roman" w:hAnsi="Times New Roman" w:cs="Times New Roman" w:eastAsia="Times New Roman" w:hint="default"/>
                <w:sz w:val="21"/>
                <w:szCs w:val="21"/>
              </w:rPr>
            </w:pPr>
            <w:r>
              <w:rPr>
                <w:rFonts w:ascii="Times New Roman"/>
                <w:sz w:val="21"/>
              </w:rPr>
              <w:t>--</w:t>
            </w:r>
          </w:p>
        </w:tc>
      </w:tr>
      <w:tr>
        <w:trPr>
          <w:trHeight w:val="242" w:hRule="exact"/>
        </w:trPr>
        <w:tc>
          <w:tcPr>
            <w:tcW w:w="1622" w:type="dxa"/>
            <w:vMerge/>
            <w:tcBorders>
              <w:left w:val="single" w:sz="4" w:space="0" w:color="000000"/>
              <w:right w:val="single" w:sz="4" w:space="0" w:color="000000"/>
            </w:tcBorders>
            <w:shd w:val="clear" w:color="auto" w:fill="D4D4D4"/>
          </w:tcPr>
          <w:p>
            <w:pPr/>
          </w:p>
        </w:tc>
        <w:tc>
          <w:tcPr>
            <w:tcW w:w="703"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35" w:lineRule="exact"/>
              <w:ind w:right="251"/>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752" w:type="dxa"/>
            <w:vMerge/>
            <w:tcBorders>
              <w:left w:val="single" w:sz="10" w:space="0" w:color="D4D4D4"/>
              <w:right w:val="single" w:sz="4" w:space="0" w:color="000000"/>
            </w:tcBorders>
          </w:tcPr>
          <w:p>
            <w:pPr/>
          </w:p>
        </w:tc>
        <w:tc>
          <w:tcPr>
            <w:tcW w:w="720"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739" w:type="dxa"/>
            <w:vMerge/>
            <w:tcBorders>
              <w:left w:val="single" w:sz="4" w:space="0" w:color="000000"/>
              <w:right w:val="single" w:sz="4" w:space="0" w:color="000000"/>
            </w:tcBorders>
            <w:shd w:val="clear" w:color="auto" w:fill="D4D4D4"/>
          </w:tcPr>
          <w:p>
            <w:pPr/>
          </w:p>
        </w:tc>
        <w:tc>
          <w:tcPr>
            <w:tcW w:w="720" w:type="dxa"/>
            <w:vMerge/>
            <w:tcBorders>
              <w:left w:val="single" w:sz="4" w:space="0" w:color="000000"/>
              <w:right w:val="single" w:sz="4" w:space="0" w:color="000000"/>
            </w:tcBorders>
            <w:shd w:val="clear" w:color="auto" w:fill="D4D4D4"/>
          </w:tcPr>
          <w:p>
            <w:pPr/>
          </w:p>
        </w:tc>
        <w:tc>
          <w:tcPr>
            <w:tcW w:w="722" w:type="dxa"/>
            <w:vMerge/>
            <w:tcBorders>
              <w:left w:val="single" w:sz="4" w:space="0" w:color="000000"/>
              <w:right w:val="single" w:sz="4" w:space="0" w:color="000000"/>
            </w:tcBorders>
          </w:tcPr>
          <w:p>
            <w:pPr/>
          </w:p>
        </w:tc>
        <w:tc>
          <w:tcPr>
            <w:tcW w:w="722" w:type="dxa"/>
            <w:vMerge/>
            <w:tcBorders>
              <w:left w:val="single" w:sz="4" w:space="0" w:color="000000"/>
              <w:right w:val="single" w:sz="4" w:space="0" w:color="000000"/>
            </w:tcBorders>
          </w:tcPr>
          <w:p>
            <w:pPr/>
          </w:p>
        </w:tc>
        <w:tc>
          <w:tcPr>
            <w:tcW w:w="722" w:type="dxa"/>
            <w:vMerge/>
            <w:tcBorders>
              <w:left w:val="single" w:sz="4" w:space="0" w:color="000000"/>
              <w:right w:val="single" w:sz="4" w:space="0" w:color="000000"/>
            </w:tcBorders>
            <w:shd w:val="clear" w:color="auto" w:fill="D4D4D4"/>
          </w:tcPr>
          <w:p>
            <w:pPr/>
          </w:p>
        </w:tc>
        <w:tc>
          <w:tcPr>
            <w:tcW w:w="722" w:type="dxa"/>
            <w:vMerge/>
            <w:tcBorders>
              <w:left w:val="single" w:sz="4" w:space="0" w:color="000000"/>
              <w:right w:val="single" w:sz="4" w:space="0" w:color="000000"/>
            </w:tcBorders>
            <w:shd w:val="clear" w:color="auto" w:fill="D4D4D4"/>
          </w:tcPr>
          <w:p>
            <w:pPr/>
          </w:p>
        </w:tc>
      </w:tr>
      <w:tr>
        <w:trPr>
          <w:trHeight w:val="156" w:hRule="exact"/>
        </w:trPr>
        <w:tc>
          <w:tcPr>
            <w:tcW w:w="1622" w:type="dxa"/>
            <w:vMerge/>
            <w:tcBorders>
              <w:left w:val="single" w:sz="4" w:space="0" w:color="000000"/>
              <w:bottom w:val="single" w:sz="4" w:space="0" w:color="000000"/>
              <w:right w:val="single" w:sz="4" w:space="0" w:color="000000"/>
            </w:tcBorders>
            <w:shd w:val="clear" w:color="auto" w:fill="D4D4D4"/>
          </w:tcPr>
          <w:p>
            <w:pPr/>
          </w:p>
        </w:tc>
        <w:tc>
          <w:tcPr>
            <w:tcW w:w="703" w:type="dxa"/>
            <w:tcBorders>
              <w:top w:val="nil" w:sz="6" w:space="0" w:color="auto"/>
              <w:left w:val="single" w:sz="4" w:space="0" w:color="000000"/>
              <w:bottom w:val="single" w:sz="4" w:space="0" w:color="000000"/>
              <w:right w:val="single" w:sz="4" w:space="0" w:color="000000"/>
            </w:tcBorders>
            <w:shd w:val="clear" w:color="auto" w:fill="D4D4D4"/>
          </w:tcPr>
          <w:p>
            <w:pPr/>
          </w:p>
        </w:tc>
        <w:tc>
          <w:tcPr>
            <w:tcW w:w="752" w:type="dxa"/>
            <w:vMerge/>
            <w:tcBorders>
              <w:left w:val="single" w:sz="10" w:space="0" w:color="D4D4D4"/>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706" w:type="dxa"/>
            <w:vMerge/>
            <w:tcBorders>
              <w:left w:val="single" w:sz="4" w:space="0" w:color="000000"/>
              <w:bottom w:val="single" w:sz="4" w:space="0" w:color="000000"/>
              <w:right w:val="single" w:sz="4" w:space="0" w:color="000000"/>
            </w:tcBorders>
          </w:tcPr>
          <w:p>
            <w:pPr/>
          </w:p>
        </w:tc>
        <w:tc>
          <w:tcPr>
            <w:tcW w:w="739" w:type="dxa"/>
            <w:vMerge/>
            <w:tcBorders>
              <w:left w:val="single" w:sz="4" w:space="0" w:color="000000"/>
              <w:bottom w:val="single" w:sz="4" w:space="0" w:color="000000"/>
              <w:right w:val="single" w:sz="4" w:space="0" w:color="000000"/>
            </w:tcBorders>
            <w:shd w:val="clear" w:color="auto" w:fill="D4D4D4"/>
          </w:tcPr>
          <w:p>
            <w:pPr/>
          </w:p>
        </w:tc>
        <w:tc>
          <w:tcPr>
            <w:tcW w:w="720" w:type="dxa"/>
            <w:vMerge/>
            <w:tcBorders>
              <w:left w:val="single" w:sz="4" w:space="0" w:color="000000"/>
              <w:bottom w:val="single" w:sz="4" w:space="0" w:color="000000"/>
              <w:right w:val="single" w:sz="4" w:space="0" w:color="000000"/>
            </w:tcBorders>
            <w:shd w:val="clear" w:color="auto" w:fill="D4D4D4"/>
          </w:tcPr>
          <w:p>
            <w:pPr/>
          </w:p>
        </w:tc>
        <w:tc>
          <w:tcPr>
            <w:tcW w:w="722" w:type="dxa"/>
            <w:vMerge/>
            <w:tcBorders>
              <w:left w:val="single" w:sz="4" w:space="0" w:color="000000"/>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4" w:space="0" w:color="000000"/>
            </w:tcBorders>
            <w:shd w:val="clear" w:color="auto" w:fill="D4D4D4"/>
          </w:tcPr>
          <w:p>
            <w:pPr/>
          </w:p>
        </w:tc>
        <w:tc>
          <w:tcPr>
            <w:tcW w:w="722" w:type="dxa"/>
            <w:vMerge/>
            <w:tcBorders>
              <w:left w:val="single" w:sz="4" w:space="0" w:color="000000"/>
              <w:bottom w:val="single" w:sz="4" w:space="0" w:color="000000"/>
              <w:right w:val="single" w:sz="4" w:space="0" w:color="000000"/>
            </w:tcBorders>
            <w:shd w:val="clear" w:color="auto" w:fill="D4D4D4"/>
          </w:tcPr>
          <w:p>
            <w:pPr/>
          </w:p>
        </w:tc>
      </w:tr>
      <w:tr>
        <w:trPr>
          <w:trHeight w:val="110" w:hRule="exact"/>
        </w:trPr>
        <w:tc>
          <w:tcPr>
            <w:tcW w:w="1622" w:type="dxa"/>
            <w:tcBorders>
              <w:top w:val="single" w:sz="4" w:space="0" w:color="000000"/>
              <w:left w:val="single" w:sz="4" w:space="0" w:color="000000"/>
              <w:bottom w:val="nil" w:sz="6" w:space="0" w:color="auto"/>
              <w:right w:val="single" w:sz="4" w:space="0" w:color="000000"/>
            </w:tcBorders>
            <w:shd w:val="clear" w:color="auto" w:fill="D4D4D4"/>
          </w:tcPr>
          <w:p>
            <w:pPr/>
          </w:p>
        </w:tc>
        <w:tc>
          <w:tcPr>
            <w:tcW w:w="703" w:type="dxa"/>
            <w:tcBorders>
              <w:top w:val="single" w:sz="4" w:space="0" w:color="000000"/>
              <w:left w:val="single" w:sz="4" w:space="0" w:color="000000"/>
              <w:bottom w:val="nil" w:sz="6" w:space="0" w:color="auto"/>
              <w:right w:val="single" w:sz="4" w:space="0" w:color="000000"/>
            </w:tcBorders>
            <w:shd w:val="clear" w:color="auto" w:fill="D4D4D4"/>
          </w:tcPr>
          <w:p>
            <w:pPr/>
          </w:p>
        </w:tc>
        <w:tc>
          <w:tcPr>
            <w:tcW w:w="752" w:type="dxa"/>
            <w:vMerge w:val="restart"/>
            <w:tcBorders>
              <w:top w:val="single" w:sz="4" w:space="0" w:color="000000"/>
              <w:left w:val="single" w:sz="10" w:space="0" w:color="D4D4D4"/>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z w:val="21"/>
              </w:rPr>
              <w:t>18,563.</w:t>
            </w:r>
          </w:p>
          <w:p>
            <w:pPr>
              <w:pStyle w:val="TableParagraph"/>
              <w:spacing w:line="240" w:lineRule="auto" w:before="1"/>
              <w:ind w:right="23"/>
              <w:jc w:val="right"/>
              <w:rPr>
                <w:rFonts w:ascii="Times New Roman" w:hAnsi="Times New Roman" w:cs="Times New Roman" w:eastAsia="Times New Roman" w:hint="default"/>
                <w:sz w:val="21"/>
                <w:szCs w:val="21"/>
              </w:rPr>
            </w:pPr>
            <w:r>
              <w:rPr>
                <w:rFonts w:ascii="Times New Roman"/>
                <w:sz w:val="21"/>
              </w:rPr>
              <w:t>28</w:t>
            </w:r>
          </w:p>
        </w:tc>
        <w:tc>
          <w:tcPr>
            <w:tcW w:w="720" w:type="dxa"/>
            <w:vMerge w:val="restart"/>
            <w:tcBorders>
              <w:top w:val="single" w:sz="4" w:space="0" w:color="000000"/>
              <w:left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z w:val="21"/>
              </w:rPr>
              <w:t>18,563.</w:t>
            </w:r>
          </w:p>
          <w:p>
            <w:pPr>
              <w:pStyle w:val="TableParagraph"/>
              <w:spacing w:line="240" w:lineRule="auto" w:before="1"/>
              <w:ind w:right="19"/>
              <w:jc w:val="right"/>
              <w:rPr>
                <w:rFonts w:ascii="Times New Roman" w:hAnsi="Times New Roman" w:cs="Times New Roman" w:eastAsia="Times New Roman" w:hint="default"/>
                <w:sz w:val="21"/>
                <w:szCs w:val="21"/>
              </w:rPr>
            </w:pPr>
            <w:r>
              <w:rPr>
                <w:rFonts w:ascii="Times New Roman"/>
                <w:sz w:val="21"/>
              </w:rPr>
              <w:t>28</w:t>
            </w:r>
          </w:p>
        </w:tc>
        <w:tc>
          <w:tcPr>
            <w:tcW w:w="720" w:type="dxa"/>
            <w:vMerge w:val="restart"/>
            <w:tcBorders>
              <w:top w:val="single" w:sz="4" w:space="0" w:color="000000"/>
              <w:left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z w:val="21"/>
              </w:rPr>
              <w:t>2,070.5</w:t>
            </w:r>
          </w:p>
          <w:p>
            <w:pPr>
              <w:pStyle w:val="TableParagraph"/>
              <w:spacing w:line="240" w:lineRule="auto" w:before="1"/>
              <w:ind w:right="19"/>
              <w:jc w:val="right"/>
              <w:rPr>
                <w:rFonts w:ascii="Times New Roman" w:hAnsi="Times New Roman" w:cs="Times New Roman" w:eastAsia="Times New Roman" w:hint="default"/>
                <w:sz w:val="21"/>
                <w:szCs w:val="21"/>
              </w:rPr>
            </w:pPr>
            <w:r>
              <w:rPr>
                <w:rFonts w:ascii="Times New Roman"/>
                <w:w w:val="100"/>
                <w:sz w:val="21"/>
              </w:rPr>
              <w:t>2</w:t>
            </w:r>
          </w:p>
        </w:tc>
        <w:tc>
          <w:tcPr>
            <w:tcW w:w="706" w:type="dxa"/>
            <w:vMerge w:val="restart"/>
            <w:tcBorders>
              <w:top w:val="single" w:sz="4" w:space="0" w:color="000000"/>
              <w:left w:val="single" w:sz="4" w:space="0" w:color="000000"/>
              <w:right w:val="single" w:sz="4" w:space="0" w:color="000000"/>
            </w:tcBorders>
          </w:tcPr>
          <w:p>
            <w:pPr>
              <w:pStyle w:val="TableParagraph"/>
              <w:spacing w:line="235" w:lineRule="exact"/>
              <w:ind w:left="62" w:right="0"/>
              <w:jc w:val="left"/>
              <w:rPr>
                <w:rFonts w:ascii="Times New Roman" w:hAnsi="Times New Roman" w:cs="Times New Roman" w:eastAsia="Times New Roman" w:hint="default"/>
                <w:sz w:val="21"/>
                <w:szCs w:val="21"/>
              </w:rPr>
            </w:pPr>
            <w:r>
              <w:rPr>
                <w:rFonts w:ascii="Times New Roman"/>
                <w:sz w:val="21"/>
              </w:rPr>
              <w:t>15,035</w:t>
            </w:r>
          </w:p>
          <w:p>
            <w:pPr>
              <w:pStyle w:val="TableParagraph"/>
              <w:spacing w:line="240" w:lineRule="auto" w:before="1"/>
              <w:ind w:left="379" w:right="0"/>
              <w:jc w:val="left"/>
              <w:rPr>
                <w:rFonts w:ascii="Times New Roman" w:hAnsi="Times New Roman" w:cs="Times New Roman" w:eastAsia="Times New Roman" w:hint="default"/>
                <w:sz w:val="21"/>
                <w:szCs w:val="21"/>
              </w:rPr>
            </w:pPr>
            <w:r>
              <w:rPr>
                <w:rFonts w:ascii="Times New Roman"/>
                <w:sz w:val="21"/>
              </w:rPr>
              <w:t>.32</w:t>
            </w:r>
          </w:p>
        </w:tc>
        <w:tc>
          <w:tcPr>
            <w:tcW w:w="73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16"/>
              <w:ind w:right="31"/>
              <w:jc w:val="center"/>
              <w:rPr>
                <w:rFonts w:ascii="Times New Roman" w:hAnsi="Times New Roman" w:cs="Times New Roman" w:eastAsia="Times New Roman" w:hint="default"/>
                <w:sz w:val="21"/>
                <w:szCs w:val="21"/>
              </w:rPr>
            </w:pPr>
            <w:r>
              <w:rPr>
                <w:rFonts w:ascii="Times New Roman"/>
                <w:sz w:val="21"/>
              </w:rPr>
              <w:t>--</w:t>
            </w:r>
          </w:p>
        </w:tc>
        <w:tc>
          <w:tcPr>
            <w:tcW w:w="72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16"/>
              <w:ind w:right="0"/>
              <w:jc w:val="center"/>
              <w:rPr>
                <w:rFonts w:ascii="Times New Roman" w:hAnsi="Times New Roman" w:cs="Times New Roman" w:eastAsia="Times New Roman" w:hint="default"/>
                <w:sz w:val="21"/>
                <w:szCs w:val="21"/>
              </w:rPr>
            </w:pPr>
            <w:r>
              <w:rPr>
                <w:rFonts w:ascii="Times New Roman"/>
                <w:sz w:val="21"/>
              </w:rPr>
              <w:t>--</w:t>
            </w:r>
          </w:p>
        </w:tc>
        <w:tc>
          <w:tcPr>
            <w:tcW w:w="722" w:type="dxa"/>
            <w:vMerge w:val="restart"/>
            <w:tcBorders>
              <w:top w:val="single" w:sz="4" w:space="0" w:color="000000"/>
              <w:left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z w:val="21"/>
              </w:rPr>
              <w:t>1,180.8</w:t>
            </w:r>
          </w:p>
          <w:p>
            <w:pPr>
              <w:pStyle w:val="TableParagraph"/>
              <w:spacing w:line="240" w:lineRule="auto" w:before="1"/>
              <w:ind w:right="19"/>
              <w:jc w:val="right"/>
              <w:rPr>
                <w:rFonts w:ascii="Times New Roman" w:hAnsi="Times New Roman" w:cs="Times New Roman" w:eastAsia="Times New Roman" w:hint="default"/>
                <w:sz w:val="21"/>
                <w:szCs w:val="21"/>
              </w:rPr>
            </w:pPr>
            <w:r>
              <w:rPr>
                <w:rFonts w:ascii="Times New Roman"/>
                <w:w w:val="100"/>
                <w:sz w:val="21"/>
              </w:rPr>
              <w:t>1</w:t>
            </w:r>
          </w:p>
        </w:tc>
        <w:tc>
          <w:tcPr>
            <w:tcW w:w="722" w:type="dxa"/>
            <w:vMerge w:val="restart"/>
            <w:tcBorders>
              <w:top w:val="single" w:sz="4" w:space="0" w:color="000000"/>
              <w:left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z w:val="21"/>
              </w:rPr>
              <w:t>3,060.1</w:t>
            </w:r>
          </w:p>
          <w:p>
            <w:pPr>
              <w:pStyle w:val="TableParagraph"/>
              <w:spacing w:line="240" w:lineRule="auto" w:before="1"/>
              <w:ind w:right="19"/>
              <w:jc w:val="right"/>
              <w:rPr>
                <w:rFonts w:ascii="Times New Roman" w:hAnsi="Times New Roman" w:cs="Times New Roman" w:eastAsia="Times New Roman" w:hint="default"/>
                <w:sz w:val="21"/>
                <w:szCs w:val="21"/>
              </w:rPr>
            </w:pPr>
            <w:r>
              <w:rPr>
                <w:rFonts w:ascii="Times New Roman"/>
                <w:w w:val="100"/>
                <w:sz w:val="21"/>
              </w:rPr>
              <w:t>4</w:t>
            </w:r>
          </w:p>
        </w:tc>
        <w:tc>
          <w:tcPr>
            <w:tcW w:w="72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16"/>
              <w:ind w:left="2" w:right="0"/>
              <w:jc w:val="center"/>
              <w:rPr>
                <w:rFonts w:ascii="Times New Roman" w:hAnsi="Times New Roman" w:cs="Times New Roman" w:eastAsia="Times New Roman" w:hint="default"/>
                <w:sz w:val="21"/>
                <w:szCs w:val="21"/>
              </w:rPr>
            </w:pPr>
            <w:r>
              <w:rPr>
                <w:rFonts w:ascii="Times New Roman"/>
                <w:sz w:val="21"/>
              </w:rPr>
              <w:t>--</w:t>
            </w:r>
          </w:p>
        </w:tc>
        <w:tc>
          <w:tcPr>
            <w:tcW w:w="72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16"/>
              <w:ind w:left="3" w:right="0"/>
              <w:jc w:val="center"/>
              <w:rPr>
                <w:rFonts w:ascii="Times New Roman" w:hAnsi="Times New Roman" w:cs="Times New Roman" w:eastAsia="Times New Roman" w:hint="default"/>
                <w:sz w:val="21"/>
                <w:szCs w:val="21"/>
              </w:rPr>
            </w:pPr>
            <w:r>
              <w:rPr>
                <w:rFonts w:ascii="Times New Roman"/>
                <w:sz w:val="21"/>
              </w:rPr>
              <w:t>--</w:t>
            </w:r>
          </w:p>
        </w:tc>
      </w:tr>
      <w:tr>
        <w:trPr>
          <w:trHeight w:val="382" w:hRule="exact"/>
        </w:trPr>
        <w:tc>
          <w:tcPr>
            <w:tcW w:w="1622" w:type="dxa"/>
            <w:tcBorders>
              <w:top w:val="nil" w:sz="6" w:space="0" w:color="auto"/>
              <w:left w:val="single" w:sz="4" w:space="0" w:color="000000"/>
              <w:bottom w:val="single" w:sz="4" w:space="0" w:color="000000"/>
              <w:right w:val="single" w:sz="4" w:space="0" w:color="000000"/>
            </w:tcBorders>
            <w:shd w:val="clear" w:color="auto" w:fill="D4D4D4"/>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03" w:type="dxa"/>
            <w:tcBorders>
              <w:top w:val="nil" w:sz="6" w:space="0" w:color="auto"/>
              <w:left w:val="single" w:sz="4" w:space="0" w:color="000000"/>
              <w:bottom w:val="single" w:sz="4" w:space="0" w:color="000000"/>
              <w:right w:val="single" w:sz="4" w:space="0" w:color="000000"/>
            </w:tcBorders>
            <w:shd w:val="clear" w:color="auto" w:fill="D4D4D4"/>
          </w:tcPr>
          <w:p>
            <w:pPr>
              <w:pStyle w:val="TableParagraph"/>
              <w:spacing w:line="240" w:lineRule="auto" w:before="10"/>
              <w:ind w:right="251"/>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752" w:type="dxa"/>
            <w:vMerge/>
            <w:tcBorders>
              <w:left w:val="single" w:sz="10" w:space="0" w:color="D4D4D4"/>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706" w:type="dxa"/>
            <w:vMerge/>
            <w:tcBorders>
              <w:left w:val="single" w:sz="4" w:space="0" w:color="000000"/>
              <w:bottom w:val="single" w:sz="4" w:space="0" w:color="000000"/>
              <w:right w:val="single" w:sz="4" w:space="0" w:color="000000"/>
            </w:tcBorders>
          </w:tcPr>
          <w:p>
            <w:pPr/>
          </w:p>
        </w:tc>
        <w:tc>
          <w:tcPr>
            <w:tcW w:w="739" w:type="dxa"/>
            <w:vMerge/>
            <w:tcBorders>
              <w:left w:val="single" w:sz="4" w:space="0" w:color="000000"/>
              <w:bottom w:val="single" w:sz="4" w:space="0" w:color="000000"/>
              <w:right w:val="single" w:sz="4" w:space="0" w:color="000000"/>
            </w:tcBorders>
            <w:shd w:val="clear" w:color="auto" w:fill="D4D4D4"/>
          </w:tcPr>
          <w:p>
            <w:pPr/>
          </w:p>
        </w:tc>
        <w:tc>
          <w:tcPr>
            <w:tcW w:w="720" w:type="dxa"/>
            <w:vMerge/>
            <w:tcBorders>
              <w:left w:val="single" w:sz="4" w:space="0" w:color="000000"/>
              <w:bottom w:val="single" w:sz="4" w:space="0" w:color="000000"/>
              <w:right w:val="single" w:sz="4" w:space="0" w:color="000000"/>
            </w:tcBorders>
            <w:shd w:val="clear" w:color="auto" w:fill="D4D4D4"/>
          </w:tcPr>
          <w:p>
            <w:pPr/>
          </w:p>
        </w:tc>
        <w:tc>
          <w:tcPr>
            <w:tcW w:w="722" w:type="dxa"/>
            <w:vMerge/>
            <w:tcBorders>
              <w:left w:val="single" w:sz="4" w:space="0" w:color="000000"/>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4" w:space="0" w:color="000000"/>
            </w:tcBorders>
            <w:shd w:val="clear" w:color="auto" w:fill="D4D4D4"/>
          </w:tcPr>
          <w:p>
            <w:pPr/>
          </w:p>
        </w:tc>
        <w:tc>
          <w:tcPr>
            <w:tcW w:w="722" w:type="dxa"/>
            <w:vMerge/>
            <w:tcBorders>
              <w:left w:val="single" w:sz="4" w:space="0" w:color="000000"/>
              <w:bottom w:val="single" w:sz="4" w:space="0" w:color="000000"/>
              <w:right w:val="single" w:sz="4" w:space="0" w:color="000000"/>
            </w:tcBorders>
            <w:shd w:val="clear" w:color="auto" w:fill="D4D4D4"/>
          </w:tcPr>
          <w:p>
            <w:pPr/>
          </w:p>
        </w:tc>
      </w:tr>
      <w:tr>
        <w:trPr>
          <w:trHeight w:val="1104" w:hRule="exact"/>
        </w:trPr>
        <w:tc>
          <w:tcPr>
            <w:tcW w:w="16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未达到计划进度</w:t>
            </w:r>
          </w:p>
          <w:p>
            <w:pPr>
              <w:pStyle w:val="TableParagraph"/>
              <w:spacing w:line="240" w:lineRule="auto"/>
              <w:ind w:left="24" w:right="8"/>
              <w:jc w:val="left"/>
              <w:rPr>
                <w:rFonts w:ascii="宋体" w:hAnsi="宋体" w:cs="宋体" w:eastAsia="宋体" w:hint="default"/>
                <w:sz w:val="21"/>
                <w:szCs w:val="21"/>
              </w:rPr>
            </w:pPr>
            <w:r>
              <w:rPr>
                <w:rFonts w:ascii="宋体" w:hAnsi="宋体" w:cs="宋体" w:eastAsia="宋体" w:hint="default"/>
                <w:sz w:val="21"/>
                <w:szCs w:val="21"/>
              </w:rPr>
              <w:t>或预计收益的情</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5"/>
                <w:w w:val="100"/>
                <w:sz w:val="21"/>
                <w:szCs w:val="21"/>
              </w:rPr>
              <w:t>况和原因（分具体</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z w:val="21"/>
                <w:szCs w:val="21"/>
              </w:rPr>
              <w:t>项目）</w:t>
            </w:r>
          </w:p>
        </w:tc>
        <w:tc>
          <w:tcPr>
            <w:tcW w:w="7950" w:type="dxa"/>
            <w:gridSpan w:val="11"/>
            <w:tcBorders>
              <w:top w:val="single" w:sz="48" w:space="0" w:color="D4D4D4"/>
              <w:left w:val="single" w:sz="10" w:space="0" w:color="D4D4D4"/>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9"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after="0" w:line="240" w:lineRule="auto"/>
        <w:jc w:val="left"/>
        <w:rPr>
          <w:rFonts w:ascii="宋体" w:hAnsi="宋体" w:cs="宋体" w:eastAsia="宋体" w:hint="default"/>
          <w:sz w:val="21"/>
          <w:szCs w:val="21"/>
        </w:rPr>
        <w:sectPr>
          <w:type w:val="continuous"/>
          <w:pgSz w:w="11910" w:h="16840"/>
          <w:pgMar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40" w:lineRule="auto" w:before="36"/>
        <w:ind w:left="0" w:right="141"/>
        <w:jc w:val="right"/>
      </w:pPr>
      <w:r>
        <w:rPr/>
        <w:pict>
          <v:shape style="position:absolute;margin-left:56.459999pt;margin-top:-57.337307pt;width:479.25pt;height:459.5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31"/>
                    <w:gridCol w:w="7939"/>
                  </w:tblGrid>
                  <w:tr>
                    <w:trPr>
                      <w:trHeight w:val="828" w:hRule="exact"/>
                    </w:trPr>
                    <w:tc>
                      <w:tcPr>
                        <w:tcW w:w="16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项目可行性发生</w:t>
                        </w:r>
                      </w:p>
                      <w:p>
                        <w:pPr>
                          <w:pStyle w:val="TableParagraph"/>
                          <w:spacing w:line="240" w:lineRule="auto"/>
                          <w:ind w:left="22" w:right="122"/>
                          <w:jc w:val="left"/>
                          <w:rPr>
                            <w:rFonts w:ascii="宋体" w:hAnsi="宋体" w:cs="宋体" w:eastAsia="宋体" w:hint="default"/>
                            <w:sz w:val="21"/>
                            <w:szCs w:val="21"/>
                          </w:rPr>
                        </w:pPr>
                        <w:r>
                          <w:rPr>
                            <w:rFonts w:ascii="宋体" w:hAnsi="宋体" w:cs="宋体" w:eastAsia="宋体" w:hint="default"/>
                            <w:sz w:val="21"/>
                            <w:szCs w:val="21"/>
                          </w:rPr>
                          <w:t>重大变化的情况</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说明</w:t>
                        </w:r>
                      </w:p>
                    </w:tc>
                    <w:tc>
                      <w:tcPr>
                        <w:tcW w:w="7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355" w:hRule="exact"/>
                    </w:trPr>
                    <w:tc>
                      <w:tcPr>
                        <w:tcW w:w="163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22" w:right="-37"/>
                          <w:jc w:val="left"/>
                          <w:rPr>
                            <w:rFonts w:ascii="宋体" w:hAnsi="宋体" w:cs="宋体" w:eastAsia="宋体" w:hint="default"/>
                            <w:sz w:val="21"/>
                            <w:szCs w:val="21"/>
                          </w:rPr>
                        </w:pPr>
                        <w:r>
                          <w:rPr>
                            <w:rFonts w:ascii="宋体" w:hAnsi="宋体" w:cs="宋体" w:eastAsia="宋体" w:hint="default"/>
                            <w:spacing w:val="-8"/>
                            <w:sz w:val="21"/>
                            <w:szCs w:val="21"/>
                          </w:rPr>
                          <w:t>超募资金的金额、</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用途及使用进展</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情况</w:t>
                        </w:r>
                      </w:p>
                    </w:tc>
                    <w:tc>
                      <w:tcPr>
                        <w:tcW w:w="7939" w:type="dxa"/>
                        <w:tcBorders>
                          <w:top w:val="single" w:sz="4" w:space="0" w:color="000000"/>
                          <w:left w:val="single" w:sz="4" w:space="0" w:color="000000"/>
                          <w:bottom w:val="single" w:sz="19" w:space="0" w:color="FFFFFF"/>
                          <w:right w:val="single" w:sz="4" w:space="0" w:color="000000"/>
                        </w:tcBorders>
                      </w:tcPr>
                      <w:p>
                        <w:pPr>
                          <w:pStyle w:val="TableParagraph"/>
                          <w:spacing w:line="240" w:lineRule="auto" w:before="16"/>
                          <w:ind w:left="26" w:right="0"/>
                          <w:jc w:val="left"/>
                          <w:rPr>
                            <w:rFonts w:ascii="宋体" w:hAnsi="宋体" w:cs="宋体" w:eastAsia="宋体" w:hint="default"/>
                            <w:sz w:val="21"/>
                            <w:szCs w:val="21"/>
                          </w:rPr>
                        </w:pPr>
                        <w:r>
                          <w:rPr>
                            <w:rFonts w:ascii="宋体" w:hAnsi="宋体" w:cs="宋体" w:eastAsia="宋体" w:hint="default"/>
                            <w:sz w:val="21"/>
                            <w:szCs w:val="21"/>
                          </w:rPr>
                          <w:t>适用</w:t>
                        </w:r>
                      </w:p>
                    </w:tc>
                  </w:tr>
                  <w:tr>
                    <w:trPr>
                      <w:trHeight w:val="1126" w:hRule="exact"/>
                    </w:trPr>
                    <w:tc>
                      <w:tcPr>
                        <w:tcW w:w="1631" w:type="dxa"/>
                        <w:vMerge/>
                        <w:tcBorders>
                          <w:left w:val="single" w:sz="4" w:space="0" w:color="000000"/>
                          <w:bottom w:val="single" w:sz="4" w:space="0" w:color="000000"/>
                          <w:right w:val="single" w:sz="4" w:space="0" w:color="000000"/>
                        </w:tcBorders>
                        <w:shd w:val="clear" w:color="auto" w:fill="D4D4D4"/>
                      </w:tcPr>
                      <w:p>
                        <w:pPr/>
                      </w:p>
                    </w:tc>
                    <w:tc>
                      <w:tcPr>
                        <w:tcW w:w="7939" w:type="dxa"/>
                        <w:tcBorders>
                          <w:top w:val="single" w:sz="19" w:space="0" w:color="FFFFFF"/>
                          <w:left w:val="single" w:sz="4" w:space="0" w:color="000000"/>
                          <w:bottom w:val="single" w:sz="4" w:space="0" w:color="000000"/>
                          <w:right w:val="single" w:sz="4" w:space="0" w:color="000000"/>
                        </w:tcBorders>
                      </w:tcPr>
                      <w:p>
                        <w:pPr>
                          <w:pStyle w:val="TableParagraph"/>
                          <w:spacing w:line="25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超募</w:t>
                        </w:r>
                        <w:r>
                          <w:rPr>
                            <w:rFonts w:ascii="宋体" w:hAnsi="宋体" w:cs="宋体" w:eastAsia="宋体" w:hint="default"/>
                            <w:spacing w:val="-3"/>
                            <w:w w:val="100"/>
                            <w:sz w:val="21"/>
                            <w:szCs w:val="21"/>
                          </w:rPr>
                          <w:t>资</w:t>
                        </w:r>
                        <w:r>
                          <w:rPr>
                            <w:rFonts w:ascii="宋体" w:hAnsi="宋体" w:cs="宋体" w:eastAsia="宋体" w:hint="default"/>
                            <w:w w:val="100"/>
                            <w:sz w:val="21"/>
                            <w:szCs w:val="21"/>
                          </w:rPr>
                          <w:t>金</w:t>
                        </w:r>
                        <w:r>
                          <w:rPr>
                            <w:rFonts w:ascii="宋体" w:hAnsi="宋体" w:cs="宋体" w:eastAsia="宋体" w:hint="default"/>
                            <w:spacing w:val="-3"/>
                            <w:w w:val="100"/>
                            <w:sz w:val="21"/>
                            <w:szCs w:val="21"/>
                          </w:rPr>
                          <w:t>金额</w:t>
                        </w:r>
                        <w:r>
                          <w:rPr>
                            <w:rFonts w:ascii="宋体" w:hAnsi="宋体" w:cs="宋体" w:eastAsia="宋体" w:hint="default"/>
                            <w:w w:val="100"/>
                            <w:sz w:val="21"/>
                            <w:szCs w:val="21"/>
                          </w:rPr>
                          <w:t>为</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8,</w:t>
                        </w:r>
                        <w:r>
                          <w:rPr>
                            <w:rFonts w:ascii="Times New Roman" w:hAnsi="Times New Roman" w:cs="Times New Roman" w:eastAsia="Times New Roman" w:hint="default"/>
                            <w:spacing w:val="-3"/>
                            <w:w w:val="100"/>
                            <w:sz w:val="21"/>
                            <w:szCs w:val="21"/>
                          </w:rPr>
                          <w:t>4</w:t>
                        </w:r>
                        <w:r>
                          <w:rPr>
                            <w:rFonts w:ascii="Times New Roman" w:hAnsi="Times New Roman" w:cs="Times New Roman" w:eastAsia="Times New Roman" w:hint="default"/>
                            <w:spacing w:val="-8"/>
                            <w:w w:val="100"/>
                            <w:sz w:val="21"/>
                            <w:szCs w:val="21"/>
                          </w:rPr>
                          <w:t>1</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8</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万元</w:t>
                        </w:r>
                        <w:r>
                          <w:rPr>
                            <w:rFonts w:ascii="宋体" w:hAnsi="宋体" w:cs="宋体" w:eastAsia="宋体" w:hint="default"/>
                            <w:spacing w:val="-94"/>
                            <w:w w:val="100"/>
                            <w:sz w:val="21"/>
                            <w:szCs w:val="21"/>
                          </w:rPr>
                          <w:t>，</w:t>
                        </w:r>
                        <w:r>
                          <w:rPr>
                            <w:rFonts w:ascii="宋体" w:hAnsi="宋体" w:cs="宋体" w:eastAsia="宋体" w:hint="default"/>
                            <w:spacing w:val="-3"/>
                            <w:w w:val="100"/>
                            <w:sz w:val="21"/>
                            <w:szCs w:val="21"/>
                          </w:rPr>
                          <w:t>截</w:t>
                        </w:r>
                        <w:r>
                          <w:rPr>
                            <w:rFonts w:ascii="宋体" w:hAnsi="宋体" w:cs="宋体" w:eastAsia="宋体" w:hint="default"/>
                            <w:w w:val="100"/>
                            <w:sz w:val="21"/>
                            <w:szCs w:val="21"/>
                          </w:rPr>
                          <w:t>至</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20</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4</w:t>
                        </w:r>
                        <w:r>
                          <w:rPr>
                            <w:rFonts w:ascii="Times New Roman" w:hAnsi="Times New Roman" w:cs="Times New Roman" w:eastAsia="Times New Roman" w:hint="default"/>
                            <w:sz w:val="21"/>
                            <w:szCs w:val="21"/>
                          </w:rPr>
                          <w:t> </w:t>
                        </w:r>
                        <w:r>
                          <w:rPr>
                            <w:rFonts w:ascii="宋体" w:hAnsi="宋体" w:cs="宋体" w:eastAsia="宋体" w:hint="default"/>
                            <w:w w:val="100"/>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w w:val="100"/>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pacing w:val="-3"/>
                            <w:w w:val="100"/>
                            <w:sz w:val="21"/>
                            <w:szCs w:val="21"/>
                          </w:rPr>
                          <w:t>3</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z w:val="21"/>
                            <w:szCs w:val="21"/>
                          </w:rPr>
                          <w:t> </w:t>
                        </w:r>
                        <w:r>
                          <w:rPr>
                            <w:rFonts w:ascii="宋体" w:hAnsi="宋体" w:cs="宋体" w:eastAsia="宋体" w:hint="default"/>
                            <w:w w:val="100"/>
                            <w:sz w:val="21"/>
                            <w:szCs w:val="21"/>
                          </w:rPr>
                          <w:t>日</w:t>
                        </w:r>
                        <w:r>
                          <w:rPr>
                            <w:rFonts w:ascii="宋体" w:hAnsi="宋体" w:cs="宋体" w:eastAsia="宋体" w:hint="default"/>
                            <w:spacing w:val="-3"/>
                            <w:w w:val="100"/>
                            <w:sz w:val="21"/>
                            <w:szCs w:val="21"/>
                          </w:rPr>
                          <w:t>超</w:t>
                        </w:r>
                        <w:r>
                          <w:rPr>
                            <w:rFonts w:ascii="宋体" w:hAnsi="宋体" w:cs="宋体" w:eastAsia="宋体" w:hint="default"/>
                            <w:w w:val="100"/>
                            <w:sz w:val="21"/>
                            <w:szCs w:val="21"/>
                          </w:rPr>
                          <w:t>募</w:t>
                        </w:r>
                        <w:r>
                          <w:rPr>
                            <w:rFonts w:ascii="宋体" w:hAnsi="宋体" w:cs="宋体" w:eastAsia="宋体" w:hint="default"/>
                            <w:spacing w:val="-3"/>
                            <w:w w:val="100"/>
                            <w:sz w:val="21"/>
                            <w:szCs w:val="21"/>
                          </w:rPr>
                          <w:t>资</w:t>
                        </w:r>
                        <w:r>
                          <w:rPr>
                            <w:rFonts w:ascii="宋体" w:hAnsi="宋体" w:cs="宋体" w:eastAsia="宋体" w:hint="default"/>
                            <w:w w:val="100"/>
                            <w:sz w:val="21"/>
                            <w:szCs w:val="21"/>
                          </w:rPr>
                          <w:t>金</w:t>
                        </w:r>
                        <w:r>
                          <w:rPr>
                            <w:rFonts w:ascii="宋体" w:hAnsi="宋体" w:cs="宋体" w:eastAsia="宋体" w:hint="default"/>
                            <w:spacing w:val="-3"/>
                            <w:w w:val="100"/>
                            <w:sz w:val="21"/>
                            <w:szCs w:val="21"/>
                          </w:rPr>
                          <w:t>已</w:t>
                        </w:r>
                        <w:r>
                          <w:rPr>
                            <w:rFonts w:ascii="宋体" w:hAnsi="宋体" w:cs="宋体" w:eastAsia="宋体" w:hint="default"/>
                            <w:w w:val="100"/>
                            <w:sz w:val="21"/>
                            <w:szCs w:val="21"/>
                          </w:rPr>
                          <w:t>使用</w:t>
                        </w:r>
                        <w:r>
                          <w:rPr>
                            <w:rFonts w:ascii="宋体" w:hAnsi="宋体" w:cs="宋体" w:eastAsia="宋体" w:hint="default"/>
                            <w:spacing w:val="-55"/>
                            <w:sz w:val="21"/>
                            <w:szCs w:val="21"/>
                          </w:rPr>
                          <w:t> </w:t>
                        </w:r>
                        <w:r>
                          <w:rPr>
                            <w:rFonts w:ascii="Times New Roman" w:hAnsi="Times New Roman" w:cs="Times New Roman" w:eastAsia="Times New Roman" w:hint="default"/>
                            <w:w w:val="100"/>
                            <w:sz w:val="21"/>
                            <w:szCs w:val="21"/>
                          </w:rPr>
                          <w:t>7,4</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5</w:t>
                        </w:r>
                        <w:r>
                          <w:rPr>
                            <w:rFonts w:ascii="Times New Roman" w:hAnsi="Times New Roman" w:cs="Times New Roman" w:eastAsia="Times New Roman" w:hint="default"/>
                            <w:spacing w:val="-3"/>
                            <w:w w:val="100"/>
                            <w:sz w:val="21"/>
                            <w:szCs w:val="21"/>
                          </w:rPr>
                          <w:t>.</w:t>
                        </w:r>
                        <w:r>
                          <w:rPr>
                            <w:rFonts w:ascii="Times New Roman" w:hAnsi="Times New Roman" w:cs="Times New Roman" w:eastAsia="Times New Roman" w:hint="default"/>
                            <w:w w:val="100"/>
                            <w:sz w:val="21"/>
                            <w:szCs w:val="21"/>
                          </w:rPr>
                          <w:t>36</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万元</w:t>
                        </w:r>
                        <w:r>
                          <w:rPr>
                            <w:rFonts w:ascii="宋体" w:hAnsi="宋体" w:cs="宋体" w:eastAsia="宋体" w:hint="default"/>
                            <w:w w:val="100"/>
                            <w:sz w:val="21"/>
                            <w:szCs w:val="21"/>
                          </w:rPr>
                        </w:r>
                      </w:p>
                      <w:p>
                        <w:pPr>
                          <w:pStyle w:val="TableParagraph"/>
                          <w:spacing w:line="274" w:lineRule="exact" w:before="17"/>
                          <w:ind w:left="26" w:right="32"/>
                          <w:jc w:val="left"/>
                          <w:rPr>
                            <w:rFonts w:ascii="宋体" w:hAnsi="宋体" w:cs="宋体" w:eastAsia="宋体" w:hint="default"/>
                            <w:sz w:val="21"/>
                            <w:szCs w:val="21"/>
                          </w:rPr>
                        </w:pPr>
                        <w:r>
                          <w:rPr>
                            <w:rFonts w:ascii="宋体" w:hAnsi="宋体" w:cs="宋体" w:eastAsia="宋体" w:hint="default"/>
                            <w:sz w:val="21"/>
                            <w:szCs w:val="21"/>
                          </w:rPr>
                          <w:t>用于购置深圳办公房产。该超募资金的使用经公司</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年第一次临时股东大会及公司</w:t>
                        </w:r>
                        <w:r>
                          <w:rPr>
                            <w:rFonts w:ascii="宋体" w:hAnsi="宋体" w:cs="宋体" w:eastAsia="宋体" w:hint="default"/>
                            <w:spacing w:val="-3"/>
                            <w:w w:val="100"/>
                            <w:sz w:val="21"/>
                            <w:szCs w:val="21"/>
                          </w:rPr>
                          <w:t> </w:t>
                        </w:r>
                        <w:r>
                          <w:rPr>
                            <w:rFonts w:ascii="宋体" w:hAnsi="宋体" w:cs="宋体" w:eastAsia="宋体" w:hint="default"/>
                            <w:sz w:val="21"/>
                            <w:szCs w:val="21"/>
                          </w:rPr>
                          <w:t>第二届董事会第八次会议审议通过。尚未使用的超募资金均存放在公司的募集资金专</w:t>
                        </w:r>
                        <w:r>
                          <w:rPr>
                            <w:rFonts w:ascii="宋体" w:hAnsi="宋体" w:cs="宋体" w:eastAsia="宋体" w:hint="default"/>
                            <w:w w:val="100"/>
                            <w:sz w:val="21"/>
                            <w:szCs w:val="21"/>
                          </w:rPr>
                          <w:t> </w:t>
                        </w:r>
                        <w:r>
                          <w:rPr>
                            <w:rFonts w:ascii="宋体" w:hAnsi="宋体" w:cs="宋体" w:eastAsia="宋体" w:hint="default"/>
                            <w:sz w:val="21"/>
                            <w:szCs w:val="21"/>
                          </w:rPr>
                          <w:t>户。</w:t>
                        </w:r>
                      </w:p>
                    </w:tc>
                  </w:tr>
                  <w:tr>
                    <w:trPr>
                      <w:trHeight w:val="379" w:hRule="exact"/>
                    </w:trPr>
                    <w:tc>
                      <w:tcPr>
                        <w:tcW w:w="163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2" w:right="122"/>
                          <w:jc w:val="both"/>
                          <w:rPr>
                            <w:rFonts w:ascii="宋体" w:hAnsi="宋体" w:cs="宋体" w:eastAsia="宋体" w:hint="default"/>
                            <w:sz w:val="21"/>
                            <w:szCs w:val="21"/>
                          </w:rPr>
                        </w:pPr>
                        <w:r>
                          <w:rPr>
                            <w:rFonts w:ascii="宋体" w:hAnsi="宋体" w:cs="宋体" w:eastAsia="宋体" w:hint="default"/>
                            <w:sz w:val="21"/>
                            <w:szCs w:val="21"/>
                          </w:rPr>
                          <w:t>募集资金投资项</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目实施地点变更</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情况</w:t>
                        </w:r>
                      </w:p>
                    </w:tc>
                    <w:tc>
                      <w:tcPr>
                        <w:tcW w:w="7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6" w:right="0"/>
                          <w:jc w:val="left"/>
                          <w:rPr>
                            <w:rFonts w:ascii="宋体" w:hAnsi="宋体" w:cs="宋体" w:eastAsia="宋体" w:hint="default"/>
                            <w:sz w:val="21"/>
                            <w:szCs w:val="21"/>
                          </w:rPr>
                        </w:pPr>
                        <w:r>
                          <w:rPr>
                            <w:rFonts w:ascii="宋体" w:hAnsi="宋体" w:cs="宋体" w:eastAsia="宋体" w:hint="default"/>
                            <w:sz w:val="21"/>
                            <w:szCs w:val="21"/>
                          </w:rPr>
                          <w:t>适用</w:t>
                        </w:r>
                      </w:p>
                    </w:tc>
                  </w:tr>
                  <w:tr>
                    <w:trPr>
                      <w:trHeight w:val="379" w:hRule="exact"/>
                    </w:trPr>
                    <w:tc>
                      <w:tcPr>
                        <w:tcW w:w="1631" w:type="dxa"/>
                        <w:vMerge/>
                        <w:tcBorders>
                          <w:left w:val="single" w:sz="4" w:space="0" w:color="000000"/>
                          <w:right w:val="single" w:sz="4" w:space="0" w:color="000000"/>
                        </w:tcBorders>
                        <w:shd w:val="clear" w:color="auto" w:fill="D4D4D4"/>
                      </w:tcPr>
                      <w:p>
                        <w:pPr/>
                      </w:p>
                    </w:tc>
                    <w:tc>
                      <w:tcPr>
                        <w:tcW w:w="7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6" w:right="0"/>
                          <w:jc w:val="left"/>
                          <w:rPr>
                            <w:rFonts w:ascii="宋体" w:hAnsi="宋体" w:cs="宋体" w:eastAsia="宋体" w:hint="default"/>
                            <w:sz w:val="21"/>
                            <w:szCs w:val="21"/>
                          </w:rPr>
                        </w:pPr>
                        <w:r>
                          <w:rPr>
                            <w:rFonts w:ascii="宋体" w:hAnsi="宋体" w:cs="宋体" w:eastAsia="宋体" w:hint="default"/>
                            <w:sz w:val="21"/>
                            <w:szCs w:val="21"/>
                          </w:rPr>
                          <w:t>以前年度发生</w:t>
                        </w:r>
                      </w:p>
                    </w:tc>
                  </w:tr>
                  <w:tr>
                    <w:trPr>
                      <w:trHeight w:val="1102" w:hRule="exact"/>
                    </w:trPr>
                    <w:tc>
                      <w:tcPr>
                        <w:tcW w:w="1631" w:type="dxa"/>
                        <w:vMerge/>
                        <w:tcBorders>
                          <w:left w:val="single" w:sz="4" w:space="0" w:color="000000"/>
                          <w:bottom w:val="single" w:sz="4" w:space="0" w:color="000000"/>
                          <w:right w:val="single" w:sz="4" w:space="0" w:color="000000"/>
                        </w:tcBorders>
                        <w:shd w:val="clear" w:color="auto" w:fill="D4D4D4"/>
                      </w:tcPr>
                      <w:p>
                        <w:pPr/>
                      </w:p>
                    </w:tc>
                    <w:tc>
                      <w:tcPr>
                        <w:tcW w:w="793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both"/>
                          <w:rPr>
                            <w:rFonts w:ascii="宋体" w:hAnsi="宋体" w:cs="宋体" w:eastAsia="宋体" w:hint="default"/>
                            <w:sz w:val="21"/>
                            <w:szCs w:val="21"/>
                          </w:rPr>
                        </w:pPr>
                        <w:r>
                          <w:rPr>
                            <w:rFonts w:ascii="Times New Roman" w:hAnsi="Times New Roman" w:cs="Times New Roman" w:eastAsia="Times New Roman" w:hint="default"/>
                            <w:w w:val="100"/>
                            <w:sz w:val="21"/>
                            <w:szCs w:val="21"/>
                          </w:rPr>
                          <w:t>2013</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8</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13</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日</w:t>
                        </w:r>
                        <w:r>
                          <w:rPr>
                            <w:rFonts w:ascii="宋体" w:hAnsi="宋体" w:cs="宋体" w:eastAsia="宋体" w:hint="default"/>
                            <w:spacing w:val="-3"/>
                            <w:w w:val="100"/>
                            <w:sz w:val="21"/>
                            <w:szCs w:val="21"/>
                          </w:rPr>
                          <w:t>公</w:t>
                        </w:r>
                        <w:r>
                          <w:rPr>
                            <w:rFonts w:ascii="宋体" w:hAnsi="宋体" w:cs="宋体" w:eastAsia="宋体" w:hint="default"/>
                            <w:w w:val="100"/>
                            <w:sz w:val="21"/>
                            <w:szCs w:val="21"/>
                          </w:rPr>
                          <w:t>告</w:t>
                        </w:r>
                        <w:r>
                          <w:rPr>
                            <w:rFonts w:ascii="宋体" w:hAnsi="宋体" w:cs="宋体" w:eastAsia="宋体" w:hint="default"/>
                            <w:spacing w:val="-3"/>
                            <w:w w:val="100"/>
                            <w:sz w:val="21"/>
                            <w:szCs w:val="21"/>
                          </w:rPr>
                          <w:t>《</w:t>
                        </w:r>
                        <w:r>
                          <w:rPr>
                            <w:rFonts w:ascii="宋体" w:hAnsi="宋体" w:cs="宋体" w:eastAsia="宋体" w:hint="default"/>
                            <w:w w:val="100"/>
                            <w:sz w:val="21"/>
                            <w:szCs w:val="21"/>
                          </w:rPr>
                          <w:t>关于</w:t>
                        </w:r>
                        <w:r>
                          <w:rPr>
                            <w:rFonts w:ascii="宋体" w:hAnsi="宋体" w:cs="宋体" w:eastAsia="宋体" w:hint="default"/>
                            <w:spacing w:val="-3"/>
                            <w:w w:val="100"/>
                            <w:sz w:val="21"/>
                            <w:szCs w:val="21"/>
                          </w:rPr>
                          <w:t>募</w:t>
                        </w:r>
                        <w:r>
                          <w:rPr>
                            <w:rFonts w:ascii="宋体" w:hAnsi="宋体" w:cs="宋体" w:eastAsia="宋体" w:hint="default"/>
                            <w:w w:val="100"/>
                            <w:sz w:val="21"/>
                            <w:szCs w:val="21"/>
                          </w:rPr>
                          <w:t>投</w:t>
                        </w:r>
                        <w:r>
                          <w:rPr>
                            <w:rFonts w:ascii="宋体" w:hAnsi="宋体" w:cs="宋体" w:eastAsia="宋体" w:hint="default"/>
                            <w:spacing w:val="-3"/>
                            <w:w w:val="100"/>
                            <w:sz w:val="21"/>
                            <w:szCs w:val="21"/>
                          </w:rPr>
                          <w:t>项</w:t>
                        </w:r>
                        <w:r>
                          <w:rPr>
                            <w:rFonts w:ascii="宋体" w:hAnsi="宋体" w:cs="宋体" w:eastAsia="宋体" w:hint="default"/>
                            <w:w w:val="100"/>
                            <w:sz w:val="21"/>
                            <w:szCs w:val="21"/>
                          </w:rPr>
                          <w:t>目</w:t>
                        </w:r>
                        <w:r>
                          <w:rPr>
                            <w:rFonts w:ascii="宋体" w:hAnsi="宋体" w:cs="宋体" w:eastAsia="宋体" w:hint="default"/>
                            <w:spacing w:val="-3"/>
                            <w:w w:val="100"/>
                            <w:sz w:val="21"/>
                            <w:szCs w:val="21"/>
                          </w:rPr>
                          <w:t>部</w:t>
                        </w:r>
                        <w:r>
                          <w:rPr>
                            <w:rFonts w:ascii="宋体" w:hAnsi="宋体" w:cs="宋体" w:eastAsia="宋体" w:hint="default"/>
                            <w:w w:val="100"/>
                            <w:sz w:val="21"/>
                            <w:szCs w:val="21"/>
                          </w:rPr>
                          <w:t>分</w:t>
                        </w:r>
                        <w:r>
                          <w:rPr>
                            <w:rFonts w:ascii="宋体" w:hAnsi="宋体" w:cs="宋体" w:eastAsia="宋体" w:hint="default"/>
                            <w:spacing w:val="-3"/>
                            <w:w w:val="100"/>
                            <w:sz w:val="21"/>
                            <w:szCs w:val="21"/>
                          </w:rPr>
                          <w:t>实</w:t>
                        </w:r>
                        <w:r>
                          <w:rPr>
                            <w:rFonts w:ascii="宋体" w:hAnsi="宋体" w:cs="宋体" w:eastAsia="宋体" w:hint="default"/>
                            <w:w w:val="100"/>
                            <w:sz w:val="21"/>
                            <w:szCs w:val="21"/>
                          </w:rPr>
                          <w:t>施</w:t>
                        </w:r>
                        <w:r>
                          <w:rPr>
                            <w:rFonts w:ascii="宋体" w:hAnsi="宋体" w:cs="宋体" w:eastAsia="宋体" w:hint="default"/>
                            <w:spacing w:val="-3"/>
                            <w:w w:val="100"/>
                            <w:sz w:val="21"/>
                            <w:szCs w:val="21"/>
                          </w:rPr>
                          <w:t>地</w:t>
                        </w:r>
                        <w:r>
                          <w:rPr>
                            <w:rFonts w:ascii="宋体" w:hAnsi="宋体" w:cs="宋体" w:eastAsia="宋体" w:hint="default"/>
                            <w:w w:val="100"/>
                            <w:sz w:val="21"/>
                            <w:szCs w:val="21"/>
                          </w:rPr>
                          <w:t>变更</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将</w:t>
                        </w:r>
                        <w:r>
                          <w:rPr>
                            <w:rFonts w:ascii="宋体" w:hAnsi="宋体" w:cs="宋体" w:eastAsia="宋体" w:hint="default"/>
                            <w:w w:val="100"/>
                            <w:sz w:val="21"/>
                            <w:szCs w:val="21"/>
                          </w:rPr>
                          <w:t>中</w:t>
                        </w:r>
                        <w:r>
                          <w:rPr>
                            <w:rFonts w:ascii="宋体" w:hAnsi="宋体" w:cs="宋体" w:eastAsia="宋体" w:hint="default"/>
                            <w:spacing w:val="-3"/>
                            <w:w w:val="100"/>
                            <w:sz w:val="21"/>
                            <w:szCs w:val="21"/>
                          </w:rPr>
                          <w:t>小</w:t>
                        </w:r>
                        <w:r>
                          <w:rPr>
                            <w:rFonts w:ascii="宋体" w:hAnsi="宋体" w:cs="宋体" w:eastAsia="宋体" w:hint="default"/>
                            <w:w w:val="100"/>
                            <w:sz w:val="21"/>
                            <w:szCs w:val="21"/>
                          </w:rPr>
                          <w:t>学</w:t>
                        </w:r>
                        <w:r>
                          <w:rPr>
                            <w:rFonts w:ascii="宋体" w:hAnsi="宋体" w:cs="宋体" w:eastAsia="宋体" w:hint="default"/>
                            <w:spacing w:val="-3"/>
                            <w:w w:val="100"/>
                            <w:sz w:val="21"/>
                            <w:szCs w:val="21"/>
                          </w:rPr>
                          <w:t>英</w:t>
                        </w:r>
                        <w:r>
                          <w:rPr>
                            <w:rFonts w:ascii="宋体" w:hAnsi="宋体" w:cs="宋体" w:eastAsia="宋体" w:hint="default"/>
                            <w:w w:val="100"/>
                            <w:sz w:val="21"/>
                            <w:szCs w:val="21"/>
                          </w:rPr>
                          <w:t>语</w:t>
                        </w:r>
                        <w:r>
                          <w:rPr>
                            <w:rFonts w:ascii="宋体" w:hAnsi="宋体" w:cs="宋体" w:eastAsia="宋体" w:hint="default"/>
                            <w:spacing w:val="-3"/>
                            <w:w w:val="100"/>
                            <w:sz w:val="21"/>
                            <w:szCs w:val="21"/>
                          </w:rPr>
                          <w:t>同步</w:t>
                        </w:r>
                        <w:r>
                          <w:rPr>
                            <w:rFonts w:ascii="宋体" w:hAnsi="宋体" w:cs="宋体" w:eastAsia="宋体" w:hint="default"/>
                            <w:w w:val="100"/>
                            <w:sz w:val="21"/>
                            <w:szCs w:val="21"/>
                          </w:rPr>
                          <w:t>教育</w:t>
                        </w:r>
                        <w:r>
                          <w:rPr>
                            <w:rFonts w:ascii="宋体" w:hAnsi="宋体" w:cs="宋体" w:eastAsia="宋体" w:hint="default"/>
                            <w:spacing w:val="-3"/>
                            <w:w w:val="100"/>
                            <w:sz w:val="21"/>
                            <w:szCs w:val="21"/>
                          </w:rPr>
                          <w:t>软</w:t>
                        </w:r>
                        <w:r>
                          <w:rPr>
                            <w:rFonts w:ascii="宋体" w:hAnsi="宋体" w:cs="宋体" w:eastAsia="宋体" w:hint="default"/>
                            <w:w w:val="100"/>
                            <w:sz w:val="21"/>
                            <w:szCs w:val="21"/>
                          </w:rPr>
                          <w:t>件</w:t>
                        </w:r>
                      </w:p>
                      <w:p>
                        <w:pPr>
                          <w:pStyle w:val="TableParagraph"/>
                          <w:spacing w:line="274" w:lineRule="exact" w:before="17"/>
                          <w:ind w:left="26" w:right="13"/>
                          <w:jc w:val="both"/>
                          <w:rPr>
                            <w:rFonts w:ascii="Times New Roman" w:hAnsi="Times New Roman" w:cs="Times New Roman" w:eastAsia="Times New Roman" w:hint="default"/>
                            <w:sz w:val="21"/>
                            <w:szCs w:val="21"/>
                          </w:rPr>
                        </w:pPr>
                        <w:r>
                          <w:rPr>
                            <w:rFonts w:ascii="宋体" w:hAnsi="宋体" w:cs="宋体" w:eastAsia="宋体" w:hint="default"/>
                            <w:spacing w:val="-4"/>
                            <w:sz w:val="21"/>
                            <w:szCs w:val="21"/>
                          </w:rPr>
                          <w:t>升级及新版本开发项目、中小学多学科（不含英语）同步教育软件项目和研发中心建设</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pacing w:val="-4"/>
                            <w:w w:val="100"/>
                            <w:sz w:val="21"/>
                            <w:szCs w:val="21"/>
                          </w:rPr>
                          <w:t>项目的部分工作移至长沙分公司展开，募投项目部分实施地点变更为长沙市高新区桐梓</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坡西路</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229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号麓谷国际工业园孵化楼</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栋</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1001.</w:t>
                        </w:r>
                      </w:p>
                    </w:tc>
                  </w:tr>
                  <w:tr>
                    <w:trPr>
                      <w:trHeight w:val="379" w:hRule="exact"/>
                    </w:trPr>
                    <w:tc>
                      <w:tcPr>
                        <w:tcW w:w="1631" w:type="dxa"/>
                        <w:vMerge w:val="restart"/>
                        <w:tcBorders>
                          <w:top w:val="single" w:sz="4" w:space="0" w:color="000000"/>
                          <w:left w:val="single" w:sz="4" w:space="0" w:color="000000"/>
                          <w:right w:val="single" w:sz="4" w:space="0" w:color="000000"/>
                        </w:tcBorders>
                        <w:shd w:val="clear" w:color="auto" w:fill="D4D4D4"/>
                      </w:tcPr>
                      <w:p>
                        <w:pPr>
                          <w:pStyle w:val="TableParagraph"/>
                          <w:spacing w:line="237" w:lineRule="auto" w:before="124"/>
                          <w:ind w:left="22" w:right="122"/>
                          <w:jc w:val="both"/>
                          <w:rPr>
                            <w:rFonts w:ascii="宋体" w:hAnsi="宋体" w:cs="宋体" w:eastAsia="宋体" w:hint="default"/>
                            <w:sz w:val="21"/>
                            <w:szCs w:val="21"/>
                          </w:rPr>
                        </w:pPr>
                        <w:r>
                          <w:rPr>
                            <w:rFonts w:ascii="宋体" w:hAnsi="宋体" w:cs="宋体" w:eastAsia="宋体" w:hint="default"/>
                            <w:sz w:val="21"/>
                            <w:szCs w:val="21"/>
                          </w:rPr>
                          <w:t>募集资金投资项</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目实施方式调整</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情况</w:t>
                        </w:r>
                      </w:p>
                    </w:tc>
                    <w:tc>
                      <w:tcPr>
                        <w:tcW w:w="7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6"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379" w:hRule="exact"/>
                    </w:trPr>
                    <w:tc>
                      <w:tcPr>
                        <w:tcW w:w="1631" w:type="dxa"/>
                        <w:vMerge/>
                        <w:tcBorders>
                          <w:left w:val="single" w:sz="4" w:space="0" w:color="000000"/>
                          <w:right w:val="single" w:sz="4" w:space="0" w:color="000000"/>
                        </w:tcBorders>
                        <w:shd w:val="clear" w:color="auto" w:fill="D4D4D4"/>
                      </w:tcPr>
                      <w:p>
                        <w:pPr/>
                      </w:p>
                    </w:tc>
                    <w:tc>
                      <w:tcPr>
                        <w:tcW w:w="7939"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1631" w:type="dxa"/>
                        <w:vMerge/>
                        <w:tcBorders>
                          <w:left w:val="single" w:sz="4" w:space="0" w:color="000000"/>
                          <w:bottom w:val="single" w:sz="4" w:space="0" w:color="000000"/>
                          <w:right w:val="single" w:sz="4" w:space="0" w:color="000000"/>
                        </w:tcBorders>
                        <w:shd w:val="clear" w:color="auto" w:fill="D4D4D4"/>
                      </w:tcPr>
                      <w:p>
                        <w:pPr/>
                      </w:p>
                    </w:tc>
                    <w:tc>
                      <w:tcPr>
                        <w:tcW w:w="7939"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163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募集资金投资项</w:t>
                        </w:r>
                      </w:p>
                      <w:p>
                        <w:pPr>
                          <w:pStyle w:val="TableParagraph"/>
                          <w:spacing w:line="240" w:lineRule="auto"/>
                          <w:ind w:left="22" w:right="122"/>
                          <w:jc w:val="left"/>
                          <w:rPr>
                            <w:rFonts w:ascii="宋体" w:hAnsi="宋体" w:cs="宋体" w:eastAsia="宋体" w:hint="default"/>
                            <w:sz w:val="21"/>
                            <w:szCs w:val="21"/>
                          </w:rPr>
                        </w:pPr>
                        <w:r>
                          <w:rPr>
                            <w:rFonts w:ascii="宋体" w:hAnsi="宋体" w:cs="宋体" w:eastAsia="宋体" w:hint="default"/>
                            <w:sz w:val="21"/>
                            <w:szCs w:val="21"/>
                          </w:rPr>
                          <w:t>目先期投入及置</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换情况</w:t>
                        </w:r>
                      </w:p>
                    </w:tc>
                    <w:tc>
                      <w:tcPr>
                        <w:tcW w:w="7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6"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451" w:hRule="exact"/>
                    </w:trPr>
                    <w:tc>
                      <w:tcPr>
                        <w:tcW w:w="1631" w:type="dxa"/>
                        <w:vMerge/>
                        <w:tcBorders>
                          <w:left w:val="single" w:sz="4" w:space="0" w:color="000000"/>
                          <w:bottom w:val="single" w:sz="4" w:space="0" w:color="000000"/>
                          <w:right w:val="single" w:sz="4" w:space="0" w:color="000000"/>
                        </w:tcBorders>
                        <w:shd w:val="clear" w:color="auto" w:fill="D4D4D4"/>
                      </w:tcPr>
                      <w:p>
                        <w:pPr/>
                      </w:p>
                    </w:tc>
                    <w:tc>
                      <w:tcPr>
                        <w:tcW w:w="7939"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163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用闲置募集资金</w:t>
                        </w:r>
                      </w:p>
                      <w:p>
                        <w:pPr>
                          <w:pStyle w:val="TableParagraph"/>
                          <w:spacing w:line="272" w:lineRule="exact" w:before="27"/>
                          <w:ind w:left="22" w:right="122"/>
                          <w:jc w:val="left"/>
                          <w:rPr>
                            <w:rFonts w:ascii="宋体" w:hAnsi="宋体" w:cs="宋体" w:eastAsia="宋体" w:hint="default"/>
                            <w:sz w:val="21"/>
                            <w:szCs w:val="21"/>
                          </w:rPr>
                        </w:pPr>
                        <w:r>
                          <w:rPr>
                            <w:rFonts w:ascii="宋体" w:hAnsi="宋体" w:cs="宋体" w:eastAsia="宋体" w:hint="default"/>
                            <w:sz w:val="21"/>
                            <w:szCs w:val="21"/>
                          </w:rPr>
                          <w:t>暂时补充流动资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金情况</w:t>
                        </w:r>
                      </w:p>
                    </w:tc>
                    <w:tc>
                      <w:tcPr>
                        <w:tcW w:w="7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6"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449" w:hRule="exact"/>
                    </w:trPr>
                    <w:tc>
                      <w:tcPr>
                        <w:tcW w:w="1631" w:type="dxa"/>
                        <w:vMerge/>
                        <w:tcBorders>
                          <w:left w:val="single" w:sz="4" w:space="0" w:color="000000"/>
                          <w:bottom w:val="single" w:sz="4" w:space="0" w:color="000000"/>
                          <w:right w:val="single" w:sz="4" w:space="0" w:color="000000"/>
                        </w:tcBorders>
                        <w:shd w:val="clear" w:color="auto" w:fill="D4D4D4"/>
                      </w:tcPr>
                      <w:p>
                        <w:pPr/>
                      </w:p>
                    </w:tc>
                    <w:tc>
                      <w:tcPr>
                        <w:tcW w:w="7939"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163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项目实施出现募</w:t>
                        </w:r>
                      </w:p>
                      <w:p>
                        <w:pPr>
                          <w:pStyle w:val="TableParagraph"/>
                          <w:spacing w:line="240" w:lineRule="auto"/>
                          <w:ind w:left="22" w:right="122"/>
                          <w:jc w:val="left"/>
                          <w:rPr>
                            <w:rFonts w:ascii="宋体" w:hAnsi="宋体" w:cs="宋体" w:eastAsia="宋体" w:hint="default"/>
                            <w:sz w:val="21"/>
                            <w:szCs w:val="21"/>
                          </w:rPr>
                        </w:pPr>
                        <w:r>
                          <w:rPr>
                            <w:rFonts w:ascii="宋体" w:hAnsi="宋体" w:cs="宋体" w:eastAsia="宋体" w:hint="default"/>
                            <w:sz w:val="21"/>
                            <w:szCs w:val="21"/>
                          </w:rPr>
                          <w:t>集资金结余的金</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额及原因</w:t>
                        </w:r>
                      </w:p>
                    </w:tc>
                    <w:tc>
                      <w:tcPr>
                        <w:tcW w:w="7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6"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449" w:hRule="exact"/>
                    </w:trPr>
                    <w:tc>
                      <w:tcPr>
                        <w:tcW w:w="1631" w:type="dxa"/>
                        <w:vMerge/>
                        <w:tcBorders>
                          <w:left w:val="single" w:sz="4" w:space="0" w:color="000000"/>
                          <w:bottom w:val="single" w:sz="4" w:space="0" w:color="000000"/>
                          <w:right w:val="single" w:sz="4" w:space="0" w:color="000000"/>
                        </w:tcBorders>
                        <w:shd w:val="clear" w:color="auto" w:fill="D4D4D4"/>
                      </w:tcPr>
                      <w:p>
                        <w:pPr/>
                      </w:p>
                    </w:tc>
                    <w:tc>
                      <w:tcPr>
                        <w:tcW w:w="793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6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尚未使用的募集</w:t>
                        </w:r>
                      </w:p>
                      <w:p>
                        <w:pPr>
                          <w:pStyle w:val="TableParagraph"/>
                          <w:spacing w:line="273" w:lineRule="exact"/>
                          <w:ind w:left="22" w:right="0"/>
                          <w:jc w:val="left"/>
                          <w:rPr>
                            <w:rFonts w:ascii="宋体" w:hAnsi="宋体" w:cs="宋体" w:eastAsia="宋体" w:hint="default"/>
                            <w:sz w:val="21"/>
                            <w:szCs w:val="21"/>
                          </w:rPr>
                        </w:pPr>
                        <w:r>
                          <w:rPr>
                            <w:rFonts w:ascii="宋体" w:hAnsi="宋体" w:cs="宋体" w:eastAsia="宋体" w:hint="default"/>
                            <w:sz w:val="21"/>
                            <w:szCs w:val="21"/>
                          </w:rPr>
                          <w:t>资金用途及去向</w:t>
                        </w:r>
                      </w:p>
                    </w:tc>
                    <w:tc>
                      <w:tcPr>
                        <w:tcW w:w="7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6" w:right="0"/>
                          <w:jc w:val="left"/>
                          <w:rPr>
                            <w:rFonts w:ascii="宋体" w:hAnsi="宋体" w:cs="宋体" w:eastAsia="宋体" w:hint="default"/>
                            <w:sz w:val="21"/>
                            <w:szCs w:val="21"/>
                          </w:rPr>
                        </w:pPr>
                        <w:r>
                          <w:rPr>
                            <w:rFonts w:ascii="宋体" w:hAnsi="宋体" w:cs="宋体" w:eastAsia="宋体" w:hint="default"/>
                            <w:sz w:val="21"/>
                            <w:szCs w:val="21"/>
                          </w:rPr>
                          <w:t>尚未使用的募集资金均存放在公司的募集资金专户。</w:t>
                        </w:r>
                      </w:p>
                    </w:tc>
                  </w:tr>
                  <w:tr>
                    <w:trPr>
                      <w:trHeight w:val="830" w:hRule="exact"/>
                    </w:trPr>
                    <w:tc>
                      <w:tcPr>
                        <w:tcW w:w="16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募集资金使用及</w:t>
                        </w:r>
                      </w:p>
                      <w:p>
                        <w:pPr>
                          <w:pStyle w:val="TableParagraph"/>
                          <w:spacing w:line="240" w:lineRule="auto"/>
                          <w:ind w:left="22" w:right="122"/>
                          <w:jc w:val="left"/>
                          <w:rPr>
                            <w:rFonts w:ascii="宋体" w:hAnsi="宋体" w:cs="宋体" w:eastAsia="宋体" w:hint="default"/>
                            <w:sz w:val="21"/>
                            <w:szCs w:val="21"/>
                          </w:rPr>
                        </w:pPr>
                        <w:r>
                          <w:rPr>
                            <w:rFonts w:ascii="宋体" w:hAnsi="宋体" w:cs="宋体" w:eastAsia="宋体" w:hint="default"/>
                            <w:sz w:val="21"/>
                            <w:szCs w:val="21"/>
                          </w:rPr>
                          <w:t>披露中存在的问</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题或其他情况</w:t>
                        </w:r>
                      </w:p>
                    </w:tc>
                    <w:tc>
                      <w:tcPr>
                        <w:tcW w:w="7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p>
              </w:txbxContent>
            </v:textbox>
            <w10:wrap type="none"/>
          </v:shape>
        </w:pict>
      </w:r>
      <w:r>
        <w:rPr>
          <w:w w:val="100"/>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748" w:footer="982" w:top="1060" w:bottom="1180" w:left="980" w:right="980"/>
        </w:sectPr>
      </w:pPr>
    </w:p>
    <w:p>
      <w:pPr>
        <w:pStyle w:val="BodyText"/>
        <w:spacing w:line="240" w:lineRule="auto" w:before="36"/>
        <w:ind w:right="-4"/>
        <w:jc w:val="left"/>
      </w:pPr>
      <w:r>
        <w:rPr>
          <w:rFonts w:ascii="Times New Roman" w:hAnsi="Times New Roman" w:cs="Times New Roman" w:eastAsia="Times New Roman" w:hint="default"/>
          <w:spacing w:val="-1"/>
        </w:rPr>
        <w:t>3.</w:t>
      </w:r>
      <w:r>
        <w:rPr>
          <w:spacing w:val="-1"/>
        </w:rPr>
        <w:t>募集资金变更项目情况</w:t>
      </w:r>
    </w:p>
    <w:p>
      <w:pPr>
        <w:pStyle w:val="BodyText"/>
        <w:spacing w:line="240" w:lineRule="auto" w:before="21"/>
        <w:ind w:right="-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36"/>
        <w:ind w:right="0"/>
        <w:jc w:val="left"/>
      </w:pPr>
      <w:r>
        <w:rPr/>
        <w:t>单位：万元</w:t>
      </w:r>
    </w:p>
    <w:p>
      <w:pPr>
        <w:spacing w:after="0" w:line="240" w:lineRule="auto"/>
        <w:jc w:val="left"/>
        <w:sectPr>
          <w:type w:val="continuous"/>
          <w:pgSz w:w="11910" w:h="16840"/>
          <w:pgMar w:top="1060" w:bottom="1180" w:left="980" w:right="980"/>
          <w:cols w:num="2" w:equalWidth="0">
            <w:col w:w="2414" w:space="6173"/>
            <w:col w:w="1363"/>
          </w:cols>
        </w:sectPr>
      </w:pPr>
    </w:p>
    <w:p>
      <w:pPr>
        <w:spacing w:line="240" w:lineRule="auto" w:before="11"/>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958"/>
        <w:gridCol w:w="958"/>
        <w:gridCol w:w="958"/>
        <w:gridCol w:w="958"/>
        <w:gridCol w:w="958"/>
        <w:gridCol w:w="955"/>
        <w:gridCol w:w="958"/>
        <w:gridCol w:w="955"/>
        <w:gridCol w:w="958"/>
        <w:gridCol w:w="958"/>
      </w:tblGrid>
      <w:tr>
        <w:trPr>
          <w:trHeight w:val="1375" w:hRule="exact"/>
        </w:trPr>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264" w:right="50" w:hanging="212"/>
              <w:jc w:val="left"/>
              <w:rPr>
                <w:rFonts w:ascii="宋体" w:hAnsi="宋体" w:cs="宋体" w:eastAsia="宋体" w:hint="default"/>
                <w:sz w:val="21"/>
                <w:szCs w:val="21"/>
              </w:rPr>
            </w:pPr>
            <w:r>
              <w:rPr>
                <w:rFonts w:ascii="宋体" w:hAnsi="宋体" w:cs="宋体" w:eastAsia="宋体" w:hint="default"/>
                <w:sz w:val="21"/>
                <w:szCs w:val="21"/>
              </w:rPr>
              <w:t>变更后的</w:t>
            </w:r>
            <w:r>
              <w:rPr>
                <w:rFonts w:ascii="宋体" w:hAnsi="宋体" w:cs="宋体" w:eastAsia="宋体" w:hint="default"/>
                <w:w w:val="100"/>
                <w:sz w:val="21"/>
                <w:szCs w:val="21"/>
              </w:rPr>
              <w:t> </w:t>
            </w:r>
            <w:r>
              <w:rPr>
                <w:rFonts w:ascii="宋体" w:hAnsi="宋体" w:cs="宋体" w:eastAsia="宋体" w:hint="default"/>
                <w:sz w:val="21"/>
                <w:szCs w:val="21"/>
              </w:rPr>
              <w:t>项目</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55" w:right="48"/>
              <w:jc w:val="left"/>
              <w:rPr>
                <w:rFonts w:ascii="宋体" w:hAnsi="宋体" w:cs="宋体" w:eastAsia="宋体" w:hint="default"/>
                <w:sz w:val="21"/>
                <w:szCs w:val="21"/>
              </w:rPr>
            </w:pPr>
            <w:r>
              <w:rPr>
                <w:rFonts w:ascii="宋体" w:hAnsi="宋体" w:cs="宋体" w:eastAsia="宋体" w:hint="default"/>
                <w:sz w:val="21"/>
                <w:szCs w:val="21"/>
              </w:rPr>
              <w:t>对应的原</w:t>
            </w:r>
            <w:r>
              <w:rPr>
                <w:rFonts w:ascii="宋体" w:hAnsi="宋体" w:cs="宋体" w:eastAsia="宋体" w:hint="default"/>
                <w:spacing w:val="-3"/>
                <w:w w:val="100"/>
                <w:sz w:val="21"/>
                <w:szCs w:val="21"/>
              </w:rPr>
              <w:t> </w:t>
            </w:r>
            <w:r>
              <w:rPr>
                <w:rFonts w:ascii="宋体" w:hAnsi="宋体" w:cs="宋体" w:eastAsia="宋体" w:hint="default"/>
                <w:sz w:val="21"/>
                <w:szCs w:val="21"/>
              </w:rPr>
              <w:t>承诺项目</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7" w:lineRule="auto" w:before="105"/>
              <w:ind w:left="52" w:right="50"/>
              <w:jc w:val="both"/>
              <w:rPr>
                <w:rFonts w:ascii="Times New Roman" w:hAnsi="Times New Roman" w:cs="Times New Roman" w:eastAsia="Times New Roman" w:hint="default"/>
                <w:sz w:val="21"/>
                <w:szCs w:val="21"/>
              </w:rPr>
            </w:pPr>
            <w:r>
              <w:rPr>
                <w:rFonts w:ascii="宋体" w:hAnsi="宋体" w:cs="宋体" w:eastAsia="宋体" w:hint="default"/>
                <w:sz w:val="21"/>
                <w:szCs w:val="21"/>
              </w:rPr>
              <w:t>变更后项</w:t>
            </w:r>
            <w:r>
              <w:rPr>
                <w:rFonts w:ascii="宋体" w:hAnsi="宋体" w:cs="宋体" w:eastAsia="宋体" w:hint="default"/>
                <w:w w:val="100"/>
                <w:sz w:val="21"/>
                <w:szCs w:val="21"/>
              </w:rPr>
              <w:t> </w:t>
            </w:r>
            <w:r>
              <w:rPr>
                <w:rFonts w:ascii="宋体" w:hAnsi="宋体" w:cs="宋体" w:eastAsia="宋体" w:hint="default"/>
                <w:sz w:val="21"/>
                <w:szCs w:val="21"/>
              </w:rPr>
              <w:t>目拟投入</w:t>
            </w:r>
            <w:r>
              <w:rPr>
                <w:rFonts w:ascii="宋体" w:hAnsi="宋体" w:cs="宋体" w:eastAsia="宋体" w:hint="default"/>
                <w:w w:val="100"/>
                <w:sz w:val="21"/>
                <w:szCs w:val="21"/>
              </w:rPr>
              <w:t> </w:t>
            </w:r>
            <w:r>
              <w:rPr>
                <w:rFonts w:ascii="宋体" w:hAnsi="宋体" w:cs="宋体" w:eastAsia="宋体" w:hint="default"/>
                <w:sz w:val="21"/>
                <w:szCs w:val="21"/>
              </w:rPr>
              <w:t>募集资金</w:t>
            </w:r>
            <w:r>
              <w:rPr>
                <w:rFonts w:ascii="宋体" w:hAnsi="宋体" w:cs="宋体" w:eastAsia="宋体" w:hint="default"/>
                <w:w w:val="100"/>
                <w:sz w:val="21"/>
                <w:szCs w:val="21"/>
              </w:rPr>
              <w:t> </w:t>
            </w:r>
            <w:r>
              <w:rPr>
                <w:rFonts w:ascii="宋体" w:hAnsi="宋体" w:cs="宋体" w:eastAsia="宋体" w:hint="default"/>
                <w:sz w:val="21"/>
                <w:szCs w:val="21"/>
              </w:rPr>
              <w:t>总额</w:t>
            </w:r>
            <w:r>
              <w:rPr>
                <w:rFonts w:ascii="Times New Roman" w:hAnsi="Times New Roman" w:cs="Times New Roman" w:eastAsia="Times New Roman" w:hint="default"/>
                <w:sz w:val="21"/>
                <w:szCs w:val="21"/>
              </w:rPr>
              <w:t>(1)</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55" w:right="48"/>
              <w:jc w:val="center"/>
              <w:rPr>
                <w:rFonts w:ascii="宋体" w:hAnsi="宋体" w:cs="宋体" w:eastAsia="宋体" w:hint="default"/>
                <w:sz w:val="21"/>
                <w:szCs w:val="21"/>
              </w:rPr>
            </w:pPr>
            <w:r>
              <w:rPr>
                <w:rFonts w:ascii="宋体" w:hAnsi="宋体" w:cs="宋体" w:eastAsia="宋体" w:hint="default"/>
                <w:sz w:val="21"/>
                <w:szCs w:val="21"/>
              </w:rPr>
              <w:t>本报告期</w:t>
            </w:r>
            <w:r>
              <w:rPr>
                <w:rFonts w:ascii="宋体" w:hAnsi="宋体" w:cs="宋体" w:eastAsia="宋体" w:hint="default"/>
                <w:w w:val="100"/>
                <w:sz w:val="21"/>
                <w:szCs w:val="21"/>
              </w:rPr>
              <w:t> </w:t>
            </w:r>
            <w:r>
              <w:rPr>
                <w:rFonts w:ascii="宋体" w:hAnsi="宋体" w:cs="宋体" w:eastAsia="宋体" w:hint="default"/>
                <w:sz w:val="21"/>
                <w:szCs w:val="21"/>
              </w:rPr>
              <w:t>实际投入</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7" w:lineRule="auto" w:before="117"/>
              <w:ind w:left="52" w:right="50"/>
              <w:jc w:val="center"/>
              <w:rPr>
                <w:rFonts w:ascii="Times New Roman" w:hAnsi="Times New Roman" w:cs="Times New Roman" w:eastAsia="Times New Roman" w:hint="default"/>
                <w:sz w:val="21"/>
                <w:szCs w:val="21"/>
              </w:rPr>
            </w:pPr>
            <w:r>
              <w:rPr>
                <w:rFonts w:ascii="宋体" w:hAnsi="宋体" w:cs="宋体" w:eastAsia="宋体" w:hint="default"/>
                <w:sz w:val="21"/>
                <w:szCs w:val="21"/>
              </w:rPr>
              <w:t>截至期末</w:t>
            </w:r>
            <w:r>
              <w:rPr>
                <w:rFonts w:ascii="宋体" w:hAnsi="宋体" w:cs="宋体" w:eastAsia="宋体" w:hint="default"/>
                <w:w w:val="100"/>
                <w:sz w:val="21"/>
                <w:szCs w:val="21"/>
              </w:rPr>
              <w:t> </w:t>
            </w:r>
            <w:r>
              <w:rPr>
                <w:rFonts w:ascii="宋体" w:hAnsi="宋体" w:cs="宋体" w:eastAsia="宋体" w:hint="default"/>
                <w:sz w:val="21"/>
                <w:szCs w:val="21"/>
              </w:rPr>
              <w:t>实际累计</w:t>
            </w:r>
            <w:r>
              <w:rPr>
                <w:rFonts w:ascii="宋体" w:hAnsi="宋体" w:cs="宋体" w:eastAsia="宋体" w:hint="default"/>
                <w:w w:val="100"/>
                <w:sz w:val="21"/>
                <w:szCs w:val="21"/>
              </w:rPr>
              <w:t> </w:t>
            </w:r>
            <w:r>
              <w:rPr>
                <w:rFonts w:ascii="宋体" w:hAnsi="宋体" w:cs="宋体" w:eastAsia="宋体" w:hint="default"/>
                <w:sz w:val="21"/>
                <w:szCs w:val="21"/>
              </w:rPr>
              <w:t>投入金额</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(2)</w:t>
            </w:r>
          </w:p>
        </w:tc>
        <w:tc>
          <w:tcPr>
            <w:tcW w:w="9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9" w:lineRule="auto" w:before="134"/>
              <w:ind w:left="52" w:right="48"/>
              <w:jc w:val="both"/>
              <w:rPr>
                <w:rFonts w:ascii="Times New Roman" w:hAnsi="Times New Roman" w:cs="Times New Roman" w:eastAsia="Times New Roman" w:hint="default"/>
                <w:sz w:val="21"/>
                <w:szCs w:val="21"/>
              </w:rPr>
            </w:pPr>
            <w:r>
              <w:rPr>
                <w:rFonts w:ascii="宋体" w:hAnsi="宋体" w:cs="宋体" w:eastAsia="宋体" w:hint="default"/>
                <w:sz w:val="21"/>
                <w:szCs w:val="21"/>
              </w:rPr>
              <w:t>截至期末</w:t>
            </w:r>
            <w:r>
              <w:rPr>
                <w:rFonts w:ascii="宋体" w:hAnsi="宋体" w:cs="宋体" w:eastAsia="宋体" w:hint="default"/>
                <w:w w:val="100"/>
                <w:sz w:val="21"/>
                <w:szCs w:val="21"/>
              </w:rPr>
              <w:t> </w:t>
            </w:r>
            <w:r>
              <w:rPr>
                <w:rFonts w:ascii="宋体" w:hAnsi="宋体" w:cs="宋体" w:eastAsia="宋体" w:hint="default"/>
                <w:sz w:val="21"/>
                <w:szCs w:val="21"/>
              </w:rPr>
              <w:t>投资进度</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(3)=(2)/(1</w:t>
            </w:r>
          </w:p>
          <w:p>
            <w:pPr>
              <w:pStyle w:val="TableParagraph"/>
              <w:spacing w:line="233" w:lineRule="exact"/>
              <w:ind w:left="3" w:right="0"/>
              <w:jc w:val="center"/>
              <w:rPr>
                <w:rFonts w:ascii="Times New Roman" w:hAnsi="Times New Roman" w:cs="Times New Roman" w:eastAsia="Times New Roman" w:hint="default"/>
                <w:sz w:val="21"/>
                <w:szCs w:val="21"/>
              </w:rPr>
            </w:pPr>
            <w:r>
              <w:rPr>
                <w:rFonts w:ascii="Times New Roman"/>
                <w:w w:val="100"/>
                <w:sz w:val="21"/>
              </w:rPr>
              <w:t>)</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7" w:lineRule="auto" w:before="105"/>
              <w:ind w:left="52" w:right="50"/>
              <w:jc w:val="center"/>
              <w:rPr>
                <w:rFonts w:ascii="宋体" w:hAnsi="宋体" w:cs="宋体" w:eastAsia="宋体" w:hint="default"/>
                <w:sz w:val="21"/>
                <w:szCs w:val="21"/>
              </w:rPr>
            </w:pPr>
            <w:r>
              <w:rPr>
                <w:rFonts w:ascii="宋体" w:hAnsi="宋体" w:cs="宋体" w:eastAsia="宋体" w:hint="default"/>
                <w:sz w:val="21"/>
                <w:szCs w:val="21"/>
              </w:rPr>
              <w:t>项目达到</w:t>
            </w:r>
            <w:r>
              <w:rPr>
                <w:rFonts w:ascii="宋体" w:hAnsi="宋体" w:cs="宋体" w:eastAsia="宋体" w:hint="default"/>
                <w:w w:val="100"/>
                <w:sz w:val="21"/>
                <w:szCs w:val="21"/>
              </w:rPr>
              <w:t> </w:t>
            </w:r>
            <w:r>
              <w:rPr>
                <w:rFonts w:ascii="宋体" w:hAnsi="宋体" w:cs="宋体" w:eastAsia="宋体" w:hint="default"/>
                <w:sz w:val="21"/>
                <w:szCs w:val="21"/>
              </w:rPr>
              <w:t>预定可使</w:t>
            </w:r>
            <w:r>
              <w:rPr>
                <w:rFonts w:ascii="宋体" w:hAnsi="宋体" w:cs="宋体" w:eastAsia="宋体" w:hint="default"/>
                <w:w w:val="100"/>
                <w:sz w:val="21"/>
                <w:szCs w:val="21"/>
              </w:rPr>
              <w:t> </w:t>
            </w:r>
            <w:r>
              <w:rPr>
                <w:rFonts w:ascii="宋体" w:hAnsi="宋体" w:cs="宋体" w:eastAsia="宋体" w:hint="default"/>
                <w:sz w:val="21"/>
                <w:szCs w:val="21"/>
              </w:rPr>
              <w:t>用状态日</w:t>
            </w:r>
            <w:r>
              <w:rPr>
                <w:rFonts w:ascii="宋体" w:hAnsi="宋体" w:cs="宋体" w:eastAsia="宋体" w:hint="default"/>
                <w:w w:val="100"/>
                <w:sz w:val="21"/>
                <w:szCs w:val="21"/>
              </w:rPr>
              <w:t> </w:t>
            </w:r>
            <w:r>
              <w:rPr>
                <w:rFonts w:ascii="宋体" w:hAnsi="宋体" w:cs="宋体" w:eastAsia="宋体" w:hint="default"/>
                <w:sz w:val="21"/>
                <w:szCs w:val="21"/>
              </w:rPr>
              <w:t>期</w:t>
            </w:r>
          </w:p>
        </w:tc>
        <w:tc>
          <w:tcPr>
            <w:tcW w:w="9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52" w:right="48"/>
              <w:jc w:val="center"/>
              <w:rPr>
                <w:rFonts w:ascii="宋体" w:hAnsi="宋体" w:cs="宋体" w:eastAsia="宋体" w:hint="default"/>
                <w:sz w:val="21"/>
                <w:szCs w:val="21"/>
              </w:rPr>
            </w:pPr>
            <w:r>
              <w:rPr>
                <w:rFonts w:ascii="宋体" w:hAnsi="宋体" w:cs="宋体" w:eastAsia="宋体" w:hint="default"/>
                <w:sz w:val="21"/>
                <w:szCs w:val="21"/>
              </w:rPr>
              <w:t>本报告期</w:t>
            </w:r>
            <w:r>
              <w:rPr>
                <w:rFonts w:ascii="宋体" w:hAnsi="宋体" w:cs="宋体" w:eastAsia="宋体" w:hint="default"/>
                <w:w w:val="100"/>
                <w:sz w:val="21"/>
                <w:szCs w:val="21"/>
              </w:rPr>
              <w:t> </w:t>
            </w:r>
            <w:r>
              <w:rPr>
                <w:rFonts w:ascii="宋体" w:hAnsi="宋体" w:cs="宋体" w:eastAsia="宋体" w:hint="default"/>
                <w:sz w:val="21"/>
                <w:szCs w:val="21"/>
              </w:rPr>
              <w:t>实现的效</w:t>
            </w:r>
            <w:r>
              <w:rPr>
                <w:rFonts w:ascii="宋体" w:hAnsi="宋体" w:cs="宋体" w:eastAsia="宋体" w:hint="default"/>
                <w:w w:val="100"/>
                <w:sz w:val="21"/>
                <w:szCs w:val="21"/>
              </w:rPr>
              <w:t> </w:t>
            </w:r>
            <w:r>
              <w:rPr>
                <w:rFonts w:ascii="宋体" w:hAnsi="宋体" w:cs="宋体" w:eastAsia="宋体" w:hint="default"/>
                <w:sz w:val="21"/>
                <w:szCs w:val="21"/>
              </w:rPr>
              <w:t>益</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52" w:right="50"/>
              <w:jc w:val="left"/>
              <w:rPr>
                <w:rFonts w:ascii="宋体" w:hAnsi="宋体" w:cs="宋体" w:eastAsia="宋体" w:hint="default"/>
                <w:sz w:val="21"/>
                <w:szCs w:val="21"/>
              </w:rPr>
            </w:pPr>
            <w:r>
              <w:rPr>
                <w:rFonts w:ascii="宋体" w:hAnsi="宋体" w:cs="宋体" w:eastAsia="宋体" w:hint="default"/>
                <w:sz w:val="21"/>
                <w:szCs w:val="21"/>
              </w:rPr>
              <w:t>是否达到</w:t>
            </w:r>
            <w:r>
              <w:rPr>
                <w:rFonts w:ascii="宋体" w:hAnsi="宋体" w:cs="宋体" w:eastAsia="宋体" w:hint="default"/>
                <w:w w:val="100"/>
                <w:sz w:val="21"/>
                <w:szCs w:val="21"/>
              </w:rPr>
              <w:t> </w:t>
            </w:r>
            <w:r>
              <w:rPr>
                <w:rFonts w:ascii="宋体" w:hAnsi="宋体" w:cs="宋体" w:eastAsia="宋体" w:hint="default"/>
                <w:sz w:val="21"/>
                <w:szCs w:val="21"/>
              </w:rPr>
              <w:t>预计效益</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变更后的</w:t>
            </w:r>
          </w:p>
          <w:p>
            <w:pPr>
              <w:pStyle w:val="TableParagraph"/>
              <w:spacing w:line="237" w:lineRule="auto" w:before="2"/>
              <w:ind w:left="52" w:right="50"/>
              <w:jc w:val="center"/>
              <w:rPr>
                <w:rFonts w:ascii="宋体" w:hAnsi="宋体" w:cs="宋体" w:eastAsia="宋体" w:hint="default"/>
                <w:sz w:val="21"/>
                <w:szCs w:val="21"/>
              </w:rPr>
            </w:pPr>
            <w:r>
              <w:rPr>
                <w:rFonts w:ascii="宋体" w:hAnsi="宋体" w:cs="宋体" w:eastAsia="宋体" w:hint="default"/>
                <w:sz w:val="21"/>
                <w:szCs w:val="21"/>
              </w:rPr>
              <w:t>项目可行</w:t>
            </w:r>
            <w:r>
              <w:rPr>
                <w:rFonts w:ascii="宋体" w:hAnsi="宋体" w:cs="宋体" w:eastAsia="宋体" w:hint="default"/>
                <w:w w:val="100"/>
                <w:sz w:val="21"/>
                <w:szCs w:val="21"/>
              </w:rPr>
              <w:t> </w:t>
            </w:r>
            <w:r>
              <w:rPr>
                <w:rFonts w:ascii="宋体" w:hAnsi="宋体" w:cs="宋体" w:eastAsia="宋体" w:hint="default"/>
                <w:sz w:val="21"/>
                <w:szCs w:val="21"/>
              </w:rPr>
              <w:t>性是否发</w:t>
            </w:r>
            <w:r>
              <w:rPr>
                <w:rFonts w:ascii="宋体" w:hAnsi="宋体" w:cs="宋体" w:eastAsia="宋体" w:hint="default"/>
                <w:w w:val="100"/>
                <w:sz w:val="21"/>
                <w:szCs w:val="21"/>
              </w:rPr>
              <w:t> </w:t>
            </w:r>
            <w:r>
              <w:rPr>
                <w:rFonts w:ascii="宋体" w:hAnsi="宋体" w:cs="宋体" w:eastAsia="宋体" w:hint="default"/>
                <w:sz w:val="21"/>
                <w:szCs w:val="21"/>
              </w:rPr>
              <w:t>生重大变</w:t>
            </w:r>
            <w:r>
              <w:rPr>
                <w:rFonts w:ascii="宋体" w:hAnsi="宋体" w:cs="宋体" w:eastAsia="宋体" w:hint="default"/>
                <w:w w:val="100"/>
                <w:sz w:val="21"/>
                <w:szCs w:val="21"/>
              </w:rPr>
              <w:t> </w:t>
            </w:r>
            <w:r>
              <w:rPr>
                <w:rFonts w:ascii="宋体" w:hAnsi="宋体" w:cs="宋体" w:eastAsia="宋体" w:hint="default"/>
                <w:sz w:val="21"/>
                <w:szCs w:val="21"/>
              </w:rPr>
              <w:t>化</w:t>
            </w:r>
          </w:p>
        </w:tc>
      </w:tr>
      <w:tr>
        <w:trPr>
          <w:trHeight w:val="589" w:hRule="exact"/>
        </w:trPr>
        <w:tc>
          <w:tcPr>
            <w:tcW w:w="958" w:type="dxa"/>
            <w:tcBorders>
              <w:top w:val="single" w:sz="4" w:space="0" w:color="000000"/>
              <w:left w:val="single" w:sz="4" w:space="0" w:color="000000"/>
              <w:bottom w:val="single" w:sz="23" w:space="0" w:color="D4D4D4"/>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超募资金</w:t>
            </w:r>
          </w:p>
        </w:tc>
        <w:tc>
          <w:tcPr>
            <w:tcW w:w="958" w:type="dxa"/>
            <w:tcBorders>
              <w:top w:val="single" w:sz="4" w:space="0" w:color="000000"/>
              <w:left w:val="single" w:sz="4" w:space="0" w:color="000000"/>
              <w:bottom w:val="single" w:sz="30" w:space="0" w:color="D4D4D4"/>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营销服务</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中心建设</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z w:val="21"/>
              </w:rPr>
              <w:t>338.77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z w:val="21"/>
              </w:rPr>
              <w:t>338.77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z w:val="21"/>
              </w:rPr>
              <w:t>338.77</w:t>
            </w: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w w:val="100"/>
                <w:sz w:val="21"/>
              </w:rPr>
              <w:t>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44" w:hRule="exact"/>
        </w:trPr>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54" w:lineRule="exact"/>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3"/>
              <w:ind w:left="2" w:right="0"/>
              <w:jc w:val="center"/>
              <w:rPr>
                <w:rFonts w:ascii="Times New Roman" w:hAnsi="Times New Roman" w:cs="Times New Roman" w:eastAsia="Times New Roman" w:hint="default"/>
                <w:sz w:val="21"/>
                <w:szCs w:val="21"/>
              </w:rPr>
            </w:pPr>
            <w:r>
              <w:rPr>
                <w:rFonts w:ascii="Times New Roman"/>
                <w:sz w:val="21"/>
              </w:rPr>
              <w:t>--</w:t>
            </w:r>
          </w:p>
        </w:tc>
        <w:tc>
          <w:tcPr>
            <w:tcW w:w="958"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23"/>
              <w:ind w:right="19"/>
              <w:jc w:val="right"/>
              <w:rPr>
                <w:rFonts w:ascii="Times New Roman" w:hAnsi="Times New Roman" w:cs="Times New Roman" w:eastAsia="Times New Roman" w:hint="default"/>
                <w:sz w:val="21"/>
                <w:szCs w:val="21"/>
              </w:rPr>
            </w:pPr>
            <w:r>
              <w:rPr>
                <w:rFonts w:ascii="Times New Roman"/>
                <w:sz w:val="21"/>
              </w:rPr>
              <w:t>338.77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7"/>
              <w:jc w:val="right"/>
              <w:rPr>
                <w:rFonts w:ascii="Times New Roman" w:hAnsi="Times New Roman" w:cs="Times New Roman" w:eastAsia="Times New Roman" w:hint="default"/>
                <w:sz w:val="21"/>
                <w:szCs w:val="21"/>
              </w:rPr>
            </w:pPr>
            <w:r>
              <w:rPr>
                <w:rFonts w:ascii="Times New Roman"/>
                <w:sz w:val="21"/>
              </w:rPr>
              <w:t>338.77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9"/>
              <w:jc w:val="right"/>
              <w:rPr>
                <w:rFonts w:ascii="Times New Roman" w:hAnsi="Times New Roman" w:cs="Times New Roman" w:eastAsia="Times New Roman" w:hint="default"/>
                <w:sz w:val="21"/>
                <w:szCs w:val="21"/>
              </w:rPr>
            </w:pPr>
            <w:r>
              <w:rPr>
                <w:rFonts w:ascii="Times New Roman"/>
                <w:sz w:val="21"/>
              </w:rPr>
              <w:t>338.77</w:t>
            </w:r>
          </w:p>
        </w:tc>
        <w:tc>
          <w:tcPr>
            <w:tcW w:w="9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sz w:val="21"/>
              </w:rPr>
              <w:t>--</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sz w:val="21"/>
              </w:rPr>
              <w:t>--</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9"/>
              <w:jc w:val="right"/>
              <w:rPr>
                <w:rFonts w:ascii="Times New Roman" w:hAnsi="Times New Roman" w:cs="Times New Roman" w:eastAsia="Times New Roman" w:hint="default"/>
                <w:sz w:val="21"/>
                <w:szCs w:val="21"/>
              </w:rPr>
            </w:pPr>
            <w:r>
              <w:rPr>
                <w:rFonts w:ascii="Times New Roman"/>
                <w:w w:val="100"/>
                <w:sz w:val="21"/>
              </w:rPr>
              <w:t>0</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sz w:val="21"/>
              </w:rPr>
              <w:t>--</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sz w:val="21"/>
              </w:rPr>
              <w:t>--</w:t>
            </w:r>
          </w:p>
        </w:tc>
      </w:tr>
      <w:tr>
        <w:trPr>
          <w:trHeight w:val="415" w:hRule="exact"/>
        </w:trPr>
        <w:tc>
          <w:tcPr>
            <w:tcW w:w="2873" w:type="dxa"/>
            <w:gridSpan w:val="3"/>
            <w:tcBorders>
              <w:top w:val="single" w:sz="4" w:space="0" w:color="000000"/>
              <w:left w:val="single" w:sz="4" w:space="0" w:color="000000"/>
              <w:bottom w:val="nil" w:sz="6" w:space="0" w:color="auto"/>
              <w:right w:val="single" w:sz="4" w:space="0" w:color="000000"/>
            </w:tcBorders>
            <w:shd w:val="clear" w:color="auto" w:fill="D4D4D4"/>
          </w:tcPr>
          <w:p>
            <w:pPr/>
          </w:p>
        </w:tc>
        <w:tc>
          <w:tcPr>
            <w:tcW w:w="6698" w:type="dxa"/>
            <w:gridSpan w:val="7"/>
            <w:vMerge w:val="restart"/>
            <w:tcBorders>
              <w:top w:val="single" w:sz="4" w:space="0" w:color="000000"/>
              <w:left w:val="single" w:sz="10" w:space="0" w:color="D4D4D4"/>
              <w:right w:val="single" w:sz="4" w:space="0" w:color="000000"/>
            </w:tcBorders>
          </w:tcPr>
          <w:p>
            <w:pPr>
              <w:pStyle w:val="TableParagraph"/>
              <w:spacing w:line="248" w:lineRule="exact"/>
              <w:ind w:left="16" w:right="0"/>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2014 </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31 </w:t>
            </w:r>
            <w:r>
              <w:rPr>
                <w:rFonts w:ascii="Times New Roman" w:hAnsi="Times New Roman" w:cs="Times New Roman" w:eastAsia="Times New Roman" w:hint="default"/>
                <w:spacing w:val="8"/>
                <w:sz w:val="21"/>
                <w:szCs w:val="21"/>
              </w:rPr>
              <w:t> </w:t>
            </w:r>
            <w:r>
              <w:rPr>
                <w:rFonts w:ascii="宋体" w:hAnsi="宋体" w:cs="宋体" w:eastAsia="宋体" w:hint="default"/>
                <w:spacing w:val="-4"/>
                <w:sz w:val="21"/>
                <w:szCs w:val="21"/>
              </w:rPr>
              <w:t>日，公司</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营销服务中心建设</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项目累计投入募集资</w:t>
            </w:r>
          </w:p>
          <w:p>
            <w:pPr>
              <w:pStyle w:val="TableParagraph"/>
              <w:spacing w:line="232" w:lineRule="auto"/>
              <w:ind w:left="16" w:right="16"/>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2,361.23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万元，结余募集资金</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338.77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万元。为了更好地发挥募集资金</w:t>
            </w:r>
            <w:r>
              <w:rPr>
                <w:rFonts w:ascii="宋体" w:hAnsi="宋体" w:cs="宋体" w:eastAsia="宋体" w:hint="default"/>
                <w:w w:val="100"/>
                <w:sz w:val="21"/>
                <w:szCs w:val="21"/>
              </w:rPr>
              <w:t> </w:t>
            </w:r>
            <w:r>
              <w:rPr>
                <w:rFonts w:ascii="宋体" w:hAnsi="宋体" w:cs="宋体" w:eastAsia="宋体" w:hint="default"/>
                <w:spacing w:val="-4"/>
                <w:sz w:val="21"/>
                <w:szCs w:val="21"/>
              </w:rPr>
              <w:t>的效能，提高资金的使用效率，实现股东利益最大化，根据《深圳证券交</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4"/>
                <w:sz w:val="21"/>
                <w:szCs w:val="21"/>
              </w:rPr>
              <w:t>易所创业板上市公司规范运作指引》等法律法规及规范性文件的规定，公</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司将营销服务中心建设项目进行结项，将该项目结余募集资金</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338.77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w:t>
            </w:r>
          </w:p>
        </w:tc>
      </w:tr>
      <w:tr>
        <w:trPr>
          <w:trHeight w:val="547" w:hRule="exact"/>
        </w:trPr>
        <w:tc>
          <w:tcPr>
            <w:tcW w:w="2873" w:type="dxa"/>
            <w:gridSpan w:val="3"/>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变更原因、决策程序及信息披</w:t>
            </w:r>
          </w:p>
          <w:p>
            <w:pPr>
              <w:pStyle w:val="TableParagraph"/>
              <w:spacing w:line="290" w:lineRule="exact"/>
              <w:ind w:left="2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露情况说明</w:t>
            </w:r>
            <w:r>
              <w:rPr>
                <w:rFonts w:ascii="Times New Roman" w:hAnsi="Times New Roman" w:cs="Times New Roman" w:eastAsia="Times New Roman" w:hint="default"/>
                <w:sz w:val="21"/>
                <w:szCs w:val="21"/>
              </w:rPr>
              <w:t>(</w:t>
            </w:r>
            <w:r>
              <w:rPr>
                <w:rFonts w:ascii="宋体" w:hAnsi="宋体" w:cs="宋体" w:eastAsia="宋体" w:hint="default"/>
                <w:sz w:val="21"/>
                <w:szCs w:val="21"/>
              </w:rPr>
              <w:t>分具体项目</w:t>
            </w:r>
            <w:r>
              <w:rPr>
                <w:rFonts w:ascii="Times New Roman" w:hAnsi="Times New Roman" w:cs="Times New Roman" w:eastAsia="Times New Roman" w:hint="default"/>
                <w:sz w:val="21"/>
                <w:szCs w:val="21"/>
              </w:rPr>
              <w:t>)</w:t>
            </w:r>
          </w:p>
        </w:tc>
        <w:tc>
          <w:tcPr>
            <w:tcW w:w="6698" w:type="dxa"/>
            <w:gridSpan w:val="7"/>
            <w:vMerge/>
            <w:tcBorders>
              <w:left w:val="single" w:sz="10" w:space="0" w:color="D4D4D4"/>
              <w:right w:val="single" w:sz="4" w:space="0" w:color="000000"/>
            </w:tcBorders>
          </w:tcPr>
          <w:p>
            <w:pPr/>
          </w:p>
        </w:tc>
      </w:tr>
      <w:tr>
        <w:trPr>
          <w:trHeight w:val="413" w:hRule="exact"/>
        </w:trPr>
        <w:tc>
          <w:tcPr>
            <w:tcW w:w="2873" w:type="dxa"/>
            <w:gridSpan w:val="3"/>
            <w:tcBorders>
              <w:top w:val="nil" w:sz="6" w:space="0" w:color="auto"/>
              <w:left w:val="single" w:sz="4" w:space="0" w:color="000000"/>
              <w:bottom w:val="single" w:sz="4" w:space="0" w:color="000000"/>
              <w:right w:val="single" w:sz="4" w:space="0" w:color="000000"/>
            </w:tcBorders>
            <w:shd w:val="clear" w:color="auto" w:fill="D4D4D4"/>
          </w:tcPr>
          <w:p>
            <w:pPr/>
          </w:p>
        </w:tc>
        <w:tc>
          <w:tcPr>
            <w:tcW w:w="6698" w:type="dxa"/>
            <w:gridSpan w:val="7"/>
            <w:vMerge/>
            <w:tcBorders>
              <w:left w:val="single" w:sz="10" w:space="0" w:color="D4D4D4"/>
              <w:bottom w:val="single" w:sz="4" w:space="0" w:color="000000"/>
              <w:right w:val="single" w:sz="4" w:space="0" w:color="000000"/>
            </w:tcBorders>
          </w:tcPr>
          <w:p>
            <w:pPr/>
          </w:p>
        </w:tc>
      </w:tr>
    </w:tbl>
    <w:p>
      <w:pPr>
        <w:spacing w:after="0"/>
        <w:sectPr>
          <w:type w:val="continuous"/>
          <w:pgSz w:w="11910" w:h="16840"/>
          <w:pgMar w:top="1060" w:bottom="1180" w:left="980" w:right="980"/>
        </w:sectPr>
      </w:pPr>
    </w:p>
    <w:p>
      <w:pPr>
        <w:spacing w:line="240" w:lineRule="auto" w:before="12"/>
        <w:rPr>
          <w:rFonts w:ascii="宋体" w:hAnsi="宋体" w:cs="宋体" w:eastAsia="宋体" w:hint="default"/>
          <w:sz w:val="27"/>
          <w:szCs w:val="27"/>
        </w:rPr>
      </w:pPr>
    </w:p>
    <w:p>
      <w:pPr>
        <w:spacing w:line="1668" w:lineRule="exact"/>
        <w:ind w:left="148" w:right="0" w:firstLine="0"/>
        <w:rPr>
          <w:rFonts w:ascii="宋体" w:hAnsi="宋体" w:cs="宋体" w:eastAsia="宋体" w:hint="default"/>
          <w:sz w:val="20"/>
          <w:szCs w:val="20"/>
        </w:rPr>
      </w:pPr>
      <w:r>
        <w:rPr>
          <w:rFonts w:ascii="宋体" w:hAnsi="宋体" w:cs="宋体" w:eastAsia="宋体" w:hint="default"/>
          <w:position w:val="-32"/>
          <w:sz w:val="20"/>
          <w:szCs w:val="20"/>
        </w:rPr>
        <w:pict>
          <v:group style="width:479.05pt;height:83.45pt;mso-position-horizontal-relative:char;mso-position-vertical-relative:line" coordorigin="0,0" coordsize="9581,1669">
            <v:group style="position:absolute;left:12;top:14;width:2861;height:1640" coordorigin="12,14" coordsize="2861,1640">
              <v:shape style="position:absolute;left:12;top:14;width:2861;height:1640" coordorigin="12,14" coordsize="2861,1640" path="m12,1654l2873,1654,2873,14,12,14,12,1654xe" filled="true" fillcolor="#d4d4d4" stroked="false">
                <v:path arrowok="t"/>
                <v:fill type="solid"/>
              </v:shape>
            </v:group>
            <v:group style="position:absolute;left:10;top:10;width:2864;height:2" coordorigin="10,10" coordsize="2864,2">
              <v:shape style="position:absolute;left:10;top:10;width:2864;height:2" coordorigin="10,10" coordsize="2864,0" path="m10,10l2873,10e" filled="false" stroked="true" strokeweight=".481pt" strokecolor="#000000">
                <v:path arrowok="t"/>
              </v:shape>
            </v:group>
            <v:group style="position:absolute;left:2882;top:10;width:6689;height:2" coordorigin="2882,10" coordsize="6689,2">
              <v:shape style="position:absolute;left:2882;top:10;width:6689;height:2" coordorigin="2882,10" coordsize="6689,0" path="m2882,10l9571,10e" filled="false" stroked="true" strokeweight=".481pt" strokecolor="#000000">
                <v:path arrowok="t"/>
              </v:shape>
            </v:group>
            <v:group style="position:absolute;left:5;top:5;width:2;height:1659" coordorigin="5,5" coordsize="2,1659">
              <v:shape style="position:absolute;left:5;top:5;width:2;height:1659" coordorigin="5,5" coordsize="0,1659" path="m5,5l5,1663e" filled="false" stroked="true" strokeweight=".48pt" strokecolor="#000000">
                <v:path arrowok="t"/>
              </v:shape>
            </v:group>
            <v:group style="position:absolute;left:10;top:1658;width:2864;height:2" coordorigin="10,1658" coordsize="2864,2">
              <v:shape style="position:absolute;left:10;top:1658;width:2864;height:2" coordorigin="10,1658" coordsize="2864,0" path="m10,1658l2873,1658e" filled="false" stroked="true" strokeweight=".481pt" strokecolor="#000000">
                <v:path arrowok="t"/>
              </v:shape>
            </v:group>
            <v:group style="position:absolute;left:2878;top:5;width:2;height:1659" coordorigin="2878,5" coordsize="2,1659">
              <v:shape style="position:absolute;left:2878;top:5;width:2;height:1659" coordorigin="2878,5" coordsize="0,1659" path="m2878,5l2878,1663e" filled="false" stroked="true" strokeweight=".48pt" strokecolor="#000000">
                <v:path arrowok="t"/>
              </v:shape>
            </v:group>
            <v:group style="position:absolute;left:2882;top:1658;width:6689;height:2" coordorigin="2882,1658" coordsize="6689,2">
              <v:shape style="position:absolute;left:2882;top:1658;width:6689;height:2" coordorigin="2882,1658" coordsize="6689,0" path="m2882,1658l9571,1658e" filled="false" stroked="true" strokeweight=".481pt" strokecolor="#000000">
                <v:path arrowok="t"/>
              </v:shape>
            </v:group>
            <v:group style="position:absolute;left:9576;top:5;width:2;height:1659" coordorigin="9576,5" coordsize="2,1659">
              <v:shape style="position:absolute;left:9576;top:5;width:2;height:1659" coordorigin="9576,5" coordsize="0,1659" path="m9576,5l9576,1663e" filled="false" stroked="true" strokeweight=".48pt" strokecolor="#000000">
                <v:path arrowok="t"/>
              </v:shape>
              <v:shape style="position:absolute;left:2878;top:10;width:6699;height:1649" type="#_x0000_t202" filled="false" stroked="false">
                <v:textbox inset="0,0,0,0">
                  <w:txbxContent>
                    <w:p>
                      <w:pPr>
                        <w:spacing w:line="253" w:lineRule="exact" w:before="0"/>
                        <w:ind w:left="28" w:right="0" w:firstLine="0"/>
                        <w:jc w:val="left"/>
                        <w:rPr>
                          <w:rFonts w:ascii="宋体" w:hAnsi="宋体" w:cs="宋体" w:eastAsia="宋体" w:hint="default"/>
                          <w:sz w:val="21"/>
                          <w:szCs w:val="21"/>
                        </w:rPr>
                      </w:pPr>
                      <w:r>
                        <w:rPr>
                          <w:rFonts w:ascii="宋体" w:hAnsi="宋体" w:cs="宋体" w:eastAsia="宋体" w:hint="default"/>
                          <w:sz w:val="21"/>
                          <w:szCs w:val="21"/>
                        </w:rPr>
                        <w:t>元转回超募资金专户管理，并根据《创业板信息披露业务备忘录第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号</w:t>
                      </w:r>
                    </w:p>
                    <w:p>
                      <w:pPr>
                        <w:spacing w:line="228" w:lineRule="auto" w:before="3"/>
                        <w:ind w:left="28" w:right="18"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超募资金及闲置募集资金使用（</w:t>
                      </w:r>
                      <w:r>
                        <w:rPr>
                          <w:rFonts w:ascii="Times New Roman" w:hAnsi="Times New Roman" w:cs="Times New Roman" w:eastAsia="Times New Roman" w:hint="default"/>
                          <w:sz w:val="21"/>
                          <w:szCs w:val="21"/>
                        </w:rPr>
                        <w:t>2014 </w:t>
                      </w:r>
                      <w:r>
                        <w:rPr>
                          <w:rFonts w:ascii="宋体" w:hAnsi="宋体" w:cs="宋体" w:eastAsia="宋体" w:hint="default"/>
                          <w:sz w:val="21"/>
                          <w:szCs w:val="21"/>
                        </w:rPr>
                        <w:t>年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5"/>
                          <w:sz w:val="21"/>
                          <w:szCs w:val="21"/>
                        </w:rPr>
                        <w:t> </w:t>
                      </w:r>
                      <w:r>
                        <w:rPr>
                          <w:rFonts w:ascii="宋体" w:hAnsi="宋体" w:cs="宋体" w:eastAsia="宋体" w:hint="default"/>
                          <w:spacing w:val="-13"/>
                          <w:sz w:val="21"/>
                          <w:szCs w:val="21"/>
                        </w:rPr>
                        <w:t>月修订）》和公司《募集</w:t>
                      </w:r>
                      <w:r>
                        <w:rPr>
                          <w:rFonts w:ascii="宋体" w:hAnsi="宋体" w:cs="宋体" w:eastAsia="宋体" w:hint="default"/>
                          <w:w w:val="100"/>
                          <w:sz w:val="21"/>
                          <w:szCs w:val="21"/>
                        </w:rPr>
                        <w:t> </w:t>
                      </w:r>
                      <w:r>
                        <w:rPr>
                          <w:rFonts w:ascii="宋体" w:hAnsi="宋体" w:cs="宋体" w:eastAsia="宋体" w:hint="default"/>
                          <w:spacing w:val="-10"/>
                          <w:sz w:val="21"/>
                          <w:szCs w:val="21"/>
                        </w:rPr>
                        <w:t>资金管理制度》等相关法律、法规和规范性文件规定进行管理和使用。</w:t>
                      </w:r>
                      <w:r>
                        <w:rPr>
                          <w:rFonts w:ascii="Times New Roman" w:hAnsi="Times New Roman" w:cs="Times New Roman" w:eastAsia="Times New Roman" w:hint="default"/>
                          <w:spacing w:val="-10"/>
                          <w:sz w:val="21"/>
                          <w:szCs w:val="21"/>
                        </w:rPr>
                        <w:t>2015</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r>
                        <w:rPr>
                          <w:rFonts w:ascii="Times New Roman" w:hAnsi="Times New Roman" w:cs="Times New Roman" w:eastAsia="Times New Roman" w:hint="default"/>
                          <w:sz w:val="21"/>
                          <w:szCs w:val="21"/>
                        </w:rPr>
                        <w:t>,</w:t>
                      </w:r>
                      <w:r>
                        <w:rPr>
                          <w:rFonts w:ascii="宋体" w:hAnsi="宋体" w:cs="宋体" w:eastAsia="宋体" w:hint="default"/>
                          <w:sz w:val="21"/>
                          <w:szCs w:val="21"/>
                        </w:rPr>
                        <w:t>第二届董事会第十五次会议和第二届监事会第十四次会议</w:t>
                      </w:r>
                      <w:r>
                        <w:rPr>
                          <w:rFonts w:ascii="宋体" w:hAnsi="宋体" w:cs="宋体" w:eastAsia="宋体" w:hint="default"/>
                          <w:w w:val="100"/>
                          <w:sz w:val="21"/>
                          <w:szCs w:val="21"/>
                        </w:rPr>
                        <w:t> </w:t>
                      </w:r>
                      <w:r>
                        <w:rPr>
                          <w:rFonts w:ascii="宋体" w:hAnsi="宋体" w:cs="宋体" w:eastAsia="宋体" w:hint="default"/>
                          <w:spacing w:val="-4"/>
                          <w:sz w:val="21"/>
                          <w:szCs w:val="21"/>
                        </w:rPr>
                        <w:t>审议通过了《关于部分募集资金投资项目结项并将结余募集资金及利息转</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pacing w:val="-10"/>
                          <w:sz w:val="21"/>
                          <w:szCs w:val="21"/>
                        </w:rPr>
                        <w:t>回超募资金账户的议案》。</w:t>
                      </w:r>
                    </w:p>
                  </w:txbxContent>
                </v:textbox>
                <w10:wrap type="none"/>
              </v:shape>
            </v:group>
          </v:group>
        </w:pict>
      </w:r>
      <w:r>
        <w:rPr>
          <w:rFonts w:ascii="宋体" w:hAnsi="宋体" w:cs="宋体" w:eastAsia="宋体" w:hint="default"/>
          <w:position w:val="-32"/>
          <w:sz w:val="20"/>
          <w:szCs w:val="20"/>
        </w:rPr>
      </w:r>
    </w:p>
    <w:p>
      <w:pPr>
        <w:pStyle w:val="BodyText"/>
        <w:spacing w:line="273" w:lineRule="exact"/>
        <w:ind w:right="0"/>
        <w:jc w:val="left"/>
      </w:pPr>
      <w:r>
        <w:rPr>
          <w:rFonts w:ascii="Times New Roman" w:hAnsi="Times New Roman" w:cs="Times New Roman" w:eastAsia="Times New Roman" w:hint="default"/>
        </w:rPr>
        <w:t>3</w:t>
      </w:r>
      <w:r>
        <w:rPr/>
        <w:t>）非募集资金投资的重大项目情况</w:t>
      </w:r>
    </w:p>
    <w:p>
      <w:pPr>
        <w:pStyle w:val="BodyText"/>
        <w:spacing w:line="264" w:lineRule="auto" w:before="21"/>
        <w:ind w:right="5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公司报告期无非募集资金投资的重大项目。</w:t>
      </w:r>
      <w:r>
        <w:rPr>
          <w:spacing w:val="-69"/>
        </w:rPr>
        <w:t> </w:t>
      </w:r>
      <w:r>
        <w:rPr>
          <w:spacing w:val="-69"/>
        </w:rPr>
      </w:r>
      <w:r>
        <w:rPr>
          <w:rFonts w:ascii="Times New Roman" w:hAnsi="Times New Roman" w:cs="Times New Roman" w:eastAsia="Times New Roman" w:hint="default"/>
        </w:rPr>
        <w:t>4</w:t>
      </w:r>
      <w:r>
        <w:rPr/>
        <w:t>）持有其他上市公司股权情况</w:t>
      </w:r>
    </w:p>
    <w:p>
      <w:pPr>
        <w:pStyle w:val="BodyText"/>
        <w:spacing w:line="289" w:lineRule="exact"/>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21"/>
        <w:ind w:right="0"/>
        <w:jc w:val="left"/>
      </w:pPr>
      <w:r>
        <w:rPr>
          <w:rFonts w:ascii="Times New Roman" w:hAnsi="Times New Roman" w:cs="Times New Roman" w:eastAsia="Times New Roman" w:hint="default"/>
        </w:rPr>
        <w:t>5</w:t>
      </w:r>
      <w:r>
        <w:rPr/>
        <w:t>）持有金融企业股权情况</w:t>
      </w:r>
    </w:p>
    <w:p>
      <w:pPr>
        <w:pStyle w:val="BodyText"/>
        <w:spacing w:line="264" w:lineRule="auto" w:before="21"/>
        <w:ind w:right="5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公司报告期未持有金融企业股权。</w:t>
      </w:r>
      <w:r>
        <w:rPr>
          <w:spacing w:val="-75"/>
        </w:rPr>
        <w:t> </w:t>
      </w:r>
      <w:r>
        <w:rPr>
          <w:spacing w:val="-75"/>
        </w:rPr>
      </w:r>
      <w:r>
        <w:rPr>
          <w:rFonts w:ascii="Times New Roman" w:hAnsi="Times New Roman" w:cs="Times New Roman" w:eastAsia="Times New Roman" w:hint="default"/>
        </w:rPr>
        <w:t>6</w:t>
      </w:r>
      <w:r>
        <w:rPr/>
        <w:t>）买卖其他上市公司股份的情况</w:t>
      </w:r>
    </w:p>
    <w:p>
      <w:pPr>
        <w:pStyle w:val="BodyText"/>
        <w:spacing w:line="289" w:lineRule="exact"/>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21"/>
        <w:ind w:right="0"/>
        <w:jc w:val="left"/>
      </w:pPr>
      <w:r>
        <w:rPr>
          <w:rFonts w:ascii="Times New Roman" w:hAnsi="Times New Roman" w:cs="Times New Roman" w:eastAsia="Times New Roman" w:hint="default"/>
        </w:rPr>
        <w:t>7</w:t>
      </w:r>
      <w:r>
        <w:rPr/>
        <w:t>）以公允价值计量的金融资产</w:t>
      </w:r>
    </w:p>
    <w:p>
      <w:pPr>
        <w:pStyle w:val="BodyText"/>
        <w:spacing w:line="240" w:lineRule="auto" w:before="2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8"/>
        <w:rPr>
          <w:rFonts w:ascii="宋体" w:hAnsi="宋体" w:cs="宋体" w:eastAsia="宋体" w:hint="default"/>
          <w:sz w:val="24"/>
          <w:szCs w:val="24"/>
        </w:rPr>
      </w:pPr>
    </w:p>
    <w:p>
      <w:pPr>
        <w:pStyle w:val="Heading5"/>
        <w:spacing w:line="240" w:lineRule="auto"/>
        <w:ind w:right="0"/>
        <w:jc w:val="left"/>
        <w:rPr>
          <w:b w:val="0"/>
          <w:bCs w:val="0"/>
        </w:rPr>
      </w:pPr>
      <w:bookmarkStart w:name="（6）主要控股参股公司分析" w:id="27"/>
      <w:bookmarkEnd w:id="27"/>
      <w:r>
        <w:rPr>
          <w:b w:val="0"/>
          <w:bCs w:val="0"/>
        </w:rPr>
      </w:r>
      <w:r>
        <w:rPr/>
        <w:t>（</w:t>
      </w:r>
      <w:r>
        <w:rPr>
          <w:rFonts w:ascii="Times New Roman" w:hAnsi="Times New Roman" w:cs="Times New Roman" w:eastAsia="Times New Roman" w:hint="default"/>
        </w:rPr>
        <w:t>6</w:t>
      </w:r>
      <w:r>
        <w:rPr/>
        <w:t>）主要控股参股公司分析</w:t>
      </w:r>
      <w:r>
        <w:rPr>
          <w:b w:val="0"/>
          <w:bCs w:val="0"/>
        </w:rPr>
      </w:r>
    </w:p>
    <w:p>
      <w:pPr>
        <w:spacing w:line="240" w:lineRule="auto" w:before="10"/>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40"/>
          <w:pgMar w:header="748" w:footer="982" w:top="1060" w:bottom="1180" w:left="980" w:right="980"/>
        </w:sectPr>
      </w:pPr>
    </w:p>
    <w:p>
      <w:pPr>
        <w:pStyle w:val="BodyText"/>
        <w:spacing w:line="256" w:lineRule="auto" w:before="3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主要子公司、参股公司情况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36"/>
        <w:ind w:right="0"/>
        <w:jc w:val="left"/>
      </w:pPr>
      <w:r>
        <w:rPr/>
        <w:t>单位：元</w:t>
      </w:r>
    </w:p>
    <w:p>
      <w:pPr>
        <w:spacing w:after="0" w:line="240" w:lineRule="auto"/>
        <w:jc w:val="left"/>
        <w:sectPr>
          <w:type w:val="continuous"/>
          <w:pgSz w:w="11910" w:h="16840"/>
          <w:pgMar w:top="1060" w:bottom="1180" w:left="980" w:right="980"/>
          <w:cols w:num="2" w:equalWidth="0">
            <w:col w:w="2676" w:space="6122"/>
            <w:col w:w="1152"/>
          </w:cols>
        </w:sectPr>
      </w:pPr>
    </w:p>
    <w:p>
      <w:pPr>
        <w:spacing w:line="240" w:lineRule="auto" w:before="12"/>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946"/>
        <w:gridCol w:w="1075"/>
        <w:gridCol w:w="674"/>
        <w:gridCol w:w="1133"/>
        <w:gridCol w:w="1135"/>
        <w:gridCol w:w="830"/>
        <w:gridCol w:w="943"/>
        <w:gridCol w:w="943"/>
        <w:gridCol w:w="809"/>
        <w:gridCol w:w="1075"/>
      </w:tblGrid>
      <w:tr>
        <w:trPr>
          <w:trHeight w:val="556" w:hRule="exact"/>
        </w:trPr>
        <w:tc>
          <w:tcPr>
            <w:tcW w:w="9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left="48"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107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left="112" w:right="0"/>
              <w:jc w:val="left"/>
              <w:rPr>
                <w:rFonts w:ascii="宋体" w:hAnsi="宋体" w:cs="宋体" w:eastAsia="宋体" w:hint="default"/>
                <w:sz w:val="21"/>
                <w:szCs w:val="21"/>
              </w:rPr>
            </w:pPr>
            <w:r>
              <w:rPr>
                <w:rFonts w:ascii="宋体" w:hAnsi="宋体" w:cs="宋体" w:eastAsia="宋体" w:hint="default"/>
                <w:sz w:val="21"/>
                <w:szCs w:val="21"/>
              </w:rPr>
              <w:t>公司类型</w:t>
            </w:r>
          </w:p>
        </w:tc>
        <w:tc>
          <w:tcPr>
            <w:tcW w:w="6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所处</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行业</w:t>
            </w:r>
          </w:p>
        </w:tc>
        <w:tc>
          <w:tcPr>
            <w:tcW w:w="113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主要产品或</w:t>
            </w: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服务</w:t>
            </w:r>
          </w:p>
        </w:tc>
        <w:tc>
          <w:tcPr>
            <w:tcW w:w="11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left="141"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8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left="95"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9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left="151"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9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left="47"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8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营业利</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润</w:t>
            </w:r>
          </w:p>
        </w:tc>
        <w:tc>
          <w:tcPr>
            <w:tcW w:w="107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left="4" w:right="0"/>
              <w:jc w:val="center"/>
              <w:rPr>
                <w:rFonts w:ascii="宋体" w:hAnsi="宋体" w:cs="宋体" w:eastAsia="宋体" w:hint="default"/>
                <w:sz w:val="21"/>
                <w:szCs w:val="21"/>
              </w:rPr>
            </w:pPr>
            <w:r>
              <w:rPr>
                <w:rFonts w:ascii="宋体" w:hAnsi="宋体" w:cs="宋体" w:eastAsia="宋体" w:hint="default"/>
                <w:sz w:val="21"/>
                <w:szCs w:val="21"/>
              </w:rPr>
              <w:t>净利润</w:t>
            </w:r>
          </w:p>
        </w:tc>
      </w:tr>
      <w:tr>
        <w:trPr>
          <w:trHeight w:val="2467"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37" w:lineRule="auto"/>
              <w:ind w:left="24" w:right="67"/>
              <w:jc w:val="both"/>
              <w:rPr>
                <w:rFonts w:ascii="宋体" w:hAnsi="宋体" w:cs="宋体" w:eastAsia="宋体" w:hint="default"/>
                <w:sz w:val="21"/>
                <w:szCs w:val="21"/>
              </w:rPr>
            </w:pPr>
            <w:r>
              <w:rPr>
                <w:rFonts w:ascii="宋体" w:hAnsi="宋体" w:cs="宋体" w:eastAsia="宋体" w:hint="default"/>
                <w:sz w:val="21"/>
                <w:szCs w:val="21"/>
              </w:rPr>
              <w:t>深圳市连</w:t>
            </w:r>
            <w:r>
              <w:rPr>
                <w:rFonts w:ascii="宋体" w:hAnsi="宋体" w:cs="宋体" w:eastAsia="宋体" w:hint="default"/>
                <w:w w:val="100"/>
                <w:sz w:val="21"/>
                <w:szCs w:val="21"/>
              </w:rPr>
              <w:t> </w:t>
            </w:r>
            <w:r>
              <w:rPr>
                <w:rFonts w:ascii="宋体" w:hAnsi="宋体" w:cs="宋体" w:eastAsia="宋体" w:hint="default"/>
                <w:sz w:val="21"/>
                <w:szCs w:val="21"/>
              </w:rPr>
              <w:t>邦信息技</w:t>
            </w:r>
            <w:r>
              <w:rPr>
                <w:rFonts w:ascii="宋体" w:hAnsi="宋体" w:cs="宋体" w:eastAsia="宋体" w:hint="default"/>
                <w:w w:val="100"/>
                <w:sz w:val="21"/>
                <w:szCs w:val="21"/>
              </w:rPr>
              <w:t> </w:t>
            </w:r>
            <w:r>
              <w:rPr>
                <w:rFonts w:ascii="宋体" w:hAnsi="宋体" w:cs="宋体" w:eastAsia="宋体" w:hint="default"/>
                <w:sz w:val="21"/>
                <w:szCs w:val="21"/>
              </w:rPr>
              <w:t>术有限公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67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both"/>
              <w:rPr>
                <w:rFonts w:ascii="宋体" w:hAnsi="宋体" w:cs="宋体" w:eastAsia="宋体" w:hint="default"/>
                <w:sz w:val="21"/>
                <w:szCs w:val="21"/>
              </w:rPr>
            </w:pPr>
            <w:r>
              <w:rPr>
                <w:rFonts w:ascii="宋体" w:hAnsi="宋体" w:cs="宋体" w:eastAsia="宋体" w:hint="default"/>
                <w:sz w:val="21"/>
                <w:szCs w:val="21"/>
              </w:rPr>
              <w:t>计算机软</w:t>
            </w:r>
          </w:p>
          <w:p>
            <w:pPr>
              <w:pStyle w:val="TableParagraph"/>
              <w:spacing w:line="237" w:lineRule="auto" w:before="2"/>
              <w:ind w:left="24" w:right="43"/>
              <w:jc w:val="both"/>
              <w:rPr>
                <w:rFonts w:ascii="宋体" w:hAnsi="宋体" w:cs="宋体" w:eastAsia="宋体" w:hint="default"/>
                <w:sz w:val="21"/>
                <w:szCs w:val="21"/>
              </w:rPr>
            </w:pPr>
            <w:r>
              <w:rPr>
                <w:rFonts w:ascii="宋体" w:hAnsi="宋体" w:cs="宋体" w:eastAsia="宋体" w:hint="default"/>
                <w:sz w:val="21"/>
                <w:szCs w:val="21"/>
              </w:rPr>
              <w:t>件、硬件技</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术开发；视</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频图像通讯</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系统软件技</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术开发、销</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售及其技术</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服务（不含</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限制项目）</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4" w:lineRule="exact" w:before="162"/>
              <w:ind w:left="23" w:right="98"/>
              <w:jc w:val="left"/>
              <w:rPr>
                <w:rFonts w:ascii="宋体" w:hAnsi="宋体" w:cs="宋体" w:eastAsia="宋体" w:hint="default"/>
                <w:sz w:val="21"/>
                <w:szCs w:val="21"/>
              </w:rPr>
            </w:pPr>
            <w:r>
              <w:rPr>
                <w:rFonts w:ascii="Times New Roman" w:hAnsi="Times New Roman" w:cs="Times New Roman" w:eastAsia="Times New Roman" w:hint="default"/>
                <w:sz w:val="21"/>
                <w:szCs w:val="21"/>
              </w:rPr>
              <w:t>200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万元人</w:t>
            </w:r>
            <w:r>
              <w:rPr>
                <w:rFonts w:ascii="宋体" w:hAnsi="宋体" w:cs="宋体" w:eastAsia="宋体" w:hint="default"/>
                <w:w w:val="100"/>
                <w:sz w:val="21"/>
                <w:szCs w:val="21"/>
              </w:rPr>
              <w:t> </w:t>
            </w:r>
            <w:r>
              <w:rPr>
                <w:rFonts w:ascii="宋体" w:hAnsi="宋体" w:cs="宋体" w:eastAsia="宋体" w:hint="default"/>
                <w:sz w:val="21"/>
                <w:szCs w:val="21"/>
              </w:rPr>
              <w:t>民币</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1" w:lineRule="exact"/>
              <w:ind w:left="64" w:right="0"/>
              <w:jc w:val="left"/>
              <w:rPr>
                <w:rFonts w:ascii="Times New Roman" w:hAnsi="Times New Roman" w:cs="Times New Roman" w:eastAsia="Times New Roman" w:hint="default"/>
                <w:sz w:val="21"/>
                <w:szCs w:val="21"/>
              </w:rPr>
            </w:pPr>
            <w:r>
              <w:rPr>
                <w:rFonts w:ascii="Times New Roman"/>
                <w:sz w:val="21"/>
              </w:rPr>
              <w:t>6,950,74</w:t>
            </w:r>
          </w:p>
          <w:p>
            <w:pPr>
              <w:pStyle w:val="TableParagraph"/>
              <w:spacing w:line="241" w:lineRule="exact"/>
              <w:ind w:left="431" w:right="0"/>
              <w:jc w:val="left"/>
              <w:rPr>
                <w:rFonts w:ascii="Times New Roman" w:hAnsi="Times New Roman" w:cs="Times New Roman" w:eastAsia="Times New Roman" w:hint="default"/>
                <w:sz w:val="21"/>
                <w:szCs w:val="21"/>
              </w:rPr>
            </w:pPr>
            <w:r>
              <w:rPr>
                <w:rFonts w:ascii="Times New Roman"/>
                <w:sz w:val="21"/>
              </w:rPr>
              <w:t>0.80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1" w:lineRule="exact"/>
              <w:ind w:right="17"/>
              <w:jc w:val="right"/>
              <w:rPr>
                <w:rFonts w:ascii="Times New Roman" w:hAnsi="Times New Roman" w:cs="Times New Roman" w:eastAsia="Times New Roman" w:hint="default"/>
                <w:sz w:val="21"/>
                <w:szCs w:val="21"/>
              </w:rPr>
            </w:pPr>
            <w:r>
              <w:rPr>
                <w:rFonts w:ascii="Times New Roman"/>
                <w:spacing w:val="-1"/>
                <w:sz w:val="21"/>
              </w:rPr>
              <w:t>6,790,562</w:t>
            </w:r>
          </w:p>
          <w:p>
            <w:pPr>
              <w:pStyle w:val="TableParagraph"/>
              <w:spacing w:line="241" w:lineRule="exact"/>
              <w:ind w:right="17"/>
              <w:jc w:val="right"/>
              <w:rPr>
                <w:rFonts w:ascii="Times New Roman" w:hAnsi="Times New Roman" w:cs="Times New Roman" w:eastAsia="Times New Roman" w:hint="default"/>
                <w:sz w:val="21"/>
                <w:szCs w:val="21"/>
              </w:rPr>
            </w:pPr>
            <w:r>
              <w:rPr>
                <w:rFonts w:ascii="Times New Roman"/>
                <w:sz w:val="21"/>
              </w:rPr>
              <w:t>.81</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1" w:lineRule="exact"/>
              <w:ind w:right="17"/>
              <w:jc w:val="right"/>
              <w:rPr>
                <w:rFonts w:ascii="Times New Roman" w:hAnsi="Times New Roman" w:cs="Times New Roman" w:eastAsia="Times New Roman" w:hint="default"/>
                <w:sz w:val="21"/>
                <w:szCs w:val="21"/>
              </w:rPr>
            </w:pPr>
            <w:r>
              <w:rPr>
                <w:rFonts w:ascii="Times New Roman"/>
                <w:spacing w:val="-1"/>
                <w:sz w:val="21"/>
              </w:rPr>
              <w:t>3,877,494</w:t>
            </w:r>
          </w:p>
          <w:p>
            <w:pPr>
              <w:pStyle w:val="TableParagraph"/>
              <w:spacing w:line="241" w:lineRule="exact"/>
              <w:ind w:right="17"/>
              <w:jc w:val="right"/>
              <w:rPr>
                <w:rFonts w:ascii="Times New Roman" w:hAnsi="Times New Roman" w:cs="Times New Roman" w:eastAsia="Times New Roman" w:hint="default"/>
                <w:sz w:val="21"/>
                <w:szCs w:val="21"/>
              </w:rPr>
            </w:pPr>
            <w:r>
              <w:rPr>
                <w:rFonts w:ascii="Times New Roman"/>
                <w:sz w:val="21"/>
              </w:rPr>
              <w:t>.16</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1" w:lineRule="exact"/>
              <w:ind w:left="23" w:right="0"/>
              <w:jc w:val="left"/>
              <w:rPr>
                <w:rFonts w:ascii="Times New Roman" w:hAnsi="Times New Roman" w:cs="Times New Roman" w:eastAsia="Times New Roman" w:hint="default"/>
                <w:sz w:val="21"/>
                <w:szCs w:val="21"/>
              </w:rPr>
            </w:pPr>
            <w:r>
              <w:rPr>
                <w:rFonts w:ascii="Times New Roman"/>
                <w:sz w:val="21"/>
              </w:rPr>
              <w:t>-420,228</w:t>
            </w:r>
          </w:p>
          <w:p>
            <w:pPr>
              <w:pStyle w:val="TableParagraph"/>
              <w:spacing w:line="241" w:lineRule="exact"/>
              <w:ind w:left="515" w:right="0"/>
              <w:jc w:val="left"/>
              <w:rPr>
                <w:rFonts w:ascii="Times New Roman" w:hAnsi="Times New Roman" w:cs="Times New Roman" w:eastAsia="Times New Roman" w:hint="default"/>
                <w:sz w:val="21"/>
                <w:szCs w:val="21"/>
              </w:rPr>
            </w:pPr>
            <w:r>
              <w:rPr>
                <w:rFonts w:ascii="Times New Roman"/>
                <w:sz w:val="21"/>
              </w:rPr>
              <w:t>.67</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9" w:right="0"/>
              <w:jc w:val="center"/>
              <w:rPr>
                <w:rFonts w:ascii="Times New Roman" w:hAnsi="Times New Roman" w:cs="Times New Roman" w:eastAsia="Times New Roman" w:hint="default"/>
                <w:sz w:val="21"/>
                <w:szCs w:val="21"/>
              </w:rPr>
            </w:pPr>
            <w:r>
              <w:rPr>
                <w:rFonts w:ascii="Times New Roman"/>
                <w:sz w:val="21"/>
              </w:rPr>
              <w:t>-383,689.62</w:t>
            </w:r>
          </w:p>
        </w:tc>
      </w:tr>
      <w:tr>
        <w:trPr>
          <w:trHeight w:val="3012"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38"/>
              <w:ind w:left="24" w:right="67"/>
              <w:jc w:val="both"/>
              <w:rPr>
                <w:rFonts w:ascii="宋体" w:hAnsi="宋体" w:cs="宋体" w:eastAsia="宋体" w:hint="default"/>
                <w:sz w:val="21"/>
                <w:szCs w:val="21"/>
              </w:rPr>
            </w:pPr>
            <w:r>
              <w:rPr>
                <w:rFonts w:ascii="宋体" w:hAnsi="宋体" w:cs="宋体" w:eastAsia="宋体" w:hint="default"/>
                <w:sz w:val="21"/>
                <w:szCs w:val="21"/>
              </w:rPr>
              <w:t>深圳市科</w:t>
            </w:r>
            <w:r>
              <w:rPr>
                <w:rFonts w:ascii="宋体" w:hAnsi="宋体" w:cs="宋体" w:eastAsia="宋体" w:hint="default"/>
                <w:w w:val="100"/>
                <w:sz w:val="21"/>
                <w:szCs w:val="21"/>
              </w:rPr>
              <w:t> </w:t>
            </w:r>
            <w:r>
              <w:rPr>
                <w:rFonts w:ascii="宋体" w:hAnsi="宋体" w:cs="宋体" w:eastAsia="宋体" w:hint="default"/>
                <w:sz w:val="21"/>
                <w:szCs w:val="21"/>
              </w:rPr>
              <w:t>葩信息技</w:t>
            </w:r>
            <w:r>
              <w:rPr>
                <w:rFonts w:ascii="宋体" w:hAnsi="宋体" w:cs="宋体" w:eastAsia="宋体" w:hint="default"/>
                <w:w w:val="100"/>
                <w:sz w:val="21"/>
                <w:szCs w:val="21"/>
              </w:rPr>
              <w:t> </w:t>
            </w:r>
            <w:r>
              <w:rPr>
                <w:rFonts w:ascii="宋体" w:hAnsi="宋体" w:cs="宋体" w:eastAsia="宋体" w:hint="default"/>
                <w:sz w:val="21"/>
                <w:szCs w:val="21"/>
              </w:rPr>
              <w:t>术有限公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参股公司</w:t>
            </w:r>
          </w:p>
        </w:tc>
        <w:tc>
          <w:tcPr>
            <w:tcW w:w="67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both"/>
              <w:rPr>
                <w:rFonts w:ascii="宋体" w:hAnsi="宋体" w:cs="宋体" w:eastAsia="宋体" w:hint="default"/>
                <w:sz w:val="21"/>
                <w:szCs w:val="21"/>
              </w:rPr>
            </w:pPr>
            <w:r>
              <w:rPr>
                <w:rFonts w:ascii="宋体" w:hAnsi="宋体" w:cs="宋体" w:eastAsia="宋体" w:hint="default"/>
                <w:sz w:val="21"/>
                <w:szCs w:val="21"/>
              </w:rPr>
              <w:t>计算机生物</w:t>
            </w:r>
          </w:p>
          <w:p>
            <w:pPr>
              <w:pStyle w:val="TableParagraph"/>
              <w:spacing w:line="237" w:lineRule="auto" w:before="2"/>
              <w:ind w:left="24" w:right="43"/>
              <w:jc w:val="both"/>
              <w:rPr>
                <w:rFonts w:ascii="宋体" w:hAnsi="宋体" w:cs="宋体" w:eastAsia="宋体" w:hint="default"/>
                <w:sz w:val="21"/>
                <w:szCs w:val="21"/>
              </w:rPr>
            </w:pPr>
            <w:r>
              <w:rPr>
                <w:rFonts w:ascii="宋体" w:hAnsi="宋体" w:cs="宋体" w:eastAsia="宋体" w:hint="default"/>
                <w:sz w:val="21"/>
                <w:szCs w:val="21"/>
              </w:rPr>
              <w:t>识别技术及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其产品的研</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发与销售；</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安全验证技</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术及其产品</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的研发与销</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售；计算机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系统集成；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经营进出口</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业务。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4" w:lineRule="exact" w:before="174"/>
              <w:ind w:left="23" w:right="45"/>
              <w:jc w:val="left"/>
              <w:rPr>
                <w:rFonts w:ascii="宋体" w:hAnsi="宋体" w:cs="宋体" w:eastAsia="宋体" w:hint="default"/>
                <w:sz w:val="21"/>
                <w:szCs w:val="21"/>
              </w:rPr>
            </w:pPr>
            <w:r>
              <w:rPr>
                <w:rFonts w:ascii="Times New Roman" w:hAnsi="Times New Roman" w:cs="Times New Roman" w:eastAsia="Times New Roman" w:hint="default"/>
                <w:sz w:val="21"/>
                <w:szCs w:val="21"/>
              </w:rPr>
              <w:t>621.43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万人</w:t>
            </w:r>
            <w:r>
              <w:rPr>
                <w:rFonts w:ascii="宋体" w:hAnsi="宋体" w:cs="宋体" w:eastAsia="宋体" w:hint="default"/>
                <w:w w:val="100"/>
                <w:sz w:val="21"/>
                <w:szCs w:val="21"/>
              </w:rPr>
              <w:t> </w:t>
            </w:r>
            <w:r>
              <w:rPr>
                <w:rFonts w:ascii="宋体" w:hAnsi="宋体" w:cs="宋体" w:eastAsia="宋体" w:hint="default"/>
                <w:sz w:val="21"/>
                <w:szCs w:val="21"/>
              </w:rPr>
              <w:t>民币</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4" w:right="0"/>
              <w:jc w:val="left"/>
              <w:rPr>
                <w:rFonts w:ascii="Times New Roman" w:hAnsi="Times New Roman" w:cs="Times New Roman" w:eastAsia="Times New Roman" w:hint="default"/>
                <w:sz w:val="21"/>
                <w:szCs w:val="21"/>
              </w:rPr>
            </w:pPr>
            <w:r>
              <w:rPr>
                <w:rFonts w:ascii="Times New Roman"/>
                <w:sz w:val="21"/>
              </w:rPr>
              <w:t>3,133,55</w:t>
            </w:r>
          </w:p>
          <w:p>
            <w:pPr>
              <w:pStyle w:val="TableParagraph"/>
              <w:spacing w:line="240" w:lineRule="auto" w:before="1"/>
              <w:ind w:left="431" w:right="0"/>
              <w:jc w:val="left"/>
              <w:rPr>
                <w:rFonts w:ascii="Times New Roman" w:hAnsi="Times New Roman" w:cs="Times New Roman" w:eastAsia="Times New Roman" w:hint="default"/>
                <w:sz w:val="21"/>
                <w:szCs w:val="21"/>
              </w:rPr>
            </w:pPr>
            <w:r>
              <w:rPr>
                <w:rFonts w:ascii="Times New Roman"/>
                <w:sz w:val="21"/>
              </w:rPr>
              <w:t>1.05</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2,756,330</w:t>
            </w:r>
          </w:p>
          <w:p>
            <w:pPr>
              <w:pStyle w:val="TableParagraph"/>
              <w:spacing w:line="240" w:lineRule="auto" w:before="1"/>
              <w:ind w:right="17"/>
              <w:jc w:val="right"/>
              <w:rPr>
                <w:rFonts w:ascii="Times New Roman" w:hAnsi="Times New Roman" w:cs="Times New Roman" w:eastAsia="Times New Roman" w:hint="default"/>
                <w:sz w:val="21"/>
                <w:szCs w:val="21"/>
              </w:rPr>
            </w:pPr>
            <w:r>
              <w:rPr>
                <w:rFonts w:ascii="Times New Roman"/>
                <w:sz w:val="21"/>
              </w:rPr>
              <w:t>.03</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600,262.1</w:t>
            </w:r>
          </w:p>
          <w:p>
            <w:pPr>
              <w:pStyle w:val="TableParagraph"/>
              <w:spacing w:line="240" w:lineRule="auto" w:before="1"/>
              <w:ind w:right="19"/>
              <w:jc w:val="right"/>
              <w:rPr>
                <w:rFonts w:ascii="Times New Roman" w:hAnsi="Times New Roman" w:cs="Times New Roman" w:eastAsia="Times New Roman" w:hint="default"/>
                <w:sz w:val="21"/>
                <w:szCs w:val="21"/>
              </w:rPr>
            </w:pPr>
            <w:r>
              <w:rPr>
                <w:rFonts w:ascii="Times New Roman"/>
                <w:w w:val="100"/>
                <w:sz w:val="21"/>
              </w:rPr>
              <w:t>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6" w:right="0"/>
              <w:jc w:val="left"/>
              <w:rPr>
                <w:rFonts w:ascii="Times New Roman" w:hAnsi="Times New Roman" w:cs="Times New Roman" w:eastAsia="Times New Roman" w:hint="default"/>
                <w:sz w:val="21"/>
                <w:szCs w:val="21"/>
              </w:rPr>
            </w:pPr>
            <w:r>
              <w:rPr>
                <w:rFonts w:ascii="Times New Roman"/>
                <w:sz w:val="21"/>
              </w:rPr>
              <w:t>-3,298,1</w:t>
            </w:r>
          </w:p>
          <w:p>
            <w:pPr>
              <w:pStyle w:val="TableParagraph"/>
              <w:spacing w:line="240" w:lineRule="auto" w:before="1"/>
              <w:ind w:left="304" w:right="0"/>
              <w:jc w:val="left"/>
              <w:rPr>
                <w:rFonts w:ascii="Times New Roman" w:hAnsi="Times New Roman" w:cs="Times New Roman" w:eastAsia="Times New Roman" w:hint="default"/>
                <w:sz w:val="21"/>
                <w:szCs w:val="21"/>
              </w:rPr>
            </w:pPr>
            <w:r>
              <w:rPr>
                <w:rFonts w:ascii="Times New Roman"/>
                <w:sz w:val="21"/>
              </w:rPr>
              <w:t>31.70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-3,298,131.</w:t>
            </w:r>
          </w:p>
          <w:p>
            <w:pPr>
              <w:pStyle w:val="TableParagraph"/>
              <w:spacing w:line="240" w:lineRule="auto" w:before="1"/>
              <w:ind w:right="19"/>
              <w:jc w:val="right"/>
              <w:rPr>
                <w:rFonts w:ascii="Times New Roman" w:hAnsi="Times New Roman" w:cs="Times New Roman" w:eastAsia="Times New Roman" w:hint="default"/>
                <w:sz w:val="21"/>
                <w:szCs w:val="21"/>
              </w:rPr>
            </w:pPr>
            <w:r>
              <w:rPr>
                <w:rFonts w:ascii="Times New Roman"/>
                <w:sz w:val="21"/>
              </w:rPr>
              <w:t>70</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060" w:bottom="1180" w:left="980" w:right="980"/>
        </w:sectPr>
      </w:pPr>
    </w:p>
    <w:p>
      <w:pPr>
        <w:spacing w:line="240" w:lineRule="auto" w:before="8"/>
        <w:rPr>
          <w:rFonts w:ascii="宋体" w:hAnsi="宋体" w:cs="宋体" w:eastAsia="宋体" w:hint="default"/>
          <w:sz w:val="24"/>
          <w:szCs w:val="24"/>
        </w:rPr>
      </w:pPr>
    </w:p>
    <w:p>
      <w:pPr>
        <w:pStyle w:val="BodyText"/>
        <w:spacing w:line="302" w:lineRule="auto" w:before="36"/>
        <w:ind w:left="572" w:right="3068" w:hanging="421"/>
        <w:jc w:val="left"/>
      </w:pPr>
      <w:r>
        <w:rPr/>
        <w:t>主要子公司、参股公司情况说明</w:t>
      </w:r>
      <w:r>
        <w:rPr>
          <w:w w:val="100"/>
        </w:rPr>
        <w:t> </w:t>
      </w:r>
      <w:r>
        <w:rPr>
          <w:spacing w:val="-2"/>
        </w:rPr>
        <w:t>报告期内，公司拥有深圳市连邦信息技术有限公司</w:t>
      </w:r>
      <w:r>
        <w:rPr>
          <w:rFonts w:ascii="宋体" w:hAnsi="宋体" w:cs="宋体" w:eastAsia="宋体" w:hint="default"/>
          <w:spacing w:val="-2"/>
        </w:rPr>
        <w:t>1</w:t>
      </w:r>
      <w:r>
        <w:rPr>
          <w:spacing w:val="-2"/>
        </w:rPr>
        <w:t>家全资子公司</w:t>
      </w:r>
      <w:r>
        <w:rPr>
          <w:w w:val="100"/>
        </w:rPr>
        <w:t> </w:t>
      </w:r>
      <w:r>
        <w:rPr/>
        <w:t>成立日期：</w:t>
      </w:r>
      <w:r>
        <w:rPr>
          <w:rFonts w:ascii="宋体" w:hAnsi="宋体" w:cs="宋体" w:eastAsia="宋体" w:hint="default"/>
        </w:rPr>
        <w:t>1996 </w:t>
      </w:r>
      <w:r>
        <w:rPr/>
        <w:t>年 </w:t>
      </w:r>
      <w:r>
        <w:rPr>
          <w:rFonts w:ascii="宋体" w:hAnsi="宋体" w:cs="宋体" w:eastAsia="宋体" w:hint="default"/>
        </w:rPr>
        <w:t>4 </w:t>
      </w:r>
      <w:r>
        <w:rPr/>
        <w:t>月 </w:t>
      </w:r>
      <w:r>
        <w:rPr>
          <w:rFonts w:ascii="宋体" w:hAnsi="宋体" w:cs="宋体" w:eastAsia="宋体" w:hint="default"/>
        </w:rPr>
        <w:t>12</w:t>
      </w:r>
      <w:r>
        <w:rPr>
          <w:rFonts w:ascii="宋体" w:hAnsi="宋体" w:cs="宋体" w:eastAsia="宋体" w:hint="default"/>
          <w:spacing w:val="-2"/>
        </w:rPr>
        <w:t> </w:t>
      </w:r>
      <w:r>
        <w:rPr/>
        <w:t>日</w:t>
      </w:r>
    </w:p>
    <w:p>
      <w:pPr>
        <w:pStyle w:val="BodyText"/>
        <w:spacing w:line="240" w:lineRule="auto" w:before="30"/>
        <w:ind w:left="573" w:right="0"/>
        <w:jc w:val="left"/>
        <w:rPr>
          <w:rFonts w:ascii="宋体" w:hAnsi="宋体" w:cs="宋体" w:eastAsia="宋体" w:hint="default"/>
        </w:rPr>
      </w:pPr>
      <w:r>
        <w:rPr/>
        <w:t>注册号：</w:t>
      </w:r>
      <w:r>
        <w:rPr>
          <w:rFonts w:ascii="宋体" w:hAnsi="宋体" w:cs="宋体" w:eastAsia="宋体" w:hint="default"/>
        </w:rPr>
        <w:t>440301103670631</w:t>
      </w:r>
    </w:p>
    <w:p>
      <w:pPr>
        <w:pStyle w:val="BodyText"/>
        <w:spacing w:line="314" w:lineRule="auto" w:before="82"/>
        <w:ind w:left="573" w:right="3800"/>
        <w:jc w:val="left"/>
      </w:pPr>
      <w:r>
        <w:rPr/>
        <w:t>注册资本：</w:t>
      </w:r>
      <w:r>
        <w:rPr>
          <w:rFonts w:ascii="宋体" w:hAnsi="宋体" w:cs="宋体" w:eastAsia="宋体" w:hint="default"/>
        </w:rPr>
        <w:t>200</w:t>
      </w:r>
      <w:r>
        <w:rPr>
          <w:rFonts w:ascii="宋体" w:hAnsi="宋体" w:cs="宋体" w:eastAsia="宋体" w:hint="default"/>
          <w:spacing w:val="-3"/>
        </w:rPr>
        <w:t> </w:t>
      </w:r>
      <w:r>
        <w:rPr/>
        <w:t>万元人民币</w:t>
      </w:r>
      <w:r>
        <w:rPr>
          <w:spacing w:val="-3"/>
          <w:w w:val="100"/>
        </w:rPr>
        <w:t> </w:t>
      </w:r>
      <w:r>
        <w:rPr>
          <w:spacing w:val="-2"/>
        </w:rPr>
        <w:t>注册地址：深圳市南山区科技中二路深圳软件园</w:t>
      </w:r>
      <w:r>
        <w:rPr>
          <w:rFonts w:ascii="宋体" w:hAnsi="宋体" w:cs="宋体" w:eastAsia="宋体" w:hint="default"/>
          <w:spacing w:val="-2"/>
        </w:rPr>
        <w:t>12</w:t>
      </w:r>
      <w:r>
        <w:rPr>
          <w:spacing w:val="-2"/>
        </w:rPr>
        <w:t>号楼</w:t>
      </w:r>
      <w:r>
        <w:rPr>
          <w:rFonts w:ascii="宋体" w:hAnsi="宋体" w:cs="宋体" w:eastAsia="宋体" w:hint="default"/>
          <w:spacing w:val="-2"/>
        </w:rPr>
        <w:t>302-a</w:t>
      </w:r>
      <w:r>
        <w:rPr>
          <w:rFonts w:ascii="宋体" w:hAnsi="宋体" w:cs="宋体" w:eastAsia="宋体" w:hint="default"/>
          <w:spacing w:val="-48"/>
        </w:rPr>
        <w:t> </w:t>
      </w:r>
      <w:r>
        <w:rPr>
          <w:rFonts w:ascii="宋体" w:hAnsi="宋体" w:cs="宋体" w:eastAsia="宋体" w:hint="default"/>
          <w:spacing w:val="-48"/>
        </w:rPr>
      </w:r>
      <w:r>
        <w:rPr/>
        <w:t>法定代表人：陈克让</w:t>
      </w:r>
    </w:p>
    <w:p>
      <w:pPr>
        <w:pStyle w:val="BodyText"/>
        <w:spacing w:line="312" w:lineRule="auto" w:before="20"/>
        <w:ind w:left="153" w:right="0" w:firstLine="420"/>
        <w:jc w:val="left"/>
      </w:pPr>
      <w:r>
        <w:rPr>
          <w:spacing w:val="-2"/>
        </w:rPr>
        <w:t>经营范围：计算机软件、硬件技术开发；视频图像通讯系统软件技术开发、销售及其技术服务（不含</w:t>
      </w:r>
      <w:r>
        <w:rPr>
          <w:w w:val="100"/>
        </w:rPr>
        <w:t> </w:t>
      </w:r>
      <w:r>
        <w:rPr/>
        <w:t>限制项目）</w:t>
      </w:r>
    </w:p>
    <w:p>
      <w:pPr>
        <w:pStyle w:val="BodyText"/>
        <w:spacing w:line="314" w:lineRule="auto" w:before="22"/>
        <w:ind w:left="153" w:right="151" w:firstLine="420"/>
        <w:jc w:val="both"/>
      </w:pPr>
      <w:r>
        <w:rPr>
          <w:spacing w:val="-2"/>
        </w:rPr>
        <w:t>经大华会计师事务所（特殊普通合伙）审计，截至本报告期末，该公司总资产为</w:t>
      </w:r>
      <w:r>
        <w:rPr>
          <w:rFonts w:ascii="宋体" w:hAnsi="宋体" w:cs="宋体" w:eastAsia="宋体" w:hint="default"/>
          <w:spacing w:val="-2"/>
        </w:rPr>
        <w:t>6,950,740.80</w:t>
      </w:r>
      <w:r>
        <w:rPr>
          <w:spacing w:val="-2"/>
        </w:rPr>
        <w:t>元，净</w:t>
      </w:r>
      <w:r>
        <w:rPr>
          <w:spacing w:val="-5"/>
          <w:w w:val="100"/>
        </w:rPr>
        <w:t> </w:t>
      </w:r>
      <w:r>
        <w:rPr/>
        <w:t>资产为</w:t>
      </w:r>
      <w:r>
        <w:rPr>
          <w:rFonts w:ascii="宋体" w:hAnsi="宋体" w:cs="宋体" w:eastAsia="宋体" w:hint="default"/>
        </w:rPr>
        <w:t>6,790,562.81</w:t>
      </w:r>
      <w:r>
        <w:rPr/>
        <w:t>元。</w:t>
      </w:r>
      <w:r>
        <w:rPr>
          <w:rFonts w:ascii="宋体" w:hAnsi="宋体" w:cs="宋体" w:eastAsia="宋体" w:hint="default"/>
        </w:rPr>
        <w:t>2014</w:t>
      </w:r>
      <w:r>
        <w:rPr>
          <w:rFonts w:ascii="宋体" w:hAnsi="宋体" w:cs="宋体" w:eastAsia="宋体" w:hint="default"/>
          <w:spacing w:val="-36"/>
        </w:rPr>
        <w:t> </w:t>
      </w:r>
      <w:r>
        <w:rPr/>
        <w:t>年度实现营业收入</w:t>
      </w:r>
      <w:r>
        <w:rPr>
          <w:rFonts w:ascii="宋体" w:hAnsi="宋体" w:cs="宋体" w:eastAsia="宋体" w:hint="default"/>
        </w:rPr>
        <w:t>3,877,494.16</w:t>
      </w:r>
      <w:r>
        <w:rPr/>
        <w:t>元，净利润</w:t>
      </w:r>
      <w:r>
        <w:rPr>
          <w:rFonts w:ascii="宋体" w:hAnsi="宋体" w:cs="宋体" w:eastAsia="宋体" w:hint="default"/>
        </w:rPr>
        <w:t>-383,689.62</w:t>
      </w:r>
      <w:r>
        <w:rPr/>
        <w:t>元。子公司净利润</w:t>
      </w:r>
      <w:r>
        <w:rPr>
          <w:spacing w:val="-3"/>
          <w:w w:val="100"/>
        </w:rPr>
        <w:t> </w:t>
      </w:r>
      <w:r>
        <w:rPr/>
        <w:t>出现亏损，但金额较小，对公司净利润影响未达到</w:t>
      </w:r>
      <w:r>
        <w:rPr>
          <w:rFonts w:ascii="宋体" w:hAnsi="宋体" w:cs="宋体" w:eastAsia="宋体" w:hint="default"/>
        </w:rPr>
        <w:t>10%</w:t>
      </w:r>
      <w:r>
        <w:rPr/>
        <w:t>以上。对公司合并经营业绩未造成重大影响。</w:t>
      </w:r>
    </w:p>
    <w:p>
      <w:pPr>
        <w:spacing w:line="240" w:lineRule="auto" w:before="11"/>
        <w:rPr>
          <w:rFonts w:ascii="宋体" w:hAnsi="宋体" w:cs="宋体" w:eastAsia="宋体" w:hint="default"/>
          <w:sz w:val="28"/>
          <w:szCs w:val="28"/>
        </w:rPr>
      </w:pPr>
    </w:p>
    <w:p>
      <w:pPr>
        <w:pStyle w:val="BodyText"/>
        <w:spacing w:line="312" w:lineRule="auto"/>
        <w:ind w:left="573" w:right="3481"/>
        <w:jc w:val="left"/>
        <w:rPr>
          <w:rFonts w:ascii="宋体" w:hAnsi="宋体" w:cs="宋体" w:eastAsia="宋体" w:hint="default"/>
        </w:rPr>
      </w:pPr>
      <w:r>
        <w:rPr/>
        <w:t>报告期内，公司拥有深圳市科葩信息技术有限公司</w:t>
      </w:r>
      <w:r>
        <w:rPr>
          <w:spacing w:val="-8"/>
        </w:rPr>
        <w:t> </w:t>
      </w:r>
      <w:r>
        <w:rPr>
          <w:rFonts w:ascii="宋体" w:hAnsi="宋体" w:cs="宋体" w:eastAsia="宋体" w:hint="default"/>
        </w:rPr>
        <w:t>1</w:t>
      </w:r>
      <w:r>
        <w:rPr/>
        <w:t>家参股公司</w:t>
      </w:r>
      <w:r>
        <w:rPr>
          <w:spacing w:val="-3"/>
          <w:w w:val="100"/>
        </w:rPr>
        <w:t> </w:t>
      </w:r>
      <w:r>
        <w:rPr/>
        <w:t>注册号：</w:t>
      </w:r>
      <w:r>
        <w:rPr>
          <w:rFonts w:ascii="宋体" w:hAnsi="宋体" w:cs="宋体" w:eastAsia="宋体" w:hint="default"/>
        </w:rPr>
        <w:t>440301104778709</w:t>
      </w:r>
    </w:p>
    <w:p>
      <w:pPr>
        <w:pStyle w:val="BodyText"/>
        <w:spacing w:line="314" w:lineRule="auto" w:before="22"/>
        <w:ind w:left="573" w:right="3068"/>
        <w:jc w:val="left"/>
      </w:pPr>
      <w:r>
        <w:rPr/>
        <w:t>企业名称：深圳市科葩信息技术有限公司</w:t>
      </w:r>
      <w:r>
        <w:rPr>
          <w:w w:val="100"/>
        </w:rPr>
        <w:t> </w:t>
      </w:r>
      <w:r>
        <w:rPr>
          <w:spacing w:val="-2"/>
        </w:rPr>
        <w:t>住所：深圳市南山区科技园南区高新南四道</w:t>
      </w:r>
      <w:r>
        <w:rPr>
          <w:rFonts w:ascii="宋体" w:hAnsi="宋体" w:cs="宋体" w:eastAsia="宋体" w:hint="default"/>
          <w:spacing w:val="-2"/>
        </w:rPr>
        <w:t>23</w:t>
      </w:r>
      <w:r>
        <w:rPr>
          <w:spacing w:val="-2"/>
        </w:rPr>
        <w:t>号（</w:t>
      </w:r>
      <w:r>
        <w:rPr>
          <w:rFonts w:ascii="宋体" w:hAnsi="宋体" w:cs="宋体" w:eastAsia="宋体" w:hint="default"/>
          <w:spacing w:val="-2"/>
        </w:rPr>
        <w:t>R1-A)</w:t>
      </w:r>
      <w:r>
        <w:rPr>
          <w:spacing w:val="-2"/>
        </w:rPr>
        <w:t>现代大厦</w:t>
      </w:r>
      <w:r>
        <w:rPr>
          <w:rFonts w:ascii="宋体" w:hAnsi="宋体" w:cs="宋体" w:eastAsia="宋体" w:hint="default"/>
          <w:spacing w:val="-2"/>
        </w:rPr>
        <w:t>3</w:t>
      </w:r>
      <w:r>
        <w:rPr>
          <w:spacing w:val="-2"/>
        </w:rPr>
        <w:t>楼</w:t>
      </w:r>
      <w:r>
        <w:rPr>
          <w:spacing w:val="-44"/>
        </w:rPr>
        <w:t> </w:t>
      </w:r>
      <w:r>
        <w:rPr/>
        <w:t>法定代表人：高汉平</w:t>
      </w:r>
    </w:p>
    <w:p>
      <w:pPr>
        <w:pStyle w:val="BodyText"/>
        <w:spacing w:line="314" w:lineRule="auto" w:before="17"/>
        <w:ind w:left="573" w:right="4736"/>
        <w:jc w:val="left"/>
      </w:pPr>
      <w:r>
        <w:rPr/>
        <w:t>认缴注册资本总额（万元）：</w:t>
      </w:r>
      <w:r>
        <w:rPr>
          <w:rFonts w:ascii="宋体" w:hAnsi="宋体" w:cs="宋体" w:eastAsia="宋体" w:hint="default"/>
        </w:rPr>
        <w:t>621.43</w:t>
      </w:r>
      <w:r>
        <w:rPr>
          <w:rFonts w:ascii="宋体" w:hAnsi="宋体" w:cs="宋体" w:eastAsia="宋体" w:hint="default"/>
          <w:w w:val="100"/>
        </w:rPr>
        <w:t> </w:t>
      </w:r>
      <w:r>
        <w:rPr/>
        <w:t>企业类型：有限责任公司</w:t>
      </w:r>
      <w:r>
        <w:rPr>
          <w:w w:val="100"/>
        </w:rPr>
        <w:t> </w:t>
      </w:r>
      <w:r>
        <w:rPr/>
        <w:t>成立日期：</w:t>
      </w:r>
      <w:r>
        <w:rPr>
          <w:rFonts w:ascii="宋体" w:hAnsi="宋体" w:cs="宋体" w:eastAsia="宋体" w:hint="default"/>
        </w:rPr>
        <w:t>2010</w:t>
      </w:r>
      <w:r>
        <w:rPr/>
        <w:t>年</w:t>
      </w:r>
      <w:r>
        <w:rPr>
          <w:rFonts w:ascii="宋体" w:hAnsi="宋体" w:cs="宋体" w:eastAsia="宋体" w:hint="default"/>
        </w:rPr>
        <w:t>6</w:t>
      </w:r>
      <w:r>
        <w:rPr/>
        <w:t>月</w:t>
      </w:r>
      <w:r>
        <w:rPr>
          <w:rFonts w:ascii="宋体" w:hAnsi="宋体" w:cs="宋体" w:eastAsia="宋体" w:hint="default"/>
        </w:rPr>
        <w:t>30</w:t>
      </w:r>
      <w:r>
        <w:rPr/>
        <w:t>日</w:t>
      </w:r>
      <w:r>
        <w:rPr>
          <w:w w:val="100"/>
        </w:rPr>
        <w:t> </w:t>
      </w:r>
      <w:r>
        <w:rPr>
          <w:spacing w:val="-2"/>
        </w:rPr>
        <w:t>营业期限：自</w:t>
      </w:r>
      <w:r>
        <w:rPr>
          <w:rFonts w:ascii="宋体" w:hAnsi="宋体" w:cs="宋体" w:eastAsia="宋体" w:hint="default"/>
          <w:spacing w:val="-2"/>
        </w:rPr>
        <w:t>2010</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30</w:t>
      </w:r>
      <w:r>
        <w:rPr>
          <w:spacing w:val="-2"/>
        </w:rPr>
        <w:t>日起至</w:t>
      </w:r>
      <w:r>
        <w:rPr>
          <w:rFonts w:ascii="宋体" w:hAnsi="宋体" w:cs="宋体" w:eastAsia="宋体" w:hint="default"/>
          <w:spacing w:val="-2"/>
        </w:rPr>
        <w:t>2030</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30</w:t>
      </w:r>
      <w:r>
        <w:rPr>
          <w:spacing w:val="-2"/>
        </w:rPr>
        <w:t>日止</w:t>
      </w:r>
    </w:p>
    <w:p>
      <w:pPr>
        <w:pStyle w:val="BodyText"/>
        <w:spacing w:line="314" w:lineRule="auto" w:before="17"/>
        <w:ind w:left="154" w:right="0" w:firstLine="420"/>
        <w:jc w:val="left"/>
        <w:rPr>
          <w:rFonts w:ascii="宋体" w:hAnsi="宋体" w:cs="宋体" w:eastAsia="宋体" w:hint="default"/>
        </w:rPr>
      </w:pPr>
      <w:r>
        <w:rPr>
          <w:spacing w:val="-2"/>
        </w:rPr>
        <w:t>经营范围：计算机生物识别技术及其产品的研发与销售；安全验证技术及其产品的研发与销售；计算</w:t>
      </w:r>
      <w:r>
        <w:rPr>
          <w:w w:val="100"/>
        </w:rPr>
        <w:t> </w:t>
      </w:r>
      <w:r>
        <w:rPr/>
        <w:t>机系统集成；经营进出口业务</w:t>
      </w:r>
      <w:r>
        <w:rPr>
          <w:rFonts w:ascii="宋体" w:hAnsi="宋体" w:cs="宋体" w:eastAsia="宋体" w:hint="default"/>
        </w:rPr>
        <w:t>.</w:t>
      </w:r>
    </w:p>
    <w:p>
      <w:pPr>
        <w:pStyle w:val="BodyText"/>
        <w:spacing w:line="314" w:lineRule="auto" w:before="17"/>
        <w:ind w:left="154" w:right="145" w:firstLine="422"/>
        <w:jc w:val="left"/>
      </w:pPr>
      <w:r>
        <w:rPr>
          <w:spacing w:val="-2"/>
        </w:rPr>
        <w:t>深圳市科葩信息技术有限公司是一家专注于人脸识别技术与产品的研发、生产和销售的高科技企业，</w:t>
      </w:r>
      <w:r>
        <w:rPr>
          <w:spacing w:val="-3"/>
          <w:w w:val="100"/>
        </w:rPr>
        <w:t> </w:t>
      </w:r>
      <w:r>
        <w:rPr/>
        <w:t>致力于人脸识别技术在社会经济生活中的全方位应用。本公司</w:t>
      </w:r>
      <w:r>
        <w:rPr>
          <w:rFonts w:ascii="宋体" w:hAnsi="宋体" w:cs="宋体" w:eastAsia="宋体" w:hint="default"/>
        </w:rPr>
        <w:t>2014</w:t>
      </w:r>
      <w:r>
        <w:rPr/>
        <w:t>年参股深圳市科葩信息技术有限公司</w:t>
      </w:r>
      <w:r>
        <w:rPr>
          <w:rFonts w:ascii="宋体" w:hAnsi="宋体" w:cs="宋体" w:eastAsia="宋体" w:hint="default"/>
        </w:rPr>
        <w:t>,</w:t>
      </w:r>
      <w:r>
        <w:rPr>
          <w:rFonts w:ascii="宋体" w:hAnsi="宋体" w:cs="宋体" w:eastAsia="宋体" w:hint="default"/>
          <w:w w:val="100"/>
        </w:rPr>
        <w:t> </w:t>
      </w:r>
      <w:r>
        <w:rPr/>
        <w:t>投资金额</w:t>
      </w:r>
      <w:r>
        <w:rPr>
          <w:rFonts w:ascii="宋体" w:hAnsi="宋体" w:cs="宋体" w:eastAsia="宋体" w:hint="default"/>
        </w:rPr>
        <w:t>600</w:t>
      </w:r>
      <w:r>
        <w:rPr/>
        <w:t>万</w:t>
      </w:r>
      <w:r>
        <w:rPr>
          <w:rFonts w:ascii="宋体" w:hAnsi="宋体" w:cs="宋体" w:eastAsia="宋体" w:hint="default"/>
        </w:rPr>
        <w:t>,</w:t>
      </w:r>
      <w:r>
        <w:rPr/>
        <w:t>占</w:t>
      </w:r>
      <w:r>
        <w:rPr>
          <w:rFonts w:ascii="宋体" w:hAnsi="宋体" w:cs="宋体" w:eastAsia="宋体" w:hint="default"/>
        </w:rPr>
        <w:t>15%</w:t>
      </w:r>
      <w:r>
        <w:rPr/>
        <w:t>的股份</w:t>
      </w:r>
      <w:r>
        <w:rPr>
          <w:rFonts w:ascii="宋体" w:hAnsi="宋体" w:cs="宋体" w:eastAsia="宋体" w:hint="default"/>
        </w:rPr>
        <w:t>,</w:t>
      </w:r>
      <w:r>
        <w:rPr/>
        <w:t>按成本法进行核算。深圳市科葩信息技术有限公司</w:t>
      </w:r>
      <w:r>
        <w:rPr>
          <w:rFonts w:ascii="宋体" w:hAnsi="宋体" w:cs="宋体" w:eastAsia="宋体" w:hint="default"/>
        </w:rPr>
        <w:t>2014</w:t>
      </w:r>
      <w:r>
        <w:rPr/>
        <w:t>年报表数据未经审</w:t>
      </w:r>
      <w:r>
        <w:rPr>
          <w:w w:val="100"/>
        </w:rPr>
        <w:t> </w:t>
      </w:r>
      <w:r>
        <w:rPr/>
        <w:t>计</w:t>
      </w:r>
      <w:r>
        <w:rPr>
          <w:spacing w:val="2"/>
        </w:rPr>
        <w:t> </w:t>
      </w:r>
      <w:r>
        <w:rPr/>
        <w:t>。</w:t>
      </w:r>
    </w:p>
    <w:p>
      <w:pPr>
        <w:spacing w:line="240" w:lineRule="auto" w:before="5"/>
        <w:rPr>
          <w:rFonts w:ascii="宋体" w:hAnsi="宋体" w:cs="宋体" w:eastAsia="宋体" w:hint="default"/>
          <w:sz w:val="23"/>
          <w:szCs w:val="23"/>
        </w:rPr>
      </w:pPr>
    </w:p>
    <w:p>
      <w:pPr>
        <w:pStyle w:val="BodyText"/>
        <w:spacing w:line="240" w:lineRule="auto"/>
        <w:ind w:left="154" w:right="0"/>
        <w:jc w:val="left"/>
      </w:pPr>
      <w:r>
        <w:rPr/>
        <w:t>报告期内取得和处置子公司的情况</w:t>
      </w:r>
    </w:p>
    <w:p>
      <w:pPr>
        <w:pStyle w:val="BodyText"/>
        <w:spacing w:line="240" w:lineRule="auto" w:before="3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6"/>
        <w:rPr>
          <w:rFonts w:ascii="宋体" w:hAnsi="宋体" w:cs="宋体" w:eastAsia="宋体" w:hint="default"/>
          <w:sz w:val="24"/>
          <w:szCs w:val="24"/>
        </w:rPr>
      </w:pPr>
    </w:p>
    <w:p>
      <w:pPr>
        <w:pStyle w:val="Heading5"/>
        <w:spacing w:line="240" w:lineRule="auto"/>
        <w:ind w:right="0"/>
        <w:jc w:val="left"/>
        <w:rPr>
          <w:b w:val="0"/>
          <w:bCs w:val="0"/>
        </w:rPr>
      </w:pPr>
      <w:bookmarkStart w:name="（7）公司控制的特殊目的主体情况" w:id="28"/>
      <w:bookmarkEnd w:id="28"/>
      <w:r>
        <w:rPr>
          <w:b w:val="0"/>
          <w:bCs w:val="0"/>
        </w:rPr>
      </w:r>
      <w:r>
        <w:rPr/>
        <w:t>（</w:t>
      </w:r>
      <w:r>
        <w:rPr>
          <w:rFonts w:ascii="Times New Roman" w:hAnsi="Times New Roman" w:cs="Times New Roman" w:eastAsia="Times New Roman" w:hint="default"/>
        </w:rPr>
        <w:t>7</w:t>
      </w:r>
      <w:r>
        <w:rPr/>
        <w:t>）公司控制的特殊目的主体情况</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8"/>
        <w:rPr>
          <w:rFonts w:ascii="宋体" w:hAnsi="宋体" w:cs="宋体" w:eastAsia="宋体" w:hint="default"/>
          <w:sz w:val="22"/>
          <w:szCs w:val="22"/>
        </w:rPr>
      </w:pPr>
    </w:p>
    <w:p>
      <w:pPr>
        <w:pStyle w:val="Heading4"/>
        <w:spacing w:line="240" w:lineRule="auto"/>
        <w:ind w:right="0"/>
        <w:jc w:val="left"/>
        <w:rPr>
          <w:b w:val="0"/>
          <w:bCs w:val="0"/>
        </w:rPr>
      </w:pPr>
      <w:bookmarkStart w:name="二、公司未来发展的展望" w:id="29"/>
      <w:bookmarkEnd w:id="29"/>
      <w:r>
        <w:rPr>
          <w:b w:val="0"/>
          <w:bCs w:val="0"/>
        </w:rPr>
      </w:r>
      <w:r>
        <w:rPr/>
        <w:t>二、公司未来发展的展望</w:t>
      </w:r>
      <w:r>
        <w:rPr>
          <w:b w:val="0"/>
          <w:bCs w:val="0"/>
        </w:rPr>
      </w:r>
    </w:p>
    <w:p>
      <w:pPr>
        <w:spacing w:line="240" w:lineRule="auto" w:before="0"/>
        <w:rPr>
          <w:rFonts w:ascii="宋体" w:hAnsi="宋体" w:cs="宋体" w:eastAsia="宋体" w:hint="default"/>
          <w:b/>
          <w:bCs/>
          <w:sz w:val="24"/>
          <w:szCs w:val="24"/>
        </w:rPr>
      </w:pPr>
    </w:p>
    <w:p>
      <w:pPr>
        <w:spacing w:line="240" w:lineRule="auto" w:before="12"/>
        <w:rPr>
          <w:rFonts w:ascii="宋体" w:hAnsi="宋体" w:cs="宋体" w:eastAsia="宋体" w:hint="default"/>
          <w:b/>
          <w:bCs/>
          <w:sz w:val="26"/>
          <w:szCs w:val="26"/>
        </w:rPr>
      </w:pPr>
    </w:p>
    <w:p>
      <w:pPr>
        <w:pStyle w:val="Heading5"/>
        <w:spacing w:line="240" w:lineRule="auto"/>
        <w:ind w:left="575" w:right="0"/>
        <w:jc w:val="left"/>
        <w:rPr>
          <w:b w:val="0"/>
          <w:bCs w:val="0"/>
        </w:rPr>
      </w:pPr>
      <w:r>
        <w:rPr/>
        <w:t>（一）、公司所处行业的发展趋势</w:t>
      </w:r>
      <w:r>
        <w:rPr>
          <w:b w:val="0"/>
          <w:bCs w:val="0"/>
        </w:rPr>
      </w:r>
    </w:p>
    <w:p>
      <w:pPr>
        <w:spacing w:after="0" w:line="240" w:lineRule="auto"/>
        <w:jc w:val="left"/>
        <w:sectPr>
          <w:pgSz w:w="11910" w:h="16840"/>
          <w:pgMar w:header="748" w:footer="982" w:top="1060" w:bottom="1180" w:left="980" w:right="980"/>
        </w:sectPr>
      </w:pPr>
    </w:p>
    <w:p>
      <w:pPr>
        <w:spacing w:line="240" w:lineRule="auto" w:before="10"/>
        <w:rPr>
          <w:rFonts w:ascii="宋体" w:hAnsi="宋体" w:cs="宋体" w:eastAsia="宋体" w:hint="default"/>
          <w:b/>
          <w:bCs/>
          <w:sz w:val="24"/>
          <w:szCs w:val="24"/>
        </w:rPr>
      </w:pPr>
    </w:p>
    <w:p>
      <w:pPr>
        <w:pStyle w:val="Heading5"/>
        <w:spacing w:line="240" w:lineRule="auto" w:before="36"/>
        <w:ind w:left="575" w:right="0"/>
        <w:jc w:val="left"/>
        <w:rPr>
          <w:b w:val="0"/>
          <w:bCs w:val="0"/>
        </w:rPr>
      </w:pPr>
      <w:r>
        <w:rPr>
          <w:rFonts w:ascii="Times New Roman" w:hAnsi="Times New Roman" w:cs="Times New Roman" w:eastAsia="Times New Roman" w:hint="default"/>
        </w:rPr>
        <w:t>1</w:t>
      </w:r>
      <w:r>
        <w:rPr/>
        <w:t>．行业市场容量</w:t>
      </w:r>
      <w:r>
        <w:rPr>
          <w:b w:val="0"/>
          <w:bCs w:val="0"/>
        </w:rPr>
      </w:r>
    </w:p>
    <w:p>
      <w:pPr>
        <w:spacing w:line="240" w:lineRule="auto" w:before="1"/>
        <w:rPr>
          <w:rFonts w:ascii="宋体" w:hAnsi="宋体" w:cs="宋体" w:eastAsia="宋体" w:hint="default"/>
          <w:b/>
          <w:bCs/>
          <w:sz w:val="23"/>
          <w:szCs w:val="23"/>
        </w:rPr>
      </w:pPr>
    </w:p>
    <w:p>
      <w:pPr>
        <w:pStyle w:val="BodyText"/>
        <w:spacing w:line="314" w:lineRule="auto"/>
        <w:ind w:right="146" w:firstLine="420"/>
        <w:jc w:val="both"/>
      </w:pPr>
      <w:r>
        <w:rPr>
          <w:spacing w:val="-2"/>
        </w:rPr>
        <w:t>我国义务教育阶段的中小学生人数催生了庞大的市场需求。同步教育服务行业属于朝阳行业，市场远</w:t>
      </w:r>
      <w:r>
        <w:rPr>
          <w:w w:val="100"/>
        </w:rPr>
        <w:t> </w:t>
      </w:r>
      <w:r>
        <w:rPr>
          <w:spacing w:val="-2"/>
        </w:rPr>
        <w:t>未达到饱和状态，且同步教育服务的需求会随着信息化技术的发展和产品品质的提升不断增长，潜在的市</w:t>
      </w:r>
      <w:r>
        <w:rPr>
          <w:spacing w:val="-43"/>
        </w:rPr>
        <w:t> </w:t>
      </w:r>
      <w:r>
        <w:rPr>
          <w:spacing w:val="-43"/>
        </w:rPr>
      </w:r>
      <w:r>
        <w:rPr>
          <w:spacing w:val="-2"/>
        </w:rPr>
        <w:t>场容量极为庞大。我国中小学同步教育服务市场的快速发展是在我国教育产业市场快速发展的大环境下出</w:t>
      </w:r>
      <w:r>
        <w:rPr>
          <w:spacing w:val="-43"/>
        </w:rPr>
        <w:t> </w:t>
      </w:r>
      <w:r>
        <w:rPr>
          <w:spacing w:val="-43"/>
        </w:rPr>
      </w:r>
      <w:r>
        <w:rPr>
          <w:spacing w:val="-2"/>
        </w:rPr>
        <w:t>现的。随着我国教育消费观念的进一步加强，预计未来几年我国中小学同步教育服务市场规模仍将维持高</w:t>
      </w:r>
      <w:r>
        <w:rPr>
          <w:spacing w:val="-42"/>
        </w:rPr>
        <w:t> </w:t>
      </w:r>
      <w:r>
        <w:rPr>
          <w:spacing w:val="-42"/>
        </w:rPr>
      </w:r>
      <w:r>
        <w:rPr/>
        <w:t>速增长。</w:t>
      </w:r>
    </w:p>
    <w:p>
      <w:pPr>
        <w:spacing w:line="240" w:lineRule="auto" w:before="9"/>
        <w:rPr>
          <w:rFonts w:ascii="宋体" w:hAnsi="宋体" w:cs="宋体" w:eastAsia="宋体" w:hint="default"/>
          <w:sz w:val="19"/>
          <w:szCs w:val="19"/>
        </w:rPr>
      </w:pPr>
    </w:p>
    <w:p>
      <w:pPr>
        <w:pStyle w:val="Heading5"/>
        <w:spacing w:line="240" w:lineRule="auto"/>
        <w:ind w:left="575" w:right="0"/>
        <w:jc w:val="left"/>
        <w:rPr>
          <w:b w:val="0"/>
          <w:bCs w:val="0"/>
        </w:rPr>
      </w:pPr>
      <w:r>
        <w:rPr>
          <w:rFonts w:ascii="Times New Roman" w:hAnsi="Times New Roman" w:cs="Times New Roman" w:eastAsia="Times New Roman" w:hint="default"/>
        </w:rPr>
        <w:t>2</w:t>
      </w:r>
      <w:r>
        <w:rPr/>
        <w:t>．行业特征</w:t>
      </w:r>
      <w:r>
        <w:rPr>
          <w:b w:val="0"/>
          <w:bCs w:val="0"/>
        </w:rPr>
      </w:r>
    </w:p>
    <w:p>
      <w:pPr>
        <w:spacing w:line="240" w:lineRule="auto" w:before="4"/>
        <w:rPr>
          <w:rFonts w:ascii="宋体" w:hAnsi="宋体" w:cs="宋体" w:eastAsia="宋体" w:hint="default"/>
          <w:b/>
          <w:bCs/>
          <w:sz w:val="18"/>
          <w:szCs w:val="18"/>
        </w:rPr>
      </w:pPr>
    </w:p>
    <w:p>
      <w:pPr>
        <w:spacing w:line="610" w:lineRule="atLeast" w:before="0"/>
        <w:ind w:left="572"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）市场远未达到饱和状态</w:t>
      </w:r>
      <w:r>
        <w:rPr>
          <w:rFonts w:ascii="宋体" w:hAnsi="宋体" w:cs="宋体" w:eastAsia="宋体" w:hint="default"/>
          <w:b/>
          <w:bCs/>
          <w:w w:val="100"/>
          <w:sz w:val="21"/>
          <w:szCs w:val="21"/>
        </w:rPr>
        <w:t> </w:t>
      </w:r>
      <w:r>
        <w:rPr>
          <w:rFonts w:ascii="宋体" w:hAnsi="宋体" w:cs="宋体" w:eastAsia="宋体" w:hint="default"/>
          <w:spacing w:val="-2"/>
          <w:sz w:val="21"/>
          <w:szCs w:val="21"/>
        </w:rPr>
        <w:t>我国中小学生人数众多，潜在市场需求巨大，同步教育软件服务市场远远未达到饱和状态。目前同步</w:t>
      </w:r>
    </w:p>
    <w:p>
      <w:pPr>
        <w:pStyle w:val="BodyText"/>
        <w:spacing w:line="314" w:lineRule="auto" w:before="82"/>
        <w:ind w:right="146"/>
        <w:jc w:val="both"/>
      </w:pPr>
      <w:r>
        <w:rPr>
          <w:spacing w:val="-2"/>
        </w:rPr>
        <w:t>教育软件类产品的销售主要集中在经济较为发达、教学配套设施较为完善的一线城市。近年来，我国教育</w:t>
      </w:r>
      <w:r>
        <w:rPr>
          <w:spacing w:val="-44"/>
        </w:rPr>
        <w:t> </w:t>
      </w:r>
      <w:r>
        <w:rPr>
          <w:spacing w:val="-44"/>
        </w:rPr>
      </w:r>
      <w:r>
        <w:rPr>
          <w:spacing w:val="-2"/>
        </w:rPr>
        <w:t>事业发展迅速并逐步产业化，但与之相匹配的同步教育服务市场目前还不能满足教育产业发展的需求，市</w:t>
      </w:r>
      <w:r>
        <w:rPr>
          <w:spacing w:val="-44"/>
        </w:rPr>
        <w:t> </w:t>
      </w:r>
      <w:r>
        <w:rPr>
          <w:spacing w:val="-44"/>
        </w:rPr>
      </w:r>
      <w:r>
        <w:rPr/>
        <w:t>场供需缺口较大。随着大力推进“三通两平台”建设，有更多的市场空白区域有待开发。</w:t>
      </w:r>
    </w:p>
    <w:p>
      <w:pPr>
        <w:spacing w:line="624" w:lineRule="exact" w:before="23"/>
        <w:ind w:left="572"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）市场培育期相对较长</w:t>
      </w:r>
      <w:r>
        <w:rPr>
          <w:rFonts w:ascii="宋体" w:hAnsi="宋体" w:cs="宋体" w:eastAsia="宋体" w:hint="default"/>
          <w:b/>
          <w:bCs/>
          <w:w w:val="100"/>
          <w:sz w:val="21"/>
          <w:szCs w:val="21"/>
        </w:rPr>
        <w:t> </w:t>
      </w:r>
      <w:r>
        <w:rPr>
          <w:rFonts w:ascii="宋体" w:hAnsi="宋体" w:cs="宋体" w:eastAsia="宋体" w:hint="default"/>
          <w:spacing w:val="-2"/>
          <w:sz w:val="21"/>
          <w:szCs w:val="21"/>
        </w:rPr>
        <w:t>从事教育服务行业首先需要与出版社、教育机构建立长期稳定的合作关系，教育服务提供商与出版社</w:t>
      </w:r>
    </w:p>
    <w:p>
      <w:pPr>
        <w:pStyle w:val="BodyText"/>
        <w:spacing w:line="312" w:lineRule="auto"/>
        <w:ind w:right="125"/>
        <w:jc w:val="both"/>
      </w:pPr>
      <w:r>
        <w:rPr>
          <w:spacing w:val="-2"/>
        </w:rPr>
        <w:t>共同推广教材和配套软件，并在教材推广过程中培训教师，由一线教师对同步配套产品进行检测和评估。</w:t>
      </w:r>
      <w:r>
        <w:rPr>
          <w:spacing w:val="-21"/>
        </w:rPr>
        <w:t> </w:t>
      </w:r>
      <w:r>
        <w:rPr>
          <w:spacing w:val="-21"/>
        </w:rPr>
      </w:r>
      <w:r>
        <w:rPr>
          <w:spacing w:val="-2"/>
        </w:rPr>
        <w:t>只有切实提高教学质量和教学效率的配套产品才会得到教师的认同并将产品运用到课堂教学中，而教师的</w:t>
      </w:r>
      <w:r>
        <w:rPr>
          <w:spacing w:val="-43"/>
        </w:rPr>
        <w:t> </w:t>
      </w:r>
      <w:r>
        <w:rPr>
          <w:spacing w:val="-43"/>
        </w:rPr>
      </w:r>
      <w:r>
        <w:rPr>
          <w:spacing w:val="-2"/>
        </w:rPr>
        <w:t>消费偏好往往会直接影响到学生的消费需求，通过需求传导实现客户群体的稳定增长。消费的传导需要时</w:t>
      </w:r>
      <w:r>
        <w:rPr>
          <w:spacing w:val="-42"/>
        </w:rPr>
        <w:t> </w:t>
      </w:r>
      <w:r>
        <w:rPr>
          <w:spacing w:val="-42"/>
        </w:rPr>
      </w:r>
      <w:r>
        <w:rPr/>
        <w:t>间积累，因此，行业市场培育期相对较长。</w:t>
      </w:r>
    </w:p>
    <w:p>
      <w:pPr>
        <w:pStyle w:val="BodyText"/>
        <w:spacing w:line="624" w:lineRule="exact" w:before="25"/>
        <w:ind w:left="572" w:right="0" w:firstLine="2"/>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）品牌忠诚度较高</w:t>
      </w:r>
      <w:r>
        <w:rPr>
          <w:rFonts w:ascii="宋体" w:hAnsi="宋体" w:cs="宋体" w:eastAsia="宋体" w:hint="default"/>
          <w:b/>
          <w:bCs/>
          <w:w w:val="100"/>
        </w:rPr>
        <w:t> </w:t>
      </w:r>
      <w:r>
        <w:rPr>
          <w:spacing w:val="-2"/>
        </w:rPr>
        <w:t>同步教育服务行业的客户群体是中小学教师和学生，该市场的消费存在一定的特殊性。由于配套教育</w:t>
      </w:r>
    </w:p>
    <w:p>
      <w:pPr>
        <w:pStyle w:val="BodyText"/>
        <w:spacing w:line="314" w:lineRule="auto"/>
        <w:ind w:right="146"/>
        <w:jc w:val="both"/>
      </w:pPr>
      <w:r>
        <w:rPr>
          <w:spacing w:val="-2"/>
        </w:rPr>
        <w:t>产品与教材完全同步，产品及服务得到教师、家长和学生的认同后不会轻易改变，并较容易实现跨年级顺</w:t>
      </w:r>
      <w:r>
        <w:rPr>
          <w:spacing w:val="-44"/>
        </w:rPr>
        <w:t> </w:t>
      </w:r>
      <w:r>
        <w:rPr>
          <w:spacing w:val="-44"/>
        </w:rPr>
      </w:r>
      <w:r>
        <w:rPr>
          <w:spacing w:val="-2"/>
        </w:rPr>
        <w:t>延或跨学科拓展。鉴于该行业品牌忠诚度较高，同步教育服务提供商在已有稳定的客户群体的基础上通过</w:t>
      </w:r>
      <w:r>
        <w:rPr>
          <w:spacing w:val="-44"/>
        </w:rPr>
        <w:t> </w:t>
      </w:r>
      <w:r>
        <w:rPr>
          <w:spacing w:val="-44"/>
        </w:rPr>
      </w:r>
      <w:r>
        <w:rPr/>
        <w:t>“回头购买”可实现每年每学期的稳定增长。</w:t>
      </w:r>
    </w:p>
    <w:p>
      <w:pPr>
        <w:spacing w:line="240" w:lineRule="auto" w:before="7"/>
        <w:rPr>
          <w:rFonts w:ascii="宋体" w:hAnsi="宋体" w:cs="宋体" w:eastAsia="宋体" w:hint="default"/>
          <w:sz w:val="19"/>
          <w:szCs w:val="19"/>
        </w:rPr>
      </w:pPr>
    </w:p>
    <w:p>
      <w:pPr>
        <w:pStyle w:val="Heading5"/>
        <w:spacing w:line="240" w:lineRule="auto"/>
        <w:ind w:left="575" w:right="0"/>
        <w:jc w:val="left"/>
        <w:rPr>
          <w:b w:val="0"/>
          <w:bCs w:val="0"/>
        </w:rPr>
      </w:pPr>
      <w:r>
        <w:rPr>
          <w:rFonts w:ascii="Times New Roman" w:hAnsi="Times New Roman" w:cs="Times New Roman" w:eastAsia="Times New Roman" w:hint="default"/>
        </w:rPr>
        <w:t>3</w:t>
      </w:r>
      <w:r>
        <w:rPr/>
        <w:t>、国家教育部以教育信息化推进教育现代化</w:t>
      </w:r>
      <w:r>
        <w:rPr>
          <w:b w:val="0"/>
          <w:bCs w:val="0"/>
        </w:rPr>
      </w:r>
    </w:p>
    <w:p>
      <w:pPr>
        <w:spacing w:line="240" w:lineRule="auto" w:before="3"/>
        <w:rPr>
          <w:rFonts w:ascii="宋体" w:hAnsi="宋体" w:cs="宋体" w:eastAsia="宋体" w:hint="default"/>
          <w:b/>
          <w:bCs/>
          <w:sz w:val="23"/>
          <w:szCs w:val="23"/>
        </w:rPr>
      </w:pPr>
    </w:p>
    <w:p>
      <w:pPr>
        <w:pStyle w:val="BodyText"/>
        <w:spacing w:line="314" w:lineRule="auto"/>
        <w:ind w:left="153" w:right="0" w:firstLine="419"/>
        <w:jc w:val="left"/>
      </w:pPr>
      <w:r>
        <w:rPr>
          <w:rFonts w:ascii="宋体" w:hAnsi="宋体" w:cs="宋体" w:eastAsia="宋体" w:hint="default"/>
        </w:rPr>
        <w:t>2015</w:t>
      </w:r>
      <w:r>
        <w:rPr/>
        <w:t>年，全国基本实现各级各类学校互联网全覆盖，其中宽带接入比例达</w:t>
      </w:r>
      <w:r>
        <w:rPr>
          <w:rFonts w:ascii="宋体" w:hAnsi="宋体" w:cs="宋体" w:eastAsia="宋体" w:hint="default"/>
        </w:rPr>
        <w:t>50%</w:t>
      </w:r>
      <w:r>
        <w:rPr/>
        <w:t>以上；到</w:t>
      </w:r>
      <w:r>
        <w:rPr>
          <w:rFonts w:ascii="宋体" w:hAnsi="宋体" w:cs="宋体" w:eastAsia="宋体" w:hint="default"/>
        </w:rPr>
        <w:t>2017</w:t>
      </w:r>
      <w:r>
        <w:rPr/>
        <w:t>年，全国</w:t>
      </w:r>
      <w:r>
        <w:rPr>
          <w:spacing w:val="-3"/>
          <w:w w:val="100"/>
        </w:rPr>
        <w:t> </w:t>
      </w:r>
      <w:r>
        <w:rPr/>
        <w:t>基本实现各级各类学校宽带网络接入；到</w:t>
      </w:r>
      <w:r>
        <w:rPr>
          <w:rFonts w:ascii="宋体" w:hAnsi="宋体" w:cs="宋体" w:eastAsia="宋体" w:hint="default"/>
        </w:rPr>
        <w:t>2020</w:t>
      </w:r>
      <w:r>
        <w:rPr/>
        <w:t>年建成与国家教育现代化发展目标相适应的教育信息化体</w:t>
      </w:r>
      <w:r>
        <w:rPr>
          <w:w w:val="100"/>
        </w:rPr>
        <w:t> </w:t>
      </w:r>
      <w:r>
        <w:rPr>
          <w:spacing w:val="-2"/>
        </w:rPr>
        <w:t>系。加快推进“宽带网络校校通”；全面推进“优质资源班班通”；大力推进“网络学习空间人人通”；</w:t>
      </w:r>
      <w:r>
        <w:rPr>
          <w:spacing w:val="-21"/>
        </w:rPr>
        <w:t> </w:t>
      </w:r>
      <w:r>
        <w:rPr>
          <w:spacing w:val="-21"/>
        </w:rPr>
      </w:r>
      <w:r>
        <w:rPr/>
        <w:t>建设教育资源公共服务平台；建设教育管理公共服务平台。</w:t>
      </w:r>
    </w:p>
    <w:p>
      <w:pPr>
        <w:spacing w:line="240" w:lineRule="auto" w:before="7"/>
        <w:rPr>
          <w:rFonts w:ascii="宋体" w:hAnsi="宋体" w:cs="宋体" w:eastAsia="宋体" w:hint="default"/>
          <w:sz w:val="19"/>
          <w:szCs w:val="19"/>
        </w:rPr>
      </w:pPr>
    </w:p>
    <w:p>
      <w:pPr>
        <w:spacing w:line="491" w:lineRule="auto" w:before="0"/>
        <w:ind w:left="572"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、移动互联技术的广泛应用将催生在线教育的发展</w:t>
      </w:r>
      <w:r>
        <w:rPr>
          <w:rFonts w:ascii="宋体" w:hAnsi="宋体" w:cs="宋体" w:eastAsia="宋体" w:hint="default"/>
          <w:b/>
          <w:bCs/>
          <w:w w:val="100"/>
          <w:sz w:val="21"/>
          <w:szCs w:val="21"/>
        </w:rPr>
        <w:t> </w:t>
      </w:r>
      <w:r>
        <w:rPr>
          <w:rFonts w:ascii="宋体" w:hAnsi="宋体" w:cs="宋体" w:eastAsia="宋体" w:hint="default"/>
          <w:spacing w:val="-2"/>
          <w:sz w:val="21"/>
          <w:szCs w:val="21"/>
        </w:rPr>
        <w:t>随着移动互联网络、智能手机、平板电脑的快速发展及普及，针对个性化需求的各种教学</w:t>
      </w:r>
      <w:r>
        <w:rPr>
          <w:rFonts w:ascii="宋体" w:hAnsi="宋体" w:cs="宋体" w:eastAsia="宋体" w:hint="default"/>
          <w:spacing w:val="-2"/>
          <w:sz w:val="21"/>
          <w:szCs w:val="21"/>
        </w:rPr>
        <w:t>APP</w:t>
      </w:r>
      <w:r>
        <w:rPr>
          <w:rFonts w:ascii="宋体" w:hAnsi="宋体" w:cs="宋体" w:eastAsia="宋体" w:hint="default"/>
          <w:spacing w:val="-2"/>
          <w:sz w:val="21"/>
          <w:szCs w:val="21"/>
        </w:rPr>
        <w:t>如星星</w:t>
      </w:r>
    </w:p>
    <w:p>
      <w:pPr>
        <w:spacing w:after="0" w:line="491" w:lineRule="auto"/>
        <w:jc w:val="left"/>
        <w:rPr>
          <w:rFonts w:ascii="宋体" w:hAnsi="宋体" w:cs="宋体" w:eastAsia="宋体" w:hint="default"/>
          <w:sz w:val="21"/>
          <w:szCs w:val="21"/>
        </w:rPr>
        <w:sectPr>
          <w:pgSz w:w="11910" w:h="16840"/>
          <w:pgMar w:header="748" w:footer="982" w:top="1060" w:bottom="1180" w:left="980" w:right="980"/>
        </w:sectPr>
      </w:pPr>
    </w:p>
    <w:p>
      <w:pPr>
        <w:spacing w:line="240" w:lineRule="auto" w:before="6"/>
        <w:rPr>
          <w:rFonts w:ascii="宋体" w:hAnsi="宋体" w:cs="宋体" w:eastAsia="宋体" w:hint="default"/>
          <w:sz w:val="26"/>
          <w:szCs w:val="26"/>
        </w:rPr>
      </w:pPr>
    </w:p>
    <w:p>
      <w:pPr>
        <w:pStyle w:val="BodyText"/>
        <w:spacing w:line="312" w:lineRule="auto" w:before="36"/>
        <w:ind w:right="0"/>
        <w:jc w:val="left"/>
      </w:pPr>
      <w:r>
        <w:rPr>
          <w:spacing w:val="-2"/>
        </w:rPr>
        <w:t>之火，即将由点及面，引爆在线教育的浪潮。互联网技术、信息化手段与教学相结合，形成多层次、多形</w:t>
      </w:r>
      <w:r>
        <w:rPr>
          <w:spacing w:val="-42"/>
        </w:rPr>
        <w:t> </w:t>
      </w:r>
      <w:r>
        <w:rPr>
          <w:spacing w:val="-42"/>
        </w:rPr>
      </w:r>
      <w:r>
        <w:rPr/>
        <w:t>式、多功能的教学方式。</w:t>
      </w:r>
    </w:p>
    <w:p>
      <w:pPr>
        <w:spacing w:line="596" w:lineRule="exact" w:before="28"/>
        <w:ind w:left="572"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、新一轮的教育改革将会带来更多的机会也会带来更多的竞争</w:t>
      </w:r>
      <w:r>
        <w:rPr>
          <w:rFonts w:ascii="宋体" w:hAnsi="宋体" w:cs="宋体" w:eastAsia="宋体" w:hint="default"/>
          <w:b/>
          <w:bCs/>
          <w:w w:val="100"/>
          <w:sz w:val="21"/>
          <w:szCs w:val="21"/>
        </w:rPr>
        <w:t> </w:t>
      </w:r>
      <w:r>
        <w:rPr>
          <w:rFonts w:ascii="宋体" w:hAnsi="宋体" w:cs="宋体" w:eastAsia="宋体" w:hint="default"/>
          <w:spacing w:val="-2"/>
          <w:sz w:val="21"/>
          <w:szCs w:val="21"/>
        </w:rPr>
        <w:t>中央倡导大力促进教育公平，构建利用信息化手段扩大优质教育资源覆盖面的有效机制，逐步缩小区</w:t>
      </w:r>
    </w:p>
    <w:p>
      <w:pPr>
        <w:pStyle w:val="BodyText"/>
        <w:spacing w:line="314" w:lineRule="auto"/>
        <w:ind w:right="0"/>
        <w:jc w:val="left"/>
      </w:pPr>
      <w:r>
        <w:rPr>
          <w:spacing w:val="-2"/>
        </w:rPr>
        <w:t>域、城乡、校际差距，并首先从高考招生改革开始等，将会在教育领域的改革过程中创造无数的商机，也</w:t>
      </w:r>
      <w:r>
        <w:rPr>
          <w:spacing w:val="-43"/>
        </w:rPr>
        <w:t> </w:t>
      </w:r>
      <w:r>
        <w:rPr>
          <w:spacing w:val="-43"/>
        </w:rPr>
      </w:r>
      <w:r>
        <w:rPr/>
        <w:t>会吸引更多的竞争者进入。</w:t>
      </w:r>
    </w:p>
    <w:p>
      <w:pPr>
        <w:pStyle w:val="BodyText"/>
        <w:spacing w:line="314" w:lineRule="auto" w:before="17"/>
        <w:ind w:left="153" w:right="0" w:firstLine="419"/>
        <w:jc w:val="left"/>
      </w:pPr>
      <w:r>
        <w:rPr/>
        <w:t>教育部公布《全国教育信息化工作专项督导报告》，报告显示，截至</w:t>
      </w:r>
      <w:r>
        <w:rPr>
          <w:rFonts w:ascii="宋体" w:hAnsi="宋体" w:cs="宋体" w:eastAsia="宋体" w:hint="default"/>
        </w:rPr>
        <w:t>2014</w:t>
      </w:r>
      <w:r>
        <w:rPr/>
        <w:t>年</w:t>
      </w:r>
      <w:r>
        <w:rPr>
          <w:rFonts w:ascii="宋体" w:hAnsi="宋体" w:cs="宋体" w:eastAsia="宋体" w:hint="default"/>
        </w:rPr>
        <w:t>11</w:t>
      </w:r>
      <w:r>
        <w:rPr/>
        <w:t>月底，全国</w:t>
      </w:r>
      <w:r>
        <w:rPr>
          <w:rFonts w:ascii="宋体" w:hAnsi="宋体" w:cs="宋体" w:eastAsia="宋体" w:hint="default"/>
        </w:rPr>
        <w:t>6.4</w:t>
      </w:r>
      <w:r>
        <w:rPr/>
        <w:t>万个教</w:t>
      </w:r>
      <w:r>
        <w:rPr>
          <w:spacing w:val="-3"/>
          <w:w w:val="100"/>
        </w:rPr>
        <w:t> </w:t>
      </w:r>
      <w:r>
        <w:rPr>
          <w:spacing w:val="-7"/>
        </w:rPr>
        <w:t>学点全面完成了“教学点数字教育资源全覆盖”项目建设任务，实现了设备配置、资源配送和教学应用“三</w:t>
      </w:r>
      <w:r>
        <w:rPr>
          <w:spacing w:val="-25"/>
        </w:rPr>
        <w:t> </w:t>
      </w:r>
      <w:r>
        <w:rPr>
          <w:spacing w:val="-25"/>
        </w:rPr>
      </w:r>
      <w:r>
        <w:rPr/>
        <w:t>到位”。</w:t>
      </w:r>
    </w:p>
    <w:p>
      <w:pPr>
        <w:pStyle w:val="BodyText"/>
        <w:spacing w:line="314" w:lineRule="auto" w:before="20"/>
        <w:ind w:right="0" w:firstLine="420"/>
        <w:jc w:val="left"/>
      </w:pPr>
      <w:r>
        <w:rPr>
          <w:spacing w:val="-3"/>
        </w:rPr>
        <w:t>从学生角度分析，随着素质教育的推进，更注重学习手段的科学性、趣味性和多样性，对同步教育服</w:t>
      </w:r>
      <w:r>
        <w:rPr>
          <w:spacing w:val="-3"/>
          <w:w w:val="100"/>
        </w:rPr>
        <w:t> </w:t>
      </w:r>
      <w:r>
        <w:rPr>
          <w:spacing w:val="-2"/>
        </w:rPr>
        <w:t>务的需求呈强势上升趋势；从教师角度分析，教育信息化技术的发展要求教师将信息技术（主要以教育软</w:t>
      </w:r>
      <w:r>
        <w:rPr>
          <w:spacing w:val="-44"/>
        </w:rPr>
        <w:t> </w:t>
      </w:r>
      <w:r>
        <w:rPr>
          <w:spacing w:val="-44"/>
        </w:rPr>
      </w:r>
      <w:r>
        <w:rPr>
          <w:spacing w:val="-2"/>
        </w:rPr>
        <w:t>件为载体）应用到教学当中，以提升课堂教学的效率与质量，对于教师实现多媒体教学起到辅助作用的教</w:t>
      </w:r>
      <w:r>
        <w:rPr>
          <w:spacing w:val="-44"/>
        </w:rPr>
        <w:t> </w:t>
      </w:r>
      <w:r>
        <w:rPr>
          <w:spacing w:val="-44"/>
        </w:rPr>
      </w:r>
      <w:r>
        <w:rPr>
          <w:spacing w:val="-2"/>
        </w:rPr>
        <w:t>育服务类产品需求强劲；从家长角度分析，教育部要求小学三年级以上（部分一线城市或经济发达地区要</w:t>
      </w:r>
      <w:r>
        <w:rPr>
          <w:spacing w:val="-43"/>
        </w:rPr>
        <w:t> </w:t>
      </w:r>
      <w:r>
        <w:rPr>
          <w:spacing w:val="-43"/>
        </w:rPr>
      </w:r>
      <w:r>
        <w:rPr>
          <w:spacing w:val="-2"/>
        </w:rPr>
        <w:t>求一年级以上）开设英语课程，学生家长需要高品质的教学软件解决学生回家后补习功课及家庭辅导的负</w:t>
      </w:r>
      <w:r>
        <w:rPr>
          <w:spacing w:val="-42"/>
        </w:rPr>
        <w:t> </w:t>
      </w:r>
      <w:r>
        <w:rPr>
          <w:spacing w:val="-42"/>
        </w:rPr>
      </w:r>
      <w:r>
        <w:rPr/>
        <w:t>担。中国历来重视教育，近几年大多数家庭教育费用增长率在</w:t>
      </w:r>
      <w:r>
        <w:rPr>
          <w:rFonts w:ascii="宋体" w:hAnsi="宋体" w:cs="宋体" w:eastAsia="宋体" w:hint="default"/>
        </w:rPr>
        <w:t>20</w:t>
      </w:r>
      <w:r>
        <w:rPr/>
        <w:t>－</w:t>
      </w:r>
      <w:r>
        <w:rPr>
          <w:rFonts w:ascii="宋体" w:hAnsi="宋体" w:cs="宋体" w:eastAsia="宋体" w:hint="default"/>
        </w:rPr>
        <w:t>30%</w:t>
      </w:r>
      <w:r>
        <w:rPr/>
        <w:t>之间，教育已经成为众多中青年夫</w:t>
      </w:r>
      <w:r>
        <w:rPr>
          <w:spacing w:val="-3"/>
          <w:w w:val="100"/>
        </w:rPr>
        <w:t> </w:t>
      </w:r>
      <w:r>
        <w:rPr/>
        <w:t>妇家庭第一消费。中小学基础教育越来越受到家长的重视，各类教育产品的需求表现强劲。</w:t>
      </w:r>
    </w:p>
    <w:p>
      <w:pPr>
        <w:pStyle w:val="BodyText"/>
        <w:spacing w:line="594" w:lineRule="exact" w:before="25"/>
        <w:ind w:left="572" w:right="0" w:firstLine="2"/>
        <w:jc w:val="left"/>
      </w:pPr>
      <w:r>
        <w:rPr>
          <w:rFonts w:ascii="Times New Roman" w:hAnsi="Times New Roman" w:cs="Times New Roman" w:eastAsia="Times New Roman" w:hint="default"/>
          <w:b/>
          <w:bCs/>
        </w:rPr>
        <w:t>6</w:t>
      </w:r>
      <w:r>
        <w:rPr>
          <w:rFonts w:ascii="宋体" w:hAnsi="宋体" w:cs="宋体" w:eastAsia="宋体" w:hint="default"/>
          <w:b/>
          <w:bCs/>
        </w:rPr>
        <w:t>、行业相关政策</w:t>
      </w:r>
      <w:r>
        <w:rPr>
          <w:rFonts w:ascii="宋体" w:hAnsi="宋体" w:cs="宋体" w:eastAsia="宋体" w:hint="default"/>
          <w:b/>
          <w:bCs/>
          <w:w w:val="100"/>
        </w:rPr>
        <w:t> </w:t>
      </w:r>
      <w:r>
        <w:rPr>
          <w:spacing w:val="-2"/>
        </w:rPr>
        <w:t>本公司为广大中小学教师与学生提供同步教育软件及网络在线服务，涉及教育、软件、出版、动漫和</w:t>
      </w:r>
    </w:p>
    <w:p>
      <w:pPr>
        <w:pStyle w:val="BodyText"/>
        <w:spacing w:line="268" w:lineRule="exact"/>
        <w:ind w:right="0"/>
        <w:jc w:val="left"/>
      </w:pPr>
      <w:r>
        <w:rPr/>
        <w:t>互联网等多个领域，因而行业相关政策也涉及多个领域。</w:t>
      </w:r>
    </w:p>
    <w:p>
      <w:pPr>
        <w:spacing w:line="240" w:lineRule="auto" w:before="2"/>
        <w:rPr>
          <w:rFonts w:ascii="宋体" w:hAnsi="宋体" w:cs="宋体" w:eastAsia="宋体" w:hint="default"/>
          <w:sz w:val="26"/>
          <w:szCs w:val="26"/>
        </w:rPr>
      </w:pPr>
    </w:p>
    <w:p>
      <w:pPr>
        <w:pStyle w:val="Heading5"/>
        <w:spacing w:line="240" w:lineRule="auto"/>
        <w:ind w:left="575" w:right="0"/>
        <w:jc w:val="left"/>
        <w:rPr>
          <w:b w:val="0"/>
          <w:bCs w:val="0"/>
        </w:rPr>
      </w:pPr>
      <w:r>
        <w:rPr/>
        <w:t>（</w:t>
      </w:r>
      <w:r>
        <w:rPr>
          <w:rFonts w:ascii="Times New Roman" w:hAnsi="Times New Roman" w:cs="Times New Roman" w:eastAsia="Times New Roman" w:hint="default"/>
        </w:rPr>
        <w:t>1</w:t>
      </w:r>
      <w:r>
        <w:rPr/>
        <w:t>）教育行业相关政策</w:t>
      </w:r>
      <w:r>
        <w:rPr>
          <w:b w:val="0"/>
          <w:bCs w:val="0"/>
        </w:rPr>
      </w:r>
    </w:p>
    <w:p>
      <w:pPr>
        <w:spacing w:line="240" w:lineRule="auto" w:before="6"/>
        <w:rPr>
          <w:rFonts w:ascii="宋体" w:hAnsi="宋体" w:cs="宋体" w:eastAsia="宋体" w:hint="default"/>
          <w:b/>
          <w:bCs/>
          <w:sz w:val="25"/>
          <w:szCs w:val="25"/>
        </w:rPr>
      </w:pPr>
    </w:p>
    <w:p>
      <w:pPr>
        <w:pStyle w:val="BodyText"/>
        <w:spacing w:line="314" w:lineRule="auto"/>
        <w:ind w:right="125" w:firstLine="420"/>
        <w:jc w:val="both"/>
      </w:pPr>
      <w:r>
        <w:rPr>
          <w:rFonts w:ascii="宋体" w:hAnsi="宋体" w:cs="宋体" w:eastAsia="宋体" w:hint="default"/>
          <w:spacing w:val="-2"/>
        </w:rPr>
        <w:t>2013</w:t>
      </w:r>
      <w:r>
        <w:rPr>
          <w:spacing w:val="-2"/>
        </w:rPr>
        <w:t>年</w:t>
      </w:r>
      <w:r>
        <w:rPr>
          <w:rFonts w:ascii="宋体" w:hAnsi="宋体" w:cs="宋体" w:eastAsia="宋体" w:hint="default"/>
          <w:spacing w:val="-2"/>
        </w:rPr>
        <w:t>3</w:t>
      </w:r>
      <w:r>
        <w:rPr>
          <w:spacing w:val="-2"/>
        </w:rPr>
        <w:t>月，国家教育部印发了《教育信息化十年发展规划</w:t>
      </w:r>
      <w:r>
        <w:rPr>
          <w:rFonts w:ascii="宋体" w:hAnsi="宋体" w:cs="宋体" w:eastAsia="宋体" w:hint="default"/>
          <w:spacing w:val="-2"/>
        </w:rPr>
        <w:t>(2011-2020</w:t>
      </w:r>
      <w:r>
        <w:rPr>
          <w:spacing w:val="-2"/>
        </w:rPr>
        <w:t>年</w:t>
      </w:r>
      <w:r>
        <w:rPr>
          <w:rFonts w:ascii="宋体" w:hAnsi="宋体" w:cs="宋体" w:eastAsia="宋体" w:hint="default"/>
          <w:spacing w:val="-2"/>
        </w:rPr>
        <w:t>)</w:t>
      </w:r>
      <w:r>
        <w:rPr>
          <w:spacing w:val="-2"/>
        </w:rPr>
        <w:t>》。规划要求，提高数字教</w:t>
      </w:r>
      <w:r>
        <w:rPr>
          <w:w w:val="100"/>
        </w:rPr>
        <w:t> </w:t>
      </w:r>
      <w:r>
        <w:rPr>
          <w:spacing w:val="-2"/>
        </w:rPr>
        <w:t>育资源对教育教学模式改革创新的支持能力和水平，并强调基础教育信息化是提高国民信息素养的基石，</w:t>
      </w:r>
      <w:r>
        <w:rPr>
          <w:spacing w:val="-21"/>
        </w:rPr>
        <w:t> </w:t>
      </w:r>
      <w:r>
        <w:rPr>
          <w:spacing w:val="-21"/>
        </w:rPr>
      </w:r>
      <w:r>
        <w:rPr>
          <w:spacing w:val="-2"/>
        </w:rPr>
        <w:t>是教育信息化的重中之重。将以建设、应用和共享优质数字教育资源为手段，促进每一所学校享有优质数</w:t>
      </w:r>
      <w:r>
        <w:rPr>
          <w:spacing w:val="-44"/>
        </w:rPr>
        <w:t> </w:t>
      </w:r>
      <w:r>
        <w:rPr>
          <w:spacing w:val="-44"/>
        </w:rPr>
      </w:r>
      <w:r>
        <w:rPr/>
        <w:t>字教育资源，提高教育教学质量。</w:t>
      </w:r>
    </w:p>
    <w:p>
      <w:pPr>
        <w:pStyle w:val="BodyText"/>
        <w:spacing w:line="314" w:lineRule="auto" w:before="17"/>
        <w:ind w:right="125" w:firstLine="419"/>
        <w:jc w:val="both"/>
      </w:pPr>
      <w:r>
        <w:rPr>
          <w:rFonts w:ascii="宋体" w:hAnsi="宋体" w:cs="宋体" w:eastAsia="宋体" w:hint="default"/>
          <w:spacing w:val="-2"/>
        </w:rPr>
        <w:t>2013</w:t>
      </w:r>
      <w:r>
        <w:rPr>
          <w:spacing w:val="-2"/>
        </w:rPr>
        <w:t>年</w:t>
      </w:r>
      <w:r>
        <w:rPr>
          <w:rFonts w:ascii="宋体" w:hAnsi="宋体" w:cs="宋体" w:eastAsia="宋体" w:hint="default"/>
          <w:spacing w:val="-2"/>
        </w:rPr>
        <w:t>11</w:t>
      </w:r>
      <w:r>
        <w:rPr>
          <w:spacing w:val="-2"/>
        </w:rPr>
        <w:t>月，十八届三中全会中共中央《关于全面深化改革若干重大问题的决定》中强调：深化教育</w:t>
      </w:r>
      <w:r>
        <w:rPr>
          <w:w w:val="100"/>
        </w:rPr>
        <w:t> </w:t>
      </w:r>
      <w:r>
        <w:rPr>
          <w:spacing w:val="-2"/>
        </w:rPr>
        <w:t>领域综合改革。大力促进教育公平，健全家庭经济困难学生资助体系，构建利用信息化手段扩大优质教育</w:t>
      </w:r>
      <w:r>
        <w:rPr>
          <w:spacing w:val="-44"/>
        </w:rPr>
        <w:t> </w:t>
      </w:r>
      <w:r>
        <w:rPr>
          <w:spacing w:val="-44"/>
        </w:rPr>
      </w:r>
      <w:r>
        <w:rPr>
          <w:spacing w:val="-2"/>
        </w:rPr>
        <w:t>资源覆盖面的有效机制，逐步缩小区域、城乡、校际差距。推进考试招生制度改革，探索招生和考试相对</w:t>
      </w:r>
      <w:r>
        <w:rPr>
          <w:spacing w:val="-43"/>
        </w:rPr>
        <w:t> </w:t>
      </w:r>
      <w:r>
        <w:rPr>
          <w:spacing w:val="-43"/>
        </w:rPr>
      </w:r>
      <w:r>
        <w:rPr>
          <w:spacing w:val="-2"/>
        </w:rPr>
        <w:t>分离、学生考试多次选择、学校依法自主招生、专业机构组织实施、政府宏观管理、社会参与监督的运行</w:t>
      </w:r>
      <w:r>
        <w:rPr>
          <w:spacing w:val="-43"/>
        </w:rPr>
        <w:t> </w:t>
      </w:r>
      <w:r>
        <w:rPr>
          <w:spacing w:val="-43"/>
        </w:rPr>
      </w:r>
      <w:r>
        <w:rPr>
          <w:spacing w:val="-3"/>
        </w:rPr>
        <w:t>机制，从根本上解决一考定终身的弊端。探索全国统考减少科目、不分文理科，外语等科目社会化考试一</w:t>
      </w:r>
      <w:r>
        <w:rPr>
          <w:spacing w:val="-5"/>
        </w:rPr>
        <w:t> </w:t>
      </w:r>
      <w:r>
        <w:rPr>
          <w:spacing w:val="-5"/>
        </w:rPr>
      </w:r>
      <w:r>
        <w:rPr>
          <w:spacing w:val="-2"/>
        </w:rPr>
        <w:t>年多考。试行普通高校、高职院校、成人高校之间学分转换，拓宽终身学习通道。深入推进管办评分离，</w:t>
      </w:r>
      <w:r>
        <w:rPr>
          <w:spacing w:val="-21"/>
        </w:rPr>
        <w:t> </w:t>
      </w:r>
      <w:r>
        <w:rPr>
          <w:spacing w:val="-21"/>
        </w:rPr>
      </w:r>
      <w:r>
        <w:rPr>
          <w:spacing w:val="-2"/>
        </w:rPr>
        <w:t>扩大省级政府教育统筹权和学校办学自主权，完善学校内部治理结构。强化国家教育督导，委托社会组织</w:t>
      </w:r>
      <w:r>
        <w:rPr>
          <w:spacing w:val="-43"/>
        </w:rPr>
        <w:t> </w:t>
      </w:r>
      <w:r>
        <w:rPr>
          <w:spacing w:val="-43"/>
        </w:rPr>
      </w:r>
      <w:r>
        <w:rPr>
          <w:spacing w:val="-2"/>
        </w:rPr>
        <w:t>开展教育评估监测。健全政府补贴、政府购买服务、助学贷款、基金奖励、捐资激励等制度，鼓励社会力</w:t>
      </w:r>
      <w:r>
        <w:rPr>
          <w:spacing w:val="-45"/>
        </w:rPr>
        <w:t> </w:t>
      </w:r>
      <w:r>
        <w:rPr>
          <w:spacing w:val="-45"/>
        </w:rPr>
      </w:r>
      <w:r>
        <w:rPr/>
        <w:t>量兴办教育。</w:t>
      </w:r>
    </w:p>
    <w:p>
      <w:pPr>
        <w:pStyle w:val="BodyText"/>
        <w:spacing w:line="240" w:lineRule="auto" w:before="19"/>
        <w:ind w:left="572" w:right="0"/>
        <w:jc w:val="left"/>
      </w:pPr>
      <w:r>
        <w:rPr>
          <w:rFonts w:ascii="宋体" w:hAnsi="宋体" w:cs="宋体" w:eastAsia="宋体" w:hint="default"/>
        </w:rPr>
        <w:t>2014</w:t>
      </w:r>
      <w:r>
        <w:rPr/>
        <w:t>年</w:t>
      </w:r>
      <w:r>
        <w:rPr>
          <w:rFonts w:ascii="宋体" w:hAnsi="宋体" w:cs="宋体" w:eastAsia="宋体" w:hint="default"/>
        </w:rPr>
        <w:t>1</w:t>
      </w:r>
      <w:r>
        <w:rPr/>
        <w:t>月，教育部《关于</w:t>
      </w:r>
      <w:r>
        <w:rPr>
          <w:rFonts w:ascii="宋体" w:hAnsi="宋体" w:cs="宋体" w:eastAsia="宋体" w:hint="default"/>
        </w:rPr>
        <w:t>2013</w:t>
      </w:r>
      <w:r>
        <w:rPr/>
        <w:t>年深化教育领域综合改革的意见</w:t>
      </w:r>
      <w:r>
        <w:rPr>
          <w:spacing w:val="-9"/>
        </w:rPr>
        <w:t> </w:t>
      </w:r>
      <w:r>
        <w:rPr/>
        <w:t>教改</w:t>
      </w:r>
      <w:r>
        <w:rPr>
          <w:rFonts w:ascii="宋体" w:hAnsi="宋体" w:cs="宋体" w:eastAsia="宋体" w:hint="default"/>
        </w:rPr>
        <w:t>[2013]1</w:t>
      </w:r>
      <w:r>
        <w:rPr/>
        <w:t>号》指出：推进考试招</w:t>
      </w:r>
    </w:p>
    <w:p>
      <w:pPr>
        <w:spacing w:after="0" w:line="240" w:lineRule="auto"/>
        <w:jc w:val="left"/>
        <w:sectPr>
          <w:pgSz w:w="11910" w:h="16840"/>
          <w:pgMar w:header="748" w:footer="982" w:top="1060" w:bottom="1180" w:left="980" w:right="980"/>
        </w:sectPr>
      </w:pPr>
    </w:p>
    <w:p>
      <w:pPr>
        <w:spacing w:line="240" w:lineRule="auto" w:before="6"/>
        <w:rPr>
          <w:rFonts w:ascii="宋体" w:hAnsi="宋体" w:cs="宋体" w:eastAsia="宋体" w:hint="default"/>
          <w:sz w:val="26"/>
          <w:szCs w:val="26"/>
        </w:rPr>
      </w:pPr>
    </w:p>
    <w:p>
      <w:pPr>
        <w:pStyle w:val="BodyText"/>
        <w:spacing w:line="314" w:lineRule="auto" w:before="36"/>
        <w:ind w:right="206"/>
        <w:jc w:val="both"/>
      </w:pPr>
      <w:r>
        <w:rPr>
          <w:spacing w:val="-2"/>
        </w:rPr>
        <w:t>生制度改革，做好高中学业水平考试及综合素质评价改革试点。深化高校自主选拔录取改革试点；完善高</w:t>
      </w:r>
      <w:r>
        <w:rPr>
          <w:spacing w:val="-47"/>
        </w:rPr>
        <w:t> </w:t>
      </w:r>
      <w:r>
        <w:rPr>
          <w:spacing w:val="-47"/>
        </w:rPr>
      </w:r>
      <w:r>
        <w:rPr>
          <w:spacing w:val="-2"/>
        </w:rPr>
        <w:t>校招生考试综合评价改革试点。研究提出高考英语科目一年多次考试实施办法，深化课程内容改革。改进</w:t>
      </w:r>
      <w:r>
        <w:rPr>
          <w:spacing w:val="-43"/>
        </w:rPr>
        <w:t> </w:t>
      </w:r>
      <w:r>
        <w:rPr>
          <w:spacing w:val="-43"/>
        </w:rPr>
      </w:r>
      <w:r>
        <w:rPr>
          <w:spacing w:val="-2"/>
        </w:rPr>
        <w:t>教育信息化推进策略，以教育信息化带动教育现代化。引入市场机制，调动各方积极性，探索形成政府引</w:t>
      </w:r>
      <w:r>
        <w:rPr>
          <w:spacing w:val="-47"/>
        </w:rPr>
        <w:t> </w:t>
      </w:r>
      <w:r>
        <w:rPr>
          <w:spacing w:val="-47"/>
        </w:rPr>
      </w:r>
      <w:r>
        <w:rPr>
          <w:spacing w:val="-2"/>
        </w:rPr>
        <w:t>导、市场驱动、多方参与、共建共享的教育信息化推进格局。推进信息技术与教学深度融合，改进教育教</w:t>
      </w:r>
      <w:r>
        <w:rPr>
          <w:spacing w:val="-43"/>
        </w:rPr>
        <w:t> </w:t>
      </w:r>
      <w:r>
        <w:rPr>
          <w:spacing w:val="-43"/>
        </w:rPr>
      </w:r>
      <w:r>
        <w:rPr>
          <w:spacing w:val="-2"/>
        </w:rPr>
        <w:t>学方式和教育管理方式，促进教育公平与教育质量提升。研究制定相关标准，将信息技术应用能力纳入教</w:t>
      </w:r>
      <w:r>
        <w:rPr>
          <w:spacing w:val="-44"/>
        </w:rPr>
        <w:t> </w:t>
      </w:r>
      <w:r>
        <w:rPr>
          <w:spacing w:val="-44"/>
        </w:rPr>
      </w:r>
      <w:r>
        <w:rPr>
          <w:spacing w:val="-2"/>
        </w:rPr>
        <w:t>师资格认证体系。教育部大力推进的“三通两平台工程”即宽带网络校校通、优质资源班班通、网络学习</w:t>
      </w:r>
      <w:r>
        <w:rPr>
          <w:spacing w:val="-43"/>
        </w:rPr>
        <w:t> </w:t>
      </w:r>
      <w:r>
        <w:rPr>
          <w:spacing w:val="-43"/>
        </w:rPr>
      </w:r>
      <w:r>
        <w:rPr/>
        <w:t>空间人人通，建设教育资源公共服务平台、教育管理公共服务平台，将会大大推进教育信息化的进程。</w:t>
      </w:r>
    </w:p>
    <w:p>
      <w:pPr>
        <w:pStyle w:val="BodyText"/>
        <w:spacing w:line="314" w:lineRule="auto" w:before="17"/>
        <w:ind w:right="206" w:firstLine="420"/>
        <w:jc w:val="both"/>
      </w:pPr>
      <w:r>
        <w:rPr>
          <w:spacing w:val="-2"/>
        </w:rPr>
        <w:t>教育部公布《关于普通高中学业水平考试的实施意见》和《关于加强和改进普通高中学生综合素质评</w:t>
      </w:r>
      <w:r>
        <w:rPr>
          <w:w w:val="100"/>
        </w:rPr>
        <w:t> </w:t>
      </w:r>
      <w:r>
        <w:rPr>
          <w:spacing w:val="-2"/>
        </w:rPr>
        <w:t>价的意见》两项政策，明确提出“全科覆盖”、“分类考察”、“不分文理”、“两次机会”、“严格公</w:t>
      </w:r>
      <w:r>
        <w:rPr>
          <w:spacing w:val="-46"/>
        </w:rPr>
        <w:t> </w:t>
      </w:r>
      <w:r>
        <w:rPr>
          <w:spacing w:val="-46"/>
        </w:rPr>
      </w:r>
      <w:r>
        <w:rPr>
          <w:spacing w:val="-2"/>
        </w:rPr>
        <w:t>示”等措施。对学生全面发展状况的观察、记录、分析，是发现和培育学生良好个性的重要手段，是深入</w:t>
      </w:r>
      <w:r>
        <w:rPr>
          <w:spacing w:val="-42"/>
        </w:rPr>
        <w:t> </w:t>
      </w:r>
      <w:r>
        <w:rPr>
          <w:spacing w:val="-42"/>
        </w:rPr>
      </w:r>
      <w:r>
        <w:rPr>
          <w:spacing w:val="-2"/>
        </w:rPr>
        <w:t>推进素质教育的一项重要制度。全面实施综合素质评价，有利于促进学生认识自我、规划人生，积极主动</w:t>
      </w:r>
      <w:r>
        <w:rPr>
          <w:spacing w:val="-47"/>
        </w:rPr>
        <w:t> </w:t>
      </w:r>
      <w:r>
        <w:rPr>
          <w:spacing w:val="-47"/>
        </w:rPr>
      </w:r>
      <w:r>
        <w:rPr/>
        <w:t>地发展；有利于促进学校把握学生成长规律，切实转变人才培养模式；</w:t>
      </w:r>
    </w:p>
    <w:p>
      <w:pPr>
        <w:pStyle w:val="BodyText"/>
        <w:spacing w:line="624" w:lineRule="exact" w:before="22"/>
        <w:ind w:left="572" w:right="106" w:firstLine="2"/>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）软件行业相关政策</w:t>
      </w:r>
      <w:r>
        <w:rPr>
          <w:rFonts w:ascii="宋体" w:hAnsi="宋体" w:cs="宋体" w:eastAsia="宋体" w:hint="default"/>
          <w:b/>
          <w:bCs/>
          <w:w w:val="100"/>
        </w:rPr>
        <w:t> </w:t>
      </w:r>
      <w:r>
        <w:rPr>
          <w:spacing w:val="-2"/>
        </w:rPr>
        <w:t>国务院办公厅《</w:t>
      </w:r>
      <w:r>
        <w:rPr>
          <w:rFonts w:ascii="宋体" w:hAnsi="宋体" w:cs="宋体" w:eastAsia="宋体" w:hint="default"/>
          <w:spacing w:val="-2"/>
        </w:rPr>
        <w:t>2006—2020</w:t>
      </w:r>
      <w:r>
        <w:rPr>
          <w:spacing w:val="-2"/>
        </w:rPr>
        <w:t>年国家信息化发展战略》提出，我国信息化发展的战略重点是推进社会信</w:t>
      </w:r>
    </w:p>
    <w:p>
      <w:pPr>
        <w:pStyle w:val="BodyText"/>
        <w:spacing w:line="312" w:lineRule="auto"/>
        <w:ind w:right="207"/>
        <w:jc w:val="both"/>
      </w:pPr>
      <w:r>
        <w:rPr>
          <w:spacing w:val="-2"/>
        </w:rPr>
        <w:t>息化和加快教育科研信息化步伐。</w:t>
      </w:r>
      <w:r>
        <w:rPr>
          <w:rFonts w:ascii="宋体" w:hAnsi="宋体" w:cs="宋体" w:eastAsia="宋体" w:hint="default"/>
          <w:spacing w:val="-2"/>
        </w:rPr>
        <w:t>2009</w:t>
      </w:r>
      <w:r>
        <w:rPr>
          <w:spacing w:val="-2"/>
        </w:rPr>
        <w:t>年初，《电子信息产业振兴规划》从财政、税收优惠与减免、扩大</w:t>
      </w:r>
      <w:r>
        <w:rPr>
          <w:spacing w:val="-40"/>
        </w:rPr>
        <w:t> </w:t>
      </w:r>
      <w:r>
        <w:rPr>
          <w:spacing w:val="-40"/>
        </w:rPr>
      </w:r>
      <w:r>
        <w:rPr/>
        <w:t>投资、改善软硬件环境等多角度制订了十项政策措施，这些优惠措施将对软件企业带来实质利好。</w:t>
      </w:r>
    </w:p>
    <w:p>
      <w:pPr>
        <w:pStyle w:val="BodyText"/>
        <w:spacing w:line="312" w:lineRule="auto" w:before="22"/>
        <w:ind w:right="106" w:firstLine="420"/>
        <w:jc w:val="left"/>
      </w:pPr>
      <w:r>
        <w:rPr>
          <w:spacing w:val="-2"/>
        </w:rPr>
        <w:t>国家及相关部门对软件相关行业制定了税收优惠政策，根据国务院《关于印发鼓励软件企业和集成电</w:t>
      </w:r>
      <w:r>
        <w:rPr>
          <w:w w:val="100"/>
        </w:rPr>
        <w:t> </w:t>
      </w:r>
      <w:r>
        <w:rPr>
          <w:spacing w:val="-2"/>
        </w:rPr>
        <w:t>路产业发展若干政策的通知》（国发</w:t>
      </w:r>
      <w:r>
        <w:rPr>
          <w:rFonts w:ascii="宋体" w:hAnsi="宋体" w:cs="宋体" w:eastAsia="宋体" w:hint="default"/>
          <w:spacing w:val="-2"/>
        </w:rPr>
        <w:t>[2000]18</w:t>
      </w:r>
      <w:r>
        <w:rPr>
          <w:spacing w:val="-2"/>
        </w:rPr>
        <w:t>号）和《财政部、国家税务总局关于部分货物适用增值税低</w:t>
      </w:r>
      <w:r>
        <w:rPr>
          <w:spacing w:val="-36"/>
        </w:rPr>
        <w:t> </w:t>
      </w:r>
      <w:r>
        <w:rPr>
          <w:spacing w:val="-36"/>
        </w:rPr>
      </w:r>
      <w:r>
        <w:rPr/>
        <w:t>税率和简易办法征收增值税政策的通知》（财税</w:t>
      </w:r>
      <w:r>
        <w:rPr>
          <w:rFonts w:ascii="宋体" w:hAnsi="宋体" w:cs="宋体" w:eastAsia="宋体" w:hint="default"/>
        </w:rPr>
        <w:t>[2009]9</w:t>
      </w:r>
      <w:r>
        <w:rPr/>
        <w:t>号）文有关精神，</w:t>
      </w:r>
      <w:r>
        <w:rPr>
          <w:rFonts w:ascii="宋体" w:hAnsi="宋体" w:cs="宋体" w:eastAsia="宋体" w:hint="default"/>
        </w:rPr>
        <w:t>2012</w:t>
      </w:r>
      <w:r>
        <w:rPr/>
        <w:t>年底以前，自行开发研制</w:t>
      </w:r>
      <w:r>
        <w:rPr>
          <w:spacing w:val="-3"/>
          <w:w w:val="100"/>
        </w:rPr>
        <w:t> </w:t>
      </w:r>
      <w:r>
        <w:rPr/>
        <w:t>软件产品销售收入按</w:t>
      </w:r>
      <w:r>
        <w:rPr>
          <w:rFonts w:ascii="宋体" w:hAnsi="宋体" w:cs="宋体" w:eastAsia="宋体" w:hint="default"/>
        </w:rPr>
        <w:t>13%</w:t>
      </w:r>
      <w:r>
        <w:rPr/>
        <w:t>的法定税率计缴增值税，对实际税负超过</w:t>
      </w:r>
      <w:r>
        <w:rPr>
          <w:rFonts w:ascii="宋体" w:hAnsi="宋体" w:cs="宋体" w:eastAsia="宋体" w:hint="default"/>
        </w:rPr>
        <w:t>3%</w:t>
      </w:r>
      <w:r>
        <w:rPr/>
        <w:t>的部分实行即征即退政策。</w:t>
      </w:r>
    </w:p>
    <w:p>
      <w:pPr>
        <w:pStyle w:val="BodyText"/>
        <w:spacing w:line="312" w:lineRule="auto" w:before="22"/>
        <w:ind w:right="106" w:firstLine="420"/>
        <w:jc w:val="left"/>
      </w:pPr>
      <w:r>
        <w:rPr/>
        <w:t>《国务院关于印发进一步鼓励软件产业和集成电路产业发展若干政策的通知》国发〔</w:t>
      </w:r>
      <w:r>
        <w:rPr>
          <w:rFonts w:ascii="宋体" w:hAnsi="宋体" w:cs="宋体" w:eastAsia="宋体" w:hint="default"/>
        </w:rPr>
        <w:t>2013</w:t>
      </w:r>
      <w:r>
        <w:rPr/>
        <w:t>〕</w:t>
      </w:r>
      <w:r>
        <w:rPr>
          <w:rFonts w:ascii="宋体" w:hAnsi="宋体" w:cs="宋体" w:eastAsia="宋体" w:hint="default"/>
        </w:rPr>
        <w:t>4</w:t>
      </w:r>
      <w:r>
        <w:rPr/>
        <w:t>号，政</w:t>
      </w:r>
      <w:r>
        <w:rPr>
          <w:w w:val="100"/>
        </w:rPr>
        <w:t> </w:t>
      </w:r>
      <w:r>
        <w:rPr>
          <w:spacing w:val="-5"/>
        </w:rPr>
        <w:t>策明确提出将继续实施软件增值税优惠政策。我国软件产业和集成电路产业快速发展，产业规模迅速扩大，</w:t>
      </w:r>
      <w:r>
        <w:rPr>
          <w:spacing w:val="-6"/>
        </w:rPr>
        <w:t> </w:t>
      </w:r>
      <w:r>
        <w:rPr>
          <w:spacing w:val="-6"/>
        </w:rPr>
      </w:r>
      <w:r>
        <w:rPr>
          <w:spacing w:val="-2"/>
        </w:rPr>
        <w:t>技术水平显著提升，有力推动了国家信息化建设。但与国际先进水平相比，我国软件产业和集成电路产业</w:t>
      </w:r>
      <w:r>
        <w:rPr>
          <w:spacing w:val="-42"/>
        </w:rPr>
        <w:t> </w:t>
      </w:r>
      <w:r>
        <w:rPr>
          <w:spacing w:val="-42"/>
        </w:rPr>
      </w:r>
      <w:r>
        <w:rPr>
          <w:spacing w:val="-2"/>
        </w:rPr>
        <w:t>还存在发展基础较为薄弱，企业科技创新和自我发展能力不强，应用开发水平亟待提高，产业链有待完善</w:t>
      </w:r>
      <w:r>
        <w:rPr>
          <w:spacing w:val="-46"/>
        </w:rPr>
        <w:t> </w:t>
      </w:r>
      <w:r>
        <w:rPr>
          <w:spacing w:val="-46"/>
        </w:rPr>
      </w:r>
      <w:r>
        <w:rPr>
          <w:spacing w:val="-2"/>
        </w:rPr>
        <w:t>等问题。并首次提出鼓励、支持软件企业和集成电路企业加强产业资源整合。积极支持符合条件的软件企</w:t>
      </w:r>
      <w:r>
        <w:rPr>
          <w:spacing w:val="-44"/>
        </w:rPr>
        <w:t> </w:t>
      </w:r>
      <w:r>
        <w:rPr>
          <w:spacing w:val="-44"/>
        </w:rPr>
      </w:r>
      <w:r>
        <w:rPr/>
        <w:t>业和集成电路企业采取发行股票、债券等多种方式筹集资金，拓宽直接融资渠道。</w:t>
      </w:r>
    </w:p>
    <w:p>
      <w:pPr>
        <w:spacing w:line="624" w:lineRule="exact" w:before="24"/>
        <w:ind w:left="572" w:right="106"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）出版行业相关政策</w:t>
      </w:r>
      <w:r>
        <w:rPr>
          <w:rFonts w:ascii="宋体" w:hAnsi="宋体" w:cs="宋体" w:eastAsia="宋体" w:hint="default"/>
          <w:b/>
          <w:bCs/>
          <w:w w:val="100"/>
          <w:sz w:val="21"/>
          <w:szCs w:val="21"/>
        </w:rPr>
        <w:t> </w:t>
      </w:r>
      <w:r>
        <w:rPr>
          <w:rFonts w:ascii="宋体" w:hAnsi="宋体" w:cs="宋体" w:eastAsia="宋体" w:hint="default"/>
          <w:spacing w:val="-2"/>
          <w:sz w:val="21"/>
          <w:szCs w:val="21"/>
        </w:rPr>
        <w:t>根据《国家“十一五”时期文化发展规划纲要》，国家共制定了四十八项与文化产业发展相关的政策</w:t>
      </w:r>
    </w:p>
    <w:p>
      <w:pPr>
        <w:pStyle w:val="BodyText"/>
        <w:spacing w:line="314" w:lineRule="auto"/>
        <w:ind w:right="153"/>
        <w:jc w:val="both"/>
      </w:pPr>
      <w:r>
        <w:rPr>
          <w:spacing w:val="-2"/>
        </w:rPr>
        <w:t>和指导方针，文中指出：支持出版物发行企业开展跨地区、跨行业、跨所有制经营，重点发展连锁经营、</w:t>
      </w:r>
      <w:r>
        <w:rPr>
          <w:spacing w:val="-21"/>
        </w:rPr>
        <w:t> </w:t>
      </w:r>
      <w:r>
        <w:rPr>
          <w:spacing w:val="-21"/>
        </w:rPr>
      </w:r>
      <w:r>
        <w:rPr>
          <w:spacing w:val="-2"/>
        </w:rPr>
        <w:t>现代物流和网络书店等现代出版物流通系统，形成若干大型发行集团，建设全国统一、开放、竞争、有序</w:t>
      </w:r>
      <w:r>
        <w:rPr>
          <w:spacing w:val="-43"/>
        </w:rPr>
        <w:t> </w:t>
      </w:r>
      <w:r>
        <w:rPr>
          <w:spacing w:val="-43"/>
        </w:rPr>
      </w:r>
      <w:r>
        <w:rPr>
          <w:spacing w:val="-7"/>
        </w:rPr>
        <w:t>的出版物市场。根据新闻出版总署关于进一步推动新闻出版产业发展的指导意见（新出政发〔</w:t>
      </w:r>
      <w:r>
        <w:rPr>
          <w:rFonts w:ascii="宋体" w:hAnsi="宋体" w:cs="宋体" w:eastAsia="宋体" w:hint="default"/>
          <w:spacing w:val="-7"/>
        </w:rPr>
        <w:t>2012</w:t>
      </w:r>
      <w:r>
        <w:rPr>
          <w:spacing w:val="-7"/>
        </w:rPr>
        <w:t>〕</w:t>
      </w:r>
      <w:r>
        <w:rPr>
          <w:rFonts w:ascii="宋体" w:hAnsi="宋体" w:cs="宋体" w:eastAsia="宋体" w:hint="default"/>
          <w:spacing w:val="-7"/>
        </w:rPr>
        <w:t>1</w:t>
      </w:r>
      <w:r>
        <w:rPr>
          <w:spacing w:val="-7"/>
        </w:rPr>
        <w:t>号），</w:t>
      </w:r>
      <w:r>
        <w:rPr>
          <w:spacing w:val="-46"/>
        </w:rPr>
        <w:t> </w:t>
      </w:r>
      <w:r>
        <w:rPr>
          <w:spacing w:val="-46"/>
        </w:rPr>
      </w:r>
      <w:r>
        <w:rPr>
          <w:spacing w:val="-2"/>
        </w:rPr>
        <w:t>提出“重点支持语言文字技术、声音技术、图形图像技术、内容采集与处理技术、知识组织管理技术、协</w:t>
      </w:r>
      <w:r>
        <w:rPr>
          <w:spacing w:val="-45"/>
        </w:rPr>
        <w:t> </w:t>
      </w:r>
      <w:r>
        <w:rPr>
          <w:spacing w:val="-45"/>
        </w:rPr>
      </w:r>
      <w:r>
        <w:rPr/>
        <w:t>同编辑管理技术等新闻出版产业支撑技术的发展和应用”。</w:t>
      </w:r>
    </w:p>
    <w:p>
      <w:pPr>
        <w:spacing w:line="240" w:lineRule="auto" w:before="12"/>
        <w:rPr>
          <w:rFonts w:ascii="宋体" w:hAnsi="宋体" w:cs="宋体" w:eastAsia="宋体" w:hint="default"/>
          <w:sz w:val="20"/>
          <w:szCs w:val="20"/>
        </w:rPr>
      </w:pPr>
    </w:p>
    <w:p>
      <w:pPr>
        <w:pStyle w:val="Heading5"/>
        <w:spacing w:line="240" w:lineRule="auto"/>
        <w:ind w:left="575" w:right="106"/>
        <w:jc w:val="left"/>
        <w:rPr>
          <w:b w:val="0"/>
          <w:bCs w:val="0"/>
        </w:rPr>
      </w:pPr>
      <w:r>
        <w:rPr/>
        <w:t>（</w:t>
      </w:r>
      <w:r>
        <w:rPr>
          <w:rFonts w:ascii="Times New Roman" w:hAnsi="Times New Roman" w:cs="Times New Roman" w:eastAsia="Times New Roman" w:hint="default"/>
        </w:rPr>
        <w:t>4</w:t>
      </w:r>
      <w:r>
        <w:rPr/>
        <w:t>）文化产业相关政策</w:t>
      </w:r>
      <w:r>
        <w:rPr>
          <w:b w:val="0"/>
          <w:bCs w:val="0"/>
        </w:rPr>
      </w:r>
    </w:p>
    <w:p>
      <w:pPr>
        <w:spacing w:after="0" w:line="240" w:lineRule="auto"/>
        <w:jc w:val="left"/>
        <w:sectPr>
          <w:pgSz w:w="11910" w:h="16840"/>
          <w:pgMar w:header="748" w:footer="982" w:top="1060" w:bottom="1180" w:left="980" w:right="920"/>
        </w:sectPr>
      </w:pPr>
    </w:p>
    <w:p>
      <w:pPr>
        <w:spacing w:line="240" w:lineRule="auto" w:before="6"/>
        <w:rPr>
          <w:rFonts w:ascii="宋体" w:hAnsi="宋体" w:cs="宋体" w:eastAsia="宋体" w:hint="default"/>
          <w:b/>
          <w:bCs/>
          <w:sz w:val="26"/>
          <w:szCs w:val="26"/>
        </w:rPr>
      </w:pPr>
    </w:p>
    <w:p>
      <w:pPr>
        <w:pStyle w:val="BodyText"/>
        <w:spacing w:line="312" w:lineRule="auto" w:before="36"/>
        <w:ind w:right="207" w:firstLine="419"/>
        <w:jc w:val="both"/>
      </w:pPr>
      <w:r>
        <w:rPr>
          <w:rFonts w:ascii="宋体" w:hAnsi="宋体" w:cs="宋体" w:eastAsia="宋体" w:hint="default"/>
          <w:spacing w:val="-2"/>
        </w:rPr>
        <w:t>2013</w:t>
      </w:r>
      <w:r>
        <w:rPr>
          <w:spacing w:val="-2"/>
        </w:rPr>
        <w:t>年</w:t>
      </w:r>
      <w:r>
        <w:rPr>
          <w:rFonts w:ascii="宋体" w:hAnsi="宋体" w:cs="宋体" w:eastAsia="宋体" w:hint="default"/>
          <w:spacing w:val="-2"/>
        </w:rPr>
        <w:t>11</w:t>
      </w:r>
      <w:r>
        <w:rPr>
          <w:spacing w:val="-2"/>
        </w:rPr>
        <w:t>月，十八届三中全会中共中央《关于全面深化改革若干重大问题的决定》中强调：推进文化</w:t>
      </w:r>
      <w:r>
        <w:rPr>
          <w:w w:val="100"/>
        </w:rPr>
        <w:t> </w:t>
      </w:r>
      <w:r>
        <w:rPr>
          <w:spacing w:val="-2"/>
        </w:rPr>
        <w:t>体制机制创新，鼓励非公有制文化企业发展，降低社会资本进入门槛，允许参与对外出版、网络出版，允</w:t>
      </w:r>
      <w:r>
        <w:rPr>
          <w:spacing w:val="-43"/>
        </w:rPr>
        <w:t> </w:t>
      </w:r>
      <w:r>
        <w:rPr>
          <w:spacing w:val="-43"/>
        </w:rPr>
      </w:r>
      <w:r>
        <w:rPr>
          <w:spacing w:val="-2"/>
        </w:rPr>
        <w:t>许以控股形式参与国有影视制作机构、文艺院团改制经营。支持各种形式小微文化企业发展。在坚持出版</w:t>
      </w:r>
      <w:r>
        <w:rPr>
          <w:spacing w:val="-47"/>
        </w:rPr>
        <w:t> </w:t>
      </w:r>
      <w:r>
        <w:rPr>
          <w:spacing w:val="-47"/>
        </w:rPr>
      </w:r>
      <w:r>
        <w:rPr>
          <w:spacing w:val="-2"/>
        </w:rPr>
        <w:t>权、播出权特许经营前提下，允许制作和出版、制作和播出分开。建立多层次文化产品和要素市场，鼓励</w:t>
      </w:r>
      <w:r>
        <w:rPr>
          <w:spacing w:val="-43"/>
        </w:rPr>
        <w:t> </w:t>
      </w:r>
      <w:r>
        <w:rPr>
          <w:spacing w:val="-43"/>
        </w:rPr>
      </w:r>
      <w:r>
        <w:rPr>
          <w:spacing w:val="-2"/>
        </w:rPr>
        <w:t>金融资本、社会资本、文化资源相结合。完善文化经济政策，扩大政府文化资助和文化采购，加强版权保</w:t>
      </w:r>
      <w:r>
        <w:rPr>
          <w:spacing w:val="-43"/>
        </w:rPr>
        <w:t> </w:t>
      </w:r>
      <w:r>
        <w:rPr>
          <w:spacing w:val="-43"/>
        </w:rPr>
      </w:r>
      <w:r>
        <w:rPr/>
        <w:t>护。健全文化产品评价体系，改革评奖制度，推出更多文化精品。</w:t>
      </w:r>
    </w:p>
    <w:p>
      <w:pPr>
        <w:spacing w:line="240" w:lineRule="auto" w:before="12"/>
        <w:rPr>
          <w:rFonts w:ascii="宋体" w:hAnsi="宋体" w:cs="宋体" w:eastAsia="宋体" w:hint="default"/>
          <w:sz w:val="25"/>
          <w:szCs w:val="25"/>
        </w:rPr>
      </w:pPr>
    </w:p>
    <w:p>
      <w:pPr>
        <w:pStyle w:val="Heading5"/>
        <w:spacing w:line="240" w:lineRule="auto"/>
        <w:ind w:left="575" w:right="106"/>
        <w:jc w:val="left"/>
        <w:rPr>
          <w:b w:val="0"/>
          <w:bCs w:val="0"/>
        </w:rPr>
      </w:pPr>
      <w:r>
        <w:rPr/>
        <w:t>（二）、公司未来的发展战略</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7"/>
          <w:szCs w:val="27"/>
        </w:rPr>
      </w:pPr>
    </w:p>
    <w:p>
      <w:pPr>
        <w:pStyle w:val="Heading5"/>
        <w:spacing w:line="240" w:lineRule="auto"/>
        <w:ind w:left="575" w:right="106"/>
        <w:jc w:val="left"/>
        <w:rPr>
          <w:b w:val="0"/>
          <w:bCs w:val="0"/>
        </w:rPr>
      </w:pPr>
      <w:r>
        <w:rPr>
          <w:rFonts w:ascii="Times New Roman" w:hAnsi="Times New Roman" w:cs="Times New Roman" w:eastAsia="Times New Roman" w:hint="default"/>
        </w:rPr>
        <w:t>1</w:t>
      </w:r>
      <w:r>
        <w:rPr/>
        <w:t>．方直科技的未来定位</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572" w:right="106"/>
        <w:jc w:val="left"/>
      </w:pPr>
      <w:r>
        <w:rPr/>
        <w:t>▲企业使命：关注教育需求，致力于科技创新，全心全意促进教育进步。</w:t>
      </w:r>
    </w:p>
    <w:p>
      <w:pPr>
        <w:pStyle w:val="BodyText"/>
        <w:spacing w:line="240" w:lineRule="auto" w:before="82"/>
        <w:ind w:left="572" w:right="106"/>
        <w:jc w:val="left"/>
      </w:pPr>
      <w:r>
        <w:rPr/>
        <w:t>▲企业愿景：让人人分享最优质的教育资源。</w:t>
      </w:r>
    </w:p>
    <w:p>
      <w:pPr>
        <w:pStyle w:val="BodyText"/>
        <w:spacing w:line="312" w:lineRule="auto" w:before="85"/>
        <w:ind w:right="106" w:firstLine="420"/>
        <w:jc w:val="left"/>
      </w:pPr>
      <w:r>
        <w:rPr>
          <w:spacing w:val="-2"/>
        </w:rPr>
        <w:t>▲核心价值：我们要做到的产品和服务是社会需要的和受欢迎的，我们的员工才能成为受尊重有价值</w:t>
      </w:r>
      <w:r>
        <w:rPr>
          <w:w w:val="100"/>
        </w:rPr>
        <w:t> </w:t>
      </w:r>
      <w:r>
        <w:rPr/>
        <w:t>的员工，我们的企业才能成为值得信赖的公众公司。</w:t>
      </w:r>
    </w:p>
    <w:p>
      <w:pPr>
        <w:spacing w:line="240" w:lineRule="auto" w:before="11"/>
        <w:rPr>
          <w:rFonts w:ascii="宋体" w:hAnsi="宋体" w:cs="宋体" w:eastAsia="宋体" w:hint="default"/>
          <w:sz w:val="19"/>
          <w:szCs w:val="19"/>
        </w:rPr>
      </w:pPr>
    </w:p>
    <w:p>
      <w:pPr>
        <w:pStyle w:val="Heading5"/>
        <w:spacing w:line="240" w:lineRule="auto"/>
        <w:ind w:left="575" w:right="106"/>
        <w:jc w:val="left"/>
        <w:rPr>
          <w:b w:val="0"/>
          <w:bCs w:val="0"/>
        </w:rPr>
      </w:pPr>
      <w:r>
        <w:rPr>
          <w:rFonts w:ascii="Times New Roman" w:hAnsi="Times New Roman" w:cs="Times New Roman" w:eastAsia="Times New Roman" w:hint="default"/>
        </w:rPr>
        <w:t>2</w:t>
      </w:r>
      <w:r>
        <w:rPr/>
        <w:t>．整体发展战略目标</w:t>
      </w:r>
      <w:r>
        <w:rPr>
          <w:b w:val="0"/>
          <w:bCs w:val="0"/>
        </w:rPr>
      </w:r>
    </w:p>
    <w:p>
      <w:pPr>
        <w:spacing w:line="240" w:lineRule="auto" w:before="1"/>
        <w:rPr>
          <w:rFonts w:ascii="宋体" w:hAnsi="宋体" w:cs="宋体" w:eastAsia="宋体" w:hint="default"/>
          <w:b/>
          <w:bCs/>
          <w:sz w:val="23"/>
          <w:szCs w:val="23"/>
        </w:rPr>
      </w:pPr>
    </w:p>
    <w:p>
      <w:pPr>
        <w:pStyle w:val="BodyText"/>
        <w:spacing w:line="314" w:lineRule="auto"/>
        <w:ind w:right="289" w:firstLine="419"/>
        <w:jc w:val="both"/>
        <w:rPr>
          <w:rFonts w:ascii="宋体" w:hAnsi="宋体" w:cs="宋体" w:eastAsia="宋体" w:hint="default"/>
        </w:rPr>
      </w:pPr>
      <w:r>
        <w:rPr>
          <w:rFonts w:ascii="宋体" w:hAnsi="宋体" w:cs="宋体" w:eastAsia="宋体" w:hint="default"/>
          <w:spacing w:val="-2"/>
        </w:rPr>
        <w:t>2015</w:t>
      </w:r>
      <w:r>
        <w:rPr>
          <w:spacing w:val="-2"/>
        </w:rPr>
        <w:t>年到</w:t>
      </w:r>
      <w:r>
        <w:rPr>
          <w:rFonts w:ascii="宋体" w:hAnsi="宋体" w:cs="宋体" w:eastAsia="宋体" w:hint="default"/>
          <w:spacing w:val="-2"/>
        </w:rPr>
        <w:t>2017</w:t>
      </w:r>
      <w:r>
        <w:rPr>
          <w:spacing w:val="-2"/>
        </w:rPr>
        <w:t>年是方直科技是最具挑战性的三年。方直科技按照适应未来变革的要求</w:t>
      </w:r>
      <w:r>
        <w:rPr>
          <w:rFonts w:ascii="宋体" w:hAnsi="宋体" w:cs="宋体" w:eastAsia="宋体" w:hint="default"/>
          <w:spacing w:val="-2"/>
        </w:rPr>
        <w:t>,</w:t>
      </w:r>
      <w:r>
        <w:rPr>
          <w:spacing w:val="-2"/>
        </w:rPr>
        <w:t>将以公司现有</w:t>
      </w:r>
      <w:r>
        <w:rPr>
          <w:w w:val="100"/>
        </w:rPr>
        <w:t> </w:t>
      </w:r>
      <w:r>
        <w:rPr>
          <w:spacing w:val="-2"/>
        </w:rPr>
        <w:t>的同步教育资源、人力资源、品牌渠道资源和资金平台资源为企业核心战略资源</w:t>
      </w:r>
      <w:r>
        <w:rPr>
          <w:rFonts w:ascii="宋体" w:hAnsi="宋体" w:cs="宋体" w:eastAsia="宋体" w:hint="default"/>
          <w:spacing w:val="-2"/>
        </w:rPr>
        <w:t>,</w:t>
      </w:r>
      <w:r>
        <w:rPr>
          <w:spacing w:val="-2"/>
        </w:rPr>
        <w:t>并以长期建设企业核心</w:t>
      </w:r>
      <w:r>
        <w:rPr>
          <w:spacing w:val="-26"/>
        </w:rPr>
        <w:t> </w:t>
      </w:r>
      <w:r>
        <w:rPr>
          <w:spacing w:val="-26"/>
        </w:rPr>
      </w:r>
      <w:r>
        <w:rPr/>
        <w:t>战略资源为指导思想来制定方直科技未来的整体发展战略</w:t>
      </w:r>
      <w:r>
        <w:rPr>
          <w:rFonts w:ascii="宋体" w:hAnsi="宋体" w:cs="宋体" w:eastAsia="宋体" w:hint="default"/>
        </w:rPr>
        <w:t>:</w:t>
      </w:r>
    </w:p>
    <w:p>
      <w:pPr>
        <w:pStyle w:val="BodyText"/>
        <w:spacing w:line="624" w:lineRule="exact" w:before="23"/>
        <w:ind w:left="572" w:right="106" w:firstLine="2"/>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）产品和技术战略</w:t>
      </w:r>
      <w:r>
        <w:rPr>
          <w:rFonts w:ascii="宋体" w:hAnsi="宋体" w:cs="宋体" w:eastAsia="宋体" w:hint="default"/>
          <w:b/>
          <w:bCs/>
          <w:w w:val="100"/>
        </w:rPr>
        <w:t> </w:t>
      </w:r>
      <w:r>
        <w:rPr>
          <w:spacing w:val="-2"/>
        </w:rPr>
        <w:t>公司将以高标准高质量为准则，以自有知识产权为根本，以“差异化”、“标准化”、“精品化”、</w:t>
      </w:r>
    </w:p>
    <w:p>
      <w:pPr>
        <w:pStyle w:val="BodyText"/>
        <w:spacing w:line="312" w:lineRule="auto"/>
        <w:ind w:right="106" w:hanging="1"/>
        <w:jc w:val="left"/>
      </w:pPr>
      <w:r>
        <w:rPr>
          <w:spacing w:val="-2"/>
        </w:rPr>
        <w:t>“碎片化”为手段，建立以优质数字化资源为核心的知识型生态智能资源库</w:t>
      </w:r>
      <w:r>
        <w:rPr>
          <w:rFonts w:ascii="宋体" w:hAnsi="宋体" w:cs="宋体" w:eastAsia="宋体" w:hint="default"/>
          <w:spacing w:val="-2"/>
        </w:rPr>
        <w:t>,</w:t>
      </w:r>
      <w:r>
        <w:rPr>
          <w:spacing w:val="-2"/>
        </w:rPr>
        <w:t>来适应未来在线教育变革的</w:t>
      </w:r>
      <w:r>
        <w:rPr>
          <w:spacing w:val="-23"/>
        </w:rPr>
        <w:t> </w:t>
      </w:r>
      <w:r>
        <w:rPr>
          <w:spacing w:val="-23"/>
        </w:rPr>
      </w:r>
      <w:r>
        <w:rPr/>
        <w:t>需求。</w:t>
      </w:r>
    </w:p>
    <w:p>
      <w:pPr>
        <w:pStyle w:val="BodyText"/>
        <w:spacing w:line="312" w:lineRule="auto" w:before="22"/>
        <w:ind w:left="153" w:right="106" w:firstLine="419"/>
        <w:jc w:val="left"/>
      </w:pPr>
      <w:r>
        <w:rPr/>
        <w:t>全力打造一个能与知识型生态智能资源库对接的</w:t>
      </w:r>
      <w:r>
        <w:rPr>
          <w:rFonts w:ascii="宋体" w:hAnsi="宋体" w:cs="宋体" w:eastAsia="宋体" w:hint="default"/>
        </w:rPr>
        <w:t>MOD(Management Operation &amp;</w:t>
      </w:r>
      <w:r>
        <w:rPr>
          <w:rFonts w:ascii="宋体" w:hAnsi="宋体" w:cs="宋体" w:eastAsia="宋体" w:hint="default"/>
          <w:spacing w:val="-11"/>
        </w:rPr>
        <w:t> </w:t>
      </w:r>
      <w:r>
        <w:rPr>
          <w:rFonts w:ascii="宋体" w:hAnsi="宋体" w:cs="宋体" w:eastAsia="宋体" w:hint="default"/>
        </w:rPr>
        <w:t>Development)</w:t>
      </w:r>
      <w:r>
        <w:rPr/>
        <w:t>平台，</w:t>
      </w:r>
      <w:r>
        <w:rPr>
          <w:spacing w:val="-3"/>
          <w:w w:val="100"/>
        </w:rPr>
        <w:t> </w:t>
      </w:r>
      <w:r>
        <w:rPr>
          <w:spacing w:val="-2"/>
        </w:rPr>
        <w:t>将公司的数字化优质教育资源建设成为企业核心战略资源</w:t>
      </w:r>
      <w:r>
        <w:rPr>
          <w:rFonts w:ascii="宋体" w:hAnsi="宋体" w:cs="宋体" w:eastAsia="宋体" w:hint="default"/>
          <w:spacing w:val="-2"/>
        </w:rPr>
        <w:t>,</w:t>
      </w:r>
      <w:r>
        <w:rPr>
          <w:spacing w:val="-2"/>
        </w:rPr>
        <w:t>并对外合作运营。公司严格按照“四化”要求，</w:t>
      </w:r>
      <w:r>
        <w:rPr>
          <w:spacing w:val="-43"/>
        </w:rPr>
        <w:t> </w:t>
      </w:r>
      <w:r>
        <w:rPr>
          <w:spacing w:val="-43"/>
        </w:rPr>
      </w:r>
      <w:r>
        <w:rPr>
          <w:spacing w:val="-2"/>
        </w:rPr>
        <w:t>利用互联网技术、移动通讯技术、数据库技术和云计算技术，完成数字化优质资源库的更新升级，并积极</w:t>
      </w:r>
      <w:r>
        <w:rPr>
          <w:spacing w:val="-50"/>
        </w:rPr>
        <w:t> </w:t>
      </w:r>
      <w:r>
        <w:rPr>
          <w:spacing w:val="-50"/>
        </w:rPr>
      </w:r>
      <w:r>
        <w:rPr/>
        <w:t>推进行业内外的战略合作。</w:t>
      </w:r>
    </w:p>
    <w:p>
      <w:pPr>
        <w:pStyle w:val="BodyText"/>
        <w:spacing w:line="624" w:lineRule="exact" w:before="25"/>
        <w:ind w:left="572" w:right="106" w:firstLine="2"/>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）市场战略</w:t>
      </w:r>
      <w:r>
        <w:rPr>
          <w:rFonts w:ascii="宋体" w:hAnsi="宋体" w:cs="宋体" w:eastAsia="宋体" w:hint="default"/>
          <w:b/>
          <w:bCs/>
          <w:w w:val="100"/>
        </w:rPr>
        <w:t> </w:t>
      </w:r>
      <w:r>
        <w:rPr>
          <w:spacing w:val="-2"/>
        </w:rPr>
        <w:t>公司将紧密与各出版单位、教育部门配合，积极开展新教材启动的工作，在稳固原有市场的基础上不</w:t>
      </w:r>
    </w:p>
    <w:p>
      <w:pPr>
        <w:pStyle w:val="BodyText"/>
        <w:spacing w:line="312" w:lineRule="auto"/>
        <w:ind w:right="106"/>
        <w:jc w:val="left"/>
      </w:pPr>
      <w:r>
        <w:rPr>
          <w:spacing w:val="-2"/>
        </w:rPr>
        <w:t>断开拓新市场和新渠道，特别是加强公司原先未开发的新产品的市场合作，强化与出版单位、发行单位和</w:t>
      </w:r>
      <w:r>
        <w:rPr>
          <w:spacing w:val="-47"/>
        </w:rPr>
        <w:t> </w:t>
      </w:r>
      <w:r>
        <w:rPr>
          <w:spacing w:val="-47"/>
        </w:rPr>
      </w:r>
      <w:r>
        <w:rPr/>
        <w:t>教育部门的合作，快速占领市场，重点加快征订销售和互联网服务。</w:t>
      </w:r>
    </w:p>
    <w:p>
      <w:pPr>
        <w:pStyle w:val="BodyText"/>
        <w:spacing w:line="314" w:lineRule="auto" w:before="22"/>
        <w:ind w:right="106" w:firstLine="420"/>
        <w:jc w:val="left"/>
      </w:pPr>
      <w:r>
        <w:rPr/>
        <w:t>公司将会针对</w:t>
      </w:r>
      <w:r>
        <w:rPr>
          <w:rFonts w:ascii="宋体" w:hAnsi="宋体" w:cs="宋体" w:eastAsia="宋体" w:hint="default"/>
        </w:rPr>
        <w:t>MOD</w:t>
      </w:r>
      <w:r>
        <w:rPr/>
        <w:t>平台内的资源进行高度标准化的战略分类管理。以此为基础形成一个多样化、多层</w:t>
      </w:r>
      <w:r>
        <w:rPr>
          <w:w w:val="100"/>
        </w:rPr>
        <w:t> </w:t>
      </w:r>
      <w:r>
        <w:rPr>
          <w:spacing w:val="-2"/>
        </w:rPr>
        <w:t>次的产品服务类别来满足不同客户的需求。公司将以此来将客户群体划分为三类：集团客户、平台产品客</w:t>
      </w:r>
      <w:r>
        <w:rPr>
          <w:spacing w:val="-44"/>
        </w:rPr>
        <w:t> </w:t>
      </w:r>
      <w:r>
        <w:rPr>
          <w:spacing w:val="-44"/>
        </w:rPr>
      </w:r>
      <w:r>
        <w:rPr/>
        <w:t>户和个人消费客户。</w:t>
      </w:r>
    </w:p>
    <w:p>
      <w:pPr>
        <w:spacing w:after="0" w:line="314" w:lineRule="auto"/>
        <w:jc w:val="left"/>
        <w:sectPr>
          <w:pgSz w:w="11910" w:h="16840"/>
          <w:pgMar w:header="748" w:footer="982" w:top="1060" w:bottom="1180" w:left="980" w:right="920"/>
        </w:sectPr>
      </w:pPr>
    </w:p>
    <w:p>
      <w:pPr>
        <w:spacing w:line="240" w:lineRule="auto" w:before="6"/>
        <w:rPr>
          <w:rFonts w:ascii="宋体" w:hAnsi="宋体" w:cs="宋体" w:eastAsia="宋体" w:hint="default"/>
          <w:sz w:val="26"/>
          <w:szCs w:val="26"/>
        </w:rPr>
      </w:pPr>
    </w:p>
    <w:p>
      <w:pPr>
        <w:pStyle w:val="BodyText"/>
        <w:spacing w:line="314" w:lineRule="auto" w:before="36"/>
        <w:ind w:right="147" w:firstLine="420"/>
        <w:jc w:val="both"/>
      </w:pPr>
      <w:r>
        <w:rPr>
          <w:spacing w:val="-2"/>
        </w:rPr>
        <w:t>集团客户：以出版社合作为基础，通过教育体系的目录方式实现教育部门批量采购；平台客户：学校</w:t>
      </w:r>
      <w:r>
        <w:rPr>
          <w:w w:val="100"/>
        </w:rPr>
        <w:t> </w:t>
      </w:r>
      <w:r>
        <w:rPr>
          <w:spacing w:val="-2"/>
        </w:rPr>
        <w:t>或区域教育机构用户，销售资源平台、管理系统等平台类产品；个人客户：提供教师和学生（家长）个人</w:t>
      </w:r>
      <w:r>
        <w:rPr>
          <w:spacing w:val="-42"/>
        </w:rPr>
        <w:t> </w:t>
      </w:r>
      <w:r>
        <w:rPr>
          <w:spacing w:val="-42"/>
        </w:rPr>
      </w:r>
      <w:r>
        <w:rPr/>
        <w:t>使用的产品，通过直销、终端、网络进行销售；</w:t>
      </w:r>
    </w:p>
    <w:p>
      <w:pPr>
        <w:pStyle w:val="BodyText"/>
        <w:spacing w:line="626" w:lineRule="exact" w:before="19"/>
        <w:ind w:left="572" w:right="0" w:firstLine="2"/>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）人才战略</w:t>
      </w:r>
      <w:r>
        <w:rPr>
          <w:rFonts w:ascii="宋体" w:hAnsi="宋体" w:cs="宋体" w:eastAsia="宋体" w:hint="default"/>
          <w:b/>
          <w:bCs/>
          <w:w w:val="100"/>
        </w:rPr>
        <w:t> </w:t>
      </w:r>
      <w:r>
        <w:rPr>
          <w:spacing w:val="-2"/>
        </w:rPr>
        <w:t>公司将以人力资源作为公司的核心战略资源为导向，积极打造一片培养人才的沃土。按照人才资源建</w:t>
      </w:r>
    </w:p>
    <w:p>
      <w:pPr>
        <w:pStyle w:val="BodyText"/>
        <w:spacing w:line="314" w:lineRule="auto"/>
        <w:ind w:right="0"/>
        <w:jc w:val="left"/>
      </w:pPr>
      <w:r>
        <w:rPr>
          <w:spacing w:val="-2"/>
        </w:rPr>
        <w:t>设优于财务指标的发展方针，将公司现有的职业化树状管理模式全面向产品制项目管理模式进行转变，让</w:t>
      </w:r>
      <w:r>
        <w:rPr>
          <w:spacing w:val="-44"/>
        </w:rPr>
        <w:t> </w:t>
      </w:r>
      <w:r>
        <w:rPr>
          <w:spacing w:val="-44"/>
        </w:rPr>
      </w:r>
      <w:r>
        <w:rPr/>
        <w:t>更多的优秀人才成长起来。</w:t>
      </w:r>
    </w:p>
    <w:p>
      <w:pPr>
        <w:pStyle w:val="BodyText"/>
        <w:spacing w:line="626" w:lineRule="exact" w:before="19"/>
        <w:ind w:left="572" w:right="0" w:firstLine="2"/>
        <w:jc w:val="left"/>
      </w:pPr>
      <w:r>
        <w:rPr>
          <w:rFonts w:ascii="宋体" w:hAnsi="宋体" w:cs="宋体" w:eastAsia="宋体" w:hint="default"/>
          <w:b/>
          <w:bCs/>
        </w:rPr>
        <w:t>（</w:t>
      </w:r>
      <w:r>
        <w:rPr>
          <w:rFonts w:ascii="Times New Roman" w:hAnsi="Times New Roman" w:cs="Times New Roman" w:eastAsia="Times New Roman" w:hint="default"/>
          <w:b/>
          <w:bCs/>
        </w:rPr>
        <w:t>4</w:t>
      </w:r>
      <w:r>
        <w:rPr>
          <w:rFonts w:ascii="宋体" w:hAnsi="宋体" w:cs="宋体" w:eastAsia="宋体" w:hint="default"/>
          <w:b/>
          <w:bCs/>
        </w:rPr>
        <w:t>）品牌质量战略</w:t>
      </w:r>
      <w:r>
        <w:rPr>
          <w:rFonts w:ascii="宋体" w:hAnsi="宋体" w:cs="宋体" w:eastAsia="宋体" w:hint="default"/>
          <w:b/>
          <w:bCs/>
          <w:w w:val="100"/>
        </w:rPr>
        <w:t> </w:t>
      </w:r>
      <w:r>
        <w:rPr>
          <w:spacing w:val="-2"/>
        </w:rPr>
        <w:t>制订“用户至上、持续创新、争创名品、质量为本”的质量方针，进一步提高质量管理水平。进一步</w:t>
      </w:r>
      <w:r>
        <w:rPr/>
      </w:r>
    </w:p>
    <w:p>
      <w:pPr>
        <w:pStyle w:val="BodyText"/>
        <w:spacing w:line="314" w:lineRule="auto"/>
        <w:ind w:right="145"/>
        <w:jc w:val="left"/>
      </w:pPr>
      <w:r>
        <w:rPr>
          <w:spacing w:val="-2"/>
        </w:rPr>
        <w:t>完善质量管理体系，实施全面质量管理。建立和完善影响产品质量的主要流程的监控指标，扩大质量监控</w:t>
      </w:r>
      <w:r>
        <w:rPr>
          <w:spacing w:val="-44"/>
        </w:rPr>
        <w:t> </w:t>
      </w:r>
      <w:r>
        <w:rPr>
          <w:spacing w:val="-44"/>
        </w:rPr>
      </w:r>
      <w:r>
        <w:rPr/>
        <w:t>的范围。全面推动质量改进小组（</w:t>
      </w:r>
      <w:r>
        <w:rPr>
          <w:rFonts w:ascii="宋体" w:hAnsi="宋体" w:cs="宋体" w:eastAsia="宋体" w:hint="default"/>
        </w:rPr>
        <w:t>QCC</w:t>
      </w:r>
      <w:r>
        <w:rPr/>
        <w:t>）活动，规范质量改进活动的管理，激励员工开展改进创新活动；</w:t>
      </w:r>
      <w:r>
        <w:rPr>
          <w:spacing w:val="-3"/>
          <w:w w:val="100"/>
        </w:rPr>
        <w:t> </w:t>
      </w:r>
      <w:r>
        <w:rPr/>
        <w:t>深入开展质量文化建设工作，进一步提高员工的精品质量意识。促使公司的</w:t>
      </w:r>
      <w:r>
        <w:rPr>
          <w:spacing w:val="-31"/>
        </w:rPr>
        <w:t> </w:t>
      </w:r>
      <w:r>
        <w:rPr/>
        <w:t>“</w:t>
      </w:r>
      <w:r>
        <w:rPr>
          <w:rFonts w:ascii="宋体" w:hAnsi="宋体" w:cs="宋体" w:eastAsia="宋体" w:hint="default"/>
        </w:rPr>
        <w:t>KINGSUN</w:t>
      </w:r>
      <w:r>
        <w:rPr/>
        <w:t>”品牌发挥核心竞</w:t>
      </w:r>
      <w:r>
        <w:rPr>
          <w:spacing w:val="-3"/>
          <w:w w:val="100"/>
        </w:rPr>
        <w:t> </w:t>
      </w:r>
      <w:r>
        <w:rPr>
          <w:spacing w:val="-2"/>
        </w:rPr>
        <w:t>争力的作用，最终为公司获取长期的差别化利润。树立强烈的精品品牌意识，建立品牌战略下的高效质量</w:t>
      </w:r>
      <w:r>
        <w:rPr>
          <w:spacing w:val="-43"/>
        </w:rPr>
        <w:t> </w:t>
      </w:r>
      <w:r>
        <w:rPr>
          <w:spacing w:val="-43"/>
        </w:rPr>
      </w:r>
      <w:r>
        <w:rPr/>
        <w:t>体系。</w:t>
      </w:r>
    </w:p>
    <w:p>
      <w:pPr>
        <w:spacing w:line="240" w:lineRule="auto" w:before="10"/>
        <w:rPr>
          <w:rFonts w:ascii="宋体" w:hAnsi="宋体" w:cs="宋体" w:eastAsia="宋体" w:hint="default"/>
          <w:sz w:val="25"/>
          <w:szCs w:val="25"/>
        </w:rPr>
      </w:pPr>
    </w:p>
    <w:p>
      <w:pPr>
        <w:pStyle w:val="Heading5"/>
        <w:spacing w:line="240" w:lineRule="auto"/>
        <w:ind w:left="575" w:right="0"/>
        <w:jc w:val="left"/>
        <w:rPr>
          <w:b w:val="0"/>
          <w:bCs w:val="0"/>
        </w:rPr>
      </w:pPr>
      <w:r>
        <w:rPr/>
        <w:t>（三）、公司核心竞争力</w:t>
      </w:r>
      <w:r>
        <w:rPr>
          <w:b w:val="0"/>
          <w:bCs w:val="0"/>
        </w:rPr>
      </w:r>
    </w:p>
    <w:p>
      <w:pPr>
        <w:spacing w:line="240" w:lineRule="auto" w:before="11"/>
        <w:rPr>
          <w:rFonts w:ascii="宋体" w:hAnsi="宋体" w:cs="宋体" w:eastAsia="宋体" w:hint="default"/>
          <w:b/>
          <w:bCs/>
          <w:sz w:val="29"/>
          <w:szCs w:val="29"/>
        </w:rPr>
      </w:pPr>
    </w:p>
    <w:p>
      <w:pPr>
        <w:pStyle w:val="BodyText"/>
        <w:spacing w:line="314" w:lineRule="auto"/>
        <w:ind w:right="147" w:firstLine="420"/>
        <w:jc w:val="both"/>
      </w:pPr>
      <w:r>
        <w:rPr>
          <w:rFonts w:ascii="宋体" w:hAnsi="宋体" w:cs="宋体" w:eastAsia="宋体" w:hint="default"/>
          <w:spacing w:val="-2"/>
        </w:rPr>
        <w:t>2014</w:t>
      </w:r>
      <w:r>
        <w:rPr>
          <w:spacing w:val="-2"/>
        </w:rPr>
        <w:t>年方直科技的产品“方直金太阳”品牌在同步教育辅助领域已得到客户的广泛认同。公司的产品</w:t>
      </w:r>
      <w:r>
        <w:rPr>
          <w:w w:val="100"/>
        </w:rPr>
        <w:t> </w:t>
      </w:r>
      <w:r>
        <w:rPr/>
        <w:t>也面临着如下的挑战：</w:t>
      </w:r>
    </w:p>
    <w:p>
      <w:pPr>
        <w:pStyle w:val="BodyText"/>
        <w:spacing w:line="240" w:lineRule="auto" w:before="17"/>
        <w:ind w:left="572" w:right="0"/>
        <w:jc w:val="left"/>
      </w:pPr>
      <w:r>
        <w:rPr>
          <w:rFonts w:ascii="宋体" w:hAnsi="宋体" w:cs="宋体" w:eastAsia="宋体" w:hint="default"/>
        </w:rPr>
        <w:t>1</w:t>
      </w:r>
      <w:r>
        <w:rPr/>
        <w:t>、国家对教育信息化市场投入加大，导致教育产品行业群雄并起，竞争加剧；</w:t>
      </w:r>
    </w:p>
    <w:p>
      <w:pPr>
        <w:pStyle w:val="BodyText"/>
        <w:spacing w:line="240" w:lineRule="auto" w:before="85"/>
        <w:ind w:left="572" w:right="0"/>
        <w:jc w:val="left"/>
      </w:pPr>
      <w:r>
        <w:rPr>
          <w:rFonts w:ascii="宋体" w:hAnsi="宋体" w:cs="宋体" w:eastAsia="宋体" w:hint="default"/>
        </w:rPr>
        <w:t>2</w:t>
      </w:r>
      <w:r>
        <w:rPr/>
        <w:t>、上市公司之间争夺并购在线教育标的，加大并购难度和并购成本；</w:t>
      </w:r>
    </w:p>
    <w:p>
      <w:pPr>
        <w:pStyle w:val="BodyText"/>
        <w:spacing w:line="314" w:lineRule="auto" w:before="82"/>
        <w:ind w:right="231" w:firstLine="420"/>
        <w:jc w:val="both"/>
      </w:pPr>
      <w:r>
        <w:rPr>
          <w:rFonts w:ascii="宋体" w:hAnsi="宋体" w:cs="宋体" w:eastAsia="宋体" w:hint="default"/>
          <w:spacing w:val="-2"/>
        </w:rPr>
        <w:t>3</w:t>
      </w:r>
      <w:r>
        <w:rPr>
          <w:spacing w:val="-2"/>
        </w:rPr>
        <w:t>、在线教育概念火爆导致业内人才竞争的局面从局部发展到整个行业内，人力资本将会成为决定一</w:t>
      </w:r>
      <w:r>
        <w:rPr>
          <w:w w:val="100"/>
        </w:rPr>
        <w:t> </w:t>
      </w:r>
      <w:r>
        <w:rPr/>
        <w:t>家企业是否具有核心竞争力的重要指标</w:t>
      </w:r>
      <w:r>
        <w:rPr>
          <w:rFonts w:ascii="宋体" w:hAnsi="宋体" w:cs="宋体" w:eastAsia="宋体" w:hint="default"/>
        </w:rPr>
        <w:t>;</w:t>
      </w:r>
      <w:r>
        <w:rPr/>
        <w:t>；</w:t>
      </w:r>
    </w:p>
    <w:p>
      <w:pPr>
        <w:spacing w:line="240" w:lineRule="auto" w:before="11"/>
        <w:rPr>
          <w:rFonts w:ascii="宋体" w:hAnsi="宋体" w:cs="宋体" w:eastAsia="宋体" w:hint="default"/>
          <w:sz w:val="28"/>
          <w:szCs w:val="28"/>
        </w:rPr>
      </w:pPr>
    </w:p>
    <w:p>
      <w:pPr>
        <w:pStyle w:val="BodyText"/>
        <w:spacing w:line="312" w:lineRule="auto"/>
        <w:ind w:right="147" w:firstLine="419"/>
        <w:jc w:val="both"/>
      </w:pPr>
      <w:r>
        <w:rPr>
          <w:spacing w:val="-2"/>
        </w:rPr>
        <w:t>基于上述情况，方直科技在</w:t>
      </w:r>
      <w:r>
        <w:rPr>
          <w:rFonts w:ascii="宋体" w:hAnsi="宋体" w:cs="宋体" w:eastAsia="宋体" w:hint="default"/>
          <w:spacing w:val="-2"/>
        </w:rPr>
        <w:t>2014</w:t>
      </w:r>
      <w:r>
        <w:rPr>
          <w:spacing w:val="-2"/>
        </w:rPr>
        <w:t>年重点调整了公司的发展战略并结合市场发展环境制订了公司的产品</w:t>
      </w:r>
      <w:r>
        <w:rPr>
          <w:w w:val="100"/>
        </w:rPr>
        <w:t> </w:t>
      </w:r>
      <w:r>
        <w:rPr/>
        <w:t>战略及经营战略。</w:t>
      </w:r>
    </w:p>
    <w:p>
      <w:pPr>
        <w:pStyle w:val="BodyText"/>
        <w:spacing w:line="314" w:lineRule="auto" w:before="22"/>
        <w:ind w:right="146" w:firstLine="420"/>
        <w:jc w:val="both"/>
      </w:pPr>
      <w:r>
        <w:rPr>
          <w:rFonts w:ascii="宋体" w:hAnsi="宋体" w:cs="宋体" w:eastAsia="宋体" w:hint="default"/>
          <w:spacing w:val="-2"/>
        </w:rPr>
        <w:t>2014</w:t>
      </w:r>
      <w:r>
        <w:rPr>
          <w:spacing w:val="-2"/>
        </w:rPr>
        <w:t>年，公司按照预定计划已基本完成因教材改版引发的小学、初中英语同步配套软件重新开发的任</w:t>
      </w:r>
      <w:r>
        <w:rPr>
          <w:w w:val="100"/>
        </w:rPr>
        <w:t> </w:t>
      </w:r>
      <w:r>
        <w:rPr>
          <w:spacing w:val="-2"/>
        </w:rPr>
        <w:t>务。同时，公司新产品在开发技术和产品形式上进行了一系列创新，如实现了单机版软件到跨平台移动终</w:t>
      </w:r>
      <w:r>
        <w:rPr>
          <w:spacing w:val="-44"/>
        </w:rPr>
        <w:t> </w:t>
      </w:r>
      <w:r>
        <w:rPr>
          <w:spacing w:val="-44"/>
        </w:rPr>
      </w:r>
      <w:r>
        <w:rPr>
          <w:spacing w:val="-2"/>
        </w:rPr>
        <w:t>端的服务提升；采用客户端技术，逐步实施“线上线下”结合；建立了产品与公司网站的联系，实现单机</w:t>
      </w:r>
      <w:r>
        <w:rPr>
          <w:spacing w:val="-42"/>
        </w:rPr>
        <w:t> </w:t>
      </w:r>
      <w:r>
        <w:rPr>
          <w:spacing w:val="-42"/>
        </w:rPr>
      </w:r>
      <w:r>
        <w:rPr>
          <w:spacing w:val="-2"/>
        </w:rPr>
        <w:t>产品网络化；完成同步“教”与“学”的资源推送；实现资源平台第三方应用接口开放，为后期实现产品</w:t>
      </w:r>
      <w:r>
        <w:rPr>
          <w:spacing w:val="-46"/>
        </w:rPr>
        <w:t> </w:t>
      </w:r>
      <w:r>
        <w:rPr>
          <w:spacing w:val="-46"/>
        </w:rPr>
      </w:r>
      <w:r>
        <w:rPr>
          <w:spacing w:val="-2"/>
        </w:rPr>
        <w:t>的网络增值服务奠定了技术基础。公司的长沙开发基地的开发效率和开发质量得到明显提升。同时，公司</w:t>
      </w:r>
      <w:r>
        <w:rPr>
          <w:spacing w:val="-43"/>
        </w:rPr>
        <w:t> </w:t>
      </w:r>
      <w:r>
        <w:rPr>
          <w:spacing w:val="-43"/>
        </w:rPr>
      </w:r>
      <w:r>
        <w:rPr>
          <w:spacing w:val="-2"/>
        </w:rPr>
        <w:t>在教学研究方面有很多成果，通过调研数据，开展年级学习差异化、教师学生需求差异化、课堂内外差异</w:t>
      </w:r>
      <w:r>
        <w:rPr>
          <w:spacing w:val="-47"/>
        </w:rPr>
        <w:t> </w:t>
      </w:r>
      <w:r>
        <w:rPr>
          <w:spacing w:val="-47"/>
        </w:rPr>
      </w:r>
      <w:r>
        <w:rPr/>
        <w:t>化数据分析，为后续四化建设提供积累。</w:t>
      </w:r>
    </w:p>
    <w:p>
      <w:pPr>
        <w:spacing w:line="240" w:lineRule="auto" w:before="7"/>
        <w:rPr>
          <w:rFonts w:ascii="宋体" w:hAnsi="宋体" w:cs="宋体" w:eastAsia="宋体" w:hint="default"/>
          <w:sz w:val="25"/>
          <w:szCs w:val="25"/>
        </w:rPr>
      </w:pPr>
    </w:p>
    <w:p>
      <w:pPr>
        <w:pStyle w:val="Heading5"/>
        <w:spacing w:line="240" w:lineRule="auto"/>
        <w:ind w:left="618" w:right="0"/>
        <w:jc w:val="left"/>
        <w:rPr>
          <w:b w:val="0"/>
          <w:bCs w:val="0"/>
        </w:rPr>
      </w:pPr>
      <w:r>
        <w:rPr/>
        <w:t>（四）、</w:t>
      </w:r>
      <w:r>
        <w:rPr>
          <w:rFonts w:ascii="Times New Roman" w:hAnsi="Times New Roman" w:cs="Times New Roman" w:eastAsia="Times New Roman" w:hint="default"/>
        </w:rPr>
        <w:t>2015</w:t>
      </w:r>
      <w:r>
        <w:rPr/>
        <w:t>年公司经营工作计划</w:t>
      </w:r>
      <w:r>
        <w:rPr>
          <w:b w:val="0"/>
          <w:bCs w:val="0"/>
        </w:rPr>
      </w:r>
    </w:p>
    <w:p>
      <w:pPr>
        <w:spacing w:after="0" w:line="240" w:lineRule="auto"/>
        <w:jc w:val="left"/>
        <w:sectPr>
          <w:pgSz w:w="11910" w:h="16840"/>
          <w:pgMar w:header="748" w:footer="982" w:top="1060" w:bottom="1180" w:left="980" w:right="980"/>
        </w:sectPr>
      </w:pPr>
    </w:p>
    <w:p>
      <w:pPr>
        <w:spacing w:line="240" w:lineRule="auto" w:before="10"/>
        <w:rPr>
          <w:rFonts w:ascii="宋体" w:hAnsi="宋体" w:cs="宋体" w:eastAsia="宋体" w:hint="default"/>
          <w:b/>
          <w:bCs/>
          <w:sz w:val="24"/>
          <w:szCs w:val="24"/>
        </w:rPr>
      </w:pPr>
    </w:p>
    <w:p>
      <w:pPr>
        <w:pStyle w:val="Heading5"/>
        <w:spacing w:line="240" w:lineRule="auto" w:before="36"/>
        <w:ind w:left="575" w:right="106"/>
        <w:jc w:val="left"/>
        <w:rPr>
          <w:b w:val="0"/>
          <w:bCs w:val="0"/>
        </w:rPr>
      </w:pPr>
      <w:r>
        <w:rPr>
          <w:rFonts w:ascii="Times New Roman" w:hAnsi="Times New Roman" w:cs="Times New Roman" w:eastAsia="Times New Roman" w:hint="default"/>
        </w:rPr>
        <w:t>1</w:t>
      </w:r>
      <w:r>
        <w:rPr/>
        <w:t>、产品计划和研发计划</w:t>
      </w:r>
      <w:r>
        <w:rPr>
          <w:b w:val="0"/>
          <w:bCs w:val="0"/>
        </w:rPr>
      </w:r>
    </w:p>
    <w:p>
      <w:pPr>
        <w:spacing w:line="240" w:lineRule="auto" w:before="4"/>
        <w:rPr>
          <w:rFonts w:ascii="宋体" w:hAnsi="宋体" w:cs="宋体" w:eastAsia="宋体" w:hint="default"/>
          <w:b/>
          <w:bCs/>
          <w:sz w:val="18"/>
          <w:szCs w:val="18"/>
        </w:rPr>
      </w:pPr>
    </w:p>
    <w:p>
      <w:pPr>
        <w:pStyle w:val="BodyText"/>
        <w:spacing w:line="610" w:lineRule="atLeast"/>
        <w:ind w:left="572" w:right="106" w:firstLine="2"/>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）产品计划</w:t>
      </w:r>
      <w:r>
        <w:rPr>
          <w:rFonts w:ascii="宋体" w:hAnsi="宋体" w:cs="宋体" w:eastAsia="宋体" w:hint="default"/>
          <w:b/>
          <w:bCs/>
          <w:w w:val="100"/>
        </w:rPr>
        <w:t> </w:t>
      </w:r>
      <w:r>
        <w:rPr>
          <w:spacing w:val="-2"/>
        </w:rPr>
        <w:t>公司将基于</w:t>
      </w:r>
      <w:r>
        <w:rPr>
          <w:rFonts w:ascii="宋体" w:hAnsi="宋体" w:cs="宋体" w:eastAsia="宋体" w:hint="default"/>
          <w:spacing w:val="-2"/>
        </w:rPr>
        <w:t>PC</w:t>
      </w:r>
      <w:r>
        <w:rPr>
          <w:spacing w:val="-2"/>
        </w:rPr>
        <w:t>客户端和移动</w:t>
      </w:r>
      <w:r>
        <w:rPr>
          <w:rFonts w:ascii="宋体" w:hAnsi="宋体" w:cs="宋体" w:eastAsia="宋体" w:hint="default"/>
          <w:spacing w:val="-2"/>
        </w:rPr>
        <w:t>APP</w:t>
      </w:r>
      <w:r>
        <w:rPr>
          <w:spacing w:val="-2"/>
        </w:rPr>
        <w:t>高标准高质量地以“四化”为核心，全力打造一个与知识型生态智能</w:t>
      </w:r>
    </w:p>
    <w:p>
      <w:pPr>
        <w:pStyle w:val="BodyText"/>
        <w:spacing w:line="314" w:lineRule="auto" w:before="82"/>
        <w:ind w:right="106"/>
        <w:jc w:val="left"/>
      </w:pPr>
      <w:r>
        <w:rPr/>
        <w:t>资源库对接的</w:t>
      </w:r>
      <w:r>
        <w:rPr>
          <w:rFonts w:ascii="宋体" w:hAnsi="宋体" w:cs="宋体" w:eastAsia="宋体" w:hint="default"/>
        </w:rPr>
        <w:t>MOD</w:t>
      </w:r>
      <w:r>
        <w:rPr/>
        <w:t>平台，是初步实现</w:t>
      </w:r>
      <w:r>
        <w:rPr>
          <w:rFonts w:ascii="宋体" w:hAnsi="宋体" w:cs="宋体" w:eastAsia="宋体" w:hint="default"/>
        </w:rPr>
        <w:t>2E2O</w:t>
      </w:r>
      <w:r>
        <w:rPr/>
        <w:t>运营模式。充分利用募投项目开发教材教参配套的数字化教育资</w:t>
      </w:r>
      <w:r>
        <w:rPr>
          <w:spacing w:val="-3"/>
          <w:w w:val="100"/>
        </w:rPr>
        <w:t> </w:t>
      </w:r>
      <w:r>
        <w:rPr>
          <w:spacing w:val="-2"/>
        </w:rPr>
        <w:t>源，推出具更高品质的、富有竞争力的、能满足客户需求的教学解决方案。公司还将在原有网络平台的基</w:t>
      </w:r>
      <w:r>
        <w:rPr>
          <w:spacing w:val="-47"/>
        </w:rPr>
        <w:t> </w:t>
      </w:r>
      <w:r>
        <w:rPr>
          <w:spacing w:val="-47"/>
        </w:rPr>
      </w:r>
      <w:r>
        <w:rPr/>
        <w:t>础上升级金太阳网络平台门户网站和资源服务网络、金太阳在线学习测评系统，集群化</w:t>
      </w:r>
      <w:r>
        <w:rPr>
          <w:rFonts w:ascii="宋体" w:hAnsi="宋体" w:cs="宋体" w:eastAsia="宋体" w:hint="default"/>
        </w:rPr>
        <w:t>APP</w:t>
      </w:r>
      <w:r>
        <w:rPr/>
        <w:t>服务模式，实</w:t>
      </w:r>
      <w:r>
        <w:rPr>
          <w:spacing w:val="-3"/>
          <w:w w:val="100"/>
        </w:rPr>
        <w:t> </w:t>
      </w:r>
      <w:r>
        <w:rPr/>
        <w:t>现本公司独有的在线教育解决方案和商业营运模式。</w:t>
      </w:r>
    </w:p>
    <w:p>
      <w:pPr>
        <w:pStyle w:val="BodyText"/>
        <w:spacing w:line="314" w:lineRule="auto" w:before="17"/>
        <w:ind w:left="153" w:right="290" w:firstLine="420"/>
        <w:jc w:val="both"/>
      </w:pPr>
      <w:r>
        <w:rPr>
          <w:rFonts w:ascii="宋体" w:hAnsi="宋体" w:cs="宋体" w:eastAsia="宋体" w:hint="default"/>
          <w:spacing w:val="-2"/>
        </w:rPr>
        <w:t>2</w:t>
      </w:r>
      <w:r>
        <w:rPr>
          <w:spacing w:val="-2"/>
        </w:rPr>
        <w:t>．研发计划：建立以优质数字化资源为核心的知识型生态智能资源库，完成英语学科的四化资源库</w:t>
      </w:r>
      <w:r>
        <w:rPr>
          <w:w w:val="100"/>
        </w:rPr>
        <w:t> </w:t>
      </w:r>
      <w:r>
        <w:rPr>
          <w:spacing w:val="-2"/>
        </w:rPr>
        <w:t>的建设。研发各类精品化</w:t>
      </w:r>
      <w:r>
        <w:rPr>
          <w:rFonts w:ascii="宋体" w:hAnsi="宋体" w:cs="宋体" w:eastAsia="宋体" w:hint="default"/>
          <w:spacing w:val="-2"/>
        </w:rPr>
        <w:t>APP</w:t>
      </w:r>
      <w:r>
        <w:rPr>
          <w:spacing w:val="-2"/>
        </w:rPr>
        <w:t>客户端，同时启动</w:t>
      </w:r>
      <w:r>
        <w:rPr>
          <w:rFonts w:ascii="宋体" w:hAnsi="宋体" w:cs="宋体" w:eastAsia="宋体" w:hint="default"/>
          <w:spacing w:val="-2"/>
        </w:rPr>
        <w:t>IOS</w:t>
      </w:r>
      <w:r>
        <w:rPr>
          <w:spacing w:val="-2"/>
        </w:rPr>
        <w:t>平台产品研究，适时推出苹果</w:t>
      </w:r>
      <w:r>
        <w:rPr>
          <w:rFonts w:ascii="宋体" w:hAnsi="宋体" w:cs="宋体" w:eastAsia="宋体" w:hint="default"/>
          <w:spacing w:val="-2"/>
        </w:rPr>
        <w:t>APP</w:t>
      </w:r>
      <w:r>
        <w:rPr>
          <w:spacing w:val="-2"/>
        </w:rPr>
        <w:t>应用。同时加强跨平</w:t>
      </w:r>
      <w:r>
        <w:rPr>
          <w:spacing w:val="-21"/>
        </w:rPr>
        <w:t> </w:t>
      </w:r>
      <w:r>
        <w:rPr>
          <w:spacing w:val="-21"/>
        </w:rPr>
      </w:r>
      <w:r>
        <w:rPr>
          <w:spacing w:val="-2"/>
        </w:rPr>
        <w:t>台技术和框架的研究，以期实现同一套代码，发布不同平台的产品。实现</w:t>
      </w:r>
      <w:r>
        <w:rPr>
          <w:rFonts w:ascii="宋体" w:hAnsi="宋体" w:cs="宋体" w:eastAsia="宋体" w:hint="default"/>
          <w:spacing w:val="-2"/>
        </w:rPr>
        <w:t>PC</w:t>
      </w:r>
      <w:r>
        <w:rPr>
          <w:spacing w:val="-2"/>
        </w:rPr>
        <w:t>客户端产品和移动</w:t>
      </w:r>
      <w:r>
        <w:rPr>
          <w:rFonts w:ascii="宋体" w:hAnsi="宋体" w:cs="宋体" w:eastAsia="宋体" w:hint="default"/>
          <w:spacing w:val="-2"/>
        </w:rPr>
        <w:t>APP</w:t>
      </w:r>
      <w:r>
        <w:rPr>
          <w:spacing w:val="-2"/>
        </w:rPr>
        <w:t>互补的</w:t>
      </w:r>
      <w:r>
        <w:rPr>
          <w:spacing w:val="-24"/>
        </w:rPr>
        <w:t> </w:t>
      </w:r>
      <w:r>
        <w:rPr/>
        <w:t>形态，进一步形成以</w:t>
      </w:r>
      <w:r>
        <w:rPr>
          <w:rFonts w:ascii="宋体" w:hAnsi="宋体" w:cs="宋体" w:eastAsia="宋体" w:hint="default"/>
        </w:rPr>
        <w:t>PC</w:t>
      </w:r>
      <w:r>
        <w:rPr/>
        <w:t>客户端和移动</w:t>
      </w:r>
      <w:r>
        <w:rPr>
          <w:rFonts w:ascii="宋体" w:hAnsi="宋体" w:cs="宋体" w:eastAsia="宋体" w:hint="default"/>
        </w:rPr>
        <w:t>APP</w:t>
      </w:r>
      <w:r>
        <w:rPr/>
        <w:t>为支撑的</w:t>
      </w:r>
      <w:r>
        <w:rPr>
          <w:rFonts w:ascii="宋体" w:hAnsi="宋体" w:cs="宋体" w:eastAsia="宋体" w:hint="default"/>
        </w:rPr>
        <w:t>MOD</w:t>
      </w:r>
      <w:r>
        <w:rPr/>
        <w:t>平台。</w:t>
      </w:r>
    </w:p>
    <w:p>
      <w:pPr>
        <w:pStyle w:val="BodyText"/>
        <w:spacing w:line="626" w:lineRule="exact" w:before="18"/>
        <w:ind w:left="572" w:right="106" w:firstLine="2"/>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）资本投资计划</w:t>
      </w:r>
      <w:r>
        <w:rPr>
          <w:rFonts w:ascii="宋体" w:hAnsi="宋体" w:cs="宋体" w:eastAsia="宋体" w:hint="default"/>
          <w:b/>
          <w:bCs/>
          <w:w w:val="100"/>
        </w:rPr>
        <w:t> </w:t>
      </w:r>
      <w:r>
        <w:rPr>
          <w:spacing w:val="-2"/>
        </w:rPr>
        <w:t>公司将以成为国内最领先的整体数字化在线教育资源的提供商为目标逐渐向互联网教育企业进行转</w:t>
      </w:r>
    </w:p>
    <w:p>
      <w:pPr>
        <w:pStyle w:val="BodyText"/>
        <w:spacing w:line="314" w:lineRule="auto"/>
        <w:ind w:right="106"/>
        <w:jc w:val="left"/>
      </w:pPr>
      <w:r>
        <w:rPr>
          <w:spacing w:val="-2"/>
        </w:rPr>
        <w:t>变。在</w:t>
      </w:r>
      <w:r>
        <w:rPr>
          <w:rFonts w:ascii="宋体" w:hAnsi="宋体" w:cs="宋体" w:eastAsia="宋体" w:hint="default"/>
          <w:spacing w:val="-2"/>
        </w:rPr>
        <w:t>2015</w:t>
      </w:r>
      <w:r>
        <w:rPr>
          <w:spacing w:val="-2"/>
        </w:rPr>
        <w:t>年将计划整合业内部分从事教学资源管理、在线教育和个性化服务的企业，并利用上市公司的</w:t>
      </w:r>
      <w:r>
        <w:rPr>
          <w:spacing w:val="-39"/>
        </w:rPr>
        <w:t> </w:t>
      </w:r>
      <w:r>
        <w:rPr>
          <w:spacing w:val="-39"/>
        </w:rPr>
      </w:r>
      <w:r>
        <w:rPr>
          <w:spacing w:val="-2"/>
        </w:rPr>
        <w:t>综合优势吸引人才，初步从教育资源型企业发展成为集优秀教育资源和优质技术平台为一身的互联网教育</w:t>
      </w:r>
      <w:r>
        <w:rPr>
          <w:spacing w:val="-43"/>
        </w:rPr>
        <w:t> </w:t>
      </w:r>
      <w:r>
        <w:rPr>
          <w:spacing w:val="-43"/>
        </w:rPr>
      </w:r>
      <w:r>
        <w:rPr>
          <w:spacing w:val="-2"/>
        </w:rPr>
        <w:t>企业，形成资源和平台相结合的综合优势。公司将严格按照中国证监会和深交所的各项规定，规范、有效</w:t>
      </w:r>
      <w:r>
        <w:rPr>
          <w:spacing w:val="-47"/>
        </w:rPr>
        <w:t> </w:t>
      </w:r>
      <w:r>
        <w:rPr>
          <w:spacing w:val="-47"/>
        </w:rPr>
      </w:r>
      <w:r>
        <w:rPr>
          <w:spacing w:val="-5"/>
        </w:rPr>
        <w:t>地使用募集资金，积极推进募投项目建设，努力提高募集资金使用效率，尽快使募投项目产生效益。同时，</w:t>
      </w:r>
      <w:r>
        <w:rPr>
          <w:spacing w:val="-10"/>
        </w:rPr>
        <w:t> </w:t>
      </w:r>
      <w:r>
        <w:rPr>
          <w:spacing w:val="-10"/>
        </w:rPr>
      </w:r>
      <w:r>
        <w:rPr/>
        <w:t>公司将合理安排自有资金，积极筹备资本运作，收购或投资同行业公司，为公司的长远发展奠定基础。</w:t>
      </w:r>
    </w:p>
    <w:p>
      <w:pPr>
        <w:spacing w:line="240" w:lineRule="auto" w:before="2"/>
        <w:rPr>
          <w:rFonts w:ascii="宋体" w:hAnsi="宋体" w:cs="宋体" w:eastAsia="宋体" w:hint="default"/>
          <w:sz w:val="21"/>
          <w:szCs w:val="21"/>
        </w:rPr>
      </w:pPr>
    </w:p>
    <w:p>
      <w:pPr>
        <w:pStyle w:val="Heading5"/>
        <w:spacing w:line="240" w:lineRule="auto"/>
        <w:ind w:left="575" w:right="106"/>
        <w:jc w:val="left"/>
        <w:rPr>
          <w:b w:val="0"/>
          <w:bCs w:val="0"/>
        </w:rPr>
      </w:pPr>
      <w:r>
        <w:rPr/>
        <w:t>（</w:t>
      </w:r>
      <w:r>
        <w:rPr>
          <w:rFonts w:ascii="Times New Roman" w:hAnsi="Times New Roman" w:cs="Times New Roman" w:eastAsia="Times New Roman" w:hint="default"/>
        </w:rPr>
        <w:t>3</w:t>
      </w:r>
      <w:r>
        <w:rPr/>
        <w:t>）市场发展计划</w:t>
      </w:r>
      <w:r>
        <w:rPr>
          <w:b w:val="0"/>
          <w:bCs w:val="0"/>
        </w:rPr>
      </w:r>
    </w:p>
    <w:p>
      <w:pPr>
        <w:spacing w:line="240" w:lineRule="auto" w:before="6"/>
        <w:rPr>
          <w:rFonts w:ascii="宋体" w:hAnsi="宋体" w:cs="宋体" w:eastAsia="宋体" w:hint="default"/>
          <w:b/>
          <w:bCs/>
          <w:sz w:val="25"/>
          <w:szCs w:val="25"/>
        </w:rPr>
      </w:pPr>
    </w:p>
    <w:p>
      <w:pPr>
        <w:pStyle w:val="BodyText"/>
        <w:spacing w:line="314" w:lineRule="auto"/>
        <w:ind w:right="185" w:firstLine="420"/>
        <w:jc w:val="both"/>
      </w:pPr>
      <w:r>
        <w:rPr>
          <w:rFonts w:ascii="宋体" w:hAnsi="宋体" w:cs="宋体" w:eastAsia="宋体" w:hint="default"/>
        </w:rPr>
        <w:t>1.</w:t>
      </w:r>
      <w:r>
        <w:rPr>
          <w:rFonts w:ascii="宋体" w:hAnsi="宋体" w:cs="宋体" w:eastAsia="宋体" w:hint="default"/>
          <w:spacing w:val="81"/>
        </w:rPr>
        <w:t> </w:t>
      </w:r>
      <w:r>
        <w:rPr>
          <w:spacing w:val="-3"/>
        </w:rPr>
        <w:t>公司将紧密与各出版单位、教育部门配合，积极开展新教材启动的工作，在稳固原有市场的基础</w:t>
      </w:r>
      <w:r>
        <w:rPr>
          <w:w w:val="100"/>
        </w:rPr>
        <w:t> </w:t>
      </w:r>
      <w:r>
        <w:rPr>
          <w:spacing w:val="-2"/>
        </w:rPr>
        <w:t>上，利用公司四化产品的综合优势，深入开展教研及赛事活动，巩固地区品牌地位，提高市场的渗透率。</w:t>
      </w:r>
      <w:r>
        <w:rPr>
          <w:spacing w:val="-21"/>
        </w:rPr>
        <w:t> </w:t>
      </w:r>
      <w:r>
        <w:rPr>
          <w:spacing w:val="-21"/>
        </w:rPr>
      </w:r>
      <w:r>
        <w:rPr/>
        <w:t>并提升语数学科的品牌，建设多学科互动渠道，扩大新产品的发行量。</w:t>
      </w:r>
    </w:p>
    <w:p>
      <w:pPr>
        <w:pStyle w:val="BodyText"/>
        <w:spacing w:line="312" w:lineRule="auto" w:before="20"/>
        <w:ind w:right="206" w:firstLine="420"/>
        <w:jc w:val="both"/>
      </w:pPr>
      <w:r>
        <w:rPr>
          <w:rFonts w:ascii="宋体" w:hAnsi="宋体" w:cs="宋体" w:eastAsia="宋体" w:hint="default"/>
        </w:rPr>
        <w:t>2.</w:t>
      </w:r>
      <w:r>
        <w:rPr>
          <w:rFonts w:ascii="宋体" w:hAnsi="宋体" w:cs="宋体" w:eastAsia="宋体" w:hint="default"/>
          <w:spacing w:val="87"/>
        </w:rPr>
        <w:t> </w:t>
      </w:r>
      <w:r>
        <w:rPr>
          <w:spacing w:val="-3"/>
        </w:rPr>
        <w:t>开展全国合作终端管理工作，重点疏通合作关系，促进客户关系良性发展，提升客户对我司产品</w:t>
      </w:r>
      <w:r>
        <w:rPr>
          <w:w w:val="100"/>
        </w:rPr>
        <w:t> </w:t>
      </w:r>
      <w:r>
        <w:rPr>
          <w:spacing w:val="-2"/>
        </w:rPr>
        <w:t>的认可和支持，促进当地产品的销售；重点终端的业务督导工作；针对以上重点终端的业务工作进行相应</w:t>
      </w:r>
      <w:r>
        <w:rPr>
          <w:spacing w:val="-44"/>
        </w:rPr>
        <w:t> </w:t>
      </w:r>
      <w:r>
        <w:rPr>
          <w:spacing w:val="-44"/>
        </w:rPr>
      </w:r>
      <w:r>
        <w:rPr>
          <w:spacing w:val="-2"/>
        </w:rPr>
        <w:t>的督导，提前规划终端活动，促进业务人员的沟通能力和对终端流程的了解，利用布鲁精灵产品建立线上</w:t>
      </w:r>
      <w:r>
        <w:rPr>
          <w:spacing w:val="-43"/>
        </w:rPr>
        <w:t> </w:t>
      </w:r>
      <w:r>
        <w:rPr>
          <w:spacing w:val="-43"/>
        </w:rPr>
      </w:r>
      <w:r>
        <w:rPr/>
        <w:t>线下互补的销售模式；</w:t>
      </w:r>
    </w:p>
    <w:p>
      <w:pPr>
        <w:pStyle w:val="BodyText"/>
        <w:tabs>
          <w:tab w:pos="1002" w:val="left" w:leader="none"/>
        </w:tabs>
        <w:spacing w:line="314" w:lineRule="auto" w:before="22"/>
        <w:ind w:right="106" w:firstLine="420"/>
        <w:jc w:val="left"/>
      </w:pPr>
      <w:r>
        <w:rPr>
          <w:rFonts w:ascii="宋体" w:hAnsi="宋体" w:cs="宋体" w:eastAsia="宋体" w:hint="default"/>
        </w:rPr>
        <w:t>3.</w:t>
        <w:tab/>
      </w:r>
      <w:r>
        <w:rPr>
          <w:spacing w:val="-5"/>
        </w:rPr>
        <w:t>公司加快对资源建设、教学管理、考试评测等产品的整合，采用先合作再整合的模式，引进产品，</w:t>
      </w:r>
      <w:r>
        <w:rPr>
          <w:w w:val="100"/>
        </w:rPr>
        <w:t> </w:t>
      </w:r>
      <w:r>
        <w:rPr/>
        <w:t>强化产品组合，建立与以教育厅</w:t>
      </w:r>
      <w:r>
        <w:rPr>
          <w:rFonts w:ascii="宋体" w:hAnsi="宋体" w:cs="宋体" w:eastAsia="宋体" w:hint="default"/>
        </w:rPr>
        <w:t>(</w:t>
      </w:r>
      <w:r>
        <w:rPr/>
        <w:t>局</w:t>
      </w:r>
      <w:r>
        <w:rPr>
          <w:rFonts w:ascii="宋体" w:hAnsi="宋体" w:cs="宋体" w:eastAsia="宋体" w:hint="default"/>
        </w:rPr>
        <w:t>)</w:t>
      </w:r>
      <w:r>
        <w:rPr/>
        <w:t>、教科院 </w:t>
      </w:r>
      <w:r>
        <w:rPr>
          <w:spacing w:val="-3"/>
        </w:rPr>
        <w:t>、学校、出版社 、电教馆的纽带型合作关系，扩大政府采</w:t>
      </w:r>
      <w:r>
        <w:rPr>
          <w:spacing w:val="-66"/>
        </w:rPr>
        <w:t> </w:t>
      </w:r>
      <w:r>
        <w:rPr>
          <w:spacing w:val="-66"/>
        </w:rPr>
      </w:r>
      <w:r>
        <w:rPr/>
        <w:t>购的销售收入，做好网上口语培训业务。</w:t>
      </w:r>
    </w:p>
    <w:p>
      <w:pPr>
        <w:pStyle w:val="BodyText"/>
        <w:tabs>
          <w:tab w:pos="1002" w:val="left" w:leader="none"/>
        </w:tabs>
        <w:spacing w:line="314" w:lineRule="auto" w:before="17"/>
        <w:ind w:right="235" w:firstLine="420"/>
        <w:jc w:val="left"/>
      </w:pPr>
      <w:r>
        <w:rPr>
          <w:rFonts w:ascii="宋体" w:hAnsi="宋体" w:cs="宋体" w:eastAsia="宋体" w:hint="default"/>
        </w:rPr>
        <w:t>4.</w:t>
        <w:tab/>
      </w:r>
      <w:r>
        <w:rPr/>
        <w:t>加强产品规划和市场分析，客户信息收集建库，</w:t>
      </w:r>
      <w:r>
        <w:rPr>
          <w:rFonts w:ascii="宋体" w:hAnsi="宋体" w:cs="宋体" w:eastAsia="宋体" w:hint="default"/>
        </w:rPr>
        <w:t>CRM</w:t>
      </w:r>
      <w:r>
        <w:rPr/>
        <w:t>建设及针对性的营销推送方案。做好代理商</w:t>
      </w:r>
      <w:r>
        <w:rPr>
          <w:spacing w:val="-3"/>
          <w:w w:val="100"/>
        </w:rPr>
        <w:t> </w:t>
      </w:r>
      <w:r>
        <w:rPr>
          <w:spacing w:val="-2"/>
        </w:rPr>
        <w:t>培训、竞争对手分析、用户需求分析。加强市场调研的广度和深度，把握准确的需求定位。引入代理产品</w:t>
      </w:r>
      <w:r>
        <w:rPr>
          <w:spacing w:val="-43"/>
        </w:rPr>
        <w:t> </w:t>
      </w:r>
      <w:r>
        <w:rPr>
          <w:spacing w:val="-43"/>
        </w:rPr>
      </w:r>
      <w:r>
        <w:rPr/>
        <w:t>丰富产品线，以及优化产品生命周期规划管理。</w:t>
      </w:r>
    </w:p>
    <w:p>
      <w:pPr>
        <w:spacing w:line="240" w:lineRule="auto" w:before="2"/>
        <w:rPr>
          <w:rFonts w:ascii="宋体" w:hAnsi="宋体" w:cs="宋体" w:eastAsia="宋体" w:hint="default"/>
          <w:sz w:val="21"/>
          <w:szCs w:val="21"/>
        </w:rPr>
      </w:pPr>
    </w:p>
    <w:p>
      <w:pPr>
        <w:pStyle w:val="Heading5"/>
        <w:spacing w:line="240" w:lineRule="auto"/>
        <w:ind w:left="575" w:right="106"/>
        <w:jc w:val="left"/>
        <w:rPr>
          <w:b w:val="0"/>
          <w:bCs w:val="0"/>
        </w:rPr>
      </w:pPr>
      <w:r>
        <w:rPr/>
        <w:t>（</w:t>
      </w:r>
      <w:r>
        <w:rPr>
          <w:rFonts w:ascii="Times New Roman" w:hAnsi="Times New Roman" w:cs="Times New Roman" w:eastAsia="Times New Roman" w:hint="default"/>
        </w:rPr>
        <w:t>4</w:t>
      </w:r>
      <w:r>
        <w:rPr/>
        <w:t>）人力资源计划</w:t>
      </w:r>
      <w:r>
        <w:rPr>
          <w:b w:val="0"/>
          <w:bCs w:val="0"/>
        </w:rPr>
      </w:r>
    </w:p>
    <w:p>
      <w:pPr>
        <w:spacing w:after="0" w:line="240" w:lineRule="auto"/>
        <w:jc w:val="left"/>
        <w:sectPr>
          <w:pgSz w:w="11910" w:h="16840"/>
          <w:pgMar w:header="748" w:footer="982" w:top="1060" w:bottom="1180" w:left="980" w:right="920"/>
        </w:sectPr>
      </w:pPr>
    </w:p>
    <w:p>
      <w:pPr>
        <w:spacing w:line="240" w:lineRule="auto" w:before="6"/>
        <w:rPr>
          <w:rFonts w:ascii="宋体" w:hAnsi="宋体" w:cs="宋体" w:eastAsia="宋体" w:hint="default"/>
          <w:b/>
          <w:bCs/>
          <w:sz w:val="26"/>
          <w:szCs w:val="26"/>
        </w:rPr>
      </w:pPr>
    </w:p>
    <w:p>
      <w:pPr>
        <w:pStyle w:val="BodyText"/>
        <w:spacing w:line="312" w:lineRule="auto" w:before="36"/>
        <w:ind w:right="146" w:firstLine="420"/>
        <w:jc w:val="both"/>
      </w:pPr>
      <w:r>
        <w:rPr>
          <w:rFonts w:ascii="宋体" w:hAnsi="宋体" w:cs="宋体" w:eastAsia="宋体" w:hint="default"/>
          <w:spacing w:val="-2"/>
        </w:rPr>
        <w:t>2015</w:t>
      </w:r>
      <w:r>
        <w:rPr>
          <w:spacing w:val="-2"/>
        </w:rPr>
        <w:t>年，公司将建立人才战略优于财务战略的人力资源战略体系。建立和培养有竞争力的优秀人才梯</w:t>
      </w:r>
      <w:r>
        <w:rPr>
          <w:w w:val="100"/>
        </w:rPr>
        <w:t> </w:t>
      </w:r>
      <w:r>
        <w:rPr>
          <w:spacing w:val="-2"/>
        </w:rPr>
        <w:t>队。将公司现有的职业化树状管理模式全面向产品制项目管理模式进行转变，建立以产品经理为主的绩效</w:t>
      </w:r>
      <w:r>
        <w:rPr>
          <w:spacing w:val="-44"/>
        </w:rPr>
        <w:t> </w:t>
      </w:r>
      <w:r>
        <w:rPr>
          <w:spacing w:val="-44"/>
        </w:rPr>
      </w:r>
      <w:r>
        <w:rPr>
          <w:spacing w:val="-2"/>
        </w:rPr>
        <w:t>体系，让更多的优秀人才成长起来。新的项目也急需引进人才储备，特别是互联网技术人才。市场方面由</w:t>
      </w:r>
      <w:r>
        <w:rPr>
          <w:spacing w:val="-50"/>
        </w:rPr>
        <w:t> </w:t>
      </w:r>
      <w:r>
        <w:rPr>
          <w:spacing w:val="-50"/>
        </w:rPr>
      </w:r>
      <w:r>
        <w:rPr>
          <w:spacing w:val="-2"/>
        </w:rPr>
        <w:t>于需要参加各省市政府采购教育信息化产品的招投标项目，也需打造一支高素质、高凝聚力、高执行力的</w:t>
      </w:r>
      <w:r>
        <w:rPr>
          <w:spacing w:val="-43"/>
        </w:rPr>
        <w:t> </w:t>
      </w:r>
      <w:r>
        <w:rPr>
          <w:spacing w:val="-43"/>
        </w:rPr>
      </w:r>
      <w:r>
        <w:rPr>
          <w:spacing w:val="-2"/>
        </w:rPr>
        <w:t>营销队伍和技术支持队伍。在完善员工晋升机制的同时，加强员工学习新知识新技能的意识，追求精益求</w:t>
      </w:r>
      <w:r>
        <w:rPr>
          <w:spacing w:val="-48"/>
        </w:rPr>
        <w:t> </w:t>
      </w:r>
      <w:r>
        <w:rPr>
          <w:spacing w:val="-48"/>
        </w:rPr>
      </w:r>
      <w:r>
        <w:rPr/>
        <w:t>精的企业文化。计划在</w:t>
      </w:r>
      <w:r>
        <w:rPr>
          <w:rFonts w:ascii="宋体" w:hAnsi="宋体" w:cs="宋体" w:eastAsia="宋体" w:hint="default"/>
        </w:rPr>
        <w:t>2015</w:t>
      </w:r>
      <w:r>
        <w:rPr/>
        <w:t>年设计股权激励体系，坚定地实施人才发展优于财务发展的道路。</w:t>
      </w:r>
    </w:p>
    <w:p>
      <w:pPr>
        <w:pStyle w:val="BodyText"/>
        <w:spacing w:line="624" w:lineRule="exact" w:before="25"/>
        <w:ind w:left="572" w:right="0" w:firstLine="2"/>
        <w:jc w:val="left"/>
      </w:pPr>
      <w:r>
        <w:rPr>
          <w:rFonts w:ascii="宋体" w:hAnsi="宋体" w:cs="宋体" w:eastAsia="宋体" w:hint="default"/>
          <w:b/>
          <w:bCs/>
        </w:rPr>
        <w:t>（</w:t>
      </w:r>
      <w:r>
        <w:rPr>
          <w:rFonts w:ascii="Times New Roman" w:hAnsi="Times New Roman" w:cs="Times New Roman" w:eastAsia="Times New Roman" w:hint="default"/>
          <w:b/>
          <w:bCs/>
        </w:rPr>
        <w:t>5</w:t>
      </w:r>
      <w:r>
        <w:rPr>
          <w:rFonts w:ascii="宋体" w:hAnsi="宋体" w:cs="宋体" w:eastAsia="宋体" w:hint="default"/>
          <w:b/>
          <w:bCs/>
        </w:rPr>
        <w:t>）内部管理计划</w:t>
      </w:r>
      <w:r>
        <w:rPr>
          <w:rFonts w:ascii="宋体" w:hAnsi="宋体" w:cs="宋体" w:eastAsia="宋体" w:hint="default"/>
          <w:b/>
          <w:bCs/>
          <w:w w:val="100"/>
        </w:rPr>
        <w:t> </w:t>
      </w:r>
      <w:r>
        <w:rPr>
          <w:spacing w:val="-2"/>
        </w:rPr>
        <w:t>按照百年企业质量至上的原则，为进一步提高质量管理水平。深入开展质量文化建设工作，进一步提</w:t>
      </w:r>
      <w:r>
        <w:rPr/>
      </w:r>
    </w:p>
    <w:p>
      <w:pPr>
        <w:pStyle w:val="BodyText"/>
        <w:spacing w:line="314" w:lineRule="auto"/>
        <w:ind w:right="150"/>
        <w:jc w:val="both"/>
      </w:pPr>
      <w:r>
        <w:rPr>
          <w:spacing w:val="-2"/>
        </w:rPr>
        <w:t>高员工的精品质量意识。促使公司的</w:t>
      </w:r>
      <w:r>
        <w:rPr>
          <w:spacing w:val="50"/>
        </w:rPr>
        <w:t> </w:t>
      </w:r>
      <w:r>
        <w:rPr>
          <w:spacing w:val="-2"/>
        </w:rPr>
        <w:t>“</w:t>
      </w:r>
      <w:r>
        <w:rPr>
          <w:rFonts w:ascii="宋体" w:hAnsi="宋体" w:cs="宋体" w:eastAsia="宋体" w:hint="default"/>
          <w:spacing w:val="-2"/>
        </w:rPr>
        <w:t>KINGSUN</w:t>
      </w:r>
      <w:r>
        <w:rPr>
          <w:spacing w:val="-2"/>
        </w:rPr>
        <w:t>”品牌发挥核心竞争力的作用，建立品牌战略下的高效质</w:t>
      </w:r>
      <w:r>
        <w:rPr>
          <w:spacing w:val="-92"/>
        </w:rPr>
        <w:t> </w:t>
      </w:r>
      <w:r>
        <w:rPr>
          <w:spacing w:val="-92"/>
        </w:rPr>
      </w:r>
      <w:r>
        <w:rPr>
          <w:spacing w:val="-2"/>
        </w:rPr>
        <w:t>量体系。为确保方直销售业绩稳步增长，加强员工培训，提升员工素质，健全员工任职资格和职业发展规</w:t>
      </w:r>
      <w:r>
        <w:rPr>
          <w:spacing w:val="-49"/>
        </w:rPr>
        <w:t> </w:t>
      </w:r>
      <w:r>
        <w:rPr>
          <w:spacing w:val="-49"/>
        </w:rPr>
      </w:r>
      <w:r>
        <w:rPr/>
        <w:t>划体系，建立利益分享机制将是</w:t>
      </w:r>
      <w:r>
        <w:rPr>
          <w:rFonts w:ascii="宋体" w:hAnsi="宋体" w:cs="宋体" w:eastAsia="宋体" w:hint="default"/>
        </w:rPr>
        <w:t>2015</w:t>
      </w:r>
      <w:r>
        <w:rPr/>
        <w:t>年公司内部管理工作的重要组成部分。</w:t>
      </w:r>
    </w:p>
    <w:p>
      <w:pPr>
        <w:spacing w:line="240" w:lineRule="auto" w:before="7"/>
        <w:rPr>
          <w:rFonts w:ascii="宋体" w:hAnsi="宋体" w:cs="宋体" w:eastAsia="宋体" w:hint="default"/>
          <w:sz w:val="25"/>
          <w:szCs w:val="25"/>
        </w:rPr>
      </w:pPr>
    </w:p>
    <w:p>
      <w:pPr>
        <w:pStyle w:val="Heading5"/>
        <w:spacing w:line="240" w:lineRule="auto"/>
        <w:ind w:left="575" w:right="0"/>
        <w:jc w:val="left"/>
        <w:rPr>
          <w:b w:val="0"/>
          <w:bCs w:val="0"/>
        </w:rPr>
      </w:pPr>
      <w:r>
        <w:rPr/>
        <w:t>（五）、公司未来发展可能面临的风险</w:t>
      </w:r>
      <w:r>
        <w:rPr>
          <w:b w:val="0"/>
          <w:bCs w:val="0"/>
        </w:rPr>
      </w:r>
    </w:p>
    <w:p>
      <w:pPr>
        <w:spacing w:line="240" w:lineRule="auto" w:before="10"/>
        <w:rPr>
          <w:rFonts w:ascii="宋体" w:hAnsi="宋体" w:cs="宋体" w:eastAsia="宋体" w:hint="default"/>
          <w:b/>
          <w:bCs/>
          <w:sz w:val="26"/>
          <w:szCs w:val="26"/>
        </w:rPr>
      </w:pPr>
    </w:p>
    <w:p>
      <w:pPr>
        <w:pStyle w:val="BodyText"/>
        <w:spacing w:line="650" w:lineRule="atLeast"/>
        <w:ind w:left="572" w:right="0" w:firstLine="2"/>
        <w:jc w:val="left"/>
      </w:pPr>
      <w:r>
        <w:rPr>
          <w:rFonts w:ascii="Times New Roman" w:hAnsi="Times New Roman" w:cs="Times New Roman" w:eastAsia="Times New Roman" w:hint="default"/>
          <w:b/>
          <w:bCs/>
        </w:rPr>
        <w:t>1</w:t>
      </w:r>
      <w:r>
        <w:rPr>
          <w:rFonts w:ascii="宋体" w:hAnsi="宋体" w:cs="宋体" w:eastAsia="宋体" w:hint="default"/>
          <w:b/>
          <w:bCs/>
        </w:rPr>
        <w:t>、宏观政策的风险</w:t>
      </w:r>
      <w:r>
        <w:rPr>
          <w:rFonts w:ascii="宋体" w:hAnsi="宋体" w:cs="宋体" w:eastAsia="宋体" w:hint="default"/>
          <w:b/>
          <w:bCs/>
          <w:w w:val="100"/>
        </w:rPr>
        <w:t> </w:t>
      </w:r>
      <w:r>
        <w:rPr>
          <w:spacing w:val="-2"/>
        </w:rPr>
        <w:t>随着教育改革的深入，国家教育部在</w:t>
      </w:r>
      <w:r>
        <w:rPr>
          <w:rFonts w:ascii="宋体" w:hAnsi="宋体" w:cs="宋体" w:eastAsia="宋体" w:hint="default"/>
          <w:spacing w:val="-2"/>
        </w:rPr>
        <w:t>2011</w:t>
      </w:r>
      <w:r>
        <w:rPr>
          <w:spacing w:val="-2"/>
        </w:rPr>
        <w:t>年颁布新课标并要求现有教材重新送审，将会给公司带来签</w:t>
      </w:r>
    </w:p>
    <w:p>
      <w:pPr>
        <w:pStyle w:val="BodyText"/>
        <w:spacing w:line="314" w:lineRule="auto" w:before="82"/>
        <w:ind w:right="146"/>
        <w:jc w:val="both"/>
      </w:pPr>
      <w:r>
        <w:rPr>
          <w:spacing w:val="-2"/>
        </w:rPr>
        <w:t>署著作权合作的风险和新版教材产品开发成本增加的风险。公司将强化与著作权人的合作关系，并根据教</w:t>
      </w:r>
      <w:r>
        <w:rPr>
          <w:spacing w:val="-43"/>
        </w:rPr>
        <w:t> </w:t>
      </w:r>
      <w:r>
        <w:rPr>
          <w:spacing w:val="-43"/>
        </w:rPr>
      </w:r>
      <w:r>
        <w:rPr>
          <w:spacing w:val="-2"/>
        </w:rPr>
        <w:t>材变化和教学改革要求完善配套软件内容，升级产品和建设更为快捷高效的开发平台。同时，公司将进一</w:t>
      </w:r>
      <w:r>
        <w:rPr>
          <w:spacing w:val="-44"/>
        </w:rPr>
        <w:t> </w:t>
      </w:r>
      <w:r>
        <w:rPr>
          <w:spacing w:val="-44"/>
        </w:rPr>
      </w:r>
      <w:r>
        <w:rPr/>
        <w:t>步积极研发创新产品，提升公司的创新能力和完善自主产品。</w:t>
      </w:r>
    </w:p>
    <w:p>
      <w:pPr>
        <w:spacing w:line="592" w:lineRule="exact" w:before="29"/>
        <w:ind w:left="572"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、客户相对集中的风险</w:t>
      </w:r>
      <w:r>
        <w:rPr>
          <w:rFonts w:ascii="宋体" w:hAnsi="宋体" w:cs="宋体" w:eastAsia="宋体" w:hint="default"/>
          <w:b/>
          <w:bCs/>
          <w:w w:val="100"/>
          <w:sz w:val="21"/>
          <w:szCs w:val="21"/>
        </w:rPr>
        <w:t> </w:t>
      </w:r>
      <w:r>
        <w:rPr>
          <w:rFonts w:ascii="宋体" w:hAnsi="宋体" w:cs="宋体" w:eastAsia="宋体" w:hint="default"/>
          <w:spacing w:val="-2"/>
          <w:sz w:val="21"/>
          <w:szCs w:val="21"/>
        </w:rPr>
        <w:t>目前公司的销售区域仍主要以珠三角，长三角及京津地区等大中城市为主，市场区域相对集中并存在</w:t>
      </w:r>
    </w:p>
    <w:p>
      <w:pPr>
        <w:pStyle w:val="BodyText"/>
        <w:spacing w:line="312" w:lineRule="auto"/>
        <w:ind w:left="572" w:right="0" w:hanging="420"/>
        <w:jc w:val="left"/>
      </w:pPr>
      <w:r>
        <w:rPr/>
        <w:t>一定风险，可能对本公司未来盈利能力造成影响。</w:t>
      </w:r>
      <w:r>
        <w:rPr>
          <w:w w:val="100"/>
        </w:rPr>
        <w:t> </w:t>
      </w:r>
      <w:r>
        <w:rPr>
          <w:spacing w:val="-2"/>
        </w:rPr>
        <w:t>公司将通过技术研发和产品拓展计划，营销渠道拓展计划解决上述产品及销售区域较为集中的风险。</w:t>
      </w:r>
    </w:p>
    <w:p>
      <w:pPr>
        <w:pStyle w:val="BodyText"/>
        <w:spacing w:line="312" w:lineRule="auto" w:before="22"/>
        <w:ind w:right="147"/>
        <w:jc w:val="both"/>
      </w:pPr>
      <w:r>
        <w:rPr>
          <w:spacing w:val="-2"/>
        </w:rPr>
        <w:t>一方面通过开发语文、数学等其他学科的研发，将各学科发展均衡。另一方面，公司将把开创新的销售区</w:t>
      </w:r>
      <w:r>
        <w:rPr>
          <w:spacing w:val="-50"/>
        </w:rPr>
        <w:t> </w:t>
      </w:r>
      <w:r>
        <w:rPr>
          <w:spacing w:val="-50"/>
        </w:rPr>
      </w:r>
      <w:r>
        <w:rPr>
          <w:spacing w:val="-2"/>
        </w:rPr>
        <w:t>域作为战略重点，通过与现有的主流出版社、教研系统所建立的良好的合作关系，充分把握各地中小学教</w:t>
      </w:r>
      <w:r>
        <w:rPr>
          <w:spacing w:val="-44"/>
        </w:rPr>
        <w:t> </w:t>
      </w:r>
      <w:r>
        <w:rPr>
          <w:spacing w:val="-44"/>
        </w:rPr>
      </w:r>
      <w:r>
        <w:rPr>
          <w:spacing w:val="-2"/>
        </w:rPr>
        <w:t>材的新特点、新趋势，对潜在用户的市场需求进行调研分析，积极开发地方版本系列以满足二、三线城市</w:t>
      </w:r>
      <w:r>
        <w:rPr>
          <w:spacing w:val="-47"/>
        </w:rPr>
        <w:t> </w:t>
      </w:r>
      <w:r>
        <w:rPr>
          <w:spacing w:val="-47"/>
        </w:rPr>
      </w:r>
      <w:r>
        <w:rPr/>
        <w:t>的拓展需求。</w:t>
      </w:r>
    </w:p>
    <w:p>
      <w:pPr>
        <w:spacing w:line="594" w:lineRule="exact" w:before="30"/>
        <w:ind w:left="572"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、新产品开发和技术更新换代的风险</w:t>
      </w:r>
      <w:r>
        <w:rPr>
          <w:rFonts w:ascii="宋体" w:hAnsi="宋体" w:cs="宋体" w:eastAsia="宋体" w:hint="default"/>
          <w:b/>
          <w:bCs/>
          <w:w w:val="100"/>
          <w:sz w:val="21"/>
          <w:szCs w:val="21"/>
        </w:rPr>
        <w:t> </w:t>
      </w:r>
      <w:r>
        <w:rPr>
          <w:rFonts w:ascii="宋体" w:hAnsi="宋体" w:cs="宋体" w:eastAsia="宋体" w:hint="default"/>
          <w:spacing w:val="-2"/>
          <w:sz w:val="21"/>
          <w:szCs w:val="21"/>
        </w:rPr>
        <w:t>市场需求不断变化，教育技术不断发展，如果公司对行业关键技术的发展动态不能及时掌控，对教育</w:t>
      </w:r>
    </w:p>
    <w:p>
      <w:pPr>
        <w:pStyle w:val="BodyText"/>
        <w:spacing w:line="314" w:lineRule="auto"/>
        <w:ind w:left="572" w:right="0" w:hanging="421"/>
        <w:jc w:val="left"/>
      </w:pPr>
      <w:r>
        <w:rPr/>
        <w:t>教学当中的新理念以及广大教师和学生的教学需求不能正确把握，研发的产品将不具备竞争力。</w:t>
      </w:r>
      <w:r>
        <w:rPr>
          <w:w w:val="100"/>
        </w:rPr>
        <w:t> </w:t>
      </w:r>
      <w:r>
        <w:rPr>
          <w:spacing w:val="-2"/>
        </w:rPr>
        <w:t>公司积极投入同步教学软件及在线教育网络服务开发平台的开发，使公司开发的同步教育服务类产品</w:t>
      </w:r>
    </w:p>
    <w:p>
      <w:pPr>
        <w:pStyle w:val="BodyText"/>
        <w:spacing w:line="314" w:lineRule="auto" w:before="17"/>
        <w:ind w:right="147"/>
        <w:jc w:val="both"/>
      </w:pPr>
      <w:r>
        <w:rPr>
          <w:spacing w:val="-2"/>
        </w:rPr>
        <w:t>具有更强的针对性和实用性；同时加强基础教育项目研究，在开发实施过程中进行有效管理、把握开发周</w:t>
      </w:r>
      <w:r>
        <w:rPr>
          <w:spacing w:val="-43"/>
        </w:rPr>
        <w:t> </w:t>
      </w:r>
      <w:r>
        <w:rPr>
          <w:spacing w:val="-43"/>
        </w:rPr>
      </w:r>
      <w:r>
        <w:rPr/>
        <w:t>期、降低开发成本。</w:t>
      </w:r>
    </w:p>
    <w:p>
      <w:pPr>
        <w:spacing w:after="0" w:line="314" w:lineRule="auto"/>
        <w:jc w:val="both"/>
        <w:sectPr>
          <w:pgSz w:w="11910" w:h="16840"/>
          <w:pgMar w:header="748" w:footer="982" w:top="1060" w:bottom="1180" w:left="980" w:right="980"/>
        </w:sectPr>
      </w:pPr>
    </w:p>
    <w:p>
      <w:pPr>
        <w:spacing w:line="240" w:lineRule="auto" w:before="10"/>
        <w:rPr>
          <w:rFonts w:ascii="宋体" w:hAnsi="宋体" w:cs="宋体" w:eastAsia="宋体" w:hint="default"/>
          <w:sz w:val="24"/>
          <w:szCs w:val="24"/>
        </w:rPr>
      </w:pPr>
    </w:p>
    <w:p>
      <w:pPr>
        <w:pStyle w:val="Heading5"/>
        <w:spacing w:line="240" w:lineRule="auto" w:before="36"/>
        <w:ind w:left="575" w:right="106"/>
        <w:jc w:val="left"/>
        <w:rPr>
          <w:b w:val="0"/>
          <w:bCs w:val="0"/>
        </w:rPr>
      </w:pPr>
      <w:r>
        <w:rPr>
          <w:rFonts w:ascii="Times New Roman" w:hAnsi="Times New Roman" w:cs="Times New Roman" w:eastAsia="Times New Roman" w:hint="default"/>
        </w:rPr>
        <w:t>4</w:t>
      </w:r>
      <w:r>
        <w:rPr/>
        <w:t>、公司规模扩大带来的管理风险</w:t>
      </w:r>
      <w:r>
        <w:rPr>
          <w:b w:val="0"/>
          <w:bCs w:val="0"/>
        </w:rPr>
      </w:r>
    </w:p>
    <w:p>
      <w:pPr>
        <w:spacing w:line="240" w:lineRule="auto" w:before="1"/>
        <w:rPr>
          <w:rFonts w:ascii="宋体" w:hAnsi="宋体" w:cs="宋体" w:eastAsia="宋体" w:hint="default"/>
          <w:b/>
          <w:bCs/>
          <w:sz w:val="23"/>
          <w:szCs w:val="23"/>
        </w:rPr>
      </w:pPr>
    </w:p>
    <w:p>
      <w:pPr>
        <w:pStyle w:val="BodyText"/>
        <w:spacing w:line="314" w:lineRule="auto"/>
        <w:ind w:right="206" w:firstLine="420"/>
        <w:jc w:val="both"/>
      </w:pPr>
      <w:r>
        <w:rPr>
          <w:spacing w:val="-2"/>
        </w:rPr>
        <w:t>同步教育产品行业需要大量具有一定教育背景和技术背景的专业人员。尽管公司凭借多年教育服务行</w:t>
      </w:r>
      <w:r>
        <w:rPr>
          <w:w w:val="100"/>
        </w:rPr>
        <w:t> </w:t>
      </w:r>
      <w:r>
        <w:rPr>
          <w:spacing w:val="-2"/>
        </w:rPr>
        <w:t>业的优势及网络技术开发经验已经培养出一批符合公司现有业务架构需要的复合型人才，但随着行业竞争</w:t>
      </w:r>
      <w:r>
        <w:rPr>
          <w:spacing w:val="-43"/>
        </w:rPr>
        <w:t> </w:t>
      </w:r>
      <w:r>
        <w:rPr>
          <w:spacing w:val="-43"/>
        </w:rPr>
      </w:r>
      <w:r>
        <w:rPr/>
        <w:t>的日趋激烈，公司的不断发展和投资规模的扩大，仍可能面临管理、营销和技术人才匮乏的风险。</w:t>
      </w:r>
    </w:p>
    <w:p>
      <w:pPr>
        <w:pStyle w:val="BodyText"/>
        <w:spacing w:line="314" w:lineRule="auto" w:before="20"/>
        <w:ind w:right="105" w:firstLine="420"/>
        <w:jc w:val="both"/>
      </w:pPr>
      <w:r>
        <w:rPr>
          <w:spacing w:val="-2"/>
        </w:rPr>
        <w:t>公司为此制定了详细的管理、营销和技术等专业人才的引进和培养计划，促使公司人才架构更为科学</w:t>
      </w:r>
      <w:r>
        <w:rPr>
          <w:w w:val="100"/>
        </w:rPr>
        <w:t> </w:t>
      </w:r>
      <w:r>
        <w:rPr>
          <w:spacing w:val="-2"/>
        </w:rPr>
        <w:t>化。通过企业文化建设，不断加强公司的凝聚力。同时，建立了基础培训、技能培训、经验库培训以及上</w:t>
      </w:r>
      <w:r>
        <w:rPr>
          <w:spacing w:val="-42"/>
        </w:rPr>
        <w:t> </w:t>
      </w:r>
      <w:r>
        <w:rPr>
          <w:spacing w:val="-42"/>
        </w:rPr>
      </w:r>
      <w:r>
        <w:rPr>
          <w:spacing w:val="-5"/>
        </w:rPr>
        <w:t>岗专人指导培训等人才培养制度，有效带动了后续人才的补充和发展，保证公司在高速发展中的人才需要。</w:t>
      </w:r>
      <w:r>
        <w:rPr/>
      </w:r>
    </w:p>
    <w:p>
      <w:pPr>
        <w:spacing w:line="594" w:lineRule="exact" w:before="25"/>
        <w:ind w:left="572" w:right="106"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、募集资金投资项目风险</w:t>
      </w:r>
      <w:r>
        <w:rPr>
          <w:rFonts w:ascii="宋体" w:hAnsi="宋体" w:cs="宋体" w:eastAsia="宋体" w:hint="default"/>
          <w:b/>
          <w:bCs/>
          <w:w w:val="100"/>
          <w:sz w:val="21"/>
          <w:szCs w:val="21"/>
        </w:rPr>
        <w:t> </w:t>
      </w:r>
      <w:r>
        <w:rPr>
          <w:rFonts w:ascii="宋体" w:hAnsi="宋体" w:cs="宋体" w:eastAsia="宋体" w:hint="default"/>
          <w:spacing w:val="-2"/>
          <w:sz w:val="21"/>
          <w:szCs w:val="21"/>
        </w:rPr>
        <w:t>公司公开发行股票募集的资金分别用于中小学多学科（不含英语）同步教育软件项目、中小学英语同</w:t>
      </w:r>
    </w:p>
    <w:p>
      <w:pPr>
        <w:pStyle w:val="BodyText"/>
        <w:spacing w:line="314" w:lineRule="auto"/>
        <w:ind w:right="103"/>
        <w:jc w:val="both"/>
      </w:pPr>
      <w:r>
        <w:rPr/>
        <w:t>步教育软件升级及新版本开发项目、研发中心建设项目和营销网络扩建项目与主营业务相关的营运资金。</w:t>
      </w:r>
      <w:r>
        <w:rPr>
          <w:w w:val="100"/>
        </w:rPr>
        <w:t> </w:t>
      </w:r>
      <w:r>
        <w:rPr>
          <w:spacing w:val="-2"/>
        </w:rPr>
        <w:t>募集资金投资项目的顺利实施，将进一步增强公司的研发实力，扩大公司在既有市场的占有率并开拓新市</w:t>
      </w:r>
      <w:r>
        <w:rPr>
          <w:spacing w:val="-43"/>
        </w:rPr>
        <w:t> </w:t>
      </w:r>
      <w:r>
        <w:rPr>
          <w:spacing w:val="-43"/>
        </w:rPr>
      </w:r>
      <w:r>
        <w:rPr>
          <w:spacing w:val="-2"/>
        </w:rPr>
        <w:t>场，提升公司的综合竞争力。尽管公司已经做好相应的技术准备和市场准备，但在项目的具体实施过程中</w:t>
      </w:r>
      <w:r>
        <w:rPr>
          <w:spacing w:val="-43"/>
        </w:rPr>
        <w:t> </w:t>
      </w:r>
      <w:r>
        <w:rPr>
          <w:spacing w:val="-43"/>
        </w:rPr>
      </w:r>
      <w:r>
        <w:rPr>
          <w:spacing w:val="-2"/>
        </w:rPr>
        <w:t>仍可能遇到技术更新效果不佳、市场开拓不力、市场环境发生变化、国家教育部颁布新课标和现有教材重</w:t>
      </w:r>
      <w:r>
        <w:rPr>
          <w:spacing w:val="-44"/>
        </w:rPr>
        <w:t> </w:t>
      </w:r>
      <w:r>
        <w:rPr>
          <w:spacing w:val="-44"/>
        </w:rPr>
      </w:r>
      <w:r>
        <w:rPr>
          <w:spacing w:val="-5"/>
        </w:rPr>
        <w:t>新送审改版等不利情形，从而可能导致募集资金投资项目的实际收益低于预期，带来一定的项目投资风险。</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pStyle w:val="Heading4"/>
        <w:spacing w:line="240" w:lineRule="auto"/>
        <w:ind w:right="0"/>
        <w:jc w:val="both"/>
        <w:rPr>
          <w:b w:val="0"/>
          <w:bCs w:val="0"/>
        </w:rPr>
      </w:pPr>
      <w:bookmarkStart w:name="三、董事会、监事会对会计师事务所本报告期“非标准审计报告”的说明" w:id="30"/>
      <w:bookmarkEnd w:id="30"/>
      <w:r>
        <w:rPr>
          <w:b w:val="0"/>
          <w:bCs w:val="0"/>
        </w:rPr>
      </w:r>
      <w:r>
        <w:rPr/>
        <w:t>三、董事会、监事会对会计师事务所本报告期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7"/>
        <w:rPr>
          <w:rFonts w:ascii="宋体" w:hAnsi="宋体" w:cs="宋体" w:eastAsia="宋体" w:hint="default"/>
          <w:b/>
          <w:bCs/>
          <w:sz w:val="23"/>
          <w:szCs w:val="23"/>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8"/>
        <w:rPr>
          <w:rFonts w:ascii="宋体" w:hAnsi="宋体" w:cs="宋体" w:eastAsia="宋体" w:hint="default"/>
          <w:sz w:val="22"/>
          <w:szCs w:val="22"/>
        </w:rPr>
      </w:pPr>
    </w:p>
    <w:p>
      <w:pPr>
        <w:pStyle w:val="Heading4"/>
        <w:spacing w:line="240" w:lineRule="auto"/>
        <w:ind w:right="0"/>
        <w:jc w:val="both"/>
        <w:rPr>
          <w:b w:val="0"/>
          <w:bCs w:val="0"/>
        </w:rPr>
      </w:pPr>
      <w:bookmarkStart w:name="四、董事会关于报告期会计政策、会计估计变更或重要前期差错更正的说明" w:id="31"/>
      <w:bookmarkEnd w:id="31"/>
      <w:r>
        <w:rPr>
          <w:b w:val="0"/>
          <w:bCs w:val="0"/>
        </w:rPr>
      </w:r>
      <w:r>
        <w:rPr/>
        <w:t>四、董事会关于报告期会计政策、会计估计变更或重要前期差错更正的说明</w:t>
      </w:r>
      <w:r>
        <w:rPr>
          <w:b w:val="0"/>
          <w:bCs w:val="0"/>
        </w:rPr>
      </w:r>
    </w:p>
    <w:p>
      <w:pPr>
        <w:spacing w:line="240" w:lineRule="auto" w:before="9"/>
        <w:rPr>
          <w:rFonts w:ascii="宋体" w:hAnsi="宋体" w:cs="宋体" w:eastAsia="宋体" w:hint="default"/>
          <w:b/>
          <w:bCs/>
          <w:sz w:val="24"/>
          <w:szCs w:val="24"/>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14" w:lineRule="auto" w:before="45"/>
        <w:ind w:left="153" w:right="106" w:firstLine="421"/>
        <w:jc w:val="left"/>
      </w:pPr>
      <w:r>
        <w:rPr>
          <w:rFonts w:ascii="宋体" w:hAnsi="宋体" w:cs="宋体" w:eastAsia="宋体" w:hint="default"/>
        </w:rPr>
        <w:t>2014</w:t>
      </w:r>
      <w:r>
        <w:rPr/>
        <w:t>年初，财政部分别以财会</w:t>
      </w:r>
      <w:r>
        <w:rPr>
          <w:rFonts w:ascii="宋体" w:hAnsi="宋体" w:cs="宋体" w:eastAsia="宋体" w:hint="default"/>
        </w:rPr>
        <w:t>[2014]6</w:t>
      </w:r>
      <w:r>
        <w:rPr/>
        <w:t>号、</w:t>
      </w:r>
      <w:r>
        <w:rPr>
          <w:rFonts w:ascii="宋体" w:hAnsi="宋体" w:cs="宋体" w:eastAsia="宋体" w:hint="default"/>
        </w:rPr>
        <w:t>7</w:t>
      </w:r>
      <w:r>
        <w:rPr/>
        <w:t>号、</w:t>
      </w:r>
      <w:r>
        <w:rPr>
          <w:rFonts w:ascii="宋体" w:hAnsi="宋体" w:cs="宋体" w:eastAsia="宋体" w:hint="default"/>
        </w:rPr>
        <w:t>8</w:t>
      </w:r>
      <w:r>
        <w:rPr/>
        <w:t>号、</w:t>
      </w:r>
      <w:r>
        <w:rPr>
          <w:rFonts w:ascii="宋体" w:hAnsi="宋体" w:cs="宋体" w:eastAsia="宋体" w:hint="default"/>
        </w:rPr>
        <w:t>10</w:t>
      </w:r>
      <w:r>
        <w:rPr/>
        <w:t>号、</w:t>
      </w:r>
      <w:r>
        <w:rPr>
          <w:rFonts w:ascii="宋体" w:hAnsi="宋体" w:cs="宋体" w:eastAsia="宋体" w:hint="default"/>
        </w:rPr>
        <w:t>11</w:t>
      </w:r>
      <w:r>
        <w:rPr/>
        <w:t>号、</w:t>
      </w:r>
      <w:r>
        <w:rPr>
          <w:rFonts w:ascii="宋体" w:hAnsi="宋体" w:cs="宋体" w:eastAsia="宋体" w:hint="default"/>
        </w:rPr>
        <w:t>14</w:t>
      </w:r>
      <w:r>
        <w:rPr/>
        <w:t>号及</w:t>
      </w:r>
      <w:r>
        <w:rPr>
          <w:rFonts w:ascii="宋体" w:hAnsi="宋体" w:cs="宋体" w:eastAsia="宋体" w:hint="default"/>
        </w:rPr>
        <w:t>16</w:t>
      </w:r>
      <w:r>
        <w:rPr/>
        <w:t>号发布了《企业会计准</w:t>
      </w:r>
      <w:r>
        <w:rPr>
          <w:spacing w:val="-3"/>
          <w:w w:val="100"/>
        </w:rPr>
        <w:t> </w:t>
      </w:r>
      <w:r>
        <w:rPr>
          <w:spacing w:val="-2"/>
        </w:rPr>
        <w:t>则第</w:t>
      </w:r>
      <w:r>
        <w:rPr>
          <w:rFonts w:ascii="宋体" w:hAnsi="宋体" w:cs="宋体" w:eastAsia="宋体" w:hint="default"/>
          <w:spacing w:val="-2"/>
        </w:rPr>
        <w:t>39</w:t>
      </w:r>
      <w:r>
        <w:rPr>
          <w:spacing w:val="-2"/>
        </w:rPr>
        <w:t>号</w:t>
      </w:r>
      <w:r>
        <w:rPr>
          <w:rFonts w:ascii="宋体" w:hAnsi="宋体" w:cs="宋体" w:eastAsia="宋体" w:hint="default"/>
          <w:spacing w:val="-2"/>
        </w:rPr>
        <w:t>——</w:t>
      </w:r>
      <w:r>
        <w:rPr>
          <w:spacing w:val="-2"/>
        </w:rPr>
        <w:t>公允价值计量》、《企业会计准则第</w:t>
      </w:r>
      <w:r>
        <w:rPr>
          <w:rFonts w:ascii="宋体" w:hAnsi="宋体" w:cs="宋体" w:eastAsia="宋体" w:hint="default"/>
          <w:spacing w:val="-2"/>
        </w:rPr>
        <w:t>30</w:t>
      </w:r>
      <w:r>
        <w:rPr>
          <w:spacing w:val="-2"/>
        </w:rPr>
        <w:t>号</w:t>
      </w:r>
      <w:r>
        <w:rPr>
          <w:rFonts w:ascii="宋体" w:hAnsi="宋体" w:cs="宋体" w:eastAsia="宋体" w:hint="default"/>
          <w:spacing w:val="-2"/>
        </w:rPr>
        <w:t>——</w:t>
      </w:r>
      <w:r>
        <w:rPr>
          <w:spacing w:val="-2"/>
        </w:rPr>
        <w:t>财务报表列报（</w:t>
      </w:r>
      <w:r>
        <w:rPr>
          <w:rFonts w:ascii="宋体" w:hAnsi="宋体" w:cs="宋体" w:eastAsia="宋体" w:hint="default"/>
          <w:spacing w:val="-2"/>
        </w:rPr>
        <w:t>2014</w:t>
      </w:r>
      <w:r>
        <w:rPr>
          <w:spacing w:val="-2"/>
        </w:rPr>
        <w:t>年修订）》、《企业会计</w:t>
      </w:r>
      <w:r>
        <w:rPr>
          <w:spacing w:val="-38"/>
        </w:rPr>
        <w:t> </w:t>
      </w:r>
      <w:r>
        <w:rPr>
          <w:spacing w:val="-38"/>
        </w:rPr>
      </w:r>
      <w:r>
        <w:rPr>
          <w:spacing w:val="-2"/>
        </w:rPr>
        <w:t>准则第</w:t>
      </w:r>
      <w:r>
        <w:rPr>
          <w:rFonts w:ascii="宋体" w:hAnsi="宋体" w:cs="宋体" w:eastAsia="宋体" w:hint="default"/>
          <w:spacing w:val="-2"/>
        </w:rPr>
        <w:t>9</w:t>
      </w:r>
      <w:r>
        <w:rPr>
          <w:spacing w:val="-2"/>
        </w:rPr>
        <w:t>号</w:t>
      </w:r>
      <w:r>
        <w:rPr>
          <w:rFonts w:ascii="宋体" w:hAnsi="宋体" w:cs="宋体" w:eastAsia="宋体" w:hint="default"/>
          <w:spacing w:val="-2"/>
        </w:rPr>
        <w:t>——</w:t>
      </w:r>
      <w:r>
        <w:rPr>
          <w:spacing w:val="-2"/>
        </w:rPr>
        <w:t>职工薪酬（</w:t>
      </w:r>
      <w:r>
        <w:rPr>
          <w:rFonts w:ascii="宋体" w:hAnsi="宋体" w:cs="宋体" w:eastAsia="宋体" w:hint="default"/>
          <w:spacing w:val="-2"/>
        </w:rPr>
        <w:t>2014</w:t>
      </w:r>
      <w:r>
        <w:rPr>
          <w:spacing w:val="-2"/>
        </w:rPr>
        <w:t>年修订）》、《企业会计准则第</w:t>
      </w:r>
      <w:r>
        <w:rPr>
          <w:rFonts w:ascii="宋体" w:hAnsi="宋体" w:cs="宋体" w:eastAsia="宋体" w:hint="default"/>
          <w:spacing w:val="-2"/>
        </w:rPr>
        <w:t>33</w:t>
      </w:r>
      <w:r>
        <w:rPr>
          <w:spacing w:val="-2"/>
        </w:rPr>
        <w:t>号</w:t>
      </w:r>
      <w:r>
        <w:rPr>
          <w:rFonts w:ascii="宋体" w:hAnsi="宋体" w:cs="宋体" w:eastAsia="宋体" w:hint="default"/>
          <w:spacing w:val="-2"/>
        </w:rPr>
        <w:t>——</w:t>
      </w:r>
      <w:r>
        <w:rPr>
          <w:spacing w:val="-2"/>
        </w:rPr>
        <w:t>合并财务报表（</w:t>
      </w:r>
      <w:r>
        <w:rPr>
          <w:rFonts w:ascii="宋体" w:hAnsi="宋体" w:cs="宋体" w:eastAsia="宋体" w:hint="default"/>
          <w:spacing w:val="-2"/>
        </w:rPr>
        <w:t>2014</w:t>
      </w:r>
      <w:r>
        <w:rPr>
          <w:spacing w:val="-2"/>
        </w:rPr>
        <w:t>年修订）》、</w:t>
      </w:r>
      <w:r>
        <w:rPr/>
      </w:r>
    </w:p>
    <w:p>
      <w:pPr>
        <w:pStyle w:val="BodyText"/>
        <w:spacing w:line="314" w:lineRule="auto" w:before="20"/>
        <w:ind w:left="154" w:right="205" w:hanging="1"/>
        <w:jc w:val="both"/>
      </w:pPr>
      <w:r>
        <w:rPr>
          <w:spacing w:val="-4"/>
        </w:rPr>
        <w:t>《企业会计准则第</w:t>
      </w:r>
      <w:r>
        <w:rPr>
          <w:rFonts w:ascii="宋体" w:hAnsi="宋体" w:cs="宋体" w:eastAsia="宋体" w:hint="default"/>
          <w:spacing w:val="-4"/>
        </w:rPr>
        <w:t>40</w:t>
      </w:r>
      <w:r>
        <w:rPr>
          <w:spacing w:val="-4"/>
        </w:rPr>
        <w:t>号</w:t>
      </w:r>
      <w:r>
        <w:rPr>
          <w:rFonts w:ascii="宋体" w:hAnsi="宋体" w:cs="宋体" w:eastAsia="宋体" w:hint="default"/>
          <w:spacing w:val="-4"/>
        </w:rPr>
        <w:t>——</w:t>
      </w:r>
      <w:r>
        <w:rPr>
          <w:spacing w:val="-4"/>
        </w:rPr>
        <w:t>合营安排》、《企业会计准则第</w:t>
      </w:r>
      <w:r>
        <w:rPr>
          <w:rFonts w:ascii="宋体" w:hAnsi="宋体" w:cs="宋体" w:eastAsia="宋体" w:hint="default"/>
          <w:spacing w:val="-4"/>
        </w:rPr>
        <w:t>2</w:t>
      </w:r>
      <w:r>
        <w:rPr>
          <w:spacing w:val="-4"/>
        </w:rPr>
        <w:t>号</w:t>
      </w:r>
      <w:r>
        <w:rPr>
          <w:rFonts w:ascii="宋体" w:hAnsi="宋体" w:cs="宋体" w:eastAsia="宋体" w:hint="default"/>
          <w:spacing w:val="-4"/>
        </w:rPr>
        <w:t>——</w:t>
      </w:r>
      <w:r>
        <w:rPr>
          <w:spacing w:val="-4"/>
        </w:rPr>
        <w:t>长期股权投资（</w:t>
      </w:r>
      <w:r>
        <w:rPr>
          <w:rFonts w:ascii="宋体" w:hAnsi="宋体" w:cs="宋体" w:eastAsia="宋体" w:hint="default"/>
          <w:spacing w:val="-4"/>
        </w:rPr>
        <w:t>2014</w:t>
      </w:r>
      <w:r>
        <w:rPr>
          <w:spacing w:val="-4"/>
        </w:rPr>
        <w:t>年修订）》及《企</w:t>
      </w:r>
      <w:r>
        <w:rPr>
          <w:spacing w:val="-45"/>
        </w:rPr>
        <w:t> </w:t>
      </w:r>
      <w:r>
        <w:rPr>
          <w:spacing w:val="-45"/>
        </w:rPr>
      </w:r>
      <w:r>
        <w:rPr>
          <w:spacing w:val="-2"/>
        </w:rPr>
        <w:t>业会计准则第</w:t>
      </w:r>
      <w:r>
        <w:rPr>
          <w:rFonts w:ascii="宋体" w:hAnsi="宋体" w:cs="宋体" w:eastAsia="宋体" w:hint="default"/>
          <w:spacing w:val="-2"/>
        </w:rPr>
        <w:t>41</w:t>
      </w:r>
      <w:r>
        <w:rPr>
          <w:spacing w:val="-2"/>
        </w:rPr>
        <w:t>号</w:t>
      </w:r>
      <w:r>
        <w:rPr>
          <w:rFonts w:ascii="宋体" w:hAnsi="宋体" w:cs="宋体" w:eastAsia="宋体" w:hint="default"/>
          <w:spacing w:val="-2"/>
        </w:rPr>
        <w:t>——</w:t>
      </w:r>
      <w:r>
        <w:rPr>
          <w:spacing w:val="-2"/>
        </w:rPr>
        <w:t>在其他主体中权益的披露》，要求自</w:t>
      </w:r>
      <w:r>
        <w:rPr>
          <w:rFonts w:ascii="宋体" w:hAnsi="宋体" w:cs="宋体" w:eastAsia="宋体" w:hint="default"/>
          <w:spacing w:val="-2"/>
        </w:rPr>
        <w:t>2014</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1</w:t>
      </w:r>
      <w:r>
        <w:rPr>
          <w:spacing w:val="-2"/>
        </w:rPr>
        <w:t>日起在所有执行企业会计准则的企</w:t>
      </w:r>
      <w:r>
        <w:rPr>
          <w:spacing w:val="-36"/>
        </w:rPr>
        <w:t> </w:t>
      </w:r>
      <w:r>
        <w:rPr>
          <w:spacing w:val="-36"/>
        </w:rPr>
      </w:r>
      <w:r>
        <w:rPr>
          <w:spacing w:val="-2"/>
        </w:rPr>
        <w:t>业范围内施行。同时，财政部以财会</w:t>
      </w:r>
      <w:r>
        <w:rPr>
          <w:rFonts w:ascii="宋体" w:hAnsi="宋体" w:cs="宋体" w:eastAsia="宋体" w:hint="default"/>
          <w:spacing w:val="-2"/>
        </w:rPr>
        <w:t>[2014]23</w:t>
      </w:r>
      <w:r>
        <w:rPr>
          <w:spacing w:val="-2"/>
        </w:rPr>
        <w:t>号发布了《企业会计准则第</w:t>
      </w:r>
      <w:r>
        <w:rPr>
          <w:rFonts w:ascii="宋体" w:hAnsi="宋体" w:cs="宋体" w:eastAsia="宋体" w:hint="default"/>
          <w:spacing w:val="-2"/>
        </w:rPr>
        <w:t>37</w:t>
      </w:r>
      <w:r>
        <w:rPr>
          <w:spacing w:val="-2"/>
        </w:rPr>
        <w:t>号</w:t>
      </w:r>
      <w:r>
        <w:rPr>
          <w:rFonts w:ascii="宋体" w:hAnsi="宋体" w:cs="宋体" w:eastAsia="宋体" w:hint="default"/>
          <w:spacing w:val="-2"/>
        </w:rPr>
        <w:t>——</w:t>
      </w:r>
      <w:r>
        <w:rPr>
          <w:spacing w:val="-2"/>
        </w:rPr>
        <w:t>金融工具列报（</w:t>
      </w:r>
      <w:r>
        <w:rPr>
          <w:rFonts w:ascii="宋体" w:hAnsi="宋体" w:cs="宋体" w:eastAsia="宋体" w:hint="default"/>
          <w:spacing w:val="-2"/>
        </w:rPr>
        <w:t>2014</w:t>
      </w:r>
      <w:r>
        <w:rPr>
          <w:spacing w:val="-2"/>
        </w:rPr>
        <w:t>年</w:t>
      </w:r>
      <w:r>
        <w:rPr>
          <w:spacing w:val="-35"/>
        </w:rPr>
        <w:t> </w:t>
      </w:r>
      <w:r>
        <w:rPr>
          <w:spacing w:val="-2"/>
        </w:rPr>
        <w:t>修订）》，要求在</w:t>
      </w:r>
      <w:r>
        <w:rPr>
          <w:rFonts w:ascii="宋体" w:hAnsi="宋体" w:cs="宋体" w:eastAsia="宋体" w:hint="default"/>
          <w:spacing w:val="-2"/>
        </w:rPr>
        <w:t>2014</w:t>
      </w:r>
      <w:r>
        <w:rPr>
          <w:spacing w:val="-2"/>
        </w:rPr>
        <w:t>年度及以后期间的财务报告中按照该准则的要求对金融工具进行列报。本公司第二</w:t>
      </w:r>
      <w:r>
        <w:rPr>
          <w:spacing w:val="-42"/>
        </w:rPr>
        <w:t> </w:t>
      </w:r>
      <w:r>
        <w:rPr>
          <w:spacing w:val="-42"/>
        </w:rPr>
      </w:r>
      <w:r>
        <w:rPr/>
        <w:t>届董事会第十六次会议于</w:t>
      </w:r>
      <w:r>
        <w:rPr>
          <w:rFonts w:ascii="宋体" w:hAnsi="宋体" w:cs="宋体" w:eastAsia="宋体" w:hint="default"/>
        </w:rPr>
        <w:t>2015</w:t>
      </w:r>
      <w:r>
        <w:rPr/>
        <w:t>年</w:t>
      </w:r>
      <w:r>
        <w:rPr>
          <w:rFonts w:ascii="宋体" w:hAnsi="宋体" w:cs="宋体" w:eastAsia="宋体" w:hint="default"/>
        </w:rPr>
        <w:t>4</w:t>
      </w:r>
      <w:r>
        <w:rPr/>
        <w:t>月</w:t>
      </w:r>
      <w:r>
        <w:rPr>
          <w:rFonts w:ascii="宋体" w:hAnsi="宋体" w:cs="宋体" w:eastAsia="宋体" w:hint="default"/>
        </w:rPr>
        <w:t>16</w:t>
      </w:r>
      <w:r>
        <w:rPr/>
        <w:t>日通过。</w:t>
      </w:r>
    </w:p>
    <w:p>
      <w:pPr>
        <w:pStyle w:val="BodyText"/>
        <w:spacing w:line="240" w:lineRule="auto" w:before="17"/>
        <w:ind w:left="576" w:right="106"/>
        <w:jc w:val="left"/>
      </w:pPr>
      <w:r>
        <w:rPr/>
        <w:t>本公司根据各准则衔接要求进行了调整，对可比期间财务报表项目及金额的影响如下：</w:t>
      </w:r>
    </w:p>
    <w:p>
      <w:pPr>
        <w:spacing w:line="240" w:lineRule="auto" w:before="6"/>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2035"/>
        <w:gridCol w:w="2174"/>
        <w:gridCol w:w="2256"/>
        <w:gridCol w:w="2215"/>
      </w:tblGrid>
      <w:tr>
        <w:trPr>
          <w:trHeight w:val="348" w:hRule="exact"/>
        </w:trPr>
        <w:tc>
          <w:tcPr>
            <w:tcW w:w="2035" w:type="dxa"/>
            <w:vMerge w:val="restart"/>
            <w:tcBorders>
              <w:top w:val="single" w:sz="6" w:space="0" w:color="000000"/>
              <w:left w:val="single" w:sz="6" w:space="0" w:color="000000"/>
              <w:right w:val="single" w:sz="6" w:space="0" w:color="000000"/>
            </w:tcBorders>
          </w:tcPr>
          <w:p>
            <w:pPr>
              <w:pStyle w:val="TableParagraph"/>
              <w:spacing w:line="253" w:lineRule="exact"/>
              <w:ind w:left="381" w:right="0"/>
              <w:jc w:val="left"/>
              <w:rPr>
                <w:rFonts w:ascii="宋体" w:hAnsi="宋体" w:cs="宋体" w:eastAsia="宋体" w:hint="default"/>
                <w:sz w:val="21"/>
                <w:szCs w:val="21"/>
              </w:rPr>
            </w:pPr>
            <w:r>
              <w:rPr>
                <w:rFonts w:ascii="宋体" w:hAnsi="宋体" w:cs="宋体" w:eastAsia="宋体" w:hint="default"/>
                <w:sz w:val="21"/>
                <w:szCs w:val="21"/>
              </w:rPr>
              <w:t>报表项目名称</w:t>
            </w:r>
          </w:p>
        </w:tc>
        <w:tc>
          <w:tcPr>
            <w:tcW w:w="6646" w:type="dxa"/>
            <w:gridSpan w:val="3"/>
            <w:tcBorders>
              <w:top w:val="single" w:sz="4" w:space="0" w:color="000000"/>
              <w:left w:val="single" w:sz="6" w:space="0" w:color="000000"/>
              <w:bottom w:val="single" w:sz="6"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w:t>
            </w:r>
          </w:p>
        </w:tc>
      </w:tr>
      <w:tr>
        <w:trPr>
          <w:trHeight w:val="360" w:hRule="exact"/>
        </w:trPr>
        <w:tc>
          <w:tcPr>
            <w:tcW w:w="2035" w:type="dxa"/>
            <w:vMerge/>
            <w:tcBorders>
              <w:left w:val="single" w:sz="6" w:space="0" w:color="000000"/>
              <w:bottom w:val="single" w:sz="12" w:space="0" w:color="000000"/>
              <w:right w:val="single" w:sz="6" w:space="0" w:color="000000"/>
            </w:tcBorders>
          </w:tcPr>
          <w:p>
            <w:pPr/>
          </w:p>
        </w:tc>
        <w:tc>
          <w:tcPr>
            <w:tcW w:w="2174" w:type="dxa"/>
            <w:tcBorders>
              <w:top w:val="single" w:sz="6" w:space="0" w:color="000000"/>
              <w:left w:val="single" w:sz="6" w:space="0" w:color="000000"/>
              <w:bottom w:val="single" w:sz="12" w:space="0" w:color="000000"/>
              <w:right w:val="single" w:sz="6" w:space="0" w:color="000000"/>
            </w:tcBorders>
          </w:tcPr>
          <w:p>
            <w:pPr>
              <w:pStyle w:val="TableParagraph"/>
              <w:spacing w:line="258" w:lineRule="exact"/>
              <w:ind w:left="556" w:right="0"/>
              <w:jc w:val="left"/>
              <w:rPr>
                <w:rFonts w:ascii="宋体" w:hAnsi="宋体" w:cs="宋体" w:eastAsia="宋体" w:hint="default"/>
                <w:sz w:val="21"/>
                <w:szCs w:val="21"/>
              </w:rPr>
            </w:pPr>
            <w:r>
              <w:rPr>
                <w:rFonts w:ascii="宋体" w:hAnsi="宋体" w:cs="宋体" w:eastAsia="宋体" w:hint="default"/>
                <w:sz w:val="21"/>
                <w:szCs w:val="21"/>
              </w:rPr>
              <w:t>变更前金额</w:t>
            </w:r>
          </w:p>
        </w:tc>
        <w:tc>
          <w:tcPr>
            <w:tcW w:w="2256" w:type="dxa"/>
            <w:tcBorders>
              <w:top w:val="single" w:sz="6" w:space="0" w:color="000000"/>
              <w:left w:val="single" w:sz="6" w:space="0" w:color="000000"/>
              <w:bottom w:val="single" w:sz="12" w:space="0" w:color="000000"/>
              <w:right w:val="single" w:sz="4" w:space="0" w:color="000000"/>
            </w:tcBorders>
          </w:tcPr>
          <w:p>
            <w:pPr>
              <w:pStyle w:val="TableParagraph"/>
              <w:spacing w:line="258" w:lineRule="exact"/>
              <w:ind w:left="700" w:right="0"/>
              <w:jc w:val="left"/>
              <w:rPr>
                <w:rFonts w:ascii="宋体" w:hAnsi="宋体" w:cs="宋体" w:eastAsia="宋体" w:hint="default"/>
                <w:sz w:val="21"/>
                <w:szCs w:val="21"/>
              </w:rPr>
            </w:pPr>
            <w:r>
              <w:rPr>
                <w:rFonts w:ascii="宋体" w:hAnsi="宋体" w:cs="宋体" w:eastAsia="宋体" w:hint="default"/>
                <w:sz w:val="21"/>
                <w:szCs w:val="21"/>
              </w:rPr>
              <w:t>变更金额</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75" w:right="0"/>
              <w:jc w:val="left"/>
              <w:rPr>
                <w:rFonts w:ascii="宋体" w:hAnsi="宋体" w:cs="宋体" w:eastAsia="宋体" w:hint="default"/>
                <w:sz w:val="21"/>
                <w:szCs w:val="21"/>
              </w:rPr>
            </w:pPr>
            <w:r>
              <w:rPr>
                <w:rFonts w:ascii="宋体" w:hAnsi="宋体" w:cs="宋体" w:eastAsia="宋体" w:hint="default"/>
                <w:sz w:val="21"/>
                <w:szCs w:val="21"/>
              </w:rPr>
              <w:t>变更后金额</w:t>
            </w:r>
          </w:p>
        </w:tc>
      </w:tr>
      <w:tr>
        <w:trPr>
          <w:trHeight w:val="350" w:hRule="exact"/>
        </w:trPr>
        <w:tc>
          <w:tcPr>
            <w:tcW w:w="2035"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4"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2174"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2,518,616.26</w:t>
            </w:r>
          </w:p>
        </w:tc>
        <w:tc>
          <w:tcPr>
            <w:tcW w:w="2256" w:type="dxa"/>
            <w:tcBorders>
              <w:top w:val="single" w:sz="12" w:space="0" w:color="000000"/>
              <w:left w:val="single" w:sz="6" w:space="0" w:color="000000"/>
              <w:bottom w:val="single" w:sz="12" w:space="0" w:color="000000"/>
              <w:right w:val="single" w:sz="4"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(2,518,616.26)</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
              <w:jc w:val="right"/>
              <w:rPr>
                <w:rFonts w:ascii="Times New Roman" w:hAnsi="Times New Roman" w:cs="Times New Roman" w:eastAsia="Times New Roman" w:hint="default"/>
                <w:sz w:val="21"/>
                <w:szCs w:val="21"/>
              </w:rPr>
            </w:pPr>
            <w:r>
              <w:rPr>
                <w:rFonts w:ascii="Times New Roman"/>
                <w:spacing w:val="-1"/>
                <w:sz w:val="21"/>
              </w:rPr>
              <w:t>---</w:t>
            </w:r>
          </w:p>
        </w:tc>
      </w:tr>
      <w:tr>
        <w:trPr>
          <w:trHeight w:val="353" w:hRule="exact"/>
        </w:trPr>
        <w:tc>
          <w:tcPr>
            <w:tcW w:w="2035"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4"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2174"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2256" w:type="dxa"/>
            <w:tcBorders>
              <w:top w:val="single" w:sz="12" w:space="0" w:color="000000"/>
              <w:left w:val="single" w:sz="6" w:space="0" w:color="000000"/>
              <w:bottom w:val="single" w:sz="12" w:space="0" w:color="000000"/>
              <w:right w:val="single" w:sz="4" w:space="0" w:color="000000"/>
            </w:tcBorders>
          </w:tcPr>
          <w:p>
            <w:pPr>
              <w:pStyle w:val="TableParagraph"/>
              <w:spacing w:line="237" w:lineRule="exact"/>
              <w:ind w:right="0"/>
              <w:jc w:val="right"/>
              <w:rPr>
                <w:rFonts w:ascii="Times New Roman" w:hAnsi="Times New Roman" w:cs="Times New Roman" w:eastAsia="Times New Roman" w:hint="default"/>
                <w:sz w:val="21"/>
                <w:szCs w:val="21"/>
              </w:rPr>
            </w:pPr>
            <w:r>
              <w:rPr>
                <w:rFonts w:ascii="Times New Roman"/>
                <w:spacing w:val="-1"/>
                <w:sz w:val="21"/>
              </w:rPr>
              <w:t>2,518,616.26</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right"/>
              <w:rPr>
                <w:rFonts w:ascii="Times New Roman" w:hAnsi="Times New Roman" w:cs="Times New Roman" w:eastAsia="Times New Roman" w:hint="default"/>
                <w:sz w:val="21"/>
                <w:szCs w:val="21"/>
              </w:rPr>
            </w:pPr>
            <w:r>
              <w:rPr>
                <w:rFonts w:ascii="Times New Roman"/>
                <w:spacing w:val="-1"/>
                <w:sz w:val="21"/>
              </w:rPr>
              <w:t>2,518,616.26</w:t>
            </w:r>
          </w:p>
        </w:tc>
      </w:tr>
      <w:tr>
        <w:trPr>
          <w:trHeight w:val="346" w:hRule="exact"/>
        </w:trPr>
        <w:tc>
          <w:tcPr>
            <w:tcW w:w="2035" w:type="dxa"/>
            <w:vMerge w:val="restart"/>
            <w:tcBorders>
              <w:top w:val="single" w:sz="12" w:space="0" w:color="000000"/>
              <w:left w:val="single" w:sz="6" w:space="0" w:color="000000"/>
              <w:right w:val="single" w:sz="6" w:space="0" w:color="000000"/>
            </w:tcBorders>
          </w:tcPr>
          <w:p>
            <w:pPr>
              <w:pStyle w:val="TableParagraph"/>
              <w:spacing w:line="243" w:lineRule="exact"/>
              <w:ind w:left="381" w:right="0"/>
              <w:jc w:val="left"/>
              <w:rPr>
                <w:rFonts w:ascii="宋体" w:hAnsi="宋体" w:cs="宋体" w:eastAsia="宋体" w:hint="default"/>
                <w:sz w:val="21"/>
                <w:szCs w:val="21"/>
              </w:rPr>
            </w:pPr>
            <w:r>
              <w:rPr>
                <w:rFonts w:ascii="宋体" w:hAnsi="宋体" w:cs="宋体" w:eastAsia="宋体" w:hint="default"/>
                <w:sz w:val="21"/>
                <w:szCs w:val="21"/>
              </w:rPr>
              <w:t>报表项目名称</w:t>
            </w:r>
          </w:p>
        </w:tc>
        <w:tc>
          <w:tcPr>
            <w:tcW w:w="6646" w:type="dxa"/>
            <w:gridSpan w:val="3"/>
            <w:tcBorders>
              <w:top w:val="single" w:sz="12" w:space="0" w:color="000000"/>
              <w:left w:val="single" w:sz="6" w:space="0" w:color="000000"/>
              <w:bottom w:val="single" w:sz="6" w:space="0" w:color="000000"/>
              <w:right w:val="single" w:sz="4" w:space="0" w:color="000000"/>
            </w:tcBorders>
          </w:tcPr>
          <w:p>
            <w:pPr>
              <w:pStyle w:val="TableParagraph"/>
              <w:spacing w:line="259"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w:t>
            </w:r>
          </w:p>
        </w:tc>
      </w:tr>
      <w:tr>
        <w:trPr>
          <w:trHeight w:val="360" w:hRule="exact"/>
        </w:trPr>
        <w:tc>
          <w:tcPr>
            <w:tcW w:w="2035" w:type="dxa"/>
            <w:vMerge/>
            <w:tcBorders>
              <w:left w:val="single" w:sz="6" w:space="0" w:color="000000"/>
              <w:bottom w:val="single" w:sz="12" w:space="0" w:color="000000"/>
              <w:right w:val="single" w:sz="6" w:space="0" w:color="000000"/>
            </w:tcBorders>
          </w:tcPr>
          <w:p>
            <w:pPr/>
          </w:p>
        </w:tc>
        <w:tc>
          <w:tcPr>
            <w:tcW w:w="2174" w:type="dxa"/>
            <w:tcBorders>
              <w:top w:val="single" w:sz="6" w:space="0" w:color="000000"/>
              <w:left w:val="single" w:sz="6" w:space="0" w:color="000000"/>
              <w:bottom w:val="single" w:sz="12" w:space="0" w:color="000000"/>
              <w:right w:val="single" w:sz="6" w:space="0" w:color="000000"/>
            </w:tcBorders>
          </w:tcPr>
          <w:p>
            <w:pPr>
              <w:pStyle w:val="TableParagraph"/>
              <w:spacing w:line="255" w:lineRule="exact"/>
              <w:ind w:left="556" w:right="0"/>
              <w:jc w:val="left"/>
              <w:rPr>
                <w:rFonts w:ascii="宋体" w:hAnsi="宋体" w:cs="宋体" w:eastAsia="宋体" w:hint="default"/>
                <w:sz w:val="21"/>
                <w:szCs w:val="21"/>
              </w:rPr>
            </w:pPr>
            <w:r>
              <w:rPr>
                <w:rFonts w:ascii="宋体" w:hAnsi="宋体" w:cs="宋体" w:eastAsia="宋体" w:hint="default"/>
                <w:sz w:val="21"/>
                <w:szCs w:val="21"/>
              </w:rPr>
              <w:t>变更前金额</w:t>
            </w:r>
          </w:p>
        </w:tc>
        <w:tc>
          <w:tcPr>
            <w:tcW w:w="2256" w:type="dxa"/>
            <w:tcBorders>
              <w:top w:val="single" w:sz="6" w:space="0" w:color="000000"/>
              <w:left w:val="single" w:sz="6" w:space="0" w:color="000000"/>
              <w:bottom w:val="single" w:sz="12" w:space="0" w:color="000000"/>
              <w:right w:val="single" w:sz="4" w:space="0" w:color="000000"/>
            </w:tcBorders>
          </w:tcPr>
          <w:p>
            <w:pPr>
              <w:pStyle w:val="TableParagraph"/>
              <w:spacing w:line="255" w:lineRule="exact"/>
              <w:ind w:left="700" w:right="0"/>
              <w:jc w:val="left"/>
              <w:rPr>
                <w:rFonts w:ascii="宋体" w:hAnsi="宋体" w:cs="宋体" w:eastAsia="宋体" w:hint="default"/>
                <w:sz w:val="21"/>
                <w:szCs w:val="21"/>
              </w:rPr>
            </w:pPr>
            <w:r>
              <w:rPr>
                <w:rFonts w:ascii="宋体" w:hAnsi="宋体" w:cs="宋体" w:eastAsia="宋体" w:hint="default"/>
                <w:sz w:val="21"/>
                <w:szCs w:val="21"/>
              </w:rPr>
              <w:t>变更金额</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575" w:right="0"/>
              <w:jc w:val="left"/>
              <w:rPr>
                <w:rFonts w:ascii="宋体" w:hAnsi="宋体" w:cs="宋体" w:eastAsia="宋体" w:hint="default"/>
                <w:sz w:val="21"/>
                <w:szCs w:val="21"/>
              </w:rPr>
            </w:pPr>
            <w:r>
              <w:rPr>
                <w:rFonts w:ascii="宋体" w:hAnsi="宋体" w:cs="宋体" w:eastAsia="宋体" w:hint="default"/>
                <w:sz w:val="21"/>
                <w:szCs w:val="21"/>
              </w:rPr>
              <w:t>变更后金额</w:t>
            </w:r>
          </w:p>
        </w:tc>
      </w:tr>
    </w:tbl>
    <w:p>
      <w:pPr>
        <w:spacing w:after="0" w:line="258" w:lineRule="exact"/>
        <w:jc w:val="left"/>
        <w:rPr>
          <w:rFonts w:ascii="宋体" w:hAnsi="宋体" w:cs="宋体" w:eastAsia="宋体" w:hint="default"/>
          <w:sz w:val="21"/>
          <w:szCs w:val="21"/>
        </w:rPr>
        <w:sectPr>
          <w:pgSz w:w="11910" w:h="16840"/>
          <w:pgMar w:header="748" w:footer="982" w:top="1060" w:bottom="1180" w:left="980" w:right="920"/>
        </w:sectPr>
      </w:pPr>
    </w:p>
    <w:p>
      <w:pPr>
        <w:spacing w:line="240" w:lineRule="auto" w:before="4"/>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2035"/>
        <w:gridCol w:w="2174"/>
        <w:gridCol w:w="2256"/>
        <w:gridCol w:w="2215"/>
      </w:tblGrid>
      <w:tr>
        <w:trPr>
          <w:trHeight w:val="355" w:hRule="exact"/>
        </w:trPr>
        <w:tc>
          <w:tcPr>
            <w:tcW w:w="2035"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left="4"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21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
              <w:ind w:left="955" w:right="0"/>
              <w:jc w:val="left"/>
              <w:rPr>
                <w:rFonts w:ascii="Times New Roman" w:hAnsi="Times New Roman" w:cs="Times New Roman" w:eastAsia="Times New Roman" w:hint="default"/>
                <w:sz w:val="21"/>
                <w:szCs w:val="21"/>
              </w:rPr>
            </w:pPr>
            <w:r>
              <w:rPr>
                <w:rFonts w:ascii="Times New Roman"/>
                <w:sz w:val="21"/>
              </w:rPr>
              <w:t>4,620,556.01</w:t>
            </w:r>
          </w:p>
        </w:tc>
        <w:tc>
          <w:tcPr>
            <w:tcW w:w="2256"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3"/>
              <w:ind w:right="1"/>
              <w:jc w:val="right"/>
              <w:rPr>
                <w:rFonts w:ascii="Times New Roman" w:hAnsi="Times New Roman" w:cs="Times New Roman" w:eastAsia="Times New Roman" w:hint="default"/>
                <w:sz w:val="21"/>
                <w:szCs w:val="21"/>
              </w:rPr>
            </w:pPr>
            <w:r>
              <w:rPr>
                <w:rFonts w:ascii="Times New Roman"/>
                <w:spacing w:val="-1"/>
                <w:sz w:val="21"/>
              </w:rPr>
              <w:t>(4,620,556.01)</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
              <w:jc w:val="right"/>
              <w:rPr>
                <w:rFonts w:ascii="Times New Roman" w:hAnsi="Times New Roman" w:cs="Times New Roman" w:eastAsia="Times New Roman" w:hint="default"/>
                <w:sz w:val="21"/>
                <w:szCs w:val="21"/>
              </w:rPr>
            </w:pPr>
            <w:r>
              <w:rPr>
                <w:rFonts w:ascii="Times New Roman"/>
                <w:spacing w:val="-1"/>
                <w:sz w:val="21"/>
              </w:rPr>
              <w:t>---</w:t>
            </w:r>
          </w:p>
        </w:tc>
      </w:tr>
      <w:tr>
        <w:trPr>
          <w:trHeight w:val="353" w:hRule="exact"/>
        </w:trPr>
        <w:tc>
          <w:tcPr>
            <w:tcW w:w="2035"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4"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2174"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2256" w:type="dxa"/>
            <w:tcBorders>
              <w:top w:val="single" w:sz="12" w:space="0" w:color="000000"/>
              <w:left w:val="single" w:sz="6" w:space="0" w:color="000000"/>
              <w:bottom w:val="single" w:sz="12" w:space="0" w:color="000000"/>
              <w:right w:val="single" w:sz="4" w:space="0" w:color="000000"/>
            </w:tcBorders>
          </w:tcPr>
          <w:p>
            <w:pPr>
              <w:pStyle w:val="TableParagraph"/>
              <w:spacing w:line="235" w:lineRule="exact"/>
              <w:ind w:right="0"/>
              <w:jc w:val="right"/>
              <w:rPr>
                <w:rFonts w:ascii="Times New Roman" w:hAnsi="Times New Roman" w:cs="Times New Roman" w:eastAsia="Times New Roman" w:hint="default"/>
                <w:sz w:val="21"/>
                <w:szCs w:val="21"/>
              </w:rPr>
            </w:pPr>
            <w:r>
              <w:rPr>
                <w:rFonts w:ascii="Times New Roman"/>
                <w:spacing w:val="-1"/>
                <w:sz w:val="21"/>
              </w:rPr>
              <w:t>4,620,556.01</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
              <w:jc w:val="right"/>
              <w:rPr>
                <w:rFonts w:ascii="Times New Roman" w:hAnsi="Times New Roman" w:cs="Times New Roman" w:eastAsia="Times New Roman" w:hint="default"/>
                <w:sz w:val="21"/>
                <w:szCs w:val="21"/>
              </w:rPr>
            </w:pPr>
            <w:r>
              <w:rPr>
                <w:rFonts w:ascii="Times New Roman"/>
                <w:spacing w:val="-1"/>
                <w:sz w:val="21"/>
              </w:rPr>
              <w:t>4,620,556.01</w:t>
            </w:r>
            <w:r>
              <w:rPr>
                <w:rFonts w:ascii="Times New Roman"/>
                <w:sz w:val="21"/>
              </w:rPr>
            </w:r>
          </w:p>
        </w:tc>
      </w:tr>
    </w:tbl>
    <w:p>
      <w:pPr>
        <w:pStyle w:val="BodyText"/>
        <w:spacing w:line="312" w:lineRule="auto" w:before="11"/>
        <w:ind w:right="0" w:firstLine="422"/>
        <w:jc w:val="left"/>
      </w:pPr>
      <w:r>
        <w:rPr>
          <w:spacing w:val="-2"/>
        </w:rPr>
        <w:t>本次会计政策变更，仅对上述财务报表项目列示产生影响，对公司报告期的资产总额、负债总额和净</w:t>
      </w:r>
      <w:r>
        <w:rPr>
          <w:w w:val="100"/>
        </w:rPr>
        <w:t> </w:t>
      </w:r>
      <w:r>
        <w:rPr/>
        <w:t>资产以及报告期的净利润未产生影响。</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pStyle w:val="Heading4"/>
        <w:spacing w:line="240" w:lineRule="auto"/>
        <w:ind w:right="0"/>
        <w:jc w:val="left"/>
        <w:rPr>
          <w:b w:val="0"/>
          <w:bCs w:val="0"/>
        </w:rPr>
      </w:pPr>
      <w:bookmarkStart w:name="五、公司利润分配及分红派息情况" w:id="32"/>
      <w:bookmarkEnd w:id="32"/>
      <w:r>
        <w:rPr>
          <w:b w:val="0"/>
          <w:bCs w:val="0"/>
        </w:rPr>
      </w:r>
      <w:r>
        <w:rPr/>
        <w:t>五、公司利润分配及分红派息情况</w:t>
      </w:r>
      <w:r>
        <w:rPr>
          <w:b w:val="0"/>
          <w:bCs w:val="0"/>
        </w:rPr>
      </w:r>
    </w:p>
    <w:p>
      <w:pPr>
        <w:spacing w:line="240" w:lineRule="auto" w:before="9"/>
        <w:rPr>
          <w:rFonts w:ascii="宋体" w:hAnsi="宋体" w:cs="宋体" w:eastAsia="宋体" w:hint="default"/>
          <w:b/>
          <w:bCs/>
          <w:sz w:val="24"/>
          <w:szCs w:val="24"/>
        </w:rPr>
      </w:pPr>
    </w:p>
    <w:p>
      <w:pPr>
        <w:pStyle w:val="BodyText"/>
        <w:spacing w:line="240" w:lineRule="auto"/>
        <w:ind w:right="0"/>
        <w:jc w:val="left"/>
      </w:pPr>
      <w:r>
        <w:rPr/>
        <w:t>报告期内利润分配政策特别是现金分红政策的制定、执行或调整情况</w:t>
      </w:r>
    </w:p>
    <w:p>
      <w:pPr>
        <w:pStyle w:val="BodyText"/>
        <w:spacing w:line="278" w:lineRule="auto" w:before="37"/>
        <w:ind w:left="575" w:right="0" w:hanging="4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公司于</w:t>
      </w:r>
      <w:r>
        <w:rPr>
          <w:rFonts w:ascii="宋体" w:hAnsi="宋体" w:cs="宋体" w:eastAsia="宋体" w:hint="default"/>
          <w:spacing w:val="-2"/>
        </w:rPr>
        <w:t>2014</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11</w:t>
      </w:r>
      <w:r>
        <w:rPr>
          <w:spacing w:val="-2"/>
        </w:rPr>
        <w:t>日召开第二届董事会第十一次会议，审议通过了“关于公司</w:t>
      </w:r>
      <w:r>
        <w:rPr>
          <w:rFonts w:ascii="宋体" w:hAnsi="宋体" w:cs="宋体" w:eastAsia="宋体" w:hint="default"/>
          <w:spacing w:val="-2"/>
        </w:rPr>
        <w:t>2013</w:t>
      </w:r>
      <w:r>
        <w:rPr>
          <w:spacing w:val="-2"/>
        </w:rPr>
        <w:t>年度利润分配及</w:t>
      </w:r>
      <w:r>
        <w:rPr/>
      </w:r>
    </w:p>
    <w:p>
      <w:pPr>
        <w:pStyle w:val="BodyText"/>
        <w:spacing w:line="312" w:lineRule="auto" w:before="51"/>
        <w:ind w:left="153" w:right="0" w:hanging="1"/>
        <w:jc w:val="left"/>
      </w:pPr>
      <w:r>
        <w:rPr/>
        <w:t>资本公积金转增股本的议案”以</w:t>
      </w:r>
      <w:r>
        <w:rPr>
          <w:rFonts w:ascii="宋体" w:hAnsi="宋体" w:cs="宋体" w:eastAsia="宋体" w:hint="default"/>
        </w:rPr>
        <w:t>2013</w:t>
      </w:r>
      <w:r>
        <w:rPr/>
        <w:t>年</w:t>
      </w:r>
      <w:r>
        <w:rPr>
          <w:rFonts w:ascii="宋体" w:hAnsi="宋体" w:cs="宋体" w:eastAsia="宋体" w:hint="default"/>
        </w:rPr>
        <w:t>12</w:t>
      </w:r>
      <w:r>
        <w:rPr/>
        <w:t>月</w:t>
      </w:r>
      <w:r>
        <w:rPr>
          <w:rFonts w:ascii="宋体" w:hAnsi="宋体" w:cs="宋体" w:eastAsia="宋体" w:hint="default"/>
        </w:rPr>
        <w:t>31</w:t>
      </w:r>
      <w:r>
        <w:rPr/>
        <w:t>日公司总股本</w:t>
      </w:r>
      <w:r>
        <w:rPr>
          <w:rFonts w:ascii="宋体" w:hAnsi="宋体" w:cs="宋体" w:eastAsia="宋体" w:hint="default"/>
        </w:rPr>
        <w:t>8,800</w:t>
      </w:r>
      <w:r>
        <w:rPr/>
        <w:t>万股为基数向全体股东每</w:t>
      </w:r>
      <w:r>
        <w:rPr>
          <w:rFonts w:ascii="宋体" w:hAnsi="宋体" w:cs="宋体" w:eastAsia="宋体" w:hint="default"/>
        </w:rPr>
        <w:t>10</w:t>
      </w:r>
      <w:r>
        <w:rPr/>
        <w:t>股派发现金</w:t>
      </w:r>
      <w:r>
        <w:rPr>
          <w:spacing w:val="-3"/>
          <w:w w:val="100"/>
        </w:rPr>
        <w:t> </w:t>
      </w:r>
      <w:r>
        <w:rPr/>
        <w:t>股利 </w:t>
      </w:r>
      <w:r>
        <w:rPr>
          <w:rFonts w:ascii="宋体" w:hAnsi="宋体" w:cs="宋体" w:eastAsia="宋体" w:hint="default"/>
        </w:rPr>
        <w:t>0.6</w:t>
      </w:r>
      <w:r>
        <w:rPr>
          <w:rFonts w:ascii="宋体" w:hAnsi="宋体" w:cs="宋体" w:eastAsia="宋体" w:hint="default"/>
          <w:spacing w:val="-35"/>
        </w:rPr>
        <w:t> </w:t>
      </w:r>
      <w:r>
        <w:rPr/>
        <w:t>元人民币（含税），同时进行资本公积金转增股本，以</w:t>
      </w:r>
      <w:r>
        <w:rPr>
          <w:rFonts w:ascii="宋体" w:hAnsi="宋体" w:cs="宋体" w:eastAsia="宋体" w:hint="default"/>
        </w:rPr>
        <w:t>8,800</w:t>
      </w:r>
      <w:r>
        <w:rPr/>
        <w:t>万股为基数向全体股东每</w:t>
      </w:r>
      <w:r>
        <w:rPr>
          <w:rFonts w:ascii="宋体" w:hAnsi="宋体" w:cs="宋体" w:eastAsia="宋体" w:hint="default"/>
        </w:rPr>
        <w:t>10</w:t>
      </w:r>
      <w:r>
        <w:rPr/>
        <w:t>股转增</w:t>
      </w:r>
      <w:r>
        <w:rPr>
          <w:spacing w:val="-3"/>
          <w:w w:val="100"/>
        </w:rPr>
        <w:t> </w:t>
      </w:r>
      <w:r>
        <w:rPr>
          <w:rFonts w:ascii="宋体" w:hAnsi="宋体" w:cs="宋体" w:eastAsia="宋体" w:hint="default"/>
        </w:rPr>
        <w:t>8</w:t>
      </w:r>
      <w:r>
        <w:rPr/>
        <w:t>股，共计转增</w:t>
      </w:r>
      <w:r>
        <w:rPr>
          <w:rFonts w:ascii="宋体" w:hAnsi="宋体" w:cs="宋体" w:eastAsia="宋体" w:hint="default"/>
        </w:rPr>
        <w:t>7,040</w:t>
      </w:r>
      <w:r>
        <w:rPr/>
        <w:t>万股，转增后公司总股本将增加至</w:t>
      </w:r>
      <w:r>
        <w:rPr>
          <w:rFonts w:ascii="宋体" w:hAnsi="宋体" w:cs="宋体" w:eastAsia="宋体" w:hint="default"/>
        </w:rPr>
        <w:t>15,840</w:t>
      </w:r>
      <w:r>
        <w:rPr/>
        <w:t>万股。</w:t>
      </w:r>
      <w:r>
        <w:rPr>
          <w:spacing w:val="-6"/>
        </w:rPr>
        <w:t> </w:t>
      </w:r>
      <w:r>
        <w:rPr>
          <w:rFonts w:ascii="宋体" w:hAnsi="宋体" w:cs="宋体" w:eastAsia="宋体" w:hint="default"/>
        </w:rPr>
        <w:t>2014</w:t>
      </w:r>
      <w:r>
        <w:rPr/>
        <w:t>年</w:t>
      </w:r>
      <w:r>
        <w:rPr>
          <w:rFonts w:ascii="宋体" w:hAnsi="宋体" w:cs="宋体" w:eastAsia="宋体" w:hint="default"/>
        </w:rPr>
        <w:t>6</w:t>
      </w:r>
      <w:r>
        <w:rPr/>
        <w:t>月</w:t>
      </w:r>
      <w:r>
        <w:rPr>
          <w:rFonts w:ascii="宋体" w:hAnsi="宋体" w:cs="宋体" w:eastAsia="宋体" w:hint="default"/>
        </w:rPr>
        <w:t>6</w:t>
      </w:r>
      <w:r>
        <w:rPr/>
        <w:t>日，公司召开</w:t>
      </w:r>
      <w:r>
        <w:rPr>
          <w:rFonts w:ascii="宋体" w:hAnsi="宋体" w:cs="宋体" w:eastAsia="宋体" w:hint="default"/>
        </w:rPr>
        <w:t>2013</w:t>
      </w:r>
      <w:r>
        <w:rPr/>
        <w:t>年度</w:t>
      </w:r>
      <w:r>
        <w:rPr>
          <w:spacing w:val="-3"/>
          <w:w w:val="100"/>
        </w:rPr>
        <w:t> </w:t>
      </w:r>
      <w:r>
        <w:rPr>
          <w:spacing w:val="-2"/>
        </w:rPr>
        <w:t>股东大会，审议通过了“关于公司</w:t>
      </w:r>
      <w:r>
        <w:rPr>
          <w:rFonts w:ascii="宋体" w:hAnsi="宋体" w:cs="宋体" w:eastAsia="宋体" w:hint="default"/>
          <w:spacing w:val="-2"/>
        </w:rPr>
        <w:t>2013</w:t>
      </w:r>
      <w:r>
        <w:rPr>
          <w:spacing w:val="-2"/>
        </w:rPr>
        <w:t>年度利润分配及资本公积金转增股本的议案”。</w:t>
      </w:r>
      <w:r>
        <w:rPr>
          <w:rFonts w:ascii="宋体" w:hAnsi="宋体" w:cs="宋体" w:eastAsia="宋体" w:hint="default"/>
          <w:spacing w:val="-2"/>
        </w:rPr>
        <w:t>2014</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1</w:t>
      </w:r>
      <w:r>
        <w:rPr>
          <w:spacing w:val="-2"/>
        </w:rPr>
        <w:t>日，公</w:t>
      </w:r>
      <w:r>
        <w:rPr>
          <w:spacing w:val="-40"/>
        </w:rPr>
        <w:t> </w:t>
      </w:r>
      <w:r>
        <w:rPr>
          <w:spacing w:val="-40"/>
        </w:rPr>
      </w:r>
      <w:r>
        <w:rPr>
          <w:spacing w:val="-2"/>
        </w:rPr>
        <w:t>司发布</w:t>
      </w:r>
      <w:r>
        <w:rPr>
          <w:rFonts w:ascii="宋体" w:hAnsi="宋体" w:cs="宋体" w:eastAsia="宋体" w:hint="default"/>
          <w:spacing w:val="-2"/>
        </w:rPr>
        <w:t>2013</w:t>
      </w:r>
      <w:r>
        <w:rPr>
          <w:spacing w:val="-2"/>
        </w:rPr>
        <w:t>年度权益分派实施公告，拟定股权登记日为：</w:t>
      </w:r>
      <w:r>
        <w:rPr>
          <w:rFonts w:ascii="宋体" w:hAnsi="宋体" w:cs="宋体" w:eastAsia="宋体" w:hint="default"/>
          <w:spacing w:val="-2"/>
        </w:rPr>
        <w:t>2014</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7</w:t>
      </w:r>
      <w:r>
        <w:rPr>
          <w:spacing w:val="-2"/>
        </w:rPr>
        <w:t>日，除权除息日为：</w:t>
      </w:r>
      <w:r>
        <w:rPr>
          <w:rFonts w:ascii="宋体" w:hAnsi="宋体" w:cs="宋体" w:eastAsia="宋体" w:hint="default"/>
          <w:spacing w:val="-2"/>
        </w:rPr>
        <w:t>2014</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8</w:t>
      </w:r>
      <w:r>
        <w:rPr>
          <w:spacing w:val="-2"/>
        </w:rPr>
        <w:t>日。</w:t>
      </w:r>
      <w:r>
        <w:rPr>
          <w:spacing w:val="-10"/>
        </w:rPr>
        <w:t> </w:t>
      </w:r>
      <w:r>
        <w:rPr/>
        <w:t>截至</w:t>
      </w:r>
      <w:r>
        <w:rPr>
          <w:rFonts w:ascii="宋体" w:hAnsi="宋体" w:cs="宋体" w:eastAsia="宋体" w:hint="default"/>
        </w:rPr>
        <w:t>2014</w:t>
      </w:r>
      <w:r>
        <w:rPr/>
        <w:t>年</w:t>
      </w:r>
      <w:r>
        <w:rPr>
          <w:rFonts w:ascii="宋体" w:hAnsi="宋体" w:cs="宋体" w:eastAsia="宋体" w:hint="default"/>
        </w:rPr>
        <w:t>7</w:t>
      </w:r>
      <w:r>
        <w:rPr/>
        <w:t>月</w:t>
      </w:r>
      <w:r>
        <w:rPr>
          <w:rFonts w:ascii="宋体" w:hAnsi="宋体" w:cs="宋体" w:eastAsia="宋体" w:hint="default"/>
        </w:rPr>
        <w:t>8</w:t>
      </w:r>
      <w:r>
        <w:rPr/>
        <w:t>日，公司关于</w:t>
      </w:r>
      <w:r>
        <w:rPr>
          <w:rFonts w:ascii="宋体" w:hAnsi="宋体" w:cs="宋体" w:eastAsia="宋体" w:hint="default"/>
        </w:rPr>
        <w:t>2013</w:t>
      </w:r>
      <w:r>
        <w:rPr/>
        <w:t>年度利润分配及资本公积金转增股本的方案实施完毕。</w:t>
      </w:r>
    </w:p>
    <w:p>
      <w:pPr>
        <w:spacing w:line="240" w:lineRule="auto" w:before="8"/>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4783"/>
        <w:gridCol w:w="4786"/>
      </w:tblGrid>
      <w:tr>
        <w:trPr>
          <w:trHeight w:val="326"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现金分红政策的专项说明</w:t>
            </w:r>
          </w:p>
        </w:tc>
      </w:tr>
      <w:tr>
        <w:trPr>
          <w:trHeight w:val="408"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2"/>
              <w:ind w:left="24" w:right="0"/>
              <w:jc w:val="left"/>
              <w:rPr>
                <w:rFonts w:ascii="宋体" w:hAnsi="宋体" w:cs="宋体" w:eastAsia="宋体" w:hint="default"/>
                <w:sz w:val="21"/>
                <w:szCs w:val="21"/>
              </w:rPr>
            </w:pPr>
            <w:r>
              <w:rPr>
                <w:rFonts w:ascii="宋体" w:hAnsi="宋体" w:cs="宋体" w:eastAsia="宋体" w:hint="default"/>
                <w:sz w:val="21"/>
                <w:szCs w:val="21"/>
              </w:rPr>
              <w:t>是否符合公司章程的规定或股东大会决议的要求：</w:t>
            </w:r>
          </w:p>
        </w:tc>
        <w:tc>
          <w:tcPr>
            <w:tcW w:w="4786" w:type="dxa"/>
            <w:tcBorders>
              <w:top w:val="single" w:sz="23" w:space="0" w:color="D4D4D4"/>
              <w:left w:val="single" w:sz="10" w:space="0" w:color="D4D4D4"/>
              <w:bottom w:val="single" w:sz="4" w:space="0" w:color="000000"/>
              <w:right w:val="single" w:sz="4" w:space="0" w:color="000000"/>
            </w:tcBorders>
          </w:tcPr>
          <w:p>
            <w:pPr>
              <w:pStyle w:val="TableParagraph"/>
              <w:spacing w:line="240" w:lineRule="auto" w:before="18"/>
              <w:ind w:left="16"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379"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4"/>
              <w:ind w:left="24" w:right="0"/>
              <w:jc w:val="left"/>
              <w:rPr>
                <w:rFonts w:ascii="宋体" w:hAnsi="宋体" w:cs="宋体" w:eastAsia="宋体" w:hint="default"/>
                <w:sz w:val="21"/>
                <w:szCs w:val="21"/>
              </w:rPr>
            </w:pPr>
            <w:r>
              <w:rPr>
                <w:rFonts w:ascii="宋体" w:hAnsi="宋体" w:cs="宋体" w:eastAsia="宋体" w:hint="default"/>
                <w:sz w:val="21"/>
                <w:szCs w:val="21"/>
              </w:rPr>
              <w:t>分红标准和比例是否明确和清晰：</w:t>
            </w:r>
          </w:p>
        </w:tc>
        <w:tc>
          <w:tcPr>
            <w:tcW w:w="478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4"/>
              <w:ind w:left="16"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353"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4"/>
              <w:ind w:left="24" w:right="0"/>
              <w:jc w:val="left"/>
              <w:rPr>
                <w:rFonts w:ascii="宋体" w:hAnsi="宋体" w:cs="宋体" w:eastAsia="宋体" w:hint="default"/>
                <w:sz w:val="21"/>
                <w:szCs w:val="21"/>
              </w:rPr>
            </w:pPr>
            <w:r>
              <w:rPr>
                <w:rFonts w:ascii="宋体" w:hAnsi="宋体" w:cs="宋体" w:eastAsia="宋体" w:hint="default"/>
                <w:sz w:val="21"/>
                <w:szCs w:val="21"/>
              </w:rPr>
              <w:t>相关的决策程序和机制是否完备：</w:t>
            </w:r>
          </w:p>
        </w:tc>
        <w:tc>
          <w:tcPr>
            <w:tcW w:w="478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4"/>
              <w:ind w:left="16"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380"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0"/>
              <w:ind w:left="24" w:right="0"/>
              <w:jc w:val="left"/>
              <w:rPr>
                <w:rFonts w:ascii="宋体" w:hAnsi="宋体" w:cs="宋体" w:eastAsia="宋体" w:hint="default"/>
                <w:sz w:val="21"/>
                <w:szCs w:val="21"/>
              </w:rPr>
            </w:pPr>
            <w:r>
              <w:rPr>
                <w:rFonts w:ascii="宋体" w:hAnsi="宋体" w:cs="宋体" w:eastAsia="宋体" w:hint="default"/>
                <w:sz w:val="21"/>
                <w:szCs w:val="21"/>
              </w:rPr>
              <w:t>独立董事是否履职尽责并发挥了应有的作用：</w:t>
            </w:r>
          </w:p>
        </w:tc>
        <w:tc>
          <w:tcPr>
            <w:tcW w:w="478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0"/>
              <w:ind w:left="16"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580"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72" w:lineRule="exact" w:before="18"/>
              <w:ind w:left="24" w:right="14"/>
              <w:jc w:val="left"/>
              <w:rPr>
                <w:rFonts w:ascii="宋体" w:hAnsi="宋体" w:cs="宋体" w:eastAsia="宋体" w:hint="default"/>
                <w:sz w:val="21"/>
                <w:szCs w:val="21"/>
              </w:rPr>
            </w:pPr>
            <w:r>
              <w:rPr>
                <w:rFonts w:ascii="宋体" w:hAnsi="宋体" w:cs="宋体" w:eastAsia="宋体" w:hint="default"/>
                <w:spacing w:val="-6"/>
                <w:w w:val="100"/>
                <w:sz w:val="21"/>
                <w:szCs w:val="21"/>
              </w:rPr>
              <w:t>中小股东是否有充分表达意见和诉求的机会，其合法</w:t>
            </w:r>
            <w:r>
              <w:rPr>
                <w:rFonts w:ascii="宋体" w:hAnsi="宋体" w:cs="宋体" w:eastAsia="宋体" w:hint="default"/>
                <w:spacing w:val="-99"/>
                <w:w w:val="100"/>
                <w:sz w:val="21"/>
                <w:szCs w:val="21"/>
              </w:rPr>
              <w:t> </w:t>
            </w:r>
            <w:r>
              <w:rPr>
                <w:rFonts w:ascii="宋体" w:hAnsi="宋体" w:cs="宋体" w:eastAsia="宋体" w:hint="default"/>
                <w:spacing w:val="-99"/>
                <w:w w:val="100"/>
                <w:sz w:val="21"/>
                <w:szCs w:val="21"/>
              </w:rPr>
            </w:r>
            <w:r>
              <w:rPr>
                <w:rFonts w:ascii="宋体" w:hAnsi="宋体" w:cs="宋体" w:eastAsia="宋体" w:hint="default"/>
                <w:sz w:val="21"/>
                <w:szCs w:val="21"/>
              </w:rPr>
              <w:t>权益是否得到了充分保护：</w:t>
            </w:r>
          </w:p>
        </w:tc>
        <w:tc>
          <w:tcPr>
            <w:tcW w:w="478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5"/>
              <w:ind w:left="16"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557"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现金</w:t>
            </w:r>
            <w:r>
              <w:rPr>
                <w:rFonts w:ascii="宋体" w:hAnsi="宋体" w:cs="宋体" w:eastAsia="宋体" w:hint="default"/>
                <w:spacing w:val="-3"/>
                <w:w w:val="100"/>
                <w:sz w:val="21"/>
                <w:szCs w:val="21"/>
              </w:rPr>
              <w:t>分</w:t>
            </w:r>
            <w:r>
              <w:rPr>
                <w:rFonts w:ascii="宋体" w:hAnsi="宋体" w:cs="宋体" w:eastAsia="宋体" w:hint="default"/>
                <w:w w:val="100"/>
                <w:sz w:val="21"/>
                <w:szCs w:val="21"/>
              </w:rPr>
              <w:t>红</w:t>
            </w:r>
            <w:r>
              <w:rPr>
                <w:rFonts w:ascii="宋体" w:hAnsi="宋体" w:cs="宋体" w:eastAsia="宋体" w:hint="default"/>
                <w:spacing w:val="-3"/>
                <w:w w:val="100"/>
                <w:sz w:val="21"/>
                <w:szCs w:val="21"/>
              </w:rPr>
              <w:t>政</w:t>
            </w:r>
            <w:r>
              <w:rPr>
                <w:rFonts w:ascii="宋体" w:hAnsi="宋体" w:cs="宋体" w:eastAsia="宋体" w:hint="default"/>
                <w:w w:val="100"/>
                <w:sz w:val="21"/>
                <w:szCs w:val="21"/>
              </w:rPr>
              <w:t>策</w:t>
            </w:r>
            <w:r>
              <w:rPr>
                <w:rFonts w:ascii="宋体" w:hAnsi="宋体" w:cs="宋体" w:eastAsia="宋体" w:hint="default"/>
                <w:spacing w:val="-3"/>
                <w:w w:val="100"/>
                <w:sz w:val="21"/>
                <w:szCs w:val="21"/>
              </w:rPr>
              <w:t>进</w:t>
            </w:r>
            <w:r>
              <w:rPr>
                <w:rFonts w:ascii="宋体" w:hAnsi="宋体" w:cs="宋体" w:eastAsia="宋体" w:hint="default"/>
                <w:w w:val="100"/>
                <w:sz w:val="21"/>
                <w:szCs w:val="21"/>
              </w:rPr>
              <w:t>行</w:t>
            </w:r>
            <w:r>
              <w:rPr>
                <w:rFonts w:ascii="宋体" w:hAnsi="宋体" w:cs="宋体" w:eastAsia="宋体" w:hint="default"/>
                <w:spacing w:val="-3"/>
                <w:w w:val="100"/>
                <w:sz w:val="21"/>
                <w:szCs w:val="21"/>
              </w:rPr>
              <w:t>调</w:t>
            </w:r>
            <w:r>
              <w:rPr>
                <w:rFonts w:ascii="宋体" w:hAnsi="宋体" w:cs="宋体" w:eastAsia="宋体" w:hint="default"/>
                <w:w w:val="100"/>
                <w:sz w:val="21"/>
                <w:szCs w:val="21"/>
              </w:rPr>
              <w:t>整</w:t>
            </w:r>
            <w:r>
              <w:rPr>
                <w:rFonts w:ascii="宋体" w:hAnsi="宋体" w:cs="宋体" w:eastAsia="宋体" w:hint="default"/>
                <w:spacing w:val="-3"/>
                <w:w w:val="100"/>
                <w:sz w:val="21"/>
                <w:szCs w:val="21"/>
              </w:rPr>
              <w:t>或</w:t>
            </w:r>
            <w:r>
              <w:rPr>
                <w:rFonts w:ascii="宋体" w:hAnsi="宋体" w:cs="宋体" w:eastAsia="宋体" w:hint="default"/>
                <w:w w:val="100"/>
                <w:sz w:val="21"/>
                <w:szCs w:val="21"/>
              </w:rPr>
              <w:t>变更的</w:t>
            </w:r>
            <w:r>
              <w:rPr>
                <w:rFonts w:ascii="宋体" w:hAnsi="宋体" w:cs="宋体" w:eastAsia="宋体" w:hint="default"/>
                <w:spacing w:val="-106"/>
                <w:w w:val="100"/>
                <w:sz w:val="21"/>
                <w:szCs w:val="21"/>
              </w:rPr>
              <w:t>，</w:t>
            </w:r>
            <w:r>
              <w:rPr>
                <w:rFonts w:ascii="宋体" w:hAnsi="宋体" w:cs="宋体" w:eastAsia="宋体" w:hint="default"/>
                <w:w w:val="100"/>
                <w:sz w:val="21"/>
                <w:szCs w:val="21"/>
              </w:rPr>
              <w:t>条</w:t>
            </w:r>
            <w:r>
              <w:rPr>
                <w:rFonts w:ascii="宋体" w:hAnsi="宋体" w:cs="宋体" w:eastAsia="宋体" w:hint="default"/>
                <w:spacing w:val="-3"/>
                <w:w w:val="100"/>
                <w:sz w:val="21"/>
                <w:szCs w:val="21"/>
              </w:rPr>
              <w:t>件</w:t>
            </w:r>
            <w:r>
              <w:rPr>
                <w:rFonts w:ascii="宋体" w:hAnsi="宋体" w:cs="宋体" w:eastAsia="宋体" w:hint="default"/>
                <w:w w:val="100"/>
                <w:sz w:val="21"/>
                <w:szCs w:val="21"/>
              </w:rPr>
              <w:t>及</w:t>
            </w:r>
            <w:r>
              <w:rPr>
                <w:rFonts w:ascii="宋体" w:hAnsi="宋体" w:cs="宋体" w:eastAsia="宋体" w:hint="default"/>
                <w:spacing w:val="-3"/>
                <w:w w:val="100"/>
                <w:sz w:val="21"/>
                <w:szCs w:val="21"/>
              </w:rPr>
              <w:t>程</w:t>
            </w:r>
            <w:r>
              <w:rPr>
                <w:rFonts w:ascii="宋体" w:hAnsi="宋体" w:cs="宋体" w:eastAsia="宋体" w:hint="default"/>
                <w:w w:val="100"/>
                <w:sz w:val="21"/>
                <w:szCs w:val="21"/>
              </w:rPr>
              <w:t>序</w:t>
            </w:r>
            <w:r>
              <w:rPr>
                <w:rFonts w:ascii="宋体" w:hAnsi="宋体" w:cs="宋体" w:eastAsia="宋体" w:hint="default"/>
                <w:spacing w:val="-3"/>
                <w:w w:val="100"/>
                <w:sz w:val="21"/>
                <w:szCs w:val="21"/>
              </w:rPr>
              <w:t>是</w:t>
            </w:r>
            <w:r>
              <w:rPr>
                <w:rFonts w:ascii="宋体" w:hAnsi="宋体" w:cs="宋体" w:eastAsia="宋体" w:hint="default"/>
                <w:w w:val="100"/>
                <w:sz w:val="21"/>
                <w:szCs w:val="21"/>
              </w:rPr>
              <w:t>否合</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规、透明：</w:t>
            </w:r>
          </w:p>
        </w:tc>
        <w:tc>
          <w:tcPr>
            <w:tcW w:w="478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2"/>
              <w:ind w:left="16" w:right="0"/>
              <w:jc w:val="left"/>
              <w:rPr>
                <w:rFonts w:ascii="宋体" w:hAnsi="宋体" w:cs="宋体" w:eastAsia="宋体" w:hint="default"/>
                <w:sz w:val="21"/>
                <w:szCs w:val="21"/>
              </w:rPr>
            </w:pPr>
            <w:r>
              <w:rPr>
                <w:rFonts w:ascii="宋体" w:hAnsi="宋体" w:cs="宋体" w:eastAsia="宋体" w:hint="default"/>
                <w:w w:val="100"/>
                <w:sz w:val="21"/>
                <w:szCs w:val="21"/>
              </w:rPr>
              <w:t>是</w:t>
            </w:r>
          </w:p>
        </w:tc>
      </w:tr>
    </w:tbl>
    <w:p>
      <w:pPr>
        <w:pStyle w:val="BodyText"/>
        <w:spacing w:line="262" w:lineRule="exact"/>
        <w:ind w:right="0"/>
        <w:jc w:val="left"/>
      </w:pPr>
      <w:r>
        <w:rPr/>
        <w:t>公司报告期利润分配预案及资本公积金转增股本预案与公司章程和分红管理办法等的相关规定一致</w:t>
      </w:r>
    </w:p>
    <w:p>
      <w:pPr>
        <w:pStyle w:val="BodyText"/>
        <w:spacing w:line="264" w:lineRule="auto" w:before="37"/>
        <w:ind w:right="18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5"/>
        </w:rPr>
        <w:t> </w:t>
      </w:r>
      <w:r>
        <w:rPr/>
        <w:t>不适用</w:t>
      </w:r>
      <w:r>
        <w:rPr>
          <w:spacing w:val="-3"/>
          <w:w w:val="100"/>
        </w:rPr>
        <w:t> </w:t>
      </w:r>
      <w:r>
        <w:rPr>
          <w:spacing w:val="-2"/>
        </w:rPr>
        <w:t>公司报告期利润分配预案及资本公积金转增股本预案符合公司章程等的相关规定。</w:t>
      </w:r>
      <w:r>
        <w:rPr>
          <w:spacing w:val="-35"/>
        </w:rPr>
        <w:t> </w:t>
      </w:r>
      <w:r>
        <w:rPr>
          <w:spacing w:val="-35"/>
        </w:rPr>
      </w:r>
      <w:r>
        <w:rPr/>
        <w:t>本年度利润分配及资本公积金转增股本预案</w:t>
      </w:r>
    </w:p>
    <w:p>
      <w:pPr>
        <w:spacing w:line="240" w:lineRule="auto" w:before="0"/>
        <w:rPr>
          <w:rFonts w:ascii="宋体" w:hAnsi="宋体" w:cs="宋体" w:eastAsia="宋体" w:hint="default"/>
          <w:sz w:val="4"/>
          <w:szCs w:val="4"/>
        </w:rPr>
      </w:pPr>
    </w:p>
    <w:tbl>
      <w:tblPr>
        <w:tblW w:w="0" w:type="auto"/>
        <w:jc w:val="left"/>
        <w:tblInd w:w="148" w:type="dxa"/>
        <w:tblLayout w:type="fixed"/>
        <w:tblCellMar>
          <w:top w:w="0" w:type="dxa"/>
          <w:left w:w="0" w:type="dxa"/>
          <w:bottom w:w="0" w:type="dxa"/>
          <w:right w:w="0" w:type="dxa"/>
        </w:tblCellMar>
        <w:tblLook w:val="01E0"/>
      </w:tblPr>
      <w:tblGrid>
        <w:gridCol w:w="3718"/>
        <w:gridCol w:w="5851"/>
      </w:tblGrid>
      <w:tr>
        <w:trPr>
          <w:trHeight w:val="355" w:hRule="exact"/>
        </w:trPr>
        <w:tc>
          <w:tcPr>
            <w:tcW w:w="37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81" w:lineRule="exact"/>
              <w:ind w:left="24" w:right="0"/>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股送红股数（股）</w:t>
            </w:r>
          </w:p>
        </w:tc>
        <w:tc>
          <w:tcPr>
            <w:tcW w:w="585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w w:val="100"/>
                <w:sz w:val="21"/>
              </w:rPr>
              <w:t>0</w:t>
            </w:r>
          </w:p>
        </w:tc>
      </w:tr>
      <w:tr>
        <w:trPr>
          <w:trHeight w:val="379" w:hRule="exact"/>
        </w:trPr>
        <w:tc>
          <w:tcPr>
            <w:tcW w:w="37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4"/>
              <w:ind w:left="24" w:right="0"/>
              <w:jc w:val="left"/>
              <w:rPr>
                <w:rFonts w:ascii="宋体" w:hAnsi="宋体" w:cs="宋体" w:eastAsia="宋体" w:hint="default"/>
                <w:sz w:val="21"/>
                <w:szCs w:val="21"/>
              </w:rPr>
            </w:pPr>
            <w:r>
              <w:rPr>
                <w:rFonts w:ascii="宋体" w:hAnsi="宋体" w:cs="宋体" w:eastAsia="宋体" w:hint="default"/>
                <w:w w:val="100"/>
                <w:sz w:val="21"/>
                <w:szCs w:val="21"/>
              </w:rPr>
              <w:t>每</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股</w:t>
            </w:r>
            <w:r>
              <w:rPr>
                <w:rFonts w:ascii="宋体" w:hAnsi="宋体" w:cs="宋体" w:eastAsia="宋体" w:hint="default"/>
                <w:spacing w:val="-3"/>
                <w:w w:val="100"/>
                <w:sz w:val="21"/>
                <w:szCs w:val="21"/>
              </w:rPr>
              <w:t>派</w:t>
            </w:r>
            <w:r>
              <w:rPr>
                <w:rFonts w:ascii="宋体" w:hAnsi="宋体" w:cs="宋体" w:eastAsia="宋体" w:hint="default"/>
                <w:w w:val="100"/>
                <w:sz w:val="21"/>
                <w:szCs w:val="21"/>
              </w:rPr>
              <w:t>息</w:t>
            </w:r>
            <w:r>
              <w:rPr>
                <w:rFonts w:ascii="宋体" w:hAnsi="宋体" w:cs="宋体" w:eastAsia="宋体" w:hint="default"/>
                <w:spacing w:val="-3"/>
                <w:w w:val="100"/>
                <w:sz w:val="21"/>
                <w:szCs w:val="21"/>
              </w:rPr>
              <w:t>数</w:t>
            </w:r>
            <w:r>
              <w:rPr>
                <w:rFonts w:ascii="宋体" w:hAnsi="宋体" w:cs="宋体" w:eastAsia="宋体" w:hint="default"/>
                <w:w w:val="100"/>
                <w:sz w:val="21"/>
                <w:szCs w:val="21"/>
              </w:rPr>
              <w:t>（元</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含</w:t>
            </w:r>
            <w:r>
              <w:rPr>
                <w:rFonts w:ascii="宋体" w:hAnsi="宋体" w:cs="宋体" w:eastAsia="宋体" w:hint="default"/>
                <w:w w:val="100"/>
                <w:sz w:val="21"/>
                <w:szCs w:val="21"/>
              </w:rPr>
              <w:t>税）</w:t>
            </w:r>
          </w:p>
        </w:tc>
        <w:tc>
          <w:tcPr>
            <w:tcW w:w="585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58"/>
              <w:ind w:right="17"/>
              <w:jc w:val="right"/>
              <w:rPr>
                <w:rFonts w:ascii="Times New Roman" w:hAnsi="Times New Roman" w:cs="Times New Roman" w:eastAsia="Times New Roman" w:hint="default"/>
                <w:sz w:val="21"/>
                <w:szCs w:val="21"/>
              </w:rPr>
            </w:pPr>
            <w:r>
              <w:rPr>
                <w:rFonts w:ascii="Times New Roman"/>
                <w:sz w:val="21"/>
              </w:rPr>
              <w:t>1.00</w:t>
            </w:r>
          </w:p>
        </w:tc>
      </w:tr>
      <w:tr>
        <w:trPr>
          <w:trHeight w:val="379" w:hRule="exact"/>
        </w:trPr>
        <w:tc>
          <w:tcPr>
            <w:tcW w:w="37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4"/>
              <w:ind w:left="24" w:right="0"/>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股转增数（股）</w:t>
            </w:r>
          </w:p>
        </w:tc>
        <w:tc>
          <w:tcPr>
            <w:tcW w:w="585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56"/>
              <w:ind w:right="19"/>
              <w:jc w:val="right"/>
              <w:rPr>
                <w:rFonts w:ascii="Times New Roman" w:hAnsi="Times New Roman" w:cs="Times New Roman" w:eastAsia="Times New Roman" w:hint="default"/>
                <w:sz w:val="21"/>
                <w:szCs w:val="21"/>
              </w:rPr>
            </w:pPr>
            <w:r>
              <w:rPr>
                <w:rFonts w:ascii="Times New Roman"/>
                <w:w w:val="100"/>
                <w:sz w:val="21"/>
              </w:rPr>
              <w:t>0</w:t>
            </w:r>
          </w:p>
        </w:tc>
      </w:tr>
      <w:tr>
        <w:trPr>
          <w:trHeight w:val="379" w:hRule="exact"/>
        </w:trPr>
        <w:tc>
          <w:tcPr>
            <w:tcW w:w="37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4"/>
              <w:ind w:left="24" w:right="0"/>
              <w:jc w:val="left"/>
              <w:rPr>
                <w:rFonts w:ascii="宋体" w:hAnsi="宋体" w:cs="宋体" w:eastAsia="宋体" w:hint="default"/>
                <w:sz w:val="21"/>
                <w:szCs w:val="21"/>
              </w:rPr>
            </w:pPr>
            <w:r>
              <w:rPr>
                <w:rFonts w:ascii="宋体" w:hAnsi="宋体" w:cs="宋体" w:eastAsia="宋体" w:hint="default"/>
                <w:sz w:val="21"/>
                <w:szCs w:val="21"/>
              </w:rPr>
              <w:t>分配预案的股本基数（股）</w:t>
            </w:r>
          </w:p>
        </w:tc>
        <w:tc>
          <w:tcPr>
            <w:tcW w:w="585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56"/>
              <w:ind w:right="17"/>
              <w:jc w:val="right"/>
              <w:rPr>
                <w:rFonts w:ascii="Times New Roman" w:hAnsi="Times New Roman" w:cs="Times New Roman" w:eastAsia="Times New Roman" w:hint="default"/>
                <w:sz w:val="21"/>
                <w:szCs w:val="21"/>
              </w:rPr>
            </w:pPr>
            <w:r>
              <w:rPr>
                <w:rFonts w:ascii="Times New Roman"/>
                <w:spacing w:val="-1"/>
                <w:sz w:val="21"/>
              </w:rPr>
              <w:t>158,400,000</w:t>
            </w:r>
          </w:p>
        </w:tc>
      </w:tr>
      <w:tr>
        <w:trPr>
          <w:trHeight w:val="353" w:hRule="exact"/>
        </w:trPr>
        <w:tc>
          <w:tcPr>
            <w:tcW w:w="37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4"/>
              <w:ind w:left="24" w:right="0"/>
              <w:jc w:val="left"/>
              <w:rPr>
                <w:rFonts w:ascii="宋体" w:hAnsi="宋体" w:cs="宋体" w:eastAsia="宋体" w:hint="default"/>
                <w:sz w:val="21"/>
                <w:szCs w:val="21"/>
              </w:rPr>
            </w:pPr>
            <w:r>
              <w:rPr>
                <w:rFonts w:ascii="宋体" w:hAnsi="宋体" w:cs="宋体" w:eastAsia="宋体" w:hint="default"/>
                <w:w w:val="100"/>
                <w:sz w:val="21"/>
                <w:szCs w:val="21"/>
              </w:rPr>
              <w:t>现金</w:t>
            </w:r>
            <w:r>
              <w:rPr>
                <w:rFonts w:ascii="宋体" w:hAnsi="宋体" w:cs="宋体" w:eastAsia="宋体" w:hint="default"/>
                <w:spacing w:val="-3"/>
                <w:w w:val="100"/>
                <w:sz w:val="21"/>
                <w:szCs w:val="21"/>
              </w:rPr>
              <w:t>分</w:t>
            </w:r>
            <w:r>
              <w:rPr>
                <w:rFonts w:ascii="宋体" w:hAnsi="宋体" w:cs="宋体" w:eastAsia="宋体" w:hint="default"/>
                <w:w w:val="100"/>
                <w:sz w:val="21"/>
                <w:szCs w:val="21"/>
              </w:rPr>
              <w:t>红</w:t>
            </w:r>
            <w:r>
              <w:rPr>
                <w:rFonts w:ascii="宋体" w:hAnsi="宋体" w:cs="宋体" w:eastAsia="宋体" w:hint="default"/>
                <w:spacing w:val="-3"/>
                <w:w w:val="100"/>
                <w:sz w:val="21"/>
                <w:szCs w:val="21"/>
              </w:rPr>
              <w:t>总</w:t>
            </w:r>
            <w:r>
              <w:rPr>
                <w:rFonts w:ascii="宋体" w:hAnsi="宋体" w:cs="宋体" w:eastAsia="宋体" w:hint="default"/>
                <w:w w:val="100"/>
                <w:sz w:val="21"/>
                <w:szCs w:val="21"/>
              </w:rPr>
              <w:t>额</w:t>
            </w:r>
            <w:r>
              <w:rPr>
                <w:rFonts w:ascii="宋体" w:hAnsi="宋体" w:cs="宋体" w:eastAsia="宋体" w:hint="default"/>
                <w:spacing w:val="-3"/>
                <w:w w:val="100"/>
                <w:sz w:val="21"/>
                <w:szCs w:val="21"/>
              </w:rPr>
              <w:t>（</w:t>
            </w:r>
            <w:r>
              <w:rPr>
                <w:rFonts w:ascii="宋体" w:hAnsi="宋体" w:cs="宋体" w:eastAsia="宋体" w:hint="default"/>
                <w:w w:val="100"/>
                <w:sz w:val="21"/>
                <w:szCs w:val="21"/>
              </w:rPr>
              <w:t>元</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含税</w:t>
            </w:r>
            <w:r>
              <w:rPr>
                <w:rFonts w:ascii="宋体" w:hAnsi="宋体" w:cs="宋体" w:eastAsia="宋体" w:hint="default"/>
                <w:w w:val="100"/>
                <w:sz w:val="21"/>
                <w:szCs w:val="21"/>
              </w:rPr>
              <w:t>）</w:t>
            </w:r>
          </w:p>
        </w:tc>
        <w:tc>
          <w:tcPr>
            <w:tcW w:w="585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56"/>
              <w:ind w:right="17"/>
              <w:jc w:val="right"/>
              <w:rPr>
                <w:rFonts w:ascii="Times New Roman" w:hAnsi="Times New Roman" w:cs="Times New Roman" w:eastAsia="Times New Roman" w:hint="default"/>
                <w:sz w:val="21"/>
                <w:szCs w:val="21"/>
              </w:rPr>
            </w:pPr>
            <w:r>
              <w:rPr>
                <w:rFonts w:ascii="Times New Roman"/>
                <w:spacing w:val="-1"/>
                <w:sz w:val="21"/>
              </w:rPr>
              <w:t>15,840,000.00</w:t>
            </w:r>
          </w:p>
        </w:tc>
      </w:tr>
      <w:tr>
        <w:trPr>
          <w:trHeight w:val="404" w:hRule="exact"/>
        </w:trPr>
        <w:tc>
          <w:tcPr>
            <w:tcW w:w="37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0"/>
              <w:ind w:left="24" w:right="0"/>
              <w:jc w:val="left"/>
              <w:rPr>
                <w:rFonts w:ascii="宋体" w:hAnsi="宋体" w:cs="宋体" w:eastAsia="宋体" w:hint="default"/>
                <w:sz w:val="21"/>
                <w:szCs w:val="21"/>
              </w:rPr>
            </w:pPr>
            <w:r>
              <w:rPr>
                <w:rFonts w:ascii="宋体" w:hAnsi="宋体" w:cs="宋体" w:eastAsia="宋体" w:hint="default"/>
                <w:sz w:val="21"/>
                <w:szCs w:val="21"/>
              </w:rPr>
              <w:t>可分配利润（元）</w:t>
            </w:r>
          </w:p>
        </w:tc>
        <w:tc>
          <w:tcPr>
            <w:tcW w:w="585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82"/>
              <w:ind w:right="17"/>
              <w:jc w:val="right"/>
              <w:rPr>
                <w:rFonts w:ascii="Times New Roman" w:hAnsi="Times New Roman" w:cs="Times New Roman" w:eastAsia="Times New Roman" w:hint="default"/>
                <w:sz w:val="21"/>
                <w:szCs w:val="21"/>
              </w:rPr>
            </w:pPr>
            <w:r>
              <w:rPr>
                <w:rFonts w:ascii="Times New Roman"/>
                <w:spacing w:val="-1"/>
                <w:sz w:val="21"/>
              </w:rPr>
              <w:t>101,236,053.71</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
              <w:ind w:left="24" w:right="0"/>
              <w:jc w:val="left"/>
              <w:rPr>
                <w:rFonts w:ascii="宋体" w:hAnsi="宋体" w:cs="宋体" w:eastAsia="宋体" w:hint="default"/>
                <w:sz w:val="21"/>
                <w:szCs w:val="21"/>
              </w:rPr>
            </w:pPr>
            <w:r>
              <w:rPr>
                <w:rFonts w:ascii="宋体" w:hAnsi="宋体" w:cs="宋体" w:eastAsia="宋体" w:hint="default"/>
                <w:sz w:val="21"/>
                <w:szCs w:val="21"/>
              </w:rPr>
              <w:t>现金分红占利润分配总额的比例</w:t>
            </w:r>
          </w:p>
        </w:tc>
        <w:tc>
          <w:tcPr>
            <w:tcW w:w="5851" w:type="dxa"/>
            <w:tcBorders>
              <w:top w:val="single" w:sz="4" w:space="0" w:color="000000"/>
              <w:left w:val="single" w:sz="9" w:space="0" w:color="D4D4D4"/>
              <w:bottom w:val="single" w:sz="23" w:space="0" w:color="D4D4D4"/>
              <w:right w:val="single" w:sz="4" w:space="0" w:color="000000"/>
            </w:tcBorders>
          </w:tcPr>
          <w:p>
            <w:pPr>
              <w:pStyle w:val="TableParagraph"/>
              <w:spacing w:line="240" w:lineRule="auto" w:before="57"/>
              <w:ind w:right="16"/>
              <w:jc w:val="right"/>
              <w:rPr>
                <w:rFonts w:ascii="Times New Roman" w:hAnsi="Times New Roman" w:cs="Times New Roman" w:eastAsia="Times New Roman" w:hint="default"/>
                <w:sz w:val="21"/>
                <w:szCs w:val="21"/>
              </w:rPr>
            </w:pPr>
            <w:r>
              <w:rPr>
                <w:rFonts w:ascii="Times New Roman"/>
                <w:sz w:val="21"/>
              </w:rPr>
              <w:t>100.00%</w:t>
            </w:r>
          </w:p>
        </w:tc>
      </w:tr>
      <w:tr>
        <w:trPr>
          <w:trHeight w:val="33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本次现金分红情况</w:t>
            </w:r>
          </w:p>
        </w:tc>
      </w:tr>
      <w:tr>
        <w:trPr>
          <w:trHeight w:val="403" w:hRule="exact"/>
        </w:trPr>
        <w:tc>
          <w:tcPr>
            <w:tcW w:w="9569" w:type="dxa"/>
            <w:gridSpan w:val="2"/>
            <w:tcBorders>
              <w:top w:val="single" w:sz="19" w:space="0" w:color="D4D4D4"/>
              <w:left w:val="single" w:sz="4" w:space="0" w:color="000000"/>
              <w:bottom w:val="single" w:sz="4" w:space="0" w:color="000000"/>
              <w:right w:val="single" w:sz="4" w:space="0" w:color="000000"/>
            </w:tcBorders>
          </w:tcPr>
          <w:p>
            <w:pPr>
              <w:pStyle w:val="TableParagraph"/>
              <w:spacing w:line="240" w:lineRule="auto" w:before="18"/>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379"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4"/>
              <w:ind w:left="2572" w:right="0"/>
              <w:jc w:val="left"/>
              <w:rPr>
                <w:rFonts w:ascii="宋体" w:hAnsi="宋体" w:cs="宋体" w:eastAsia="宋体" w:hint="default"/>
                <w:sz w:val="21"/>
                <w:szCs w:val="21"/>
              </w:rPr>
            </w:pPr>
            <w:r>
              <w:rPr>
                <w:rFonts w:ascii="宋体" w:hAnsi="宋体" w:cs="宋体" w:eastAsia="宋体" w:hint="default"/>
                <w:sz w:val="21"/>
                <w:szCs w:val="21"/>
              </w:rPr>
              <w:t>利润分配或资本公积金转增预案的详细情况说明</w:t>
            </w:r>
          </w:p>
        </w:tc>
      </w:tr>
    </w:tbl>
    <w:p>
      <w:pPr>
        <w:spacing w:after="0" w:line="240" w:lineRule="auto"/>
        <w:jc w:val="left"/>
        <w:rPr>
          <w:rFonts w:ascii="宋体" w:hAnsi="宋体" w:cs="宋体" w:eastAsia="宋体" w:hint="default"/>
          <w:sz w:val="21"/>
          <w:szCs w:val="21"/>
        </w:rPr>
        <w:sectPr>
          <w:pgSz w:w="11910" w:h="16840"/>
          <w:pgMar w:header="748" w:footer="982" w:top="1060" w:bottom="1180" w:left="980" w:right="980"/>
        </w:sectPr>
      </w:pPr>
    </w:p>
    <w:p>
      <w:pPr>
        <w:spacing w:line="240" w:lineRule="auto" w:before="9"/>
        <w:rPr>
          <w:rFonts w:ascii="宋体" w:hAnsi="宋体" w:cs="宋体" w:eastAsia="宋体" w:hint="default"/>
          <w:sz w:val="23"/>
          <w:szCs w:val="23"/>
        </w:rPr>
      </w:pPr>
    </w:p>
    <w:p>
      <w:pPr>
        <w:pStyle w:val="BodyText"/>
        <w:spacing w:line="274" w:lineRule="exact" w:before="62"/>
        <w:ind w:left="181" w:right="308"/>
        <w:jc w:val="both"/>
      </w:pPr>
      <w:r>
        <w:rPr/>
        <w:pict>
          <v:group style="position:absolute;margin-left:56.400002pt;margin-top:2.779005pt;width:478.95pt;height:42.5pt;mso-position-horizontal-relative:page;mso-position-vertical-relative:paragraph;z-index:-1160368" coordorigin="1128,56" coordsize="9579,850">
            <v:group style="position:absolute;left:1138;top:65;width:9560;height:2" coordorigin="1138,65" coordsize="9560,2">
              <v:shape style="position:absolute;left:1138;top:65;width:9560;height:2" coordorigin="1138,65" coordsize="9560,0" path="m1138,65l10697,65e" filled="false" stroked="true" strokeweight=".481pt" strokecolor="#000000">
                <v:path arrowok="t"/>
              </v:shape>
            </v:group>
            <v:group style="position:absolute;left:1133;top:60;width:2;height:841" coordorigin="1133,60" coordsize="2,841">
              <v:shape style="position:absolute;left:1133;top:60;width:2;height:841" coordorigin="1133,60" coordsize="0,841" path="m1133,60l1133,900e" filled="false" stroked="true" strokeweight=".48pt" strokecolor="#000000">
                <v:path arrowok="t"/>
              </v:shape>
            </v:group>
            <v:group style="position:absolute;left:1138;top:896;width:9560;height:2" coordorigin="1138,896" coordsize="9560,2">
              <v:shape style="position:absolute;left:1138;top:896;width:9560;height:2" coordorigin="1138,896" coordsize="9560,0" path="m1138,896l10697,896e" filled="false" stroked="true" strokeweight=".48pt" strokecolor="#000000">
                <v:path arrowok="t"/>
              </v:shape>
            </v:group>
            <v:group style="position:absolute;left:10702;top:60;width:2;height:841" coordorigin="10702,60" coordsize="2,841">
              <v:shape style="position:absolute;left:10702;top:60;width:2;height:841" coordorigin="10702,60" coordsize="0,841" path="m10702,60l10702,900e" filled="false" stroked="true" strokeweight=".48pt" strokecolor="#000000">
                <v:path arrowok="t"/>
              </v:shape>
            </v:group>
            <w10:wrap type="none"/>
          </v:group>
        </w:pict>
      </w:r>
      <w:r>
        <w:rPr>
          <w:spacing w:val="-2"/>
        </w:rPr>
        <w:t>本次利润分配方案考虑到在满足公司未来业务发展需要的同时，又可使全体股东分享公司成长的经营成</w:t>
      </w:r>
      <w:r>
        <w:rPr>
          <w:spacing w:val="-21"/>
        </w:rPr>
        <w:t> </w:t>
      </w:r>
      <w:r>
        <w:rPr>
          <w:spacing w:val="-21"/>
        </w:rPr>
      </w:r>
      <w:r>
        <w:rPr>
          <w:spacing w:val="-8"/>
        </w:rPr>
        <w:t>果，公司决定以</w:t>
      </w:r>
      <w:r>
        <w:rPr>
          <w:spacing w:val="-55"/>
        </w:rPr>
        <w:t> </w:t>
      </w:r>
      <w:r>
        <w:rPr>
          <w:rFonts w:ascii="Times New Roman" w:hAnsi="Times New Roman" w:cs="Times New Roman" w:eastAsia="Times New Roman" w:hint="default"/>
        </w:rPr>
        <w:t>2014 </w:t>
      </w:r>
      <w:r>
        <w:rPr/>
        <w:t>年</w:t>
      </w:r>
      <w:r>
        <w:rPr>
          <w:spacing w:val="-53"/>
        </w:rPr>
        <w:t> </w:t>
      </w:r>
      <w:r>
        <w:rPr>
          <w:rFonts w:ascii="Times New Roman" w:hAnsi="Times New Roman" w:cs="Times New Roman" w:eastAsia="Times New Roman" w:hint="default"/>
        </w:rPr>
        <w:t>12 </w:t>
      </w:r>
      <w:r>
        <w:rPr/>
        <w:t>月</w:t>
      </w:r>
      <w:r>
        <w:rPr>
          <w:spacing w:val="-53"/>
        </w:rPr>
        <w:t> </w:t>
      </w:r>
      <w:r>
        <w:rPr>
          <w:rFonts w:ascii="Times New Roman" w:hAnsi="Times New Roman" w:cs="Times New Roman" w:eastAsia="Times New Roman" w:hint="default"/>
        </w:rPr>
        <w:t>31 </w:t>
      </w:r>
      <w:r>
        <w:rPr/>
        <w:t>日公司总股本</w:t>
      </w:r>
      <w:r>
        <w:rPr>
          <w:spacing w:val="-53"/>
        </w:rPr>
        <w:t> </w:t>
      </w:r>
      <w:r>
        <w:rPr>
          <w:rFonts w:ascii="Times New Roman" w:hAnsi="Times New Roman" w:cs="Times New Roman" w:eastAsia="Times New Roman" w:hint="default"/>
        </w:rPr>
        <w:t>15,840 </w:t>
      </w:r>
      <w:r>
        <w:rPr/>
        <w:t>万股为基数向全体股东每</w:t>
      </w:r>
      <w:r>
        <w:rPr>
          <w:spacing w:val="-53"/>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股派发现金股利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元</w:t>
      </w:r>
      <w:r>
        <w:rPr>
          <w:w w:val="100"/>
        </w:rPr>
        <w:t> </w:t>
      </w:r>
      <w:r>
        <w:rPr>
          <w:spacing w:val="-6"/>
          <w:w w:val="100"/>
        </w:rPr>
        <w:t>人民币（含税）。本次不进行资本公积金转增股本。</w:t>
      </w:r>
    </w:p>
    <w:p>
      <w:pPr>
        <w:pStyle w:val="BodyText"/>
        <w:spacing w:line="240" w:lineRule="auto" w:before="4"/>
        <w:ind w:right="0"/>
        <w:jc w:val="both"/>
      </w:pPr>
      <w:r>
        <w:rPr/>
        <w:t>公司近</w:t>
      </w:r>
      <w:r>
        <w:rPr>
          <w:spacing w:val="-56"/>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年（含报告期）的利润分配方案及资本公积金转增股本方案情况</w:t>
      </w:r>
    </w:p>
    <w:p>
      <w:pPr>
        <w:pStyle w:val="BodyText"/>
        <w:spacing w:line="312" w:lineRule="auto" w:before="45"/>
        <w:ind w:left="153" w:right="106" w:firstLine="419"/>
        <w:jc w:val="left"/>
      </w:pPr>
      <w:r>
        <w:rPr>
          <w:rFonts w:ascii="宋体" w:hAnsi="宋体" w:cs="宋体" w:eastAsia="宋体" w:hint="default"/>
          <w:spacing w:val="-1"/>
        </w:rPr>
        <w:t>1</w:t>
      </w:r>
      <w:r>
        <w:rPr>
          <w:spacing w:val="-1"/>
        </w:rPr>
        <w:t>、</w:t>
      </w:r>
      <w:r>
        <w:rPr>
          <w:rFonts w:ascii="宋体" w:hAnsi="宋体" w:cs="宋体" w:eastAsia="宋体" w:hint="default"/>
          <w:spacing w:val="-1"/>
        </w:rPr>
        <w:t>2012</w:t>
      </w:r>
      <w:r>
        <w:rPr>
          <w:rFonts w:ascii="宋体" w:hAnsi="宋体" w:cs="宋体" w:eastAsia="宋体" w:hint="default"/>
          <w:spacing w:val="5"/>
        </w:rPr>
        <w:t> </w:t>
      </w:r>
      <w:r>
        <w:rPr>
          <w:spacing w:val="-2"/>
        </w:rPr>
        <w:t>年公司利润分配方案：未实施现金分红和资本公积金转增股本，未达到章程中规定的关于实</w:t>
      </w:r>
      <w:r>
        <w:rPr>
          <w:w w:val="100"/>
        </w:rPr>
        <w:t> </w:t>
      </w:r>
      <w:r>
        <w:rPr/>
        <w:t>施现金分红时应满足的条件。</w:t>
      </w:r>
    </w:p>
    <w:p>
      <w:pPr>
        <w:pStyle w:val="BodyText"/>
        <w:spacing w:line="240" w:lineRule="auto" w:before="22"/>
        <w:ind w:left="573" w:right="106"/>
        <w:jc w:val="left"/>
        <w:rPr>
          <w:rFonts w:ascii="宋体" w:hAnsi="宋体" w:cs="宋体" w:eastAsia="宋体" w:hint="default"/>
        </w:rPr>
      </w:pPr>
      <w:r>
        <w:rPr>
          <w:rFonts w:ascii="宋体" w:hAnsi="宋体" w:cs="宋体" w:eastAsia="宋体" w:hint="default"/>
        </w:rPr>
        <w:t>2</w:t>
      </w:r>
      <w:r>
        <w:rPr/>
        <w:t>、</w:t>
      </w:r>
      <w:r>
        <w:rPr>
          <w:rFonts w:ascii="宋体" w:hAnsi="宋体" w:cs="宋体" w:eastAsia="宋体" w:hint="default"/>
        </w:rPr>
        <w:t>2013</w:t>
      </w:r>
      <w:r>
        <w:rPr>
          <w:rFonts w:ascii="宋体" w:hAnsi="宋体" w:cs="宋体" w:eastAsia="宋体" w:hint="default"/>
          <w:spacing w:val="-53"/>
        </w:rPr>
        <w:t> </w:t>
      </w:r>
      <w:r>
        <w:rPr/>
        <w:t>年公司利润分配方案：公司以</w:t>
      </w:r>
      <w:r>
        <w:rPr>
          <w:spacing w:val="-53"/>
        </w:rPr>
        <w:t> </w:t>
      </w:r>
      <w:r>
        <w:rPr>
          <w:rFonts w:ascii="宋体" w:hAnsi="宋体" w:cs="宋体" w:eastAsia="宋体" w:hint="default"/>
        </w:rPr>
        <w:t>2013</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日总股本</w:t>
      </w:r>
      <w:r>
        <w:rPr>
          <w:spacing w:val="-55"/>
        </w:rPr>
        <w:t> </w:t>
      </w:r>
      <w:r>
        <w:rPr>
          <w:rFonts w:ascii="宋体" w:hAnsi="宋体" w:cs="宋体" w:eastAsia="宋体" w:hint="default"/>
        </w:rPr>
        <w:t>8,800</w:t>
      </w:r>
      <w:r>
        <w:rPr>
          <w:rFonts w:ascii="宋体" w:hAnsi="宋体" w:cs="宋体" w:eastAsia="宋体" w:hint="default"/>
          <w:spacing w:val="-53"/>
        </w:rPr>
        <w:t> </w:t>
      </w:r>
      <w:r>
        <w:rPr/>
        <w:t>万股为基数向全体股东每</w:t>
      </w:r>
      <w:r>
        <w:rPr>
          <w:spacing w:val="-53"/>
        </w:rPr>
        <w:t> </w:t>
      </w:r>
      <w:r>
        <w:rPr>
          <w:rFonts w:ascii="宋体" w:hAnsi="宋体" w:cs="宋体" w:eastAsia="宋体" w:hint="default"/>
        </w:rPr>
        <w:t>10</w:t>
      </w:r>
    </w:p>
    <w:p>
      <w:pPr>
        <w:pStyle w:val="BodyText"/>
        <w:spacing w:line="240" w:lineRule="auto" w:before="82"/>
        <w:ind w:left="153" w:right="0"/>
        <w:jc w:val="both"/>
      </w:pPr>
      <w:r>
        <w:rPr/>
        <w:t>股派发现金股利</w:t>
      </w:r>
      <w:r>
        <w:rPr>
          <w:spacing w:val="-41"/>
        </w:rPr>
        <w:t> </w:t>
      </w:r>
      <w:r>
        <w:rPr>
          <w:rFonts w:ascii="宋体" w:hAnsi="宋体" w:cs="宋体" w:eastAsia="宋体" w:hint="default"/>
        </w:rPr>
        <w:t>0.6</w:t>
      </w:r>
      <w:r>
        <w:rPr>
          <w:rFonts w:ascii="宋体" w:hAnsi="宋体" w:cs="宋体" w:eastAsia="宋体" w:hint="default"/>
          <w:spacing w:val="-43"/>
        </w:rPr>
        <w:t> </w:t>
      </w:r>
      <w:r>
        <w:rPr>
          <w:spacing w:val="-3"/>
        </w:rPr>
        <w:t>元人民币（含税），同时进行资本公积金转增股本，以</w:t>
      </w:r>
      <w:r>
        <w:rPr>
          <w:spacing w:val="-44"/>
        </w:rPr>
        <w:t> </w:t>
      </w:r>
      <w:r>
        <w:rPr>
          <w:rFonts w:ascii="宋体" w:hAnsi="宋体" w:cs="宋体" w:eastAsia="宋体" w:hint="default"/>
        </w:rPr>
        <w:t>8,800</w:t>
      </w:r>
      <w:r>
        <w:rPr>
          <w:rFonts w:ascii="宋体" w:hAnsi="宋体" w:cs="宋体" w:eastAsia="宋体" w:hint="default"/>
          <w:spacing w:val="-43"/>
        </w:rPr>
        <w:t> </w:t>
      </w:r>
      <w:r>
        <w:rPr/>
        <w:t>万股为基数向全体股东</w:t>
      </w:r>
    </w:p>
    <w:p>
      <w:pPr>
        <w:pStyle w:val="BodyText"/>
        <w:spacing w:line="240" w:lineRule="auto" w:before="85"/>
        <w:ind w:left="153" w:right="0"/>
        <w:jc w:val="both"/>
      </w:pPr>
      <w:r>
        <w:rPr/>
        <w:t>每</w:t>
      </w:r>
      <w:r>
        <w:rPr>
          <w:spacing w:val="-50"/>
        </w:rPr>
        <w:t> </w:t>
      </w:r>
      <w:r>
        <w:rPr>
          <w:rFonts w:ascii="宋体" w:hAnsi="宋体" w:cs="宋体" w:eastAsia="宋体" w:hint="default"/>
        </w:rPr>
        <w:t>10</w:t>
      </w:r>
      <w:r>
        <w:rPr>
          <w:rFonts w:ascii="宋体" w:hAnsi="宋体" w:cs="宋体" w:eastAsia="宋体" w:hint="default"/>
          <w:spacing w:val="-53"/>
        </w:rPr>
        <w:t> </w:t>
      </w:r>
      <w:r>
        <w:rPr/>
        <w:t>股转增</w:t>
      </w:r>
      <w:r>
        <w:rPr>
          <w:spacing w:val="-50"/>
        </w:rPr>
        <w:t> </w:t>
      </w:r>
      <w:r>
        <w:rPr>
          <w:rFonts w:ascii="宋体" w:hAnsi="宋体" w:cs="宋体" w:eastAsia="宋体" w:hint="default"/>
        </w:rPr>
        <w:t>8</w:t>
      </w:r>
      <w:r>
        <w:rPr>
          <w:rFonts w:ascii="宋体" w:hAnsi="宋体" w:cs="宋体" w:eastAsia="宋体" w:hint="default"/>
          <w:spacing w:val="-53"/>
        </w:rPr>
        <w:t> </w:t>
      </w:r>
      <w:r>
        <w:rPr>
          <w:spacing w:val="-3"/>
        </w:rPr>
        <w:t>股，共计转增</w:t>
      </w:r>
      <w:r>
        <w:rPr>
          <w:spacing w:val="-50"/>
        </w:rPr>
        <w:t> </w:t>
      </w:r>
      <w:r>
        <w:rPr>
          <w:rFonts w:ascii="宋体" w:hAnsi="宋体" w:cs="宋体" w:eastAsia="宋体" w:hint="default"/>
        </w:rPr>
        <w:t>7,040</w:t>
      </w:r>
      <w:r>
        <w:rPr>
          <w:rFonts w:ascii="宋体" w:hAnsi="宋体" w:cs="宋体" w:eastAsia="宋体" w:hint="default"/>
          <w:spacing w:val="-50"/>
        </w:rPr>
        <w:t> </w:t>
      </w:r>
      <w:r>
        <w:rPr/>
        <w:t>万股，转增后公司总股本将增加至</w:t>
      </w:r>
      <w:r>
        <w:rPr>
          <w:spacing w:val="-50"/>
        </w:rPr>
        <w:t> </w:t>
      </w:r>
      <w:r>
        <w:rPr>
          <w:rFonts w:ascii="宋体" w:hAnsi="宋体" w:cs="宋体" w:eastAsia="宋体" w:hint="default"/>
        </w:rPr>
        <w:t>15,840</w:t>
      </w:r>
      <w:r>
        <w:rPr>
          <w:rFonts w:ascii="宋体" w:hAnsi="宋体" w:cs="宋体" w:eastAsia="宋体" w:hint="default"/>
          <w:spacing w:val="-53"/>
        </w:rPr>
        <w:t> </w:t>
      </w:r>
      <w:r>
        <w:rPr>
          <w:spacing w:val="-3"/>
        </w:rPr>
        <w:t>万股。本次利润分配及资本</w:t>
      </w:r>
      <w:r>
        <w:rPr/>
      </w:r>
    </w:p>
    <w:p>
      <w:pPr>
        <w:pStyle w:val="BodyText"/>
        <w:spacing w:line="240" w:lineRule="auto" w:before="82"/>
        <w:ind w:left="153" w:right="0"/>
        <w:jc w:val="both"/>
      </w:pPr>
      <w:r>
        <w:rPr/>
        <w:t>公积金转增股本的预案须经公司 </w:t>
      </w:r>
      <w:r>
        <w:rPr>
          <w:rFonts w:ascii="宋体" w:hAnsi="宋体" w:cs="宋体" w:eastAsia="宋体" w:hint="default"/>
        </w:rPr>
        <w:t>2013</w:t>
      </w:r>
      <w:r>
        <w:rPr>
          <w:rFonts w:ascii="宋体" w:hAnsi="宋体" w:cs="宋体" w:eastAsia="宋体" w:hint="default"/>
          <w:spacing w:val="-3"/>
        </w:rPr>
        <w:t> </w:t>
      </w:r>
      <w:r>
        <w:rPr/>
        <w:t>年度股东大会审议批准后实施。</w:t>
      </w:r>
    </w:p>
    <w:p>
      <w:pPr>
        <w:pStyle w:val="BodyText"/>
        <w:spacing w:line="314" w:lineRule="auto" w:before="85"/>
        <w:ind w:left="153" w:right="106" w:firstLine="420"/>
        <w:jc w:val="left"/>
      </w:pPr>
      <w:r>
        <w:rPr>
          <w:rFonts w:ascii="宋体" w:hAnsi="宋体" w:cs="宋体" w:eastAsia="宋体" w:hint="default"/>
        </w:rPr>
        <w:t>3</w:t>
      </w:r>
      <w:r>
        <w:rPr/>
        <w:t>、</w:t>
      </w:r>
      <w:r>
        <w:rPr>
          <w:rFonts w:ascii="宋体" w:hAnsi="宋体" w:cs="宋体" w:eastAsia="宋体" w:hint="default"/>
        </w:rPr>
        <w:t>2014</w:t>
      </w:r>
      <w:r>
        <w:rPr/>
        <w:t>年利润分配方案：本次利润分配方案考虑到在满足公司未来业务发展需要的同时，又可使全</w:t>
      </w:r>
      <w:r>
        <w:rPr>
          <w:w w:val="100"/>
        </w:rPr>
        <w:t> </w:t>
      </w:r>
      <w:r>
        <w:rPr>
          <w:spacing w:val="-2"/>
        </w:rPr>
        <w:t>体股东分享公司成长的经营成果，公司决定以</w:t>
      </w:r>
      <w:r>
        <w:rPr>
          <w:rFonts w:ascii="宋体" w:hAnsi="宋体" w:cs="宋体" w:eastAsia="宋体" w:hint="default"/>
          <w:spacing w:val="-2"/>
        </w:rPr>
        <w:t>2014</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日公司总股本</w:t>
      </w:r>
      <w:r>
        <w:rPr>
          <w:rFonts w:ascii="宋体" w:hAnsi="宋体" w:cs="宋体" w:eastAsia="宋体" w:hint="default"/>
          <w:spacing w:val="-2"/>
        </w:rPr>
        <w:t>15,840</w:t>
      </w:r>
      <w:r>
        <w:rPr>
          <w:spacing w:val="-2"/>
        </w:rPr>
        <w:t>万股为基数向全体股东每</w:t>
      </w:r>
      <w:r>
        <w:rPr>
          <w:spacing w:val="-39"/>
        </w:rPr>
        <w:t> </w:t>
      </w:r>
      <w:r>
        <w:rPr>
          <w:spacing w:val="-39"/>
        </w:rPr>
      </w:r>
      <w:r>
        <w:rPr>
          <w:rFonts w:ascii="宋体" w:hAnsi="宋体" w:cs="宋体" w:eastAsia="宋体" w:hint="default"/>
        </w:rPr>
        <w:t>10</w:t>
      </w:r>
      <w:r>
        <w:rPr/>
        <w:t>股派发现金股利</w:t>
      </w:r>
      <w:r>
        <w:rPr>
          <w:spacing w:val="76"/>
        </w:rPr>
        <w:t> </w:t>
      </w:r>
      <w:r>
        <w:rPr>
          <w:rFonts w:ascii="宋体" w:hAnsi="宋体" w:cs="宋体" w:eastAsia="宋体" w:hint="default"/>
          <w:spacing w:val="-3"/>
        </w:rPr>
        <w:t>1</w:t>
      </w:r>
      <w:r>
        <w:rPr>
          <w:spacing w:val="-3"/>
        </w:rPr>
        <w:t>元人民币（含税）。本次不进行资本公积金转增股本。本次利润分配的预案须经公司</w:t>
      </w:r>
      <w:r>
        <w:rPr/>
      </w:r>
    </w:p>
    <w:p>
      <w:pPr>
        <w:pStyle w:val="BodyText"/>
        <w:spacing w:line="240" w:lineRule="auto" w:before="17"/>
        <w:ind w:left="153" w:right="0"/>
        <w:jc w:val="both"/>
      </w:pPr>
      <w:r>
        <w:rPr>
          <w:rFonts w:ascii="宋体" w:hAnsi="宋体" w:cs="宋体" w:eastAsia="宋体" w:hint="default"/>
        </w:rPr>
        <w:t>2014</w:t>
      </w:r>
      <w:r>
        <w:rPr>
          <w:rFonts w:ascii="宋体" w:hAnsi="宋体" w:cs="宋体" w:eastAsia="宋体" w:hint="default"/>
          <w:spacing w:val="-2"/>
        </w:rPr>
        <w:t> </w:t>
      </w:r>
      <w:r>
        <w:rPr/>
        <w:t>年度股东大会审议批准后实施。</w:t>
      </w:r>
    </w:p>
    <w:p>
      <w:pPr>
        <w:spacing w:line="240" w:lineRule="auto" w:before="10"/>
        <w:rPr>
          <w:rFonts w:ascii="宋体" w:hAnsi="宋体" w:cs="宋体" w:eastAsia="宋体" w:hint="default"/>
          <w:sz w:val="25"/>
          <w:szCs w:val="25"/>
        </w:rPr>
      </w:pPr>
    </w:p>
    <w:p>
      <w:pPr>
        <w:pStyle w:val="BodyText"/>
        <w:spacing w:line="240" w:lineRule="auto" w:before="36"/>
        <w:ind w:left="153" w:right="106"/>
        <w:jc w:val="left"/>
      </w:pPr>
      <w:r>
        <w:rPr/>
        <w:t>公司近三年现金分红情况表</w:t>
      </w:r>
    </w:p>
    <w:p>
      <w:pPr>
        <w:pStyle w:val="BodyText"/>
        <w:spacing w:line="240" w:lineRule="auto" w:before="37"/>
        <w:ind w:left="0" w:right="209"/>
        <w:jc w:val="right"/>
      </w:pPr>
      <w:r>
        <w:rPr>
          <w:spacing w:val="-1"/>
        </w:rPr>
        <w:t>单位：元</w:t>
      </w:r>
    </w:p>
    <w:p>
      <w:pPr>
        <w:spacing w:line="240" w:lineRule="auto" w:before="10"/>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2393"/>
        <w:gridCol w:w="2390"/>
        <w:gridCol w:w="2393"/>
        <w:gridCol w:w="2393"/>
      </w:tblGrid>
      <w:tr>
        <w:trPr>
          <w:trHeight w:val="276" w:hRule="exact"/>
        </w:trPr>
        <w:tc>
          <w:tcPr>
            <w:tcW w:w="2393" w:type="dxa"/>
            <w:tcBorders>
              <w:top w:val="single" w:sz="4" w:space="0" w:color="000000"/>
              <w:left w:val="single" w:sz="4" w:space="0" w:color="000000"/>
              <w:bottom w:val="nil" w:sz="6" w:space="0" w:color="auto"/>
              <w:right w:val="single" w:sz="4" w:space="0" w:color="000000"/>
            </w:tcBorders>
            <w:shd w:val="clear" w:color="auto" w:fill="D4D4D4"/>
          </w:tcPr>
          <w:p>
            <w:pPr/>
          </w:p>
        </w:tc>
        <w:tc>
          <w:tcPr>
            <w:tcW w:w="2390" w:type="dxa"/>
            <w:tcBorders>
              <w:top w:val="single" w:sz="4" w:space="0" w:color="000000"/>
              <w:left w:val="single" w:sz="4" w:space="0" w:color="000000"/>
              <w:bottom w:val="nil" w:sz="6" w:space="0" w:color="auto"/>
              <w:right w:val="single" w:sz="4" w:space="0" w:color="000000"/>
            </w:tcBorders>
            <w:shd w:val="clear" w:color="auto" w:fill="D4D4D4"/>
          </w:tcPr>
          <w:p>
            <w:pPr/>
          </w:p>
        </w:tc>
        <w:tc>
          <w:tcPr>
            <w:tcW w:w="2393" w:type="dxa"/>
            <w:vMerge w:val="restart"/>
            <w:tcBorders>
              <w:top w:val="single" w:sz="4" w:space="0" w:color="000000"/>
              <w:left w:val="single" w:sz="4" w:space="0" w:color="000000"/>
              <w:right w:val="single" w:sz="4" w:space="0" w:color="000000"/>
            </w:tcBorders>
            <w:shd w:val="clear" w:color="auto" w:fill="D4D4D4"/>
          </w:tcPr>
          <w:p>
            <w:pPr>
              <w:pStyle w:val="TableParagraph"/>
              <w:spacing w:line="239" w:lineRule="exact"/>
              <w:ind w:left="35" w:right="0"/>
              <w:jc w:val="left"/>
              <w:rPr>
                <w:rFonts w:ascii="宋体" w:hAnsi="宋体" w:cs="宋体" w:eastAsia="宋体" w:hint="default"/>
                <w:sz w:val="21"/>
                <w:szCs w:val="21"/>
              </w:rPr>
            </w:pPr>
            <w:r>
              <w:rPr>
                <w:rFonts w:ascii="宋体" w:hAnsi="宋体" w:cs="宋体" w:eastAsia="宋体" w:hint="default"/>
                <w:sz w:val="21"/>
                <w:szCs w:val="21"/>
              </w:rPr>
              <w:t>分红年度合并报表中归属</w:t>
            </w:r>
          </w:p>
          <w:p>
            <w:pPr>
              <w:pStyle w:val="TableParagraph"/>
              <w:spacing w:line="240" w:lineRule="auto"/>
              <w:ind w:left="875" w:right="31" w:hanging="840"/>
              <w:jc w:val="left"/>
              <w:rPr>
                <w:rFonts w:ascii="宋体" w:hAnsi="宋体" w:cs="宋体" w:eastAsia="宋体" w:hint="default"/>
                <w:sz w:val="21"/>
                <w:szCs w:val="21"/>
              </w:rPr>
            </w:pPr>
            <w:r>
              <w:rPr>
                <w:rFonts w:ascii="宋体" w:hAnsi="宋体" w:cs="宋体" w:eastAsia="宋体" w:hint="default"/>
                <w:spacing w:val="-2"/>
                <w:sz w:val="21"/>
                <w:szCs w:val="21"/>
              </w:rPr>
              <w:t>于上市公司普通股股东的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净利润</w:t>
            </w:r>
          </w:p>
        </w:tc>
        <w:tc>
          <w:tcPr>
            <w:tcW w:w="2393" w:type="dxa"/>
            <w:vMerge w:val="restart"/>
            <w:tcBorders>
              <w:top w:val="single" w:sz="4" w:space="0" w:color="000000"/>
              <w:left w:val="single" w:sz="4" w:space="0" w:color="000000"/>
              <w:right w:val="single" w:sz="4" w:space="0" w:color="000000"/>
            </w:tcBorders>
            <w:shd w:val="clear" w:color="auto" w:fill="D4D4D4"/>
          </w:tcPr>
          <w:p>
            <w:pPr>
              <w:pStyle w:val="TableParagraph"/>
              <w:spacing w:line="239" w:lineRule="exact"/>
              <w:ind w:left="35" w:right="0"/>
              <w:jc w:val="left"/>
              <w:rPr>
                <w:rFonts w:ascii="宋体" w:hAnsi="宋体" w:cs="宋体" w:eastAsia="宋体" w:hint="default"/>
                <w:sz w:val="21"/>
                <w:szCs w:val="21"/>
              </w:rPr>
            </w:pPr>
            <w:r>
              <w:rPr>
                <w:rFonts w:ascii="宋体" w:hAnsi="宋体" w:cs="宋体" w:eastAsia="宋体" w:hint="default"/>
                <w:sz w:val="21"/>
                <w:szCs w:val="21"/>
              </w:rPr>
              <w:t>占合并报表中归属于上市</w:t>
            </w:r>
          </w:p>
          <w:p>
            <w:pPr>
              <w:pStyle w:val="TableParagraph"/>
              <w:spacing w:line="240" w:lineRule="auto"/>
              <w:ind w:left="875" w:right="31" w:hanging="840"/>
              <w:jc w:val="left"/>
              <w:rPr>
                <w:rFonts w:ascii="宋体" w:hAnsi="宋体" w:cs="宋体" w:eastAsia="宋体" w:hint="default"/>
                <w:sz w:val="21"/>
                <w:szCs w:val="21"/>
              </w:rPr>
            </w:pPr>
            <w:r>
              <w:rPr>
                <w:rFonts w:ascii="宋体" w:hAnsi="宋体" w:cs="宋体" w:eastAsia="宋体" w:hint="default"/>
                <w:spacing w:val="-2"/>
                <w:sz w:val="21"/>
                <w:szCs w:val="21"/>
              </w:rPr>
              <w:t>公司普通股股东的净利润</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的比率</w:t>
            </w:r>
          </w:p>
        </w:tc>
      </w:tr>
      <w:tr>
        <w:trPr>
          <w:trHeight w:val="274" w:hRule="exact"/>
        </w:trPr>
        <w:tc>
          <w:tcPr>
            <w:tcW w:w="2393"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1" w:lineRule="exact"/>
              <w:ind w:left="770" w:right="0"/>
              <w:jc w:val="left"/>
              <w:rPr>
                <w:rFonts w:ascii="宋体" w:hAnsi="宋体" w:cs="宋体" w:eastAsia="宋体" w:hint="default"/>
                <w:sz w:val="21"/>
                <w:szCs w:val="21"/>
              </w:rPr>
            </w:pPr>
            <w:r>
              <w:rPr>
                <w:rFonts w:ascii="宋体" w:hAnsi="宋体" w:cs="宋体" w:eastAsia="宋体" w:hint="default"/>
                <w:sz w:val="21"/>
                <w:szCs w:val="21"/>
              </w:rPr>
              <w:t>分红年度</w:t>
            </w:r>
          </w:p>
        </w:tc>
        <w:tc>
          <w:tcPr>
            <w:tcW w:w="2390"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1" w:lineRule="exact"/>
              <w:ind w:left="141" w:right="0"/>
              <w:jc w:val="left"/>
              <w:rPr>
                <w:rFonts w:ascii="宋体" w:hAnsi="宋体" w:cs="宋体" w:eastAsia="宋体" w:hint="default"/>
                <w:sz w:val="21"/>
                <w:szCs w:val="21"/>
              </w:rPr>
            </w:pPr>
            <w:r>
              <w:rPr>
                <w:rFonts w:ascii="宋体" w:hAnsi="宋体" w:cs="宋体" w:eastAsia="宋体" w:hint="default"/>
                <w:sz w:val="21"/>
                <w:szCs w:val="21"/>
              </w:rPr>
              <w:t>现金分红金额（含税）</w:t>
            </w:r>
          </w:p>
        </w:tc>
        <w:tc>
          <w:tcPr>
            <w:tcW w:w="2393" w:type="dxa"/>
            <w:vMerge/>
            <w:tcBorders>
              <w:left w:val="single" w:sz="4" w:space="0" w:color="000000"/>
              <w:right w:val="single" w:sz="4" w:space="0" w:color="000000"/>
            </w:tcBorders>
            <w:shd w:val="clear" w:color="auto" w:fill="D4D4D4"/>
          </w:tcPr>
          <w:p>
            <w:pPr/>
          </w:p>
        </w:tc>
        <w:tc>
          <w:tcPr>
            <w:tcW w:w="2393" w:type="dxa"/>
            <w:vMerge/>
            <w:tcBorders>
              <w:left w:val="single" w:sz="4" w:space="0" w:color="000000"/>
              <w:right w:val="single" w:sz="4" w:space="0" w:color="000000"/>
            </w:tcBorders>
            <w:shd w:val="clear" w:color="auto" w:fill="D4D4D4"/>
          </w:tcPr>
          <w:p>
            <w:pPr/>
          </w:p>
        </w:tc>
      </w:tr>
      <w:tr>
        <w:trPr>
          <w:trHeight w:val="278" w:hRule="exact"/>
        </w:trPr>
        <w:tc>
          <w:tcPr>
            <w:tcW w:w="2393" w:type="dxa"/>
            <w:tcBorders>
              <w:top w:val="nil" w:sz="6" w:space="0" w:color="auto"/>
              <w:left w:val="single" w:sz="4" w:space="0" w:color="000000"/>
              <w:bottom w:val="single" w:sz="4" w:space="0" w:color="000000"/>
              <w:right w:val="single" w:sz="4" w:space="0" w:color="000000"/>
            </w:tcBorders>
            <w:shd w:val="clear" w:color="auto" w:fill="D4D4D4"/>
          </w:tcPr>
          <w:p>
            <w:pPr/>
          </w:p>
        </w:tc>
        <w:tc>
          <w:tcPr>
            <w:tcW w:w="2390" w:type="dxa"/>
            <w:tcBorders>
              <w:top w:val="nil" w:sz="6" w:space="0" w:color="auto"/>
              <w:left w:val="single" w:sz="4" w:space="0" w:color="000000"/>
              <w:bottom w:val="single" w:sz="4" w:space="0" w:color="000000"/>
              <w:right w:val="single" w:sz="4" w:space="0" w:color="000000"/>
            </w:tcBorders>
            <w:shd w:val="clear" w:color="auto" w:fill="D4D4D4"/>
          </w:tcPr>
          <w:p>
            <w:pPr/>
          </w:p>
        </w:tc>
        <w:tc>
          <w:tcPr>
            <w:tcW w:w="2393" w:type="dxa"/>
            <w:vMerge/>
            <w:tcBorders>
              <w:left w:val="single" w:sz="4" w:space="0" w:color="000000"/>
              <w:bottom w:val="single" w:sz="4" w:space="0" w:color="000000"/>
              <w:right w:val="single" w:sz="4" w:space="0" w:color="000000"/>
            </w:tcBorders>
            <w:shd w:val="clear" w:color="auto" w:fill="D4D4D4"/>
          </w:tcPr>
          <w:p>
            <w:pPr/>
          </w:p>
        </w:tc>
        <w:tc>
          <w:tcPr>
            <w:tcW w:w="2393" w:type="dxa"/>
            <w:vMerge/>
            <w:tcBorders>
              <w:left w:val="single" w:sz="4" w:space="0" w:color="000000"/>
              <w:bottom w:val="single" w:sz="4" w:space="0" w:color="000000"/>
              <w:right w:val="single" w:sz="4" w:space="0" w:color="000000"/>
            </w:tcBorders>
            <w:shd w:val="clear" w:color="auto" w:fill="D4D4D4"/>
          </w:tcPr>
          <w:p>
            <w:pPr/>
          </w:p>
        </w:tc>
      </w:tr>
      <w:tr>
        <w:trPr>
          <w:trHeight w:val="379"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4"/>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p>
        </w:tc>
        <w:tc>
          <w:tcPr>
            <w:tcW w:w="239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58"/>
              <w:ind w:right="17"/>
              <w:jc w:val="right"/>
              <w:rPr>
                <w:rFonts w:ascii="Times New Roman" w:hAnsi="Times New Roman" w:cs="Times New Roman" w:eastAsia="Times New Roman" w:hint="default"/>
                <w:sz w:val="21"/>
                <w:szCs w:val="21"/>
              </w:rPr>
            </w:pPr>
            <w:r>
              <w:rPr>
                <w:rFonts w:ascii="Times New Roman"/>
                <w:spacing w:val="-1"/>
                <w:sz w:val="21"/>
              </w:rPr>
              <w:t>15,840,000.00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Times New Roman" w:hAnsi="Times New Roman" w:cs="Times New Roman" w:eastAsia="Times New Roman" w:hint="default"/>
                <w:sz w:val="21"/>
                <w:szCs w:val="21"/>
              </w:rPr>
            </w:pPr>
            <w:r>
              <w:rPr>
                <w:rFonts w:ascii="Times New Roman"/>
                <w:spacing w:val="-1"/>
                <w:sz w:val="21"/>
              </w:rPr>
              <w:t>22,523,905.35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8"/>
              <w:jc w:val="right"/>
              <w:rPr>
                <w:rFonts w:ascii="Times New Roman" w:hAnsi="Times New Roman" w:cs="Times New Roman" w:eastAsia="Times New Roman" w:hint="default"/>
                <w:sz w:val="21"/>
                <w:szCs w:val="21"/>
              </w:rPr>
            </w:pPr>
            <w:r>
              <w:rPr>
                <w:rFonts w:ascii="Times New Roman"/>
                <w:sz w:val="21"/>
              </w:rPr>
              <w:t>70.33%</w:t>
            </w:r>
          </w:p>
        </w:tc>
      </w:tr>
      <w:tr>
        <w:trPr>
          <w:trHeight w:val="379"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4"/>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p>
        </w:tc>
        <w:tc>
          <w:tcPr>
            <w:tcW w:w="239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58"/>
              <w:ind w:right="17"/>
              <w:jc w:val="right"/>
              <w:rPr>
                <w:rFonts w:ascii="Times New Roman" w:hAnsi="Times New Roman" w:cs="Times New Roman" w:eastAsia="Times New Roman" w:hint="default"/>
                <w:sz w:val="21"/>
                <w:szCs w:val="21"/>
              </w:rPr>
            </w:pPr>
            <w:r>
              <w:rPr>
                <w:rFonts w:ascii="Times New Roman"/>
                <w:spacing w:val="-1"/>
                <w:sz w:val="21"/>
              </w:rPr>
              <w:t>5,280,000.00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Times New Roman" w:hAnsi="Times New Roman" w:cs="Times New Roman" w:eastAsia="Times New Roman" w:hint="default"/>
                <w:sz w:val="21"/>
                <w:szCs w:val="21"/>
              </w:rPr>
            </w:pPr>
            <w:r>
              <w:rPr>
                <w:rFonts w:ascii="Times New Roman"/>
                <w:spacing w:val="-1"/>
                <w:sz w:val="21"/>
              </w:rPr>
              <w:t>23,311,990.32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8"/>
              <w:jc w:val="right"/>
              <w:rPr>
                <w:rFonts w:ascii="Times New Roman" w:hAnsi="Times New Roman" w:cs="Times New Roman" w:eastAsia="Times New Roman" w:hint="default"/>
                <w:sz w:val="21"/>
                <w:szCs w:val="21"/>
              </w:rPr>
            </w:pPr>
            <w:r>
              <w:rPr>
                <w:rFonts w:ascii="Times New Roman"/>
                <w:sz w:val="21"/>
              </w:rPr>
              <w:t>22.65%</w:t>
            </w:r>
          </w:p>
        </w:tc>
      </w:tr>
      <w:tr>
        <w:trPr>
          <w:trHeight w:val="379"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4"/>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p>
        </w:tc>
        <w:tc>
          <w:tcPr>
            <w:tcW w:w="239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58"/>
              <w:ind w:right="17"/>
              <w:jc w:val="right"/>
              <w:rPr>
                <w:rFonts w:ascii="Times New Roman" w:hAnsi="Times New Roman" w:cs="Times New Roman" w:eastAsia="Times New Roman" w:hint="default"/>
                <w:sz w:val="21"/>
                <w:szCs w:val="21"/>
              </w:rPr>
            </w:pPr>
            <w:r>
              <w:rPr>
                <w:rFonts w:ascii="Times New Roman"/>
                <w:sz w:val="21"/>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Times New Roman" w:hAnsi="Times New Roman" w:cs="Times New Roman" w:eastAsia="Times New Roman" w:hint="default"/>
                <w:sz w:val="21"/>
                <w:szCs w:val="21"/>
              </w:rPr>
            </w:pPr>
            <w:r>
              <w:rPr>
                <w:rFonts w:ascii="Times New Roman"/>
                <w:spacing w:val="-1"/>
                <w:sz w:val="21"/>
              </w:rPr>
              <w:t>21,069,707.21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8"/>
              <w:jc w:val="right"/>
              <w:rPr>
                <w:rFonts w:ascii="Times New Roman" w:hAnsi="Times New Roman" w:cs="Times New Roman" w:eastAsia="Times New Roman" w:hint="default"/>
                <w:sz w:val="21"/>
                <w:szCs w:val="21"/>
              </w:rPr>
            </w:pPr>
            <w:r>
              <w:rPr>
                <w:rFonts w:ascii="Times New Roman"/>
                <w:sz w:val="21"/>
              </w:rPr>
              <w:t>0.00%</w:t>
            </w:r>
          </w:p>
        </w:tc>
      </w:tr>
    </w:tbl>
    <w:p>
      <w:pPr>
        <w:pStyle w:val="BodyText"/>
        <w:spacing w:line="262" w:lineRule="exact"/>
        <w:ind w:right="106"/>
        <w:jc w:val="left"/>
      </w:pPr>
      <w:r>
        <w:rPr/>
        <w:t>公司报告期内盈利且母公司未分配利润为正但未提出现金红利分配预案</w:t>
      </w:r>
    </w:p>
    <w:p>
      <w:pPr>
        <w:pStyle w:val="BodyText"/>
        <w:spacing w:line="240" w:lineRule="auto" w:before="37"/>
        <w:ind w:right="10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8"/>
        <w:rPr>
          <w:rFonts w:ascii="宋体" w:hAnsi="宋体" w:cs="宋体" w:eastAsia="宋体" w:hint="default"/>
          <w:sz w:val="22"/>
          <w:szCs w:val="22"/>
        </w:rPr>
      </w:pPr>
    </w:p>
    <w:p>
      <w:pPr>
        <w:pStyle w:val="Heading4"/>
        <w:spacing w:line="240" w:lineRule="auto"/>
        <w:ind w:right="106"/>
        <w:jc w:val="left"/>
        <w:rPr>
          <w:b w:val="0"/>
          <w:bCs w:val="0"/>
        </w:rPr>
      </w:pPr>
      <w:bookmarkStart w:name="六、内幕信息知情人管理制度的建立和执行情况" w:id="33"/>
      <w:bookmarkEnd w:id="33"/>
      <w:r>
        <w:rPr>
          <w:b w:val="0"/>
          <w:bCs w:val="0"/>
        </w:rPr>
      </w:r>
      <w:r>
        <w:rPr/>
        <w:t>六、内幕信息知情人管理制度的建立和执行情况</w:t>
      </w:r>
      <w:r>
        <w:rPr>
          <w:b w:val="0"/>
          <w:bCs w:val="0"/>
        </w:rPr>
      </w:r>
    </w:p>
    <w:p>
      <w:pPr>
        <w:pStyle w:val="BodyText"/>
        <w:spacing w:line="672" w:lineRule="exact" w:before="55"/>
        <w:ind w:left="678" w:right="106" w:hanging="106"/>
        <w:jc w:val="left"/>
      </w:pPr>
      <w:r>
        <w:rPr/>
        <w:t>（一）内幕信息知情人管理制度的制定</w:t>
      </w:r>
      <w:r>
        <w:rPr>
          <w:w w:val="100"/>
        </w:rPr>
        <w:t> </w:t>
      </w:r>
      <w:r>
        <w:rPr>
          <w:spacing w:val="-2"/>
        </w:rPr>
        <w:t>为了规范公司的内幕信息管理，加强内幕信息保密工作，维护信息披露公平原则，根据《中华人民</w:t>
      </w:r>
    </w:p>
    <w:p>
      <w:pPr>
        <w:pStyle w:val="BodyText"/>
        <w:spacing w:line="253" w:lineRule="exact"/>
        <w:ind w:right="106"/>
        <w:jc w:val="left"/>
      </w:pPr>
      <w:r>
        <w:rPr/>
        <w:t>共和国公司法》、《中华人民共和国证券法》、《上市公司信息披露管理办法》、《深圳证券交易所创业</w:t>
      </w:r>
    </w:p>
    <w:p>
      <w:pPr>
        <w:pStyle w:val="BodyText"/>
        <w:spacing w:line="314" w:lineRule="auto" w:before="85"/>
        <w:ind w:right="106"/>
        <w:jc w:val="left"/>
      </w:pPr>
      <w:r>
        <w:rPr>
          <w:spacing w:val="-2"/>
        </w:rPr>
        <w:t>板股票上市规则》等有关法律、法规、规范性文件及《公司章程》的有关规定，《内幕信息及知情人登记</w:t>
      </w:r>
      <w:r>
        <w:rPr>
          <w:spacing w:val="-42"/>
        </w:rPr>
        <w:t> </w:t>
      </w:r>
      <w:r>
        <w:rPr>
          <w:spacing w:val="-42"/>
        </w:rPr>
      </w:r>
      <w:r>
        <w:rPr>
          <w:spacing w:val="-5"/>
        </w:rPr>
        <w:t>和报备制度》，作为内幕交易防控的专项制度文件。该制度明确界定了内幕信息和内幕信息知情人的范围， </w:t>
      </w:r>
      <w:r>
        <w:rPr>
          <w:spacing w:val="-5"/>
        </w:rPr>
      </w:r>
      <w:r>
        <w:rPr>
          <w:spacing w:val="-2"/>
        </w:rPr>
        <w:t>完善了内幕信息事项的研究、决策和审批程序，健全了内幕信息的保密措施，建立了内幕信息知情人登记</w:t>
      </w:r>
      <w:r>
        <w:rPr>
          <w:spacing w:val="-44"/>
        </w:rPr>
        <w:t> </w:t>
      </w:r>
      <w:r>
        <w:rPr>
          <w:spacing w:val="-44"/>
        </w:rPr>
      </w:r>
      <w:r>
        <w:rPr/>
        <w:t>管理措施等。公司自</w:t>
      </w:r>
      <w:r>
        <w:rPr>
          <w:rFonts w:ascii="宋体" w:hAnsi="宋体" w:cs="宋体" w:eastAsia="宋体" w:hint="default"/>
        </w:rPr>
        <w:t>2011</w:t>
      </w:r>
      <w:r>
        <w:rPr/>
        <w:t>年</w:t>
      </w:r>
      <w:r>
        <w:rPr>
          <w:rFonts w:ascii="宋体" w:hAnsi="宋体" w:cs="宋体" w:eastAsia="宋体" w:hint="default"/>
        </w:rPr>
        <w:t>6</w:t>
      </w:r>
      <w:r>
        <w:rPr/>
        <w:t>月</w:t>
      </w:r>
      <w:r>
        <w:rPr>
          <w:rFonts w:ascii="宋体" w:hAnsi="宋体" w:cs="宋体" w:eastAsia="宋体" w:hint="default"/>
        </w:rPr>
        <w:t>29</w:t>
      </w:r>
      <w:r>
        <w:rPr/>
        <w:t>日在深圳证券交易所创业板上市以来，非常注重公司治理水平的不断提</w:t>
      </w:r>
      <w:r>
        <w:rPr>
          <w:spacing w:val="-3"/>
          <w:w w:val="100"/>
        </w:rPr>
        <w:t> </w:t>
      </w:r>
      <w:r>
        <w:rPr/>
        <w:t>高和完善，尤其是内幕交易防控工作。</w:t>
      </w:r>
    </w:p>
    <w:p>
      <w:pPr>
        <w:spacing w:line="240" w:lineRule="auto" w:before="2"/>
        <w:rPr>
          <w:rFonts w:ascii="宋体" w:hAnsi="宋体" w:cs="宋体" w:eastAsia="宋体" w:hint="default"/>
          <w:sz w:val="25"/>
          <w:szCs w:val="25"/>
        </w:rPr>
      </w:pPr>
    </w:p>
    <w:p>
      <w:pPr>
        <w:pStyle w:val="BodyText"/>
        <w:spacing w:line="240" w:lineRule="auto"/>
        <w:ind w:left="573" w:right="106"/>
        <w:jc w:val="left"/>
      </w:pPr>
      <w:r>
        <w:rPr/>
        <w:t>（二）内幕信息知情人管理制度的执行情况</w:t>
      </w:r>
    </w:p>
    <w:p>
      <w:pPr>
        <w:spacing w:line="240" w:lineRule="auto" w:before="0"/>
        <w:rPr>
          <w:rFonts w:ascii="宋体" w:hAnsi="宋体" w:cs="宋体" w:eastAsia="宋体" w:hint="default"/>
          <w:sz w:val="20"/>
          <w:szCs w:val="20"/>
        </w:rPr>
      </w:pPr>
    </w:p>
    <w:p>
      <w:pPr>
        <w:pStyle w:val="BodyText"/>
        <w:spacing w:line="240" w:lineRule="auto" w:before="135"/>
        <w:ind w:left="573" w:right="106"/>
        <w:jc w:val="left"/>
      </w:pPr>
      <w:r>
        <w:rPr>
          <w:rFonts w:ascii="宋体" w:hAnsi="宋体" w:cs="宋体" w:eastAsia="宋体" w:hint="default"/>
        </w:rPr>
        <w:t>1</w:t>
      </w:r>
      <w:r>
        <w:rPr/>
        <w:t>、定期报告披露期间的信息保密工作</w:t>
      </w:r>
    </w:p>
    <w:p>
      <w:pPr>
        <w:spacing w:after="0" w:line="240" w:lineRule="auto"/>
        <w:jc w:val="left"/>
        <w:sectPr>
          <w:pgSz w:w="11910" w:h="16840"/>
          <w:pgMar w:header="748" w:footer="982" w:top="1060" w:bottom="1180" w:left="98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314" w:lineRule="auto" w:before="170"/>
        <w:ind w:right="146" w:firstLine="420"/>
        <w:jc w:val="both"/>
      </w:pPr>
      <w:r>
        <w:rPr>
          <w:spacing w:val="-3"/>
        </w:rPr>
        <w:t>报告期内，公司严格执行内幕信息保密制度，严格规范信息传递流程，在定期报告披露期间，对于未</w:t>
      </w:r>
      <w:r>
        <w:rPr>
          <w:spacing w:val="-3"/>
          <w:w w:val="100"/>
        </w:rPr>
        <w:t> </w:t>
      </w:r>
      <w:r>
        <w:rPr>
          <w:spacing w:val="-2"/>
        </w:rPr>
        <w:t>公开信息，公司董事会办公室都会严格控制知情人范围并组织相关内幕信息知情人填写《内幕信息知情人</w:t>
      </w:r>
      <w:r>
        <w:rPr>
          <w:spacing w:val="-42"/>
        </w:rPr>
        <w:t> </w:t>
      </w:r>
      <w:r>
        <w:rPr>
          <w:spacing w:val="-42"/>
        </w:rPr>
      </w:r>
      <w:r>
        <w:rPr>
          <w:spacing w:val="-2"/>
        </w:rPr>
        <w:t>登记表》，如实、完整记录上述信息在公开前的所有内幕信息知情人名单，以及知情人知悉内幕信息的时</w:t>
      </w:r>
      <w:r>
        <w:rPr>
          <w:spacing w:val="-44"/>
        </w:rPr>
        <w:t> </w:t>
      </w:r>
      <w:r>
        <w:rPr>
          <w:spacing w:val="-44"/>
        </w:rPr>
      </w:r>
      <w:r>
        <w:rPr>
          <w:spacing w:val="-2"/>
        </w:rPr>
        <w:t>间。经公司董事会办公室核实无误后，按照相关法规规定在向深交所和证监局报送定期报告相关资料的同</w:t>
      </w:r>
      <w:r>
        <w:rPr>
          <w:spacing w:val="-44"/>
        </w:rPr>
        <w:t> </w:t>
      </w:r>
      <w:r>
        <w:rPr>
          <w:spacing w:val="-44"/>
        </w:rPr>
      </w:r>
      <w:r>
        <w:rPr/>
        <w:t>时报备内幕信息知情人登记情况。</w:t>
      </w:r>
    </w:p>
    <w:p>
      <w:pPr>
        <w:pStyle w:val="BodyText"/>
        <w:spacing w:line="314" w:lineRule="auto" w:before="17"/>
        <w:ind w:left="574" w:right="0" w:hanging="3"/>
        <w:jc w:val="left"/>
      </w:pPr>
      <w:r>
        <w:rPr>
          <w:rFonts w:ascii="宋体" w:hAnsi="宋体" w:cs="宋体" w:eastAsia="宋体" w:hint="default"/>
        </w:rPr>
        <w:t>2</w:t>
      </w:r>
      <w:r>
        <w:rPr/>
        <w:t>、内幕知情人在敏感期买卖本公司股票情况</w:t>
      </w:r>
      <w:r>
        <w:rPr>
          <w:spacing w:val="-3"/>
          <w:w w:val="100"/>
        </w:rPr>
        <w:t> </w:t>
      </w:r>
      <w:r>
        <w:rPr>
          <w:spacing w:val="-3"/>
        </w:rPr>
        <w:t>报告期内，公司董事、监事和高管及其配偶、父母、子女等直系亲属未有在敏感期买卖公司股票的行</w:t>
      </w:r>
    </w:p>
    <w:p>
      <w:pPr>
        <w:pStyle w:val="BodyText"/>
        <w:spacing w:line="240" w:lineRule="auto" w:before="17"/>
        <w:ind w:right="0"/>
        <w:jc w:val="left"/>
      </w:pPr>
      <w:r>
        <w:rPr/>
        <w:t>为发生。</w:t>
      </w:r>
    </w:p>
    <w:p>
      <w:pPr>
        <w:pStyle w:val="BodyText"/>
        <w:spacing w:line="312" w:lineRule="auto" w:before="85"/>
        <w:ind w:right="231" w:firstLine="420"/>
        <w:jc w:val="both"/>
      </w:pPr>
      <w:r>
        <w:rPr>
          <w:rFonts w:ascii="宋体" w:hAnsi="宋体" w:cs="宋体" w:eastAsia="宋体" w:hint="default"/>
          <w:spacing w:val="-2"/>
        </w:rPr>
        <w:t>3</w:t>
      </w:r>
      <w:r>
        <w:rPr>
          <w:spacing w:val="-2"/>
        </w:rPr>
        <w:t>、对董事、监事、高级管理人进行内幕信息相关法律培训为了提高董事、监事、高级管理人员对内</w:t>
      </w:r>
      <w:r>
        <w:rPr>
          <w:w w:val="100"/>
        </w:rPr>
        <w:t> </w:t>
      </w:r>
      <w:r>
        <w:rPr/>
        <w:t>幕信息重要性的认识，公司证券部组织董监高及相关人员进行内部培训。</w:t>
      </w:r>
    </w:p>
    <w:p>
      <w:pPr>
        <w:pStyle w:val="BodyText"/>
        <w:spacing w:line="312" w:lineRule="auto" w:before="22"/>
        <w:ind w:left="572" w:right="0"/>
        <w:jc w:val="left"/>
      </w:pPr>
      <w:r>
        <w:rPr>
          <w:rFonts w:ascii="宋体" w:hAnsi="宋体" w:cs="宋体" w:eastAsia="宋体" w:hint="default"/>
        </w:rPr>
        <w:t>4</w:t>
      </w:r>
      <w:r>
        <w:rPr/>
        <w:t>、公司对外部信息管理的落实情况</w:t>
      </w:r>
      <w:r>
        <w:rPr>
          <w:spacing w:val="-3"/>
          <w:w w:val="100"/>
        </w:rPr>
        <w:t> </w:t>
      </w:r>
      <w:r>
        <w:rPr>
          <w:spacing w:val="-2"/>
        </w:rPr>
        <w:t>报告期内，公司未对控股股东、实际控制人、政府及其它外部单位提供未经披露的财务报表和其它内</w:t>
      </w:r>
    </w:p>
    <w:p>
      <w:pPr>
        <w:pStyle w:val="BodyText"/>
        <w:spacing w:line="240" w:lineRule="auto" w:before="22"/>
        <w:ind w:right="0"/>
        <w:jc w:val="left"/>
      </w:pPr>
      <w:r>
        <w:rPr/>
        <w:t>幕信息。</w:t>
      </w:r>
    </w:p>
    <w:p>
      <w:pPr>
        <w:pStyle w:val="BodyText"/>
        <w:spacing w:line="314" w:lineRule="auto" w:before="82"/>
        <w:ind w:left="574" w:right="0" w:hanging="3"/>
        <w:jc w:val="left"/>
      </w:pPr>
      <w:r>
        <w:rPr>
          <w:rFonts w:ascii="宋体" w:hAnsi="宋体" w:cs="宋体" w:eastAsia="宋体" w:hint="default"/>
        </w:rPr>
        <w:t>5</w:t>
      </w:r>
      <w:r>
        <w:rPr/>
        <w:t>、投资者调研期间的信息保密工作</w:t>
      </w:r>
      <w:r>
        <w:rPr>
          <w:spacing w:val="-3"/>
          <w:w w:val="100"/>
        </w:rPr>
        <w:t> </w:t>
      </w:r>
      <w:r>
        <w:rPr>
          <w:spacing w:val="-2"/>
        </w:rPr>
        <w:t>在定期报告及重大事项披露期间，公司尽量避免接待投资者的调研，努力做好定期报告及重大事项披</w:t>
      </w:r>
    </w:p>
    <w:p>
      <w:pPr>
        <w:pStyle w:val="BodyText"/>
        <w:spacing w:line="314" w:lineRule="auto" w:before="17"/>
        <w:ind w:left="572" w:right="0" w:hanging="420"/>
        <w:jc w:val="left"/>
      </w:pPr>
      <w:r>
        <w:rPr/>
        <w:t>露期间的信息保密工作。</w:t>
      </w:r>
      <w:r>
        <w:rPr>
          <w:w w:val="100"/>
        </w:rPr>
        <w:t> </w:t>
      </w:r>
      <w:r>
        <w:rPr>
          <w:spacing w:val="-2"/>
        </w:rPr>
        <w:t>在日常接待投资者调研时，公司董事会办公室负责履行相关的信息保密工作程序。在进行调研前，先</w:t>
      </w:r>
    </w:p>
    <w:p>
      <w:pPr>
        <w:pStyle w:val="BodyText"/>
        <w:spacing w:line="314" w:lineRule="auto" w:before="17"/>
        <w:ind w:left="151" w:right="147"/>
        <w:jc w:val="both"/>
      </w:pPr>
      <w:r>
        <w:rPr>
          <w:spacing w:val="-2"/>
        </w:rPr>
        <w:t>对调研人员的个人信息进行备案，同时要求签署投资者（机构）调研登记表，并承诺在对外出具报告前需</w:t>
      </w:r>
      <w:r>
        <w:rPr>
          <w:spacing w:val="-47"/>
        </w:rPr>
        <w:t> </w:t>
      </w:r>
      <w:r>
        <w:rPr>
          <w:spacing w:val="-47"/>
        </w:rPr>
      </w:r>
      <w:r>
        <w:rPr>
          <w:spacing w:val="-2"/>
        </w:rPr>
        <w:t>经上市公司董事会办公室认可。在调研过程中，董事会办公室人员认真做好相关会议记录，并按照相关法</w:t>
      </w:r>
      <w:r>
        <w:rPr>
          <w:spacing w:val="-44"/>
        </w:rPr>
        <w:t> </w:t>
      </w:r>
      <w:r>
        <w:rPr>
          <w:spacing w:val="-44"/>
        </w:rPr>
      </w:r>
      <w:r>
        <w:rPr/>
        <w:t>规规定向深交所报备。</w:t>
      </w:r>
    </w:p>
    <w:p>
      <w:pPr>
        <w:pStyle w:val="BodyText"/>
        <w:spacing w:line="312" w:lineRule="auto" w:before="20"/>
        <w:ind w:left="571" w:right="0"/>
        <w:jc w:val="left"/>
      </w:pPr>
      <w:r>
        <w:rPr>
          <w:rFonts w:ascii="宋体" w:hAnsi="宋体" w:cs="宋体" w:eastAsia="宋体" w:hint="default"/>
        </w:rPr>
        <w:t>6</w:t>
      </w:r>
      <w:r>
        <w:rPr/>
        <w:t>、其他重大事件的信息保密工作</w:t>
      </w:r>
      <w:r>
        <w:rPr>
          <w:w w:val="100"/>
        </w:rPr>
        <w:t> </w:t>
      </w:r>
      <w:r>
        <w:rPr>
          <w:spacing w:val="-2"/>
        </w:rPr>
        <w:t>在其他重大事项未披露前，公司及相关信息披露义务人采取保密措施，如实、完整记录信息在公开前</w:t>
      </w:r>
    </w:p>
    <w:p>
      <w:pPr>
        <w:pStyle w:val="BodyText"/>
        <w:spacing w:line="314" w:lineRule="auto" w:before="22"/>
        <w:ind w:left="571" w:right="0" w:hanging="421"/>
        <w:jc w:val="left"/>
      </w:pPr>
      <w:r>
        <w:rPr>
          <w:spacing w:val="-2"/>
        </w:rPr>
        <w:t>的所有内幕信息知情人名单，以及知情人知悉内幕信息的时间，以保证信息处于可控范围。</w:t>
      </w:r>
      <w:r>
        <w:rPr>
          <w:spacing w:val="-28"/>
        </w:rPr>
        <w:t> </w:t>
      </w:r>
      <w:r>
        <w:rPr>
          <w:spacing w:val="-28"/>
        </w:rPr>
      </w:r>
      <w:r>
        <w:rPr/>
        <w:t>根据内幕信息“一事一报”的原则，并按照相关法规规定向深交所报备。</w:t>
      </w:r>
      <w:r>
        <w:rPr>
          <w:w w:val="100"/>
        </w:rPr>
        <w:t> </w:t>
      </w:r>
      <w:r>
        <w:rPr>
          <w:rFonts w:ascii="宋体" w:hAnsi="宋体" w:cs="宋体" w:eastAsia="宋体" w:hint="default"/>
        </w:rPr>
        <w:t>7</w:t>
      </w:r>
      <w:r>
        <w:rPr/>
        <w:t>、报告期内，公司未发生受到监管部门查处和整改的情形。</w:t>
      </w:r>
    </w:p>
    <w:p>
      <w:pPr>
        <w:pStyle w:val="BodyText"/>
        <w:spacing w:line="240" w:lineRule="auto" w:before="17"/>
        <w:ind w:left="571" w:right="0"/>
        <w:jc w:val="left"/>
      </w:pPr>
      <w:r>
        <w:rPr>
          <w:rFonts w:ascii="宋体" w:hAnsi="宋体" w:cs="宋体" w:eastAsia="宋体" w:hint="default"/>
        </w:rPr>
        <w:t>8</w:t>
      </w:r>
      <w:r>
        <w:rPr/>
        <w:t>、报告期内，公司不存在向大股东、实际控股人提供未公开信息等公司治理非规范情况。</w:t>
      </w:r>
    </w:p>
    <w:p>
      <w:pPr>
        <w:pStyle w:val="BodyText"/>
        <w:spacing w:line="710" w:lineRule="atLeast" w:before="7"/>
        <w:ind w:left="573" w:right="0"/>
        <w:jc w:val="left"/>
      </w:pPr>
      <w:r>
        <w:rPr/>
        <w:t>（三）报告期内自查内幕信息知情人涉嫌内幕交易以及监管部门的查处和整改情况。</w:t>
      </w:r>
      <w:r>
        <w:rPr>
          <w:w w:val="100"/>
        </w:rPr>
        <w:t> </w:t>
      </w:r>
      <w:r>
        <w:rPr>
          <w:spacing w:val="-2"/>
        </w:rPr>
        <w:t>报告期内，公司董事、监事及高级管理人员和其他相关知情人严格遵守了内幕信息知情人管理制度，</w:t>
      </w:r>
    </w:p>
    <w:p>
      <w:pPr>
        <w:pStyle w:val="BodyText"/>
        <w:spacing w:line="312" w:lineRule="auto" w:before="85"/>
        <w:ind w:left="151" w:right="148"/>
        <w:jc w:val="both"/>
      </w:pPr>
      <w:r>
        <w:rPr>
          <w:spacing w:val="-2"/>
        </w:rPr>
        <w:t>证券事务部进行公司内培训及形式多样普法宣传，未发现有内幕信息知情人利用内幕信息买卖本公司股份</w:t>
      </w:r>
      <w:r>
        <w:rPr>
          <w:spacing w:val="-43"/>
        </w:rPr>
        <w:t> </w:t>
      </w:r>
      <w:r>
        <w:rPr>
          <w:spacing w:val="-43"/>
        </w:rPr>
      </w:r>
      <w:r>
        <w:rPr/>
        <w:t>的情况。报告期内公司也未发生受到监管部门查处和整改的情形。</w:t>
      </w:r>
    </w:p>
    <w:p>
      <w:pPr>
        <w:pStyle w:val="BodyText"/>
        <w:spacing w:line="314" w:lineRule="auto" w:before="22"/>
        <w:ind w:left="151" w:right="148" w:firstLine="420"/>
        <w:jc w:val="both"/>
      </w:pPr>
      <w:r>
        <w:rPr>
          <w:spacing w:val="-3"/>
        </w:rPr>
        <w:t>报告期内，公司董事会加强了《公司法》、《证券法》等法规及《上市规则》等规则的学习，组织相</w:t>
      </w:r>
      <w:r>
        <w:rPr>
          <w:spacing w:val="-3"/>
          <w:w w:val="100"/>
        </w:rPr>
        <w:t> </w:t>
      </w:r>
      <w:r>
        <w:rPr>
          <w:spacing w:val="-2"/>
        </w:rPr>
        <w:t>关人员就信息披露法律规定展开专项学习和讨论，以确保真实、准确、完整、及时、公平的披露所有对本</w:t>
      </w:r>
      <w:r>
        <w:rPr>
          <w:spacing w:val="-43"/>
        </w:rPr>
        <w:t> </w:t>
      </w:r>
      <w:r>
        <w:rPr>
          <w:spacing w:val="-43"/>
        </w:rPr>
      </w:r>
      <w:r>
        <w:rPr>
          <w:spacing w:val="-2"/>
        </w:rPr>
        <w:t>公司股票及其衍生品种交易价格可能产生较大影响的信息。公司将继续遵守有关信息披露的法律规定并严</w:t>
      </w:r>
      <w:r>
        <w:rPr>
          <w:spacing w:val="-43"/>
        </w:rPr>
        <w:t> </w:t>
      </w:r>
      <w:r>
        <w:rPr>
          <w:spacing w:val="-43"/>
        </w:rPr>
      </w:r>
      <w:r>
        <w:rPr>
          <w:spacing w:val="-2"/>
        </w:rPr>
        <w:t>格执行本公司信息披露事务管理制度，组织有关信息披露规定的专题培训和深化学习，不断提高公司信息</w:t>
      </w:r>
      <w:r>
        <w:rPr>
          <w:spacing w:val="-43"/>
        </w:rPr>
        <w:t> </w:t>
      </w:r>
      <w:r>
        <w:rPr>
          <w:spacing w:val="-43"/>
        </w:rPr>
      </w:r>
      <w:r>
        <w:rPr/>
        <w:t>披露的质量和水平。</w:t>
      </w:r>
    </w:p>
    <w:p>
      <w:pPr>
        <w:spacing w:after="0" w:line="314" w:lineRule="auto"/>
        <w:jc w:val="both"/>
        <w:sectPr>
          <w:pgSz w:w="11910" w:h="16840"/>
          <w:pgMar w:header="748" w:footer="982" w:top="1060" w:bottom="1180" w:left="980" w:right="980"/>
        </w:sectPr>
      </w:pPr>
    </w:p>
    <w:p>
      <w:pPr>
        <w:spacing w:line="240" w:lineRule="auto" w:before="6"/>
        <w:rPr>
          <w:rFonts w:ascii="宋体" w:hAnsi="宋体" w:cs="宋体" w:eastAsia="宋体" w:hint="default"/>
          <w:sz w:val="23"/>
          <w:szCs w:val="23"/>
        </w:rPr>
      </w:pPr>
    </w:p>
    <w:p>
      <w:pPr>
        <w:pStyle w:val="Heading4"/>
        <w:spacing w:line="240" w:lineRule="auto" w:before="26"/>
        <w:ind w:right="0"/>
        <w:jc w:val="left"/>
        <w:rPr>
          <w:b w:val="0"/>
          <w:bCs w:val="0"/>
        </w:rPr>
      </w:pPr>
      <w:r>
        <w:rPr/>
        <w:t>七、报告期内接待调研、沟通、采访等活动登记表</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right="0"/>
        <w:jc w:val="left"/>
      </w:pPr>
      <w:bookmarkStart w:name="七、报告期内接待调研、沟通、采访等活动登记表" w:id="34"/>
      <w:bookmarkEnd w:id="34"/>
      <w:r>
        <w:rPr/>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8"/>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1495"/>
        <w:gridCol w:w="1495"/>
        <w:gridCol w:w="1498"/>
        <w:gridCol w:w="1498"/>
        <w:gridCol w:w="1498"/>
        <w:gridCol w:w="2086"/>
      </w:tblGrid>
      <w:tr>
        <w:trPr>
          <w:trHeight w:val="554" w:hRule="exact"/>
        </w:trPr>
        <w:tc>
          <w:tcPr>
            <w:tcW w:w="14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2"/>
              <w:ind w:left="321" w:right="0"/>
              <w:jc w:val="left"/>
              <w:rPr>
                <w:rFonts w:ascii="宋体" w:hAnsi="宋体" w:cs="宋体" w:eastAsia="宋体" w:hint="default"/>
                <w:sz w:val="21"/>
                <w:szCs w:val="21"/>
              </w:rPr>
            </w:pPr>
            <w:r>
              <w:rPr>
                <w:rFonts w:ascii="宋体" w:hAnsi="宋体" w:cs="宋体" w:eastAsia="宋体" w:hint="default"/>
                <w:sz w:val="21"/>
                <w:szCs w:val="21"/>
              </w:rPr>
              <w:t>接待时间</w:t>
            </w:r>
          </w:p>
        </w:tc>
        <w:tc>
          <w:tcPr>
            <w:tcW w:w="14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2"/>
              <w:ind w:left="323" w:right="0"/>
              <w:jc w:val="left"/>
              <w:rPr>
                <w:rFonts w:ascii="宋体" w:hAnsi="宋体" w:cs="宋体" w:eastAsia="宋体" w:hint="default"/>
                <w:sz w:val="21"/>
                <w:szCs w:val="21"/>
              </w:rPr>
            </w:pPr>
            <w:r>
              <w:rPr>
                <w:rFonts w:ascii="宋体" w:hAnsi="宋体" w:cs="宋体" w:eastAsia="宋体" w:hint="default"/>
                <w:sz w:val="21"/>
                <w:szCs w:val="21"/>
              </w:rPr>
              <w:t>接待地点</w:t>
            </w:r>
          </w:p>
        </w:tc>
        <w:tc>
          <w:tcPr>
            <w:tcW w:w="14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2"/>
              <w:ind w:left="324" w:right="0"/>
              <w:jc w:val="left"/>
              <w:rPr>
                <w:rFonts w:ascii="宋体" w:hAnsi="宋体" w:cs="宋体" w:eastAsia="宋体" w:hint="default"/>
                <w:sz w:val="21"/>
                <w:szCs w:val="21"/>
              </w:rPr>
            </w:pPr>
            <w:r>
              <w:rPr>
                <w:rFonts w:ascii="宋体" w:hAnsi="宋体" w:cs="宋体" w:eastAsia="宋体" w:hint="default"/>
                <w:sz w:val="21"/>
                <w:szCs w:val="21"/>
              </w:rPr>
              <w:t>接待方式</w:t>
            </w:r>
          </w:p>
        </w:tc>
        <w:tc>
          <w:tcPr>
            <w:tcW w:w="14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2"/>
              <w:ind w:left="112" w:right="0"/>
              <w:jc w:val="left"/>
              <w:rPr>
                <w:rFonts w:ascii="宋体" w:hAnsi="宋体" w:cs="宋体" w:eastAsia="宋体" w:hint="default"/>
                <w:sz w:val="21"/>
                <w:szCs w:val="21"/>
              </w:rPr>
            </w:pPr>
            <w:r>
              <w:rPr>
                <w:rFonts w:ascii="宋体" w:hAnsi="宋体" w:cs="宋体" w:eastAsia="宋体" w:hint="default"/>
                <w:sz w:val="21"/>
                <w:szCs w:val="21"/>
              </w:rPr>
              <w:t>接待对象类型</w:t>
            </w:r>
          </w:p>
        </w:tc>
        <w:tc>
          <w:tcPr>
            <w:tcW w:w="14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2"/>
              <w:ind w:left="323" w:right="0"/>
              <w:jc w:val="left"/>
              <w:rPr>
                <w:rFonts w:ascii="宋体" w:hAnsi="宋体" w:cs="宋体" w:eastAsia="宋体" w:hint="default"/>
                <w:sz w:val="21"/>
                <w:szCs w:val="21"/>
              </w:rPr>
            </w:pPr>
            <w:r>
              <w:rPr>
                <w:rFonts w:ascii="宋体" w:hAnsi="宋体" w:cs="宋体" w:eastAsia="宋体" w:hint="default"/>
                <w:sz w:val="21"/>
                <w:szCs w:val="21"/>
              </w:rPr>
              <w:t>接待对象</w:t>
            </w:r>
          </w:p>
        </w:tc>
        <w:tc>
          <w:tcPr>
            <w:tcW w:w="20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9" w:lineRule="exact"/>
              <w:ind w:left="5" w:right="0"/>
              <w:jc w:val="center"/>
              <w:rPr>
                <w:rFonts w:ascii="宋体" w:hAnsi="宋体" w:cs="宋体" w:eastAsia="宋体" w:hint="default"/>
                <w:sz w:val="21"/>
                <w:szCs w:val="21"/>
              </w:rPr>
            </w:pPr>
            <w:r>
              <w:rPr>
                <w:rFonts w:ascii="宋体" w:hAnsi="宋体" w:cs="宋体" w:eastAsia="宋体" w:hint="default"/>
                <w:sz w:val="21"/>
                <w:szCs w:val="21"/>
              </w:rPr>
              <w:t>谈论的主要内容及提</w:t>
            </w: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供的资料</w:t>
            </w:r>
          </w:p>
        </w:tc>
      </w:tr>
      <w:tr>
        <w:trPr>
          <w:trHeight w:val="1922"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9"/>
              <w:ind w:right="0"/>
              <w:jc w:val="left"/>
              <w:rPr>
                <w:rFonts w:ascii="宋体" w:hAnsi="宋体" w:cs="宋体" w:eastAsia="宋体" w:hint="default"/>
                <w:sz w:val="27"/>
                <w:szCs w:val="27"/>
              </w:rPr>
            </w:pPr>
          </w:p>
          <w:p>
            <w:pPr>
              <w:pStyle w:val="TableParagraph"/>
              <w:spacing w:line="281" w:lineRule="exact"/>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02</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14</w:t>
            </w:r>
          </w:p>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6"/>
                <w:sz w:val="21"/>
                <w:szCs w:val="21"/>
              </w:rPr>
              <w:t>证券时报、中投</w:t>
            </w:r>
            <w:r>
              <w:rPr>
                <w:rFonts w:ascii="宋体" w:hAnsi="宋体" w:cs="宋体" w:eastAsia="宋体" w:hint="default"/>
                <w:sz w:val="21"/>
                <w:szCs w:val="21"/>
              </w:rPr>
            </w:r>
          </w:p>
          <w:p>
            <w:pPr>
              <w:pStyle w:val="TableParagraph"/>
              <w:spacing w:line="237" w:lineRule="auto" w:before="2"/>
              <w:ind w:left="23" w:right="-6"/>
              <w:jc w:val="left"/>
              <w:rPr>
                <w:rFonts w:ascii="宋体" w:hAnsi="宋体" w:cs="宋体" w:eastAsia="宋体" w:hint="default"/>
                <w:sz w:val="21"/>
                <w:szCs w:val="21"/>
              </w:rPr>
            </w:pPr>
            <w:r>
              <w:rPr>
                <w:rFonts w:ascii="宋体" w:hAnsi="宋体" w:cs="宋体" w:eastAsia="宋体" w:hint="default"/>
                <w:sz w:val="21"/>
                <w:szCs w:val="21"/>
              </w:rPr>
              <w:t>证券、广发证</w:t>
            </w:r>
            <w:r>
              <w:rPr>
                <w:rFonts w:ascii="宋体" w:hAnsi="宋体" w:cs="宋体" w:eastAsia="宋体" w:hint="default"/>
                <w:w w:val="100"/>
                <w:sz w:val="21"/>
                <w:szCs w:val="21"/>
              </w:rPr>
              <w:t> </w:t>
            </w:r>
            <w:r>
              <w:rPr>
                <w:rFonts w:ascii="宋体" w:hAnsi="宋体" w:cs="宋体" w:eastAsia="宋体" w:hint="default"/>
                <w:spacing w:val="-2"/>
                <w:sz w:val="21"/>
                <w:szCs w:val="21"/>
              </w:rPr>
              <w:t>券、平安证券、</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6"/>
                <w:sz w:val="21"/>
                <w:szCs w:val="21"/>
              </w:rPr>
              <w:t>英大证券、交易</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6"/>
                <w:sz w:val="21"/>
                <w:szCs w:val="21"/>
              </w:rPr>
              <w:t>所研究员、广电</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6"/>
                <w:sz w:val="21"/>
                <w:szCs w:val="21"/>
              </w:rPr>
              <w:t>财经频道、证券</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信息公司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4"/>
              <w:ind w:left="23" w:right="156"/>
              <w:jc w:val="left"/>
              <w:rPr>
                <w:rFonts w:ascii="宋体" w:hAnsi="宋体" w:cs="宋体" w:eastAsia="宋体" w:hint="default"/>
                <w:sz w:val="21"/>
                <w:szCs w:val="21"/>
              </w:rPr>
            </w:pPr>
            <w:r>
              <w:rPr>
                <w:rFonts w:ascii="宋体" w:hAnsi="宋体" w:cs="宋体" w:eastAsia="宋体" w:hint="default"/>
                <w:sz w:val="21"/>
                <w:szCs w:val="21"/>
              </w:rPr>
              <w:t>了解公司日常经营情</w:t>
            </w:r>
            <w:r>
              <w:rPr>
                <w:rFonts w:ascii="宋体" w:hAnsi="宋体" w:cs="宋体" w:eastAsia="宋体" w:hint="default"/>
                <w:w w:val="100"/>
                <w:sz w:val="21"/>
                <w:szCs w:val="21"/>
              </w:rPr>
              <w:t> </w:t>
            </w:r>
            <w:r>
              <w:rPr>
                <w:rFonts w:ascii="宋体" w:hAnsi="宋体" w:cs="宋体" w:eastAsia="宋体" w:hint="default"/>
                <w:sz w:val="21"/>
                <w:szCs w:val="21"/>
              </w:rPr>
              <w:t>况。</w:t>
            </w:r>
          </w:p>
        </w:tc>
      </w:tr>
      <w:tr>
        <w:trPr>
          <w:trHeight w:val="828"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before="102"/>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23</w:t>
            </w:r>
          </w:p>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6"/>
                <w:sz w:val="21"/>
                <w:szCs w:val="21"/>
              </w:rPr>
              <w:t>广发证券、中国</w:t>
            </w:r>
            <w:r>
              <w:rPr>
                <w:rFonts w:ascii="宋体" w:hAnsi="宋体" w:cs="宋体" w:eastAsia="宋体" w:hint="default"/>
                <w:sz w:val="21"/>
                <w:szCs w:val="21"/>
              </w:rPr>
            </w:r>
          </w:p>
          <w:p>
            <w:pPr>
              <w:pStyle w:val="TableParagraph"/>
              <w:spacing w:line="272" w:lineRule="exact" w:before="27"/>
              <w:ind w:left="23" w:right="19"/>
              <w:jc w:val="left"/>
              <w:rPr>
                <w:rFonts w:ascii="宋体" w:hAnsi="宋体" w:cs="宋体" w:eastAsia="宋体" w:hint="default"/>
                <w:sz w:val="21"/>
                <w:szCs w:val="21"/>
              </w:rPr>
            </w:pPr>
            <w:r>
              <w:rPr>
                <w:rFonts w:ascii="宋体" w:hAnsi="宋体" w:cs="宋体" w:eastAsia="宋体" w:hint="default"/>
                <w:spacing w:val="-6"/>
                <w:sz w:val="21"/>
                <w:szCs w:val="21"/>
              </w:rPr>
              <w:t>证券报、中山证</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券、中山证券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3" w:right="156"/>
              <w:jc w:val="left"/>
              <w:rPr>
                <w:rFonts w:ascii="宋体" w:hAnsi="宋体" w:cs="宋体" w:eastAsia="宋体" w:hint="default"/>
                <w:sz w:val="21"/>
                <w:szCs w:val="21"/>
              </w:rPr>
            </w:pPr>
            <w:r>
              <w:rPr>
                <w:rFonts w:ascii="宋体" w:hAnsi="宋体" w:cs="宋体" w:eastAsia="宋体" w:hint="default"/>
                <w:sz w:val="21"/>
                <w:szCs w:val="21"/>
              </w:rPr>
              <w:t>了解公司日常经营情</w:t>
            </w:r>
            <w:r>
              <w:rPr>
                <w:rFonts w:ascii="宋体" w:hAnsi="宋体" w:cs="宋体" w:eastAsia="宋体" w:hint="default"/>
                <w:w w:val="100"/>
                <w:sz w:val="21"/>
                <w:szCs w:val="21"/>
              </w:rPr>
              <w:t> </w:t>
            </w:r>
            <w:r>
              <w:rPr>
                <w:rFonts w:ascii="宋体" w:hAnsi="宋体" w:cs="宋体" w:eastAsia="宋体" w:hint="default"/>
                <w:sz w:val="21"/>
                <w:szCs w:val="21"/>
              </w:rPr>
              <w:t>况。</w:t>
            </w:r>
          </w:p>
        </w:tc>
      </w:tr>
      <w:tr>
        <w:trPr>
          <w:trHeight w:val="4651"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82" w:lineRule="exact"/>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12</w:t>
            </w:r>
          </w:p>
          <w:p>
            <w:pPr>
              <w:pStyle w:val="TableParagraph"/>
              <w:spacing w:line="266"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嘉实基金管理</w:t>
            </w:r>
          </w:p>
          <w:p>
            <w:pPr>
              <w:pStyle w:val="TableParagraph"/>
              <w:spacing w:line="237" w:lineRule="auto" w:before="2"/>
              <w:ind w:left="23" w:right="-6"/>
              <w:jc w:val="left"/>
              <w:rPr>
                <w:rFonts w:ascii="宋体" w:hAnsi="宋体" w:cs="宋体" w:eastAsia="宋体" w:hint="default"/>
                <w:sz w:val="21"/>
                <w:szCs w:val="21"/>
              </w:rPr>
            </w:pPr>
            <w:r>
              <w:rPr>
                <w:rFonts w:ascii="宋体" w:hAnsi="宋体" w:cs="宋体" w:eastAsia="宋体" w:hint="default"/>
                <w:spacing w:val="-6"/>
                <w:sz w:val="21"/>
                <w:szCs w:val="21"/>
              </w:rPr>
              <w:t>有限公司、上海</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混沌道然资产</w:t>
            </w:r>
            <w:r>
              <w:rPr>
                <w:rFonts w:ascii="宋体" w:hAnsi="宋体" w:cs="宋体" w:eastAsia="宋体" w:hint="default"/>
                <w:w w:val="100"/>
                <w:sz w:val="21"/>
                <w:szCs w:val="21"/>
              </w:rPr>
              <w:t> </w:t>
            </w:r>
            <w:r>
              <w:rPr>
                <w:rFonts w:ascii="宋体" w:hAnsi="宋体" w:cs="宋体" w:eastAsia="宋体" w:hint="default"/>
                <w:spacing w:val="-2"/>
                <w:sz w:val="21"/>
                <w:szCs w:val="21"/>
              </w:rPr>
              <w:t>管理有限公司、</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深圳市创海富</w:t>
            </w:r>
            <w:r>
              <w:rPr>
                <w:rFonts w:ascii="宋体" w:hAnsi="宋体" w:cs="宋体" w:eastAsia="宋体" w:hint="default"/>
                <w:w w:val="100"/>
                <w:sz w:val="21"/>
                <w:szCs w:val="21"/>
              </w:rPr>
              <w:t> </w:t>
            </w:r>
            <w:r>
              <w:rPr>
                <w:rFonts w:ascii="宋体" w:hAnsi="宋体" w:cs="宋体" w:eastAsia="宋体" w:hint="default"/>
                <w:sz w:val="21"/>
                <w:szCs w:val="21"/>
              </w:rPr>
              <w:t>信资产管理有</w:t>
            </w:r>
            <w:r>
              <w:rPr>
                <w:rFonts w:ascii="宋体" w:hAnsi="宋体" w:cs="宋体" w:eastAsia="宋体" w:hint="default"/>
                <w:w w:val="100"/>
                <w:sz w:val="21"/>
                <w:szCs w:val="21"/>
              </w:rPr>
              <w:t> </w:t>
            </w:r>
            <w:r>
              <w:rPr>
                <w:rFonts w:ascii="宋体" w:hAnsi="宋体" w:cs="宋体" w:eastAsia="宋体" w:hint="default"/>
                <w:spacing w:val="-6"/>
                <w:sz w:val="21"/>
                <w:szCs w:val="21"/>
              </w:rPr>
              <w:t>限公司、国泰基</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金管理有限公</w:t>
            </w:r>
            <w:r>
              <w:rPr>
                <w:rFonts w:ascii="宋体" w:hAnsi="宋体" w:cs="宋体" w:eastAsia="宋体" w:hint="default"/>
                <w:w w:val="100"/>
                <w:sz w:val="21"/>
                <w:szCs w:val="21"/>
              </w:rPr>
              <w:t> </w:t>
            </w:r>
            <w:r>
              <w:rPr>
                <w:rFonts w:ascii="宋体" w:hAnsi="宋体" w:cs="宋体" w:eastAsia="宋体" w:hint="default"/>
                <w:spacing w:val="-6"/>
                <w:sz w:val="21"/>
                <w:szCs w:val="21"/>
              </w:rPr>
              <w:t>司、摩根士丹利</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华鑫基金管理</w:t>
            </w:r>
            <w:r>
              <w:rPr>
                <w:rFonts w:ascii="宋体" w:hAnsi="宋体" w:cs="宋体" w:eastAsia="宋体" w:hint="default"/>
                <w:w w:val="100"/>
                <w:sz w:val="21"/>
                <w:szCs w:val="21"/>
              </w:rPr>
              <w:t> </w:t>
            </w:r>
            <w:r>
              <w:rPr>
                <w:rFonts w:ascii="宋体" w:hAnsi="宋体" w:cs="宋体" w:eastAsia="宋体" w:hint="default"/>
                <w:spacing w:val="-6"/>
                <w:sz w:val="21"/>
                <w:szCs w:val="21"/>
              </w:rPr>
              <w:t>有限公司、万家</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基金管理有限</w:t>
            </w:r>
            <w:r>
              <w:rPr>
                <w:rFonts w:ascii="宋体" w:hAnsi="宋体" w:cs="宋体" w:eastAsia="宋体" w:hint="default"/>
                <w:w w:val="100"/>
                <w:sz w:val="21"/>
                <w:szCs w:val="21"/>
              </w:rPr>
              <w:t> </w:t>
            </w:r>
            <w:r>
              <w:rPr>
                <w:rFonts w:ascii="宋体" w:hAnsi="宋体" w:cs="宋体" w:eastAsia="宋体" w:hint="default"/>
                <w:spacing w:val="-6"/>
                <w:sz w:val="21"/>
                <w:szCs w:val="21"/>
              </w:rPr>
              <w:t>公司、中信建投</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证券股份有限</w:t>
            </w:r>
            <w:r>
              <w:rPr>
                <w:rFonts w:ascii="宋体" w:hAnsi="宋体" w:cs="宋体" w:eastAsia="宋体" w:hint="default"/>
                <w:w w:val="100"/>
                <w:sz w:val="21"/>
                <w:szCs w:val="21"/>
              </w:rPr>
              <w:t> </w:t>
            </w:r>
            <w:r>
              <w:rPr>
                <w:rFonts w:ascii="宋体" w:hAnsi="宋体" w:cs="宋体" w:eastAsia="宋体" w:hint="default"/>
                <w:spacing w:val="-6"/>
                <w:sz w:val="21"/>
                <w:szCs w:val="21"/>
              </w:rPr>
              <w:t>公司、深圳清水</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源投资管理有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3" w:right="156"/>
              <w:jc w:val="left"/>
              <w:rPr>
                <w:rFonts w:ascii="宋体" w:hAnsi="宋体" w:cs="宋体" w:eastAsia="宋体" w:hint="default"/>
                <w:sz w:val="21"/>
                <w:szCs w:val="21"/>
              </w:rPr>
            </w:pPr>
            <w:r>
              <w:rPr>
                <w:rFonts w:ascii="宋体" w:hAnsi="宋体" w:cs="宋体" w:eastAsia="宋体" w:hint="default"/>
                <w:sz w:val="21"/>
                <w:szCs w:val="21"/>
              </w:rPr>
              <w:t>了解公司日常经营情</w:t>
            </w:r>
            <w:r>
              <w:rPr>
                <w:rFonts w:ascii="宋体" w:hAnsi="宋体" w:cs="宋体" w:eastAsia="宋体" w:hint="default"/>
                <w:w w:val="100"/>
                <w:sz w:val="21"/>
                <w:szCs w:val="21"/>
              </w:rPr>
              <w:t> </w:t>
            </w:r>
            <w:r>
              <w:rPr>
                <w:rFonts w:ascii="宋体" w:hAnsi="宋体" w:cs="宋体" w:eastAsia="宋体" w:hint="default"/>
                <w:sz w:val="21"/>
                <w:szCs w:val="21"/>
              </w:rPr>
              <w:t>况。</w:t>
            </w:r>
          </w:p>
        </w:tc>
      </w:tr>
    </w:tbl>
    <w:p>
      <w:pPr>
        <w:spacing w:after="0" w:line="240" w:lineRule="auto"/>
        <w:jc w:val="left"/>
        <w:rPr>
          <w:rFonts w:ascii="宋体" w:hAnsi="宋体" w:cs="宋体" w:eastAsia="宋体" w:hint="default"/>
          <w:sz w:val="21"/>
          <w:szCs w:val="21"/>
        </w:rPr>
        <w:sectPr>
          <w:pgSz w:w="11910" w:h="16840"/>
          <w:pgMar w:header="748"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38"/>
        <w:ind w:right="134"/>
        <w:jc w:val="center"/>
        <w:rPr>
          <w:b w:val="0"/>
          <w:bCs w:val="0"/>
        </w:rPr>
      </w:pPr>
      <w:bookmarkStart w:name="第五节 重要事项" w:id="35"/>
      <w:bookmarkEnd w:id="35"/>
      <w:r>
        <w:rPr>
          <w:b w:val="0"/>
          <w:bCs w:val="0"/>
        </w:rPr>
      </w:r>
      <w:bookmarkStart w:name="_bookmark4" w:id="36"/>
      <w:bookmarkEnd w:id="36"/>
      <w:r>
        <w:rPr>
          <w:b w:val="0"/>
          <w:bCs w:val="0"/>
        </w:rPr>
      </w:r>
      <w:r>
        <w:rPr/>
        <w:t>第五节</w:t>
      </w:r>
      <w:r>
        <w:rPr>
          <w:spacing w:val="-9"/>
        </w:rPr>
        <w:t> </w:t>
      </w:r>
      <w:r>
        <w:rPr/>
        <w:t>重要事项</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4"/>
          <w:szCs w:val="14"/>
        </w:rPr>
      </w:pPr>
    </w:p>
    <w:p>
      <w:pPr>
        <w:pStyle w:val="Heading4"/>
        <w:spacing w:line="240" w:lineRule="auto" w:before="26"/>
        <w:ind w:right="0"/>
        <w:jc w:val="left"/>
        <w:rPr>
          <w:b w:val="0"/>
          <w:bCs w:val="0"/>
        </w:rPr>
      </w:pPr>
      <w:bookmarkStart w:name="一、重大诉讼仲裁事项" w:id="37"/>
      <w:bookmarkEnd w:id="37"/>
      <w:r>
        <w:rPr>
          <w:b w:val="0"/>
          <w:bCs w:val="0"/>
        </w:rPr>
      </w:r>
      <w:r>
        <w:rPr/>
        <w:t>一、重大诉讼仲裁事项</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8"/>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1836"/>
        <w:gridCol w:w="358"/>
        <w:gridCol w:w="513"/>
        <w:gridCol w:w="914"/>
        <w:gridCol w:w="1212"/>
        <w:gridCol w:w="1548"/>
        <w:gridCol w:w="1246"/>
        <w:gridCol w:w="984"/>
        <w:gridCol w:w="955"/>
      </w:tblGrid>
      <w:tr>
        <w:trPr>
          <w:trHeight w:val="828" w:hRule="exact"/>
        </w:trPr>
        <w:tc>
          <w:tcPr>
            <w:tcW w:w="18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72" w:lineRule="exact" w:before="130"/>
              <w:ind w:left="808" w:right="103" w:hanging="701"/>
              <w:jc w:val="left"/>
              <w:rPr>
                <w:rFonts w:ascii="宋体" w:hAnsi="宋体" w:cs="宋体" w:eastAsia="宋体" w:hint="default"/>
                <w:sz w:val="21"/>
                <w:szCs w:val="21"/>
              </w:rPr>
            </w:pPr>
            <w:r>
              <w:rPr>
                <w:rFonts w:ascii="宋体" w:hAnsi="宋体" w:cs="宋体" w:eastAsia="宋体" w:hint="default"/>
                <w:sz w:val="21"/>
                <w:szCs w:val="21"/>
              </w:rPr>
              <w:t>诉讼</w:t>
            </w:r>
            <w:r>
              <w:rPr>
                <w:rFonts w:ascii="Times New Roman" w:hAnsi="Times New Roman" w:cs="Times New Roman" w:eastAsia="Times New Roman" w:hint="default"/>
                <w:sz w:val="21"/>
                <w:szCs w:val="21"/>
              </w:rPr>
              <w:t>(</w:t>
            </w:r>
            <w:r>
              <w:rPr>
                <w:rFonts w:ascii="宋体" w:hAnsi="宋体" w:cs="宋体" w:eastAsia="宋体" w:hint="default"/>
                <w:sz w:val="21"/>
                <w:szCs w:val="21"/>
              </w:rPr>
              <w:t>仲裁</w:t>
            </w:r>
            <w:r>
              <w:rPr>
                <w:rFonts w:ascii="Times New Roman" w:hAnsi="Times New Roman" w:cs="Times New Roman" w:eastAsia="Times New Roman" w:hint="default"/>
                <w:sz w:val="21"/>
                <w:szCs w:val="21"/>
              </w:rPr>
              <w:t>)</w:t>
            </w:r>
            <w:r>
              <w:rPr>
                <w:rFonts w:ascii="宋体" w:hAnsi="宋体" w:cs="宋体" w:eastAsia="宋体" w:hint="default"/>
                <w:sz w:val="21"/>
                <w:szCs w:val="21"/>
              </w:rPr>
              <w:t>基本情</w:t>
            </w:r>
            <w:r>
              <w:rPr>
                <w:rFonts w:ascii="宋体" w:hAnsi="宋体" w:cs="宋体" w:eastAsia="宋体" w:hint="default"/>
                <w:w w:val="100"/>
                <w:sz w:val="21"/>
                <w:szCs w:val="21"/>
              </w:rPr>
              <w:t> </w:t>
            </w:r>
            <w:r>
              <w:rPr>
                <w:rFonts w:ascii="宋体" w:hAnsi="宋体" w:cs="宋体" w:eastAsia="宋体" w:hint="default"/>
                <w:sz w:val="21"/>
                <w:szCs w:val="21"/>
              </w:rPr>
              <w:t>况</w:t>
            </w:r>
          </w:p>
        </w:tc>
        <w:tc>
          <w:tcPr>
            <w:tcW w:w="871"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9" w:lineRule="exact"/>
              <w:ind w:left="117" w:right="0"/>
              <w:jc w:val="left"/>
              <w:rPr>
                <w:rFonts w:ascii="宋体" w:hAnsi="宋体" w:cs="宋体" w:eastAsia="宋体" w:hint="default"/>
                <w:sz w:val="21"/>
                <w:szCs w:val="21"/>
              </w:rPr>
            </w:pPr>
            <w:r>
              <w:rPr>
                <w:rFonts w:ascii="宋体" w:hAnsi="宋体" w:cs="宋体" w:eastAsia="宋体" w:hint="default"/>
                <w:sz w:val="21"/>
                <w:szCs w:val="21"/>
              </w:rPr>
              <w:t>涉案金</w:t>
            </w:r>
          </w:p>
          <w:p>
            <w:pPr>
              <w:pStyle w:val="TableParagraph"/>
              <w:spacing w:line="240" w:lineRule="auto"/>
              <w:ind w:left="223" w:right="108" w:hanging="106"/>
              <w:jc w:val="left"/>
              <w:rPr>
                <w:rFonts w:ascii="宋体" w:hAnsi="宋体" w:cs="宋体" w:eastAsia="宋体" w:hint="default"/>
                <w:sz w:val="21"/>
                <w:szCs w:val="21"/>
              </w:rPr>
            </w:pPr>
            <w:r>
              <w:rPr>
                <w:rFonts w:ascii="宋体" w:hAnsi="宋体" w:cs="宋体" w:eastAsia="宋体" w:hint="default"/>
                <w:sz w:val="21"/>
                <w:szCs w:val="21"/>
              </w:rPr>
              <w:t>额（万</w:t>
            </w:r>
            <w:r>
              <w:rPr>
                <w:rFonts w:ascii="宋体" w:hAnsi="宋体" w:cs="宋体" w:eastAsia="宋体" w:hint="default"/>
                <w:spacing w:val="-102"/>
                <w:sz w:val="21"/>
                <w:szCs w:val="21"/>
              </w:rPr>
              <w:t> </w:t>
            </w:r>
            <w:r>
              <w:rPr>
                <w:rFonts w:ascii="宋体" w:hAnsi="宋体" w:cs="宋体" w:eastAsia="宋体" w:hint="default"/>
                <w:sz w:val="21"/>
                <w:szCs w:val="21"/>
              </w:rPr>
              <w:t>元）</w:t>
            </w:r>
          </w:p>
        </w:tc>
        <w:tc>
          <w:tcPr>
            <w:tcW w:w="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72" w:lineRule="exact" w:before="130"/>
              <w:ind w:left="33" w:right="26"/>
              <w:jc w:val="left"/>
              <w:rPr>
                <w:rFonts w:ascii="宋体" w:hAnsi="宋体" w:cs="宋体" w:eastAsia="宋体" w:hint="default"/>
                <w:sz w:val="21"/>
                <w:szCs w:val="21"/>
              </w:rPr>
            </w:pPr>
            <w:r>
              <w:rPr>
                <w:rFonts w:ascii="宋体" w:hAnsi="宋体" w:cs="宋体" w:eastAsia="宋体" w:hint="default"/>
                <w:sz w:val="21"/>
                <w:szCs w:val="21"/>
              </w:rPr>
              <w:t>是否形成</w:t>
            </w:r>
            <w:r>
              <w:rPr>
                <w:rFonts w:ascii="宋体" w:hAnsi="宋体" w:cs="宋体" w:eastAsia="宋体" w:hint="default"/>
                <w:w w:val="100"/>
                <w:sz w:val="21"/>
                <w:szCs w:val="21"/>
              </w:rPr>
              <w:t> </w:t>
            </w:r>
            <w:r>
              <w:rPr>
                <w:rFonts w:ascii="宋体" w:hAnsi="宋体" w:cs="宋体" w:eastAsia="宋体" w:hint="default"/>
                <w:sz w:val="21"/>
                <w:szCs w:val="21"/>
              </w:rPr>
              <w:t>预计负债</w:t>
            </w:r>
          </w:p>
        </w:tc>
        <w:tc>
          <w:tcPr>
            <w:tcW w:w="12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72" w:lineRule="exact" w:before="130"/>
              <w:ind w:left="384" w:right="112" w:hanging="279"/>
              <w:jc w:val="left"/>
              <w:rPr>
                <w:rFonts w:ascii="宋体" w:hAnsi="宋体" w:cs="宋体" w:eastAsia="宋体" w:hint="default"/>
                <w:sz w:val="21"/>
                <w:szCs w:val="21"/>
              </w:rPr>
            </w:pPr>
            <w:r>
              <w:rPr>
                <w:rFonts w:ascii="宋体" w:hAnsi="宋体" w:cs="宋体" w:eastAsia="宋体" w:hint="default"/>
                <w:sz w:val="21"/>
                <w:szCs w:val="21"/>
              </w:rPr>
              <w:t>诉讼</w:t>
            </w:r>
            <w:r>
              <w:rPr>
                <w:rFonts w:ascii="Times New Roman" w:hAnsi="Times New Roman" w:cs="Times New Roman" w:eastAsia="Times New Roman" w:hint="default"/>
                <w:sz w:val="21"/>
                <w:szCs w:val="21"/>
              </w:rPr>
              <w:t>(</w:t>
            </w:r>
            <w:r>
              <w:rPr>
                <w:rFonts w:ascii="宋体" w:hAnsi="宋体" w:cs="宋体" w:eastAsia="宋体" w:hint="default"/>
                <w:sz w:val="21"/>
                <w:szCs w:val="21"/>
              </w:rPr>
              <w:t>仲裁</w:t>
            </w:r>
            <w:r>
              <w:rPr>
                <w:rFonts w:ascii="Times New Roman" w:hAnsi="Times New Roman" w:cs="Times New Roman" w:eastAsia="Times New Roman" w:hint="default"/>
                <w:sz w:val="21"/>
                <w:szCs w:val="21"/>
              </w:rPr>
              <w:t>)</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进展</w:t>
            </w:r>
          </w:p>
        </w:tc>
        <w:tc>
          <w:tcPr>
            <w:tcW w:w="15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72" w:lineRule="exact" w:before="130"/>
              <w:ind w:left="237" w:right="71" w:hanging="173"/>
              <w:jc w:val="left"/>
              <w:rPr>
                <w:rFonts w:ascii="宋体" w:hAnsi="宋体" w:cs="宋体" w:eastAsia="宋体" w:hint="default"/>
                <w:sz w:val="21"/>
                <w:szCs w:val="21"/>
              </w:rPr>
            </w:pPr>
            <w:r>
              <w:rPr>
                <w:rFonts w:ascii="宋体" w:hAnsi="宋体" w:cs="宋体" w:eastAsia="宋体" w:hint="default"/>
                <w:spacing w:val="-2"/>
                <w:sz w:val="21"/>
                <w:szCs w:val="21"/>
              </w:rPr>
              <w:t>诉讼</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仲裁</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审理</w:t>
            </w:r>
            <w:r>
              <w:rPr>
                <w:rFonts w:ascii="宋体" w:hAnsi="宋体" w:cs="宋体" w:eastAsia="宋体" w:hint="default"/>
                <w:spacing w:val="-92"/>
                <w:sz w:val="21"/>
                <w:szCs w:val="21"/>
              </w:rPr>
              <w:t> </w:t>
            </w:r>
            <w:r>
              <w:rPr>
                <w:rFonts w:ascii="宋体" w:hAnsi="宋体" w:cs="宋体" w:eastAsia="宋体" w:hint="default"/>
                <w:sz w:val="21"/>
                <w:szCs w:val="21"/>
              </w:rPr>
              <w:t>结果及影响</w:t>
            </w:r>
          </w:p>
        </w:tc>
        <w:tc>
          <w:tcPr>
            <w:tcW w:w="12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7" w:lineRule="exact"/>
              <w:ind w:left="91" w:right="0" w:firstLine="36"/>
              <w:jc w:val="left"/>
              <w:rPr>
                <w:rFonts w:ascii="Times New Roman" w:hAnsi="Times New Roman" w:cs="Times New Roman" w:eastAsia="Times New Roman" w:hint="default"/>
                <w:sz w:val="21"/>
                <w:szCs w:val="21"/>
              </w:rPr>
            </w:pPr>
            <w:r>
              <w:rPr>
                <w:rFonts w:ascii="宋体" w:hAnsi="宋体" w:cs="宋体" w:eastAsia="宋体" w:hint="default"/>
                <w:sz w:val="21"/>
                <w:szCs w:val="21"/>
              </w:rPr>
              <w:t>诉讼</w:t>
            </w:r>
            <w:r>
              <w:rPr>
                <w:rFonts w:ascii="Times New Roman" w:hAnsi="Times New Roman" w:cs="Times New Roman" w:eastAsia="Times New Roman" w:hint="default"/>
                <w:sz w:val="21"/>
                <w:szCs w:val="21"/>
              </w:rPr>
              <w:t>(</w:t>
            </w:r>
            <w:r>
              <w:rPr>
                <w:rFonts w:ascii="宋体" w:hAnsi="宋体" w:cs="宋体" w:eastAsia="宋体" w:hint="default"/>
                <w:sz w:val="21"/>
                <w:szCs w:val="21"/>
              </w:rPr>
              <w:t>仲裁</w:t>
            </w:r>
            <w:r>
              <w:rPr>
                <w:rFonts w:ascii="Times New Roman" w:hAnsi="Times New Roman" w:cs="Times New Roman" w:eastAsia="Times New Roman" w:hint="default"/>
                <w:sz w:val="21"/>
                <w:szCs w:val="21"/>
              </w:rPr>
              <w:t>)</w:t>
            </w:r>
          </w:p>
          <w:p>
            <w:pPr>
              <w:pStyle w:val="TableParagraph"/>
              <w:spacing w:line="274" w:lineRule="exact" w:before="16"/>
              <w:ind w:left="511" w:right="89" w:hanging="420"/>
              <w:jc w:val="left"/>
              <w:rPr>
                <w:rFonts w:ascii="宋体" w:hAnsi="宋体" w:cs="宋体" w:eastAsia="宋体" w:hint="default"/>
                <w:sz w:val="21"/>
                <w:szCs w:val="21"/>
              </w:rPr>
            </w:pPr>
            <w:r>
              <w:rPr>
                <w:rFonts w:ascii="宋体" w:hAnsi="宋体" w:cs="宋体" w:eastAsia="宋体" w:hint="default"/>
                <w:sz w:val="21"/>
                <w:szCs w:val="21"/>
              </w:rPr>
              <w:t>判决执行情</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况</w:t>
            </w:r>
          </w:p>
        </w:tc>
        <w:tc>
          <w:tcPr>
            <w:tcW w:w="9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67" w:right="0"/>
              <w:jc w:val="left"/>
              <w:rPr>
                <w:rFonts w:ascii="宋体" w:hAnsi="宋体" w:cs="宋体" w:eastAsia="宋体" w:hint="default"/>
                <w:sz w:val="21"/>
                <w:szCs w:val="21"/>
              </w:rPr>
            </w:pPr>
            <w:r>
              <w:rPr>
                <w:rFonts w:ascii="宋体" w:hAnsi="宋体" w:cs="宋体" w:eastAsia="宋体" w:hint="default"/>
                <w:sz w:val="21"/>
                <w:szCs w:val="21"/>
              </w:rPr>
              <w:t>披露日期</w:t>
            </w:r>
          </w:p>
        </w:tc>
        <w:tc>
          <w:tcPr>
            <w:tcW w:w="9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z w:val="21"/>
                <w:szCs w:val="21"/>
              </w:rPr>
              <w:t>披露索引</w:t>
            </w:r>
          </w:p>
        </w:tc>
      </w:tr>
      <w:tr>
        <w:trPr>
          <w:trHeight w:val="6562" w:hRule="exact"/>
        </w:trPr>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报告期内，被告深</w:t>
            </w:r>
          </w:p>
          <w:p>
            <w:pPr>
              <w:pStyle w:val="TableParagraph"/>
              <w:spacing w:line="235" w:lineRule="auto" w:before="4"/>
              <w:ind w:left="24" w:right="17"/>
              <w:jc w:val="left"/>
              <w:rPr>
                <w:rFonts w:ascii="宋体" w:hAnsi="宋体" w:cs="宋体" w:eastAsia="宋体" w:hint="default"/>
                <w:sz w:val="21"/>
                <w:szCs w:val="21"/>
              </w:rPr>
            </w:pPr>
            <w:r>
              <w:rPr>
                <w:rFonts w:ascii="宋体" w:hAnsi="宋体" w:cs="宋体" w:eastAsia="宋体" w:hint="default"/>
                <w:sz w:val="21"/>
                <w:szCs w:val="21"/>
              </w:rPr>
              <w:t>圳市方直科技股有</w:t>
            </w:r>
            <w:r>
              <w:rPr>
                <w:rFonts w:ascii="宋体" w:hAnsi="宋体" w:cs="宋体" w:eastAsia="宋体" w:hint="default"/>
                <w:w w:val="100"/>
                <w:sz w:val="21"/>
                <w:szCs w:val="21"/>
              </w:rPr>
              <w:t> </w:t>
            </w:r>
            <w:r>
              <w:rPr>
                <w:rFonts w:ascii="宋体" w:hAnsi="宋体" w:cs="宋体" w:eastAsia="宋体" w:hint="default"/>
                <w:sz w:val="21"/>
                <w:szCs w:val="21"/>
              </w:rPr>
              <w:t>限公司（以下简称</w:t>
            </w:r>
            <w:r>
              <w:rPr>
                <w:rFonts w:ascii="宋体" w:hAnsi="宋体" w:cs="宋体" w:eastAsia="宋体" w:hint="default"/>
                <w:w w:val="100"/>
                <w:sz w:val="21"/>
                <w:szCs w:val="21"/>
              </w:rPr>
              <w:t> </w:t>
            </w:r>
            <w:r>
              <w:rPr>
                <w:rFonts w:ascii="Times New Roman" w:hAnsi="Times New Roman" w:cs="Times New Roman" w:eastAsia="Times New Roman" w:hint="default"/>
                <w:spacing w:val="-10"/>
                <w:w w:val="100"/>
                <w:sz w:val="21"/>
                <w:szCs w:val="21"/>
              </w:rPr>
              <w:t>“</w:t>
            </w:r>
            <w:r>
              <w:rPr>
                <w:rFonts w:ascii="宋体" w:hAnsi="宋体" w:cs="宋体" w:eastAsia="宋体" w:hint="default"/>
                <w:spacing w:val="-10"/>
                <w:w w:val="100"/>
                <w:sz w:val="21"/>
                <w:szCs w:val="21"/>
              </w:rPr>
              <w:t>方直科技</w:t>
            </w:r>
            <w:r>
              <w:rPr>
                <w:rFonts w:ascii="Times New Roman" w:hAnsi="Times New Roman" w:cs="Times New Roman" w:eastAsia="Times New Roman" w:hint="default"/>
                <w:spacing w:val="-10"/>
                <w:w w:val="100"/>
                <w:sz w:val="21"/>
                <w:szCs w:val="21"/>
              </w:rPr>
              <w:t>”</w:t>
            </w:r>
            <w:r>
              <w:rPr>
                <w:rFonts w:ascii="宋体" w:hAnsi="宋体" w:cs="宋体" w:eastAsia="宋体" w:hint="default"/>
                <w:spacing w:val="-10"/>
                <w:w w:val="100"/>
                <w:sz w:val="21"/>
                <w:szCs w:val="21"/>
              </w:rPr>
              <w:t>）与原告</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深圳市学易通软件</w:t>
            </w:r>
            <w:r>
              <w:rPr>
                <w:rFonts w:ascii="宋体" w:hAnsi="宋体" w:cs="宋体" w:eastAsia="宋体" w:hint="default"/>
                <w:w w:val="100"/>
                <w:sz w:val="21"/>
                <w:szCs w:val="21"/>
              </w:rPr>
              <w:t> </w:t>
            </w:r>
            <w:r>
              <w:rPr>
                <w:rFonts w:ascii="宋体" w:hAnsi="宋体" w:cs="宋体" w:eastAsia="宋体" w:hint="default"/>
                <w:sz w:val="21"/>
                <w:szCs w:val="21"/>
              </w:rPr>
              <w:t>技术有限公司（以</w:t>
            </w:r>
            <w:r>
              <w:rPr>
                <w:rFonts w:ascii="宋体" w:hAnsi="宋体" w:cs="宋体" w:eastAsia="宋体" w:hint="default"/>
                <w:w w:val="100"/>
                <w:sz w:val="21"/>
                <w:szCs w:val="21"/>
              </w:rPr>
              <w:t> </w:t>
            </w:r>
            <w:r>
              <w:rPr>
                <w:rFonts w:ascii="宋体" w:hAnsi="宋体" w:cs="宋体" w:eastAsia="宋体" w:hint="default"/>
                <w:spacing w:val="-10"/>
                <w:w w:val="100"/>
                <w:sz w:val="21"/>
                <w:szCs w:val="21"/>
              </w:rPr>
              <w:t>下简称</w:t>
            </w:r>
            <w:r>
              <w:rPr>
                <w:rFonts w:ascii="Times New Roman" w:hAnsi="Times New Roman" w:cs="Times New Roman" w:eastAsia="Times New Roman" w:hint="default"/>
                <w:spacing w:val="-10"/>
                <w:w w:val="100"/>
                <w:sz w:val="21"/>
                <w:szCs w:val="21"/>
              </w:rPr>
              <w:t>“</w:t>
            </w:r>
            <w:r>
              <w:rPr>
                <w:rFonts w:ascii="宋体" w:hAnsi="宋体" w:cs="宋体" w:eastAsia="宋体" w:hint="default"/>
                <w:spacing w:val="-10"/>
                <w:w w:val="100"/>
                <w:sz w:val="21"/>
                <w:szCs w:val="21"/>
              </w:rPr>
              <w:t>学易通</w:t>
            </w:r>
            <w:r>
              <w:rPr>
                <w:rFonts w:ascii="Times New Roman" w:hAnsi="Times New Roman" w:cs="Times New Roman" w:eastAsia="Times New Roman" w:hint="default"/>
                <w:spacing w:val="-10"/>
                <w:w w:val="100"/>
                <w:sz w:val="21"/>
                <w:szCs w:val="21"/>
              </w:rPr>
              <w:t>”</w:t>
            </w:r>
            <w:r>
              <w:rPr>
                <w:rFonts w:ascii="宋体" w:hAnsi="宋体" w:cs="宋体" w:eastAsia="宋体" w:hint="default"/>
                <w:spacing w:val="-10"/>
                <w:w w:val="100"/>
                <w:sz w:val="21"/>
                <w:szCs w:val="21"/>
              </w:rPr>
              <w:t>）产</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生著作权权属、侵</w:t>
            </w:r>
            <w:r>
              <w:rPr>
                <w:rFonts w:ascii="宋体" w:hAnsi="宋体" w:cs="宋体" w:eastAsia="宋体" w:hint="default"/>
                <w:w w:val="100"/>
                <w:sz w:val="21"/>
                <w:szCs w:val="21"/>
              </w:rPr>
              <w:t> </w:t>
            </w:r>
            <w:r>
              <w:rPr>
                <w:rFonts w:ascii="宋体" w:hAnsi="宋体" w:cs="宋体" w:eastAsia="宋体" w:hint="default"/>
                <w:sz w:val="21"/>
                <w:szCs w:val="21"/>
              </w:rPr>
              <w:t>权纠纷。学易通发</w:t>
            </w:r>
            <w:r>
              <w:rPr>
                <w:rFonts w:ascii="宋体" w:hAnsi="宋体" w:cs="宋体" w:eastAsia="宋体" w:hint="default"/>
                <w:w w:val="100"/>
                <w:sz w:val="21"/>
                <w:szCs w:val="21"/>
              </w:rPr>
              <w:t> </w:t>
            </w:r>
            <w:r>
              <w:rPr>
                <w:rFonts w:ascii="宋体" w:hAnsi="宋体" w:cs="宋体" w:eastAsia="宋体" w:hint="default"/>
                <w:sz w:val="21"/>
                <w:szCs w:val="21"/>
              </w:rPr>
              <w:t>现方直科技制作的</w:t>
            </w:r>
          </w:p>
          <w:p>
            <w:pPr>
              <w:pStyle w:val="TableParagraph"/>
              <w:spacing w:line="272" w:lineRule="exact" w:before="27"/>
              <w:ind w:left="24" w:right="117"/>
              <w:jc w:val="left"/>
              <w:rPr>
                <w:rFonts w:ascii="宋体" w:hAnsi="宋体" w:cs="宋体" w:eastAsia="宋体" w:hint="default"/>
                <w:sz w:val="21"/>
                <w:szCs w:val="21"/>
              </w:rPr>
            </w:pPr>
            <w:r>
              <w:rPr>
                <w:rFonts w:ascii="宋体" w:hAnsi="宋体" w:cs="宋体" w:eastAsia="宋体" w:hint="default"/>
                <w:sz w:val="21"/>
                <w:szCs w:val="21"/>
              </w:rPr>
              <w:t>《深圳市小学英语</w:t>
            </w:r>
            <w:r>
              <w:rPr>
                <w:rFonts w:ascii="宋体" w:hAnsi="宋体" w:cs="宋体" w:eastAsia="宋体" w:hint="default"/>
                <w:w w:val="100"/>
                <w:sz w:val="21"/>
                <w:szCs w:val="21"/>
              </w:rPr>
              <w:t> </w:t>
            </w:r>
            <w:r>
              <w:rPr>
                <w:rFonts w:ascii="宋体" w:hAnsi="宋体" w:cs="宋体" w:eastAsia="宋体" w:hint="default"/>
                <w:sz w:val="21"/>
                <w:szCs w:val="21"/>
              </w:rPr>
              <w:t>配套教学资源集》</w:t>
            </w:r>
          </w:p>
          <w:p>
            <w:pPr>
              <w:pStyle w:val="TableParagraph"/>
              <w:spacing w:line="274" w:lineRule="exact"/>
              <w:ind w:left="24" w:right="117"/>
              <w:jc w:val="left"/>
              <w:rPr>
                <w:rFonts w:ascii="宋体" w:hAnsi="宋体" w:cs="宋体" w:eastAsia="宋体" w:hint="default"/>
                <w:sz w:val="21"/>
                <w:szCs w:val="21"/>
              </w:rPr>
            </w:pPr>
            <w:r>
              <w:rPr>
                <w:rFonts w:ascii="宋体" w:hAnsi="宋体" w:cs="宋体" w:eastAsia="宋体" w:hint="default"/>
                <w:sz w:val="21"/>
                <w:szCs w:val="21"/>
              </w:rPr>
              <w:t>（一年级至六年级</w:t>
            </w:r>
            <w:r>
              <w:rPr>
                <w:rFonts w:ascii="宋体" w:hAnsi="宋体" w:cs="宋体" w:eastAsia="宋体" w:hint="default"/>
                <w:w w:val="100"/>
                <w:sz w:val="21"/>
                <w:szCs w:val="21"/>
              </w:rPr>
              <w:t> </w:t>
            </w:r>
            <w:r>
              <w:rPr>
                <w:rFonts w:ascii="宋体" w:hAnsi="宋体" w:cs="宋体" w:eastAsia="宋体" w:hint="default"/>
                <w:spacing w:val="-3"/>
                <w:sz w:val="21"/>
                <w:szCs w:val="21"/>
              </w:rPr>
              <w:t>上、下，共十二册</w:t>
            </w:r>
            <w:r>
              <w:rPr>
                <w:rFonts w:ascii="宋体" w:hAnsi="宋体" w:cs="宋体" w:eastAsia="宋体" w:hint="default"/>
                <w:sz w:val="21"/>
                <w:szCs w:val="21"/>
              </w:rPr>
            </w:r>
          </w:p>
          <w:p>
            <w:pPr>
              <w:pStyle w:val="TableParagraph"/>
              <w:spacing w:line="272" w:lineRule="exact" w:before="1"/>
              <w:ind w:left="24" w:right="117"/>
              <w:jc w:val="left"/>
              <w:rPr>
                <w:rFonts w:ascii="宋体" w:hAnsi="宋体" w:cs="宋体" w:eastAsia="宋体" w:hint="default"/>
                <w:sz w:val="21"/>
                <w:szCs w:val="21"/>
              </w:rPr>
            </w:pPr>
            <w:r>
              <w:rPr>
                <w:rFonts w:ascii="宋体" w:hAnsi="宋体" w:cs="宋体" w:eastAsia="宋体" w:hint="default"/>
                <w:sz w:val="21"/>
                <w:szCs w:val="21"/>
              </w:rPr>
              <w:t>配套的光盘，未经</w:t>
            </w:r>
            <w:r>
              <w:rPr>
                <w:rFonts w:ascii="宋体" w:hAnsi="宋体" w:cs="宋体" w:eastAsia="宋体" w:hint="default"/>
                <w:w w:val="100"/>
                <w:sz w:val="21"/>
                <w:szCs w:val="21"/>
              </w:rPr>
              <w:t> </w:t>
            </w:r>
            <w:r>
              <w:rPr>
                <w:rFonts w:ascii="宋体" w:hAnsi="宋体" w:cs="宋体" w:eastAsia="宋体" w:hint="default"/>
                <w:sz w:val="21"/>
                <w:szCs w:val="21"/>
              </w:rPr>
              <w:t>原告许可，侵犯了</w:t>
            </w:r>
          </w:p>
          <w:p>
            <w:pPr>
              <w:pStyle w:val="TableParagraph"/>
              <w:spacing w:line="248" w:lineRule="exact"/>
              <w:ind w:left="24" w:right="0"/>
              <w:jc w:val="left"/>
              <w:rPr>
                <w:rFonts w:ascii="宋体" w:hAnsi="宋体" w:cs="宋体" w:eastAsia="宋体" w:hint="default"/>
                <w:sz w:val="21"/>
                <w:szCs w:val="21"/>
              </w:rPr>
            </w:pPr>
            <w:r>
              <w:rPr>
                <w:rFonts w:ascii="宋体" w:hAnsi="宋体" w:cs="宋体" w:eastAsia="宋体" w:hint="default"/>
                <w:sz w:val="21"/>
                <w:szCs w:val="21"/>
              </w:rPr>
              <w:t>原告享有著作权的</w:t>
            </w:r>
          </w:p>
          <w:p>
            <w:pPr>
              <w:pStyle w:val="TableParagraph"/>
              <w:spacing w:line="282" w:lineRule="exact"/>
              <w:ind w:left="2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KOKO</w:t>
            </w:r>
            <w:r>
              <w:rPr>
                <w:rFonts w:ascii="Times New Roman" w:hAnsi="Times New Roman" w:cs="Times New Roman" w:eastAsia="Times New Roman" w:hint="default"/>
                <w:spacing w:val="48"/>
                <w:sz w:val="21"/>
                <w:szCs w:val="21"/>
              </w:rPr>
              <w:t> </w:t>
            </w:r>
            <w:r>
              <w:rPr>
                <w:rFonts w:ascii="宋体" w:hAnsi="宋体" w:cs="宋体" w:eastAsia="宋体" w:hint="default"/>
                <w:sz w:val="21"/>
                <w:szCs w:val="21"/>
              </w:rPr>
              <w:t>爱英语</w:t>
            </w:r>
          </w:p>
          <w:p>
            <w:pPr>
              <w:pStyle w:val="TableParagraph"/>
              <w:spacing w:line="235" w:lineRule="auto"/>
              <w:ind w:left="24" w:right="117"/>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深圳小学英语</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教参与素材库》电</w:t>
            </w:r>
            <w:r>
              <w:rPr>
                <w:rFonts w:ascii="宋体" w:hAnsi="宋体" w:cs="宋体" w:eastAsia="宋体" w:hint="default"/>
                <w:w w:val="100"/>
                <w:sz w:val="21"/>
                <w:szCs w:val="21"/>
              </w:rPr>
              <w:t> </w:t>
            </w:r>
            <w:r>
              <w:rPr>
                <w:rFonts w:ascii="宋体" w:hAnsi="宋体" w:cs="宋体" w:eastAsia="宋体" w:hint="default"/>
                <w:sz w:val="21"/>
                <w:szCs w:val="21"/>
              </w:rPr>
              <w:t>脑光盘中的文字作</w:t>
            </w:r>
            <w:r>
              <w:rPr>
                <w:rFonts w:ascii="宋体" w:hAnsi="宋体" w:cs="宋体" w:eastAsia="宋体" w:hint="default"/>
                <w:w w:val="100"/>
                <w:sz w:val="21"/>
                <w:szCs w:val="21"/>
              </w:rPr>
              <w:t> </w:t>
            </w:r>
            <w:r>
              <w:rPr>
                <w:rFonts w:ascii="宋体" w:hAnsi="宋体" w:cs="宋体" w:eastAsia="宋体" w:hint="default"/>
                <w:sz w:val="21"/>
                <w:szCs w:val="21"/>
              </w:rPr>
              <w:t>品、美术作品（动</w:t>
            </w:r>
            <w:r>
              <w:rPr>
                <w:rFonts w:ascii="宋体" w:hAnsi="宋体" w:cs="宋体" w:eastAsia="宋体" w:hint="default"/>
                <w:w w:val="100"/>
                <w:sz w:val="21"/>
                <w:szCs w:val="21"/>
              </w:rPr>
              <w:t> </w:t>
            </w:r>
            <w:r>
              <w:rPr>
                <w:rFonts w:ascii="宋体" w:hAnsi="宋体" w:cs="宋体" w:eastAsia="宋体" w:hint="default"/>
                <w:spacing w:val="-15"/>
                <w:w w:val="100"/>
                <w:sz w:val="21"/>
                <w:szCs w:val="21"/>
              </w:rPr>
              <w:t>画作品）、录音作</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品。</w:t>
            </w:r>
          </w:p>
        </w:tc>
        <w:tc>
          <w:tcPr>
            <w:tcW w:w="358" w:type="dxa"/>
            <w:tcBorders>
              <w:top w:val="single" w:sz="4" w:space="0" w:color="000000"/>
              <w:left w:val="single" w:sz="4" w:space="0" w:color="000000"/>
              <w:bottom w:val="single" w:sz="4" w:space="0" w:color="000000"/>
              <w:right w:val="nil" w:sz="6" w:space="0" w:color="auto"/>
            </w:tcBorders>
          </w:tcPr>
          <w:p>
            <w:pPr/>
          </w:p>
        </w:tc>
        <w:tc>
          <w:tcPr>
            <w:tcW w:w="51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275" w:right="0"/>
              <w:jc w:val="left"/>
              <w:rPr>
                <w:rFonts w:ascii="Times New Roman" w:hAnsi="Times New Roman" w:cs="Times New Roman" w:eastAsia="Times New Roman" w:hint="default"/>
                <w:sz w:val="21"/>
                <w:szCs w:val="21"/>
              </w:rPr>
            </w:pPr>
            <w:r>
              <w:rPr>
                <w:rFonts w:ascii="Times New Roman"/>
                <w:sz w:val="21"/>
              </w:rPr>
              <w:t>22</w:t>
            </w:r>
          </w:p>
        </w:tc>
        <w:tc>
          <w:tcPr>
            <w:tcW w:w="91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50"/>
              <w:ind w:left="24" w:right="115"/>
              <w:jc w:val="both"/>
              <w:rPr>
                <w:rFonts w:ascii="宋体" w:hAnsi="宋体" w:cs="宋体" w:eastAsia="宋体" w:hint="default"/>
                <w:sz w:val="21"/>
                <w:szCs w:val="21"/>
              </w:rPr>
            </w:pPr>
            <w:r>
              <w:rPr>
                <w:rFonts w:ascii="宋体" w:hAnsi="宋体" w:cs="宋体" w:eastAsia="宋体" w:hint="default"/>
                <w:sz w:val="21"/>
                <w:szCs w:val="21"/>
              </w:rPr>
              <w:t>本案经深圳</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市南山区人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民法院主持</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调解并征得</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双方当事人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同意，双方</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当事人愿意</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自行调解。</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同时，南山</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区人民法院</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出具民事调</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3"/>
                <w:sz w:val="21"/>
                <w:szCs w:val="21"/>
              </w:rPr>
              <w:t>解书（</w:t>
            </w:r>
            <w:r>
              <w:rPr>
                <w:rFonts w:ascii="Times New Roman" w:hAnsi="Times New Roman" w:cs="Times New Roman" w:eastAsia="Times New Roman" w:hint="default"/>
                <w:spacing w:val="-3"/>
                <w:sz w:val="21"/>
                <w:szCs w:val="21"/>
              </w:rPr>
              <w:t>2013</w:t>
            </w:r>
            <w:r>
              <w:rPr>
                <w:rFonts w:ascii="Times New Roman" w:hAnsi="Times New Roman" w:cs="Times New Roman" w:eastAsia="Times New Roman" w:hint="default"/>
                <w:spacing w:val="-42"/>
                <w:sz w:val="21"/>
                <w:szCs w:val="21"/>
              </w:rPr>
              <w:t> </w:t>
            </w:r>
            <w:r>
              <w:rPr>
                <w:rFonts w:ascii="宋体" w:hAnsi="宋体" w:cs="宋体" w:eastAsia="宋体" w:hint="default"/>
                <w:sz w:val="21"/>
                <w:szCs w:val="21"/>
              </w:rPr>
              <w:t>深南法知民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初字第</w:t>
            </w:r>
          </w:p>
          <w:p>
            <w:pPr>
              <w:pStyle w:val="TableParagraph"/>
              <w:spacing w:line="287" w:lineRule="exact"/>
              <w:ind w:left="24"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167-178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c>
          <w:tcPr>
            <w:tcW w:w="1548"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37" w:lineRule="auto"/>
              <w:ind w:left="4" w:right="50"/>
              <w:jc w:val="both"/>
              <w:rPr>
                <w:rFonts w:ascii="宋体" w:hAnsi="宋体" w:cs="宋体" w:eastAsia="宋体" w:hint="default"/>
                <w:sz w:val="21"/>
                <w:szCs w:val="21"/>
              </w:rPr>
            </w:pPr>
            <w:r>
              <w:rPr>
                <w:rFonts w:ascii="宋体" w:hAnsi="宋体" w:cs="宋体" w:eastAsia="宋体" w:hint="default"/>
                <w:sz w:val="21"/>
                <w:szCs w:val="21"/>
              </w:rPr>
              <w:t>本案在审理过程</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中经深圳市南山</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区人民法院主持</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调解，双方当事</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人自愿达成如下</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协议：一、原、</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被告双方尊重本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案的客观事实，</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被告确认原告对</w:t>
            </w:r>
          </w:p>
          <w:p>
            <w:pPr>
              <w:pStyle w:val="TableParagraph"/>
              <w:spacing w:line="232" w:lineRule="auto" w:before="4"/>
              <w:ind w:left="4" w:right="5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KOKO </w:t>
            </w:r>
            <w:r>
              <w:rPr>
                <w:rFonts w:ascii="宋体" w:hAnsi="宋体" w:cs="宋体" w:eastAsia="宋体" w:hint="default"/>
                <w:sz w:val="21"/>
                <w:szCs w:val="21"/>
              </w:rPr>
              <w:t>爱英</w:t>
            </w:r>
            <w:r>
              <w:rPr>
                <w:rFonts w:ascii="宋体" w:hAnsi="宋体" w:cs="宋体" w:eastAsia="宋体" w:hint="default"/>
                <w:w w:val="100"/>
                <w:sz w:val="21"/>
                <w:szCs w:val="21"/>
              </w:rPr>
              <w:t> </w:t>
            </w:r>
            <w:r>
              <w:rPr>
                <w:rFonts w:ascii="宋体" w:hAnsi="宋体" w:cs="宋体" w:eastAsia="宋体" w:hint="default"/>
                <w:sz w:val="21"/>
                <w:szCs w:val="21"/>
              </w:rPr>
              <w:t>语</w:t>
            </w:r>
            <w:r>
              <w:rPr>
                <w:rFonts w:ascii="Times New Roman" w:hAnsi="Times New Roman" w:cs="Times New Roman" w:eastAsia="Times New Roman" w:hint="default"/>
                <w:sz w:val="21"/>
                <w:szCs w:val="21"/>
              </w:rPr>
              <w:t>——</w:t>
            </w:r>
            <w:r>
              <w:rPr>
                <w:rFonts w:ascii="宋体" w:hAnsi="宋体" w:cs="宋体" w:eastAsia="宋体" w:hint="default"/>
                <w:sz w:val="21"/>
                <w:szCs w:val="21"/>
              </w:rPr>
              <w:t>深圳小学</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英语教参与素材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库》的著作权；</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二、被告于本协</w:t>
            </w:r>
          </w:p>
          <w:p>
            <w:pPr>
              <w:pStyle w:val="TableParagraph"/>
              <w:spacing w:line="69" w:lineRule="exact"/>
              <w:ind w:left="-156" w:right="0"/>
              <w:jc w:val="left"/>
              <w:rPr>
                <w:rFonts w:ascii="宋体" w:hAnsi="宋体" w:cs="宋体" w:eastAsia="宋体" w:hint="default"/>
                <w:sz w:val="21"/>
                <w:szCs w:val="21"/>
              </w:rPr>
            </w:pPr>
            <w:r>
              <w:rPr>
                <w:rFonts w:ascii="宋体" w:hAnsi="宋体" w:cs="宋体" w:eastAsia="宋体" w:hint="default"/>
                <w:w w:val="100"/>
                <w:sz w:val="21"/>
                <w:szCs w:val="21"/>
              </w:rPr>
              <w:t>）</w:t>
            </w:r>
          </w:p>
          <w:p>
            <w:pPr>
              <w:pStyle w:val="TableParagraph"/>
              <w:spacing w:line="213" w:lineRule="exact"/>
              <w:ind w:left="4" w:right="0"/>
              <w:jc w:val="both"/>
              <w:rPr>
                <w:rFonts w:ascii="Times New Roman" w:hAnsi="Times New Roman" w:cs="Times New Roman" w:eastAsia="Times New Roman" w:hint="default"/>
                <w:sz w:val="21"/>
                <w:szCs w:val="21"/>
              </w:rPr>
            </w:pPr>
            <w:r>
              <w:rPr>
                <w:rFonts w:ascii="宋体" w:hAnsi="宋体" w:cs="宋体" w:eastAsia="宋体" w:hint="default"/>
                <w:sz w:val="21"/>
                <w:szCs w:val="21"/>
              </w:rPr>
              <w:t>议签订之日起</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7</w:t>
            </w:r>
          </w:p>
          <w:p>
            <w:pPr>
              <w:pStyle w:val="TableParagraph"/>
              <w:spacing w:line="237" w:lineRule="auto"/>
              <w:ind w:left="4" w:right="50"/>
              <w:jc w:val="both"/>
              <w:rPr>
                <w:rFonts w:ascii="宋体" w:hAnsi="宋体" w:cs="宋体" w:eastAsia="宋体" w:hint="default"/>
                <w:sz w:val="21"/>
                <w:szCs w:val="21"/>
              </w:rPr>
            </w:pPr>
            <w:r>
              <w:rPr>
                <w:rFonts w:ascii="宋体" w:hAnsi="宋体" w:cs="宋体" w:eastAsia="宋体" w:hint="default"/>
                <w:sz w:val="21"/>
                <w:szCs w:val="21"/>
              </w:rPr>
              <w:t>个工作日内，通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过银行转账的形</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式一次性向原告</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支付和解款人民</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币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万元整。</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547" w:lineRule="exact"/>
              <w:ind w:left="4" w:right="-29"/>
              <w:jc w:val="left"/>
              <w:rPr>
                <w:rFonts w:ascii="宋体" w:hAnsi="宋体" w:cs="宋体" w:eastAsia="宋体" w:hint="default"/>
                <w:sz w:val="20"/>
                <w:szCs w:val="20"/>
              </w:rPr>
            </w:pPr>
            <w:r>
              <w:rPr>
                <w:rFonts w:ascii="宋体" w:hAnsi="宋体" w:cs="宋体" w:eastAsia="宋体" w:hint="default"/>
                <w:position w:val="-10"/>
                <w:sz w:val="20"/>
                <w:szCs w:val="20"/>
              </w:rPr>
              <w:pict>
                <v:group style="width:75.25pt;height:27.4pt;mso-position-horizontal-relative:char;mso-position-vertical-relative:line" coordorigin="0,0" coordsize="1505,548">
                  <v:group style="position:absolute;left:0;top:0;width:1505;height:274" coordorigin="0,0" coordsize="1505,274">
                    <v:shape style="position:absolute;left:0;top:0;width:1505;height:274" coordorigin="0,0" coordsize="1505,274" path="m0,274l1505,274,1505,0,0,0,0,274xe" filled="true" fillcolor="#ffffff" stroked="false">
                      <v:path arrowok="t"/>
                      <v:fill type="solid"/>
                    </v:shape>
                  </v:group>
                  <v:group style="position:absolute;left:0;top:274;width:1505;height:274" coordorigin="0,274" coordsize="1505,274">
                    <v:shape style="position:absolute;left:0;top:274;width:1505;height:274" coordorigin="0,274" coordsize="1505,274" path="m0,547l1505,547,1505,274,0,274,0,547xe" filled="true" fillcolor="#ffffff" stroked="false">
                      <v:path arrowok="t"/>
                      <v:fill type="solid"/>
                    </v:shape>
                  </v:group>
                </v:group>
              </w:pict>
            </w:r>
            <w:r>
              <w:rPr>
                <w:rFonts w:ascii="宋体" w:hAnsi="宋体" w:cs="宋体" w:eastAsia="宋体" w:hint="default"/>
                <w:position w:val="-10"/>
                <w:sz w:val="20"/>
                <w:szCs w:val="20"/>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6"/>
                <w:szCs w:val="26"/>
              </w:rPr>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35" w:lineRule="auto"/>
              <w:ind w:left="23" w:right="36"/>
              <w:jc w:val="left"/>
              <w:rPr>
                <w:rFonts w:ascii="Times New Roman" w:hAnsi="Times New Roman" w:cs="Times New Roman" w:eastAsia="Times New Roman" w:hint="default"/>
                <w:sz w:val="21"/>
                <w:szCs w:val="21"/>
              </w:rPr>
            </w:pPr>
            <w:r>
              <w:rPr>
                <w:rFonts w:ascii="宋体" w:hAnsi="宋体" w:cs="宋体" w:eastAsia="宋体" w:hint="default"/>
                <w:sz w:val="21"/>
                <w:szCs w:val="21"/>
              </w:rPr>
              <w:t>公司遵照南</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山区人民法</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院民事调解</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5"/>
                <w:sz w:val="21"/>
                <w:szCs w:val="21"/>
              </w:rPr>
              <w:t>书（</w:t>
            </w:r>
            <w:r>
              <w:rPr>
                <w:rFonts w:ascii="Times New Roman" w:hAnsi="Times New Roman" w:cs="Times New Roman" w:eastAsia="Times New Roman" w:hint="default"/>
                <w:spacing w:val="-15"/>
                <w:sz w:val="21"/>
                <w:szCs w:val="21"/>
              </w:rPr>
              <w:t>2013</w:t>
            </w:r>
            <w:r>
              <w:rPr>
                <w:rFonts w:ascii="宋体" w:hAnsi="宋体" w:cs="宋体" w:eastAsia="宋体" w:hint="default"/>
                <w:spacing w:val="-15"/>
                <w:sz w:val="21"/>
                <w:szCs w:val="21"/>
              </w:rPr>
              <w:t>）深</w:t>
            </w:r>
            <w:r>
              <w:rPr>
                <w:rFonts w:ascii="宋体" w:hAnsi="宋体" w:cs="宋体" w:eastAsia="宋体" w:hint="default"/>
                <w:spacing w:val="-95"/>
                <w:sz w:val="21"/>
                <w:szCs w:val="21"/>
              </w:rPr>
              <w:t> </w:t>
            </w:r>
            <w:r>
              <w:rPr>
                <w:rFonts w:ascii="宋体" w:hAnsi="宋体" w:cs="宋体" w:eastAsia="宋体" w:hint="default"/>
                <w:sz w:val="21"/>
                <w:szCs w:val="21"/>
              </w:rPr>
              <w:t>南法知民初</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字第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167-178</w:t>
            </w:r>
          </w:p>
          <w:p>
            <w:pPr>
              <w:pStyle w:val="TableParagraph"/>
              <w:spacing w:line="274" w:lineRule="exact" w:before="10"/>
              <w:ind w:left="23" w:right="21"/>
              <w:jc w:val="left"/>
              <w:rPr>
                <w:rFonts w:ascii="宋体" w:hAnsi="宋体" w:cs="宋体" w:eastAsia="宋体" w:hint="default"/>
                <w:sz w:val="21"/>
                <w:szCs w:val="21"/>
              </w:rPr>
            </w:pPr>
            <w:r>
              <w:rPr>
                <w:rFonts w:ascii="宋体" w:hAnsi="宋体" w:cs="宋体" w:eastAsia="宋体" w:hint="default"/>
                <w:spacing w:val="-14"/>
                <w:sz w:val="21"/>
                <w:szCs w:val="21"/>
              </w:rPr>
              <w:t>号规定，已向</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原告深圳市</w:t>
            </w:r>
          </w:p>
          <w:p>
            <w:pPr>
              <w:pStyle w:val="TableParagraph"/>
              <w:spacing w:line="272" w:lineRule="exact" w:before="1"/>
              <w:ind w:left="23" w:right="156"/>
              <w:jc w:val="left"/>
              <w:rPr>
                <w:rFonts w:ascii="宋体" w:hAnsi="宋体" w:cs="宋体" w:eastAsia="宋体" w:hint="default"/>
                <w:sz w:val="21"/>
                <w:szCs w:val="21"/>
              </w:rPr>
            </w:pPr>
            <w:r>
              <w:rPr>
                <w:rFonts w:ascii="宋体" w:hAnsi="宋体" w:cs="宋体" w:eastAsia="宋体" w:hint="default"/>
                <w:sz w:val="21"/>
                <w:szCs w:val="21"/>
              </w:rPr>
              <w:t>学易通软件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技术有限公</w:t>
            </w:r>
          </w:p>
          <w:p>
            <w:pPr>
              <w:pStyle w:val="TableParagraph"/>
              <w:spacing w:line="274" w:lineRule="exact"/>
              <w:ind w:left="23" w:right="156"/>
              <w:jc w:val="both"/>
              <w:rPr>
                <w:rFonts w:ascii="宋体" w:hAnsi="宋体" w:cs="宋体" w:eastAsia="宋体" w:hint="default"/>
                <w:sz w:val="21"/>
                <w:szCs w:val="21"/>
              </w:rPr>
            </w:pPr>
            <w:r>
              <w:rPr>
                <w:rFonts w:ascii="宋体" w:hAnsi="宋体" w:cs="宋体" w:eastAsia="宋体" w:hint="default"/>
                <w:sz w:val="21"/>
                <w:szCs w:val="21"/>
              </w:rPr>
              <w:t>司指定账户</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支付和解款</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项。</w:t>
            </w:r>
          </w:p>
        </w:tc>
        <w:tc>
          <w:tcPr>
            <w:tcW w:w="984"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4"/>
        <w:spacing w:line="240" w:lineRule="auto" w:before="26"/>
        <w:ind w:right="0"/>
        <w:jc w:val="left"/>
        <w:rPr>
          <w:b w:val="0"/>
          <w:bCs w:val="0"/>
        </w:rPr>
      </w:pPr>
      <w:r>
        <w:rPr/>
        <w:pict>
          <v:shape style="position:absolute;margin-left:141.979202pt;margin-top:-170.084366pt;width:49.8pt;height:157.8pt;mso-position-horizontal-relative:page;mso-position-vertical-relative:paragraph;z-index:-1160320" type="#_x0000_t202" filled="false" stroked="false">
            <v:textbox inset="0,0,0,0">
              <w:txbxContent>
                <w:p>
                  <w:pPr>
                    <w:pStyle w:val="BodyText"/>
                    <w:spacing w:line="240" w:lineRule="auto" w:before="119"/>
                    <w:ind w:left="0" w:right="0"/>
                    <w:jc w:val="left"/>
                  </w:pPr>
                  <w:r>
                    <w:rPr>
                      <w:w w:val="100"/>
                    </w:rPr>
                    <w:t>）</w:t>
                  </w:r>
                </w:p>
              </w:txbxContent>
            </v:textbox>
            <w10:wrap type="none"/>
          </v:shape>
        </w:pict>
      </w:r>
      <w:r>
        <w:rPr/>
        <w:pict>
          <v:group style="position:absolute;margin-left:148.800003pt;margin-top:-170.084366pt;width:43pt;height:157.8pt;mso-position-horizontal-relative:page;mso-position-vertical-relative:paragraph;z-index:-1160296" coordorigin="2976,-3402" coordsize="860,3156">
            <v:shape style="position:absolute;left:2976;top:-3402;width:860;height:3156" coordorigin="2976,-3402" coordsize="860,3156" path="m2976,-246l3835,-246,3835,-3402,2976,-3402,2976,-246xe" filled="true" fillcolor="#ffffff" stroked="false">
              <v:path arrowok="t"/>
              <v:fill type="solid"/>
            </v:shape>
            <w10:wrap type="none"/>
          </v:group>
        </w:pict>
      </w:r>
      <w:bookmarkStart w:name="二、上市公司发生控股股东及其关联方非经营性占用资金情况" w:id="38"/>
      <w:bookmarkEnd w:id="38"/>
      <w:r>
        <w:rPr>
          <w:b w:val="0"/>
          <w:bCs w:val="0"/>
        </w:rPr>
      </w:r>
      <w:r>
        <w:rPr/>
        <w:t>二、上市公司发生控股股东及其关联方非经营性占用资金情况</w:t>
      </w:r>
      <w:r>
        <w:rPr>
          <w:b w:val="0"/>
          <w:bCs w:val="0"/>
        </w:rPr>
      </w:r>
    </w:p>
    <w:p>
      <w:pPr>
        <w:spacing w:line="240" w:lineRule="auto" w:before="12"/>
        <w:rPr>
          <w:rFonts w:ascii="宋体" w:hAnsi="宋体" w:cs="宋体" w:eastAsia="宋体" w:hint="default"/>
          <w:b/>
          <w:bCs/>
          <w:sz w:val="24"/>
          <w:szCs w:val="24"/>
        </w:rPr>
      </w:pPr>
    </w:p>
    <w:p>
      <w:pPr>
        <w:pStyle w:val="BodyText"/>
        <w:spacing w:line="256" w:lineRule="auto"/>
        <w:ind w:right="18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公司报告期不存在上市公司发生控股股东及其关联方非经营性占用资金情况。</w:t>
      </w:r>
    </w:p>
    <w:p>
      <w:pPr>
        <w:spacing w:line="240" w:lineRule="auto" w:before="9"/>
        <w:rPr>
          <w:rFonts w:ascii="宋体" w:hAnsi="宋体" w:cs="宋体" w:eastAsia="宋体" w:hint="default"/>
          <w:sz w:val="22"/>
          <w:szCs w:val="22"/>
        </w:rPr>
      </w:pPr>
    </w:p>
    <w:p>
      <w:pPr>
        <w:pStyle w:val="Heading4"/>
        <w:spacing w:line="240" w:lineRule="auto"/>
        <w:ind w:right="0"/>
        <w:jc w:val="left"/>
        <w:rPr>
          <w:b w:val="0"/>
          <w:bCs w:val="0"/>
        </w:rPr>
      </w:pPr>
      <w:bookmarkStart w:name="三、破产重整相关事项" w:id="39"/>
      <w:bookmarkEnd w:id="39"/>
      <w:r>
        <w:rPr>
          <w:b w:val="0"/>
          <w:bCs w:val="0"/>
        </w:rPr>
      </w:r>
      <w:r>
        <w:rPr/>
        <w:t>三、破产重整相关事项</w:t>
      </w:r>
      <w:r>
        <w:rPr>
          <w:b w:val="0"/>
          <w:bCs w:val="0"/>
        </w:rPr>
      </w:r>
    </w:p>
    <w:p>
      <w:pPr>
        <w:spacing w:line="240" w:lineRule="auto" w:before="9"/>
        <w:rPr>
          <w:rFonts w:ascii="宋体" w:hAnsi="宋体" w:cs="宋体" w:eastAsia="宋体" w:hint="default"/>
          <w:b/>
          <w:bCs/>
          <w:sz w:val="24"/>
          <w:szCs w:val="24"/>
        </w:rPr>
      </w:pPr>
    </w:p>
    <w:p>
      <w:pPr>
        <w:pStyle w:val="BodyText"/>
        <w:spacing w:line="256" w:lineRule="auto"/>
        <w:ind w:right="5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公司报告期未发生破产重整相关事项。</w:t>
      </w:r>
    </w:p>
    <w:p>
      <w:pPr>
        <w:spacing w:after="0" w:line="256" w:lineRule="auto"/>
        <w:jc w:val="left"/>
        <w:sectPr>
          <w:pgSz w:w="11910" w:h="16840"/>
          <w:pgMar w:header="748" w:footer="982" w:top="1060" w:bottom="1180" w:left="980" w:right="980"/>
        </w:sectPr>
      </w:pPr>
    </w:p>
    <w:p>
      <w:pPr>
        <w:spacing w:line="240" w:lineRule="auto" w:before="6"/>
        <w:rPr>
          <w:rFonts w:ascii="宋体" w:hAnsi="宋体" w:cs="宋体" w:eastAsia="宋体" w:hint="default"/>
          <w:sz w:val="23"/>
          <w:szCs w:val="23"/>
        </w:rPr>
      </w:pPr>
    </w:p>
    <w:p>
      <w:pPr>
        <w:pStyle w:val="Heading4"/>
        <w:spacing w:line="240" w:lineRule="auto" w:before="26"/>
        <w:ind w:right="0"/>
        <w:jc w:val="left"/>
        <w:rPr>
          <w:b w:val="0"/>
          <w:bCs w:val="0"/>
        </w:rPr>
      </w:pPr>
      <w:r>
        <w:rPr/>
        <w:t>四、资产交易事项</w:t>
      </w:r>
      <w:r>
        <w:rPr>
          <w:b w:val="0"/>
          <w:bCs w:val="0"/>
        </w:rPr>
      </w:r>
    </w:p>
    <w:p>
      <w:pPr>
        <w:spacing w:line="240" w:lineRule="auto" w:before="0"/>
        <w:rPr>
          <w:rFonts w:ascii="宋体" w:hAnsi="宋体" w:cs="宋体" w:eastAsia="宋体" w:hint="default"/>
          <w:b/>
          <w:bCs/>
          <w:sz w:val="24"/>
          <w:szCs w:val="24"/>
        </w:rPr>
      </w:pPr>
    </w:p>
    <w:p>
      <w:pPr>
        <w:spacing w:line="240" w:lineRule="auto" w:before="11"/>
        <w:rPr>
          <w:rFonts w:ascii="宋体" w:hAnsi="宋体" w:cs="宋体" w:eastAsia="宋体" w:hint="default"/>
          <w:b/>
          <w:bCs/>
          <w:sz w:val="23"/>
          <w:szCs w:val="23"/>
        </w:rPr>
      </w:pPr>
    </w:p>
    <w:p>
      <w:pPr>
        <w:pStyle w:val="Heading5"/>
        <w:spacing w:line="240" w:lineRule="auto"/>
        <w:ind w:right="0"/>
        <w:jc w:val="left"/>
        <w:rPr>
          <w:b w:val="0"/>
          <w:bCs w:val="0"/>
        </w:rPr>
      </w:pPr>
      <w:bookmarkStart w:name="四、资产交易事项" w:id="40"/>
      <w:bookmarkEnd w:id="40"/>
      <w:r>
        <w:rPr>
          <w:b w:val="0"/>
          <w:bCs w:val="0"/>
        </w:rPr>
      </w:r>
      <w:bookmarkStart w:name="1、收购资产情况" w:id="41"/>
      <w:bookmarkEnd w:id="41"/>
      <w:r>
        <w:rPr>
          <w:b w:val="0"/>
          <w:bCs w:val="0"/>
        </w:rPr>
      </w:r>
      <w:r>
        <w:rPr>
          <w:rFonts w:ascii="Times New Roman" w:hAnsi="Times New Roman" w:cs="Times New Roman" w:eastAsia="Times New Roman" w:hint="default"/>
        </w:rPr>
        <w:t>1</w:t>
      </w:r>
      <w:r>
        <w:rPr/>
        <w:t>、收购资产情况</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right="63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公司报告期未收购资产。</w:t>
      </w:r>
    </w:p>
    <w:p>
      <w:pPr>
        <w:spacing w:line="240" w:lineRule="auto" w:before="8"/>
        <w:rPr>
          <w:rFonts w:ascii="宋体" w:hAnsi="宋体" w:cs="宋体" w:eastAsia="宋体" w:hint="default"/>
          <w:sz w:val="24"/>
          <w:szCs w:val="24"/>
        </w:rPr>
      </w:pPr>
    </w:p>
    <w:p>
      <w:pPr>
        <w:pStyle w:val="Heading5"/>
        <w:spacing w:line="240" w:lineRule="auto"/>
        <w:ind w:right="0"/>
        <w:jc w:val="left"/>
        <w:rPr>
          <w:b w:val="0"/>
          <w:bCs w:val="0"/>
        </w:rPr>
      </w:pPr>
      <w:bookmarkStart w:name="2、出售资产情况" w:id="42"/>
      <w:bookmarkEnd w:id="42"/>
      <w:r>
        <w:rPr>
          <w:b w:val="0"/>
          <w:bCs w:val="0"/>
        </w:rPr>
      </w:r>
      <w:r>
        <w:rPr>
          <w:rFonts w:ascii="Times New Roman" w:hAnsi="Times New Roman" w:cs="Times New Roman" w:eastAsia="Times New Roman" w:hint="default"/>
        </w:rPr>
        <w:t>2</w:t>
      </w:r>
      <w:r>
        <w:rPr/>
        <w:t>、出售资产情况</w:t>
      </w:r>
      <w:r>
        <w:rPr>
          <w:b w:val="0"/>
          <w:bCs w:val="0"/>
        </w:rPr>
      </w:r>
    </w:p>
    <w:p>
      <w:pPr>
        <w:spacing w:line="240" w:lineRule="auto" w:before="10"/>
        <w:rPr>
          <w:rFonts w:ascii="宋体" w:hAnsi="宋体" w:cs="宋体" w:eastAsia="宋体" w:hint="default"/>
          <w:b/>
          <w:bCs/>
          <w:sz w:val="24"/>
          <w:szCs w:val="24"/>
        </w:rPr>
      </w:pPr>
    </w:p>
    <w:p>
      <w:pPr>
        <w:pStyle w:val="BodyText"/>
        <w:spacing w:line="256" w:lineRule="auto"/>
        <w:ind w:right="63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公司报告期未出售资产。</w:t>
      </w:r>
    </w:p>
    <w:p>
      <w:pPr>
        <w:spacing w:line="240" w:lineRule="auto" w:before="8"/>
        <w:rPr>
          <w:rFonts w:ascii="宋体" w:hAnsi="宋体" w:cs="宋体" w:eastAsia="宋体" w:hint="default"/>
          <w:sz w:val="24"/>
          <w:szCs w:val="24"/>
        </w:rPr>
      </w:pPr>
    </w:p>
    <w:p>
      <w:pPr>
        <w:pStyle w:val="Heading5"/>
        <w:spacing w:line="240" w:lineRule="auto"/>
        <w:ind w:right="0"/>
        <w:jc w:val="left"/>
        <w:rPr>
          <w:b w:val="0"/>
          <w:bCs w:val="0"/>
        </w:rPr>
      </w:pPr>
      <w:bookmarkStart w:name="3、企业合并情况" w:id="43"/>
      <w:bookmarkEnd w:id="43"/>
      <w:r>
        <w:rPr>
          <w:b w:val="0"/>
          <w:bCs w:val="0"/>
        </w:rPr>
      </w:r>
      <w:r>
        <w:rPr>
          <w:rFonts w:ascii="Times New Roman" w:hAnsi="Times New Roman" w:cs="Times New Roman" w:eastAsia="Times New Roman" w:hint="default"/>
        </w:rPr>
        <w:t>3</w:t>
      </w:r>
      <w:r>
        <w:rPr/>
        <w:t>、企业合并情况</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right="5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公司报告期未发生企业合并情况。</w:t>
      </w:r>
    </w:p>
    <w:p>
      <w:pPr>
        <w:spacing w:line="240" w:lineRule="auto" w:before="8"/>
        <w:rPr>
          <w:rFonts w:ascii="宋体" w:hAnsi="宋体" w:cs="宋体" w:eastAsia="宋体" w:hint="default"/>
          <w:sz w:val="24"/>
          <w:szCs w:val="24"/>
        </w:rPr>
      </w:pPr>
    </w:p>
    <w:p>
      <w:pPr>
        <w:pStyle w:val="Heading5"/>
        <w:spacing w:line="259" w:lineRule="auto"/>
        <w:ind w:right="0"/>
        <w:jc w:val="left"/>
        <w:rPr>
          <w:b w:val="0"/>
          <w:bCs w:val="0"/>
        </w:rPr>
      </w:pPr>
      <w:bookmarkStart w:name="4、自资产重组报告书或收购出售资产公告刊登后，该事项的进展情况及对报告期经营成果" w:id="44"/>
      <w:bookmarkEnd w:id="44"/>
      <w:r>
        <w:rPr>
          <w:b w:val="0"/>
          <w:bCs w:val="0"/>
        </w:rPr>
      </w:r>
      <w:r>
        <w:rPr>
          <w:rFonts w:ascii="Times New Roman" w:hAnsi="Times New Roman" w:cs="Times New Roman" w:eastAsia="Times New Roman" w:hint="default"/>
        </w:rPr>
        <w:t>4</w:t>
      </w:r>
      <w:r>
        <w:rPr/>
        <w:t>、自资产重组报告书或收购出售资产公告刊登后，该事项的进展情况及对报告期经营成果与财务状况的</w:t>
      </w:r>
      <w:r>
        <w:rPr>
          <w:spacing w:val="-65"/>
        </w:rPr>
        <w:t> </w:t>
      </w:r>
      <w:r>
        <w:rPr>
          <w:spacing w:val="-65"/>
        </w:rPr>
      </w:r>
      <w:r>
        <w:rPr/>
        <w:t>影响</w:t>
      </w:r>
      <w:r>
        <w:rPr>
          <w:b w:val="0"/>
          <w:bCs w:val="0"/>
        </w:rPr>
      </w:r>
    </w:p>
    <w:p>
      <w:pPr>
        <w:spacing w:line="240" w:lineRule="auto" w:before="6"/>
        <w:rPr>
          <w:rFonts w:ascii="宋体" w:hAnsi="宋体" w:cs="宋体" w:eastAsia="宋体" w:hint="default"/>
          <w:b/>
          <w:bCs/>
          <w:sz w:val="24"/>
          <w:szCs w:val="24"/>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8"/>
        <w:rPr>
          <w:rFonts w:ascii="宋体" w:hAnsi="宋体" w:cs="宋体" w:eastAsia="宋体" w:hint="default"/>
          <w:sz w:val="22"/>
          <w:szCs w:val="22"/>
        </w:rPr>
      </w:pPr>
    </w:p>
    <w:p>
      <w:pPr>
        <w:pStyle w:val="Heading4"/>
        <w:spacing w:line="240" w:lineRule="auto"/>
        <w:ind w:right="0"/>
        <w:jc w:val="left"/>
        <w:rPr>
          <w:b w:val="0"/>
          <w:bCs w:val="0"/>
        </w:rPr>
      </w:pPr>
      <w:bookmarkStart w:name="五、公司股权激励的实施情况及其影响" w:id="45"/>
      <w:bookmarkEnd w:id="45"/>
      <w:r>
        <w:rPr>
          <w:b w:val="0"/>
          <w:bCs w:val="0"/>
        </w:rPr>
      </w:r>
      <w:r>
        <w:rPr/>
        <w:t>五、公司股权激励的实施情况及其影响</w:t>
      </w:r>
      <w:r>
        <w:rPr>
          <w:b w:val="0"/>
          <w:bCs w:val="0"/>
        </w:rPr>
      </w:r>
    </w:p>
    <w:p>
      <w:pPr>
        <w:spacing w:line="240" w:lineRule="auto" w:before="12"/>
        <w:rPr>
          <w:rFonts w:ascii="宋体" w:hAnsi="宋体" w:cs="宋体" w:eastAsia="宋体" w:hint="default"/>
          <w:b/>
          <w:bCs/>
          <w:sz w:val="24"/>
          <w:szCs w:val="24"/>
        </w:rPr>
      </w:pPr>
    </w:p>
    <w:p>
      <w:pPr>
        <w:pStyle w:val="BodyText"/>
        <w:spacing w:line="256" w:lineRule="auto"/>
        <w:ind w:right="5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公司报告期无股权激励计划及其实施情况。</w:t>
      </w:r>
    </w:p>
    <w:p>
      <w:pPr>
        <w:spacing w:line="240" w:lineRule="auto" w:before="9"/>
        <w:rPr>
          <w:rFonts w:ascii="宋体" w:hAnsi="宋体" w:cs="宋体" w:eastAsia="宋体" w:hint="default"/>
          <w:sz w:val="22"/>
          <w:szCs w:val="22"/>
        </w:rPr>
      </w:pPr>
    </w:p>
    <w:p>
      <w:pPr>
        <w:pStyle w:val="Heading4"/>
        <w:spacing w:line="240" w:lineRule="auto"/>
        <w:ind w:right="0"/>
        <w:jc w:val="left"/>
        <w:rPr>
          <w:b w:val="0"/>
          <w:bCs w:val="0"/>
        </w:rPr>
      </w:pPr>
      <w:bookmarkStart w:name="六、重大关联交易" w:id="46"/>
      <w:bookmarkEnd w:id="46"/>
      <w:r>
        <w:rPr>
          <w:b w:val="0"/>
          <w:bCs w:val="0"/>
        </w:rPr>
      </w:r>
      <w:r>
        <w:rPr/>
        <w:t>六、重大关联交易</w:t>
      </w:r>
      <w:r>
        <w:rPr>
          <w:b w:val="0"/>
          <w:bCs w:val="0"/>
        </w:rPr>
      </w:r>
    </w:p>
    <w:p>
      <w:pPr>
        <w:spacing w:line="240" w:lineRule="auto" w:before="0"/>
        <w:rPr>
          <w:rFonts w:ascii="宋体" w:hAnsi="宋体" w:cs="宋体" w:eastAsia="宋体" w:hint="default"/>
          <w:b/>
          <w:bCs/>
          <w:sz w:val="24"/>
          <w:szCs w:val="24"/>
        </w:rPr>
      </w:pPr>
    </w:p>
    <w:p>
      <w:pPr>
        <w:spacing w:line="240" w:lineRule="auto" w:before="8"/>
        <w:rPr>
          <w:rFonts w:ascii="宋体" w:hAnsi="宋体" w:cs="宋体" w:eastAsia="宋体" w:hint="default"/>
          <w:b/>
          <w:bCs/>
          <w:sz w:val="23"/>
          <w:szCs w:val="23"/>
        </w:rPr>
      </w:pPr>
    </w:p>
    <w:p>
      <w:pPr>
        <w:pStyle w:val="Heading5"/>
        <w:spacing w:line="240" w:lineRule="auto"/>
        <w:ind w:right="0"/>
        <w:jc w:val="left"/>
        <w:rPr>
          <w:b w:val="0"/>
          <w:bCs w:val="0"/>
        </w:rPr>
      </w:pPr>
      <w:bookmarkStart w:name="1、与日常经营相关的关联交易" w:id="47"/>
      <w:bookmarkEnd w:id="47"/>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10"/>
        <w:rPr>
          <w:rFonts w:ascii="宋体" w:hAnsi="宋体" w:cs="宋体" w:eastAsia="宋体" w:hint="default"/>
          <w:b/>
          <w:bCs/>
          <w:sz w:val="24"/>
          <w:szCs w:val="24"/>
        </w:rPr>
      </w:pPr>
    </w:p>
    <w:p>
      <w:pPr>
        <w:pStyle w:val="BodyText"/>
        <w:spacing w:line="256" w:lineRule="auto"/>
        <w:ind w:right="47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公司报告期未发生与日常经营相关的关联交易。</w:t>
      </w:r>
    </w:p>
    <w:p>
      <w:pPr>
        <w:spacing w:line="240" w:lineRule="auto" w:before="8"/>
        <w:rPr>
          <w:rFonts w:ascii="宋体" w:hAnsi="宋体" w:cs="宋体" w:eastAsia="宋体" w:hint="default"/>
          <w:sz w:val="24"/>
          <w:szCs w:val="24"/>
        </w:rPr>
      </w:pPr>
    </w:p>
    <w:p>
      <w:pPr>
        <w:pStyle w:val="Heading5"/>
        <w:spacing w:line="240" w:lineRule="auto"/>
        <w:ind w:right="0"/>
        <w:jc w:val="left"/>
        <w:rPr>
          <w:b w:val="0"/>
          <w:bCs w:val="0"/>
        </w:rPr>
      </w:pPr>
      <w:bookmarkStart w:name="2、资产收购、出售发生的关联交易" w:id="48"/>
      <w:bookmarkEnd w:id="48"/>
      <w:r>
        <w:rPr>
          <w:b w:val="0"/>
          <w:bCs w:val="0"/>
        </w:rPr>
      </w:r>
      <w:r>
        <w:rPr>
          <w:rFonts w:ascii="Times New Roman" w:hAnsi="Times New Roman" w:cs="Times New Roman" w:eastAsia="Times New Roman" w:hint="default"/>
        </w:rPr>
        <w:t>2</w:t>
      </w:r>
      <w:r>
        <w:rPr/>
        <w:t>、资产收购、出售发生的关联交易</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right="47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公司报告期未发生资产收购、出售的关联交易。</w:t>
      </w:r>
    </w:p>
    <w:p>
      <w:pPr>
        <w:spacing w:line="240" w:lineRule="auto" w:before="8"/>
        <w:rPr>
          <w:rFonts w:ascii="宋体" w:hAnsi="宋体" w:cs="宋体" w:eastAsia="宋体" w:hint="default"/>
          <w:sz w:val="24"/>
          <w:szCs w:val="24"/>
        </w:rPr>
      </w:pPr>
    </w:p>
    <w:p>
      <w:pPr>
        <w:pStyle w:val="Heading5"/>
        <w:spacing w:line="240" w:lineRule="auto"/>
        <w:ind w:right="0"/>
        <w:jc w:val="left"/>
        <w:rPr>
          <w:b w:val="0"/>
          <w:bCs w:val="0"/>
        </w:rPr>
      </w:pPr>
      <w:bookmarkStart w:name="3、共同对外投资的重大关联交易" w:id="49"/>
      <w:bookmarkEnd w:id="49"/>
      <w:r>
        <w:rPr>
          <w:b w:val="0"/>
          <w:bCs w:val="0"/>
        </w:rPr>
      </w:r>
      <w:r>
        <w:rPr>
          <w:rFonts w:ascii="Times New Roman" w:hAnsi="Times New Roman" w:cs="Times New Roman" w:eastAsia="Times New Roman" w:hint="default"/>
        </w:rPr>
        <w:t>3</w:t>
      </w:r>
      <w:r>
        <w:rPr/>
        <w:t>、共同对外投资的重大关联交易</w:t>
      </w:r>
      <w:r>
        <w:rPr>
          <w:b w:val="0"/>
          <w:bCs w:val="0"/>
        </w:rPr>
      </w:r>
    </w:p>
    <w:p>
      <w:pPr>
        <w:spacing w:line="240" w:lineRule="auto" w:before="10"/>
        <w:rPr>
          <w:rFonts w:ascii="宋体" w:hAnsi="宋体" w:cs="宋体" w:eastAsia="宋体" w:hint="default"/>
          <w:b/>
          <w:bCs/>
          <w:sz w:val="24"/>
          <w:szCs w:val="24"/>
        </w:rPr>
      </w:pPr>
    </w:p>
    <w:p>
      <w:pPr>
        <w:pStyle w:val="BodyText"/>
        <w:spacing w:line="256" w:lineRule="auto"/>
        <w:ind w:right="380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公司报告期未发生共同对外投资的重大关联交易。</w:t>
      </w:r>
    </w:p>
    <w:p>
      <w:pPr>
        <w:spacing w:after="0" w:line="256" w:lineRule="auto"/>
        <w:jc w:val="left"/>
        <w:sectPr>
          <w:pgSz w:w="11910" w:h="16840"/>
          <w:pgMar w:header="748" w:footer="982" w:top="1060" w:bottom="1180" w:left="980" w:right="980"/>
        </w:sectPr>
      </w:pPr>
    </w:p>
    <w:p>
      <w:pPr>
        <w:spacing w:line="240" w:lineRule="auto" w:before="8"/>
        <w:rPr>
          <w:rFonts w:ascii="宋体" w:hAnsi="宋体" w:cs="宋体" w:eastAsia="宋体" w:hint="default"/>
          <w:sz w:val="24"/>
          <w:szCs w:val="24"/>
        </w:rPr>
      </w:pPr>
    </w:p>
    <w:p>
      <w:pPr>
        <w:pStyle w:val="Heading5"/>
        <w:spacing w:line="240" w:lineRule="auto" w:before="36"/>
        <w:ind w:right="0"/>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10"/>
        <w:rPr>
          <w:rFonts w:ascii="宋体" w:hAnsi="宋体" w:cs="宋体" w:eastAsia="宋体" w:hint="default"/>
          <w:b/>
          <w:bCs/>
          <w:sz w:val="24"/>
          <w:szCs w:val="24"/>
        </w:rPr>
      </w:pPr>
    </w:p>
    <w:p>
      <w:pPr>
        <w:pStyle w:val="BodyText"/>
        <w:spacing w:line="256" w:lineRule="auto"/>
        <w:ind w:right="5692"/>
        <w:jc w:val="left"/>
      </w:pPr>
      <w:bookmarkStart w:name="4、关联债权债务往来" w:id="50"/>
      <w:bookmarkEnd w:id="50"/>
      <w:r>
        <w:rPr/>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公司报告期不存在关联债权债务往来。</w:t>
      </w:r>
    </w:p>
    <w:p>
      <w:pPr>
        <w:spacing w:line="240" w:lineRule="auto" w:before="8"/>
        <w:rPr>
          <w:rFonts w:ascii="宋体" w:hAnsi="宋体" w:cs="宋体" w:eastAsia="宋体" w:hint="default"/>
          <w:sz w:val="24"/>
          <w:szCs w:val="24"/>
        </w:rPr>
      </w:pPr>
    </w:p>
    <w:p>
      <w:pPr>
        <w:pStyle w:val="Heading5"/>
        <w:spacing w:line="240" w:lineRule="auto"/>
        <w:ind w:right="0"/>
        <w:jc w:val="left"/>
        <w:rPr>
          <w:b w:val="0"/>
          <w:bCs w:val="0"/>
        </w:rPr>
      </w:pPr>
      <w:bookmarkStart w:name="5、其他重大关联交易" w:id="51"/>
      <w:bookmarkEnd w:id="51"/>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right="5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公司报告期无其他重大关联交易。</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36"/>
        <w:ind w:right="0"/>
        <w:jc w:val="left"/>
        <w:rPr>
          <w:b w:val="0"/>
          <w:bCs w:val="0"/>
        </w:rPr>
      </w:pPr>
      <w:bookmarkStart w:name="七、重大合同及其履行情况" w:id="52"/>
      <w:bookmarkEnd w:id="52"/>
      <w:r>
        <w:rPr>
          <w:b w:val="0"/>
          <w:bCs w:val="0"/>
        </w:rPr>
      </w:r>
      <w:r>
        <w:rPr/>
        <w:t>七、重大合同及其履行情况</w:t>
      </w:r>
      <w:r>
        <w:rPr>
          <w:b w:val="0"/>
          <w:bCs w:val="0"/>
        </w:rPr>
      </w:r>
    </w:p>
    <w:p>
      <w:pPr>
        <w:spacing w:line="240" w:lineRule="auto" w:before="0"/>
        <w:rPr>
          <w:rFonts w:ascii="宋体" w:hAnsi="宋体" w:cs="宋体" w:eastAsia="宋体" w:hint="default"/>
          <w:b/>
          <w:bCs/>
          <w:sz w:val="24"/>
          <w:szCs w:val="24"/>
        </w:rPr>
      </w:pPr>
    </w:p>
    <w:p>
      <w:pPr>
        <w:spacing w:line="240" w:lineRule="auto" w:before="11"/>
        <w:rPr>
          <w:rFonts w:ascii="宋体" w:hAnsi="宋体" w:cs="宋体" w:eastAsia="宋体" w:hint="default"/>
          <w:b/>
          <w:bCs/>
          <w:sz w:val="23"/>
          <w:szCs w:val="23"/>
        </w:rPr>
      </w:pPr>
    </w:p>
    <w:p>
      <w:pPr>
        <w:pStyle w:val="Heading5"/>
        <w:spacing w:line="240" w:lineRule="auto"/>
        <w:ind w:right="0"/>
        <w:jc w:val="left"/>
        <w:rPr>
          <w:b w:val="0"/>
          <w:bCs w:val="0"/>
        </w:rPr>
      </w:pPr>
      <w:bookmarkStart w:name="1、托管、承包、租赁事项情况" w:id="53"/>
      <w:bookmarkEnd w:id="53"/>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0"/>
        <w:rPr>
          <w:rFonts w:ascii="宋体" w:hAnsi="宋体" w:cs="宋体" w:eastAsia="宋体" w:hint="default"/>
          <w:b/>
          <w:bCs/>
          <w:sz w:val="22"/>
          <w:szCs w:val="22"/>
        </w:rPr>
      </w:pPr>
    </w:p>
    <w:p>
      <w:pPr>
        <w:spacing w:line="240" w:lineRule="auto" w:before="6"/>
        <w:rPr>
          <w:rFonts w:ascii="宋体" w:hAnsi="宋体" w:cs="宋体" w:eastAsia="宋体" w:hint="default"/>
          <w:b/>
          <w:bCs/>
          <w:sz w:val="25"/>
          <w:szCs w:val="25"/>
        </w:rPr>
      </w:pPr>
    </w:p>
    <w:p>
      <w:pPr>
        <w:pStyle w:val="Heading5"/>
        <w:spacing w:line="240" w:lineRule="auto"/>
        <w:ind w:right="0"/>
        <w:jc w:val="left"/>
        <w:rPr>
          <w:b w:val="0"/>
          <w:bCs w:val="0"/>
        </w:rPr>
      </w:pPr>
      <w:bookmarkStart w:name="（1）托管情况" w:id="54"/>
      <w:bookmarkEnd w:id="54"/>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10"/>
        <w:rPr>
          <w:rFonts w:ascii="宋体" w:hAnsi="宋体" w:cs="宋体" w:eastAsia="宋体" w:hint="default"/>
          <w:b/>
          <w:bCs/>
          <w:sz w:val="24"/>
          <w:szCs w:val="24"/>
        </w:rPr>
      </w:pPr>
    </w:p>
    <w:p>
      <w:pPr>
        <w:pStyle w:val="BodyText"/>
        <w:spacing w:line="256" w:lineRule="auto"/>
        <w:ind w:right="5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公司报告期不存在托管情况。</w:t>
      </w:r>
    </w:p>
    <w:p>
      <w:pPr>
        <w:spacing w:line="240" w:lineRule="auto" w:before="8"/>
        <w:rPr>
          <w:rFonts w:ascii="宋体" w:hAnsi="宋体" w:cs="宋体" w:eastAsia="宋体" w:hint="default"/>
          <w:sz w:val="24"/>
          <w:szCs w:val="24"/>
        </w:rPr>
      </w:pPr>
    </w:p>
    <w:p>
      <w:pPr>
        <w:pStyle w:val="Heading5"/>
        <w:spacing w:line="240" w:lineRule="auto"/>
        <w:ind w:right="0"/>
        <w:jc w:val="left"/>
        <w:rPr>
          <w:b w:val="0"/>
          <w:bCs w:val="0"/>
        </w:rPr>
      </w:pPr>
      <w:bookmarkStart w:name="（2）承包情况" w:id="55"/>
      <w:bookmarkEnd w:id="55"/>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right="5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公司报告期不存在承包情况。</w:t>
      </w:r>
    </w:p>
    <w:p>
      <w:pPr>
        <w:spacing w:line="240" w:lineRule="auto" w:before="8"/>
        <w:rPr>
          <w:rFonts w:ascii="宋体" w:hAnsi="宋体" w:cs="宋体" w:eastAsia="宋体" w:hint="default"/>
          <w:sz w:val="24"/>
          <w:szCs w:val="24"/>
        </w:rPr>
      </w:pPr>
    </w:p>
    <w:p>
      <w:pPr>
        <w:pStyle w:val="Heading5"/>
        <w:spacing w:line="240" w:lineRule="auto"/>
        <w:ind w:right="0"/>
        <w:jc w:val="left"/>
        <w:rPr>
          <w:b w:val="0"/>
          <w:bCs w:val="0"/>
        </w:rPr>
      </w:pPr>
      <w:bookmarkStart w:name="（3）租赁情况" w:id="56"/>
      <w:bookmarkEnd w:id="56"/>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10"/>
        <w:rPr>
          <w:rFonts w:ascii="宋体" w:hAnsi="宋体" w:cs="宋体" w:eastAsia="宋体" w:hint="default"/>
          <w:b/>
          <w:bCs/>
          <w:sz w:val="24"/>
          <w:szCs w:val="24"/>
        </w:rPr>
      </w:pPr>
    </w:p>
    <w:p>
      <w:pPr>
        <w:pStyle w:val="BodyText"/>
        <w:spacing w:line="256" w:lineRule="auto"/>
        <w:ind w:right="5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公司报告期不存在租赁情况。</w:t>
      </w:r>
    </w:p>
    <w:p>
      <w:pPr>
        <w:spacing w:line="240" w:lineRule="auto" w:before="8"/>
        <w:rPr>
          <w:rFonts w:ascii="宋体" w:hAnsi="宋体" w:cs="宋体" w:eastAsia="宋体" w:hint="default"/>
          <w:sz w:val="24"/>
          <w:szCs w:val="24"/>
        </w:rPr>
      </w:pPr>
    </w:p>
    <w:p>
      <w:pPr>
        <w:pStyle w:val="Heading5"/>
        <w:spacing w:line="240" w:lineRule="auto"/>
        <w:ind w:right="0"/>
        <w:jc w:val="left"/>
        <w:rPr>
          <w:b w:val="0"/>
          <w:bCs w:val="0"/>
        </w:rPr>
      </w:pPr>
      <w:bookmarkStart w:name="2、担保情况" w:id="57"/>
      <w:bookmarkEnd w:id="57"/>
      <w:r>
        <w:rPr>
          <w:b w:val="0"/>
          <w:bCs w:val="0"/>
        </w:rPr>
      </w:r>
      <w:r>
        <w:rPr>
          <w:rFonts w:ascii="Times New Roman" w:hAnsi="Times New Roman" w:cs="Times New Roman" w:eastAsia="Times New Roman" w:hint="default"/>
        </w:rPr>
        <w:t>2</w:t>
      </w:r>
      <w:r>
        <w:rPr/>
        <w:t>、担保情况</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right="5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t>公司报告期不存在担保情况。</w:t>
      </w:r>
    </w:p>
    <w:p>
      <w:pPr>
        <w:spacing w:line="240" w:lineRule="auto" w:before="8"/>
        <w:rPr>
          <w:rFonts w:ascii="宋体" w:hAnsi="宋体" w:cs="宋体" w:eastAsia="宋体" w:hint="default"/>
          <w:sz w:val="24"/>
          <w:szCs w:val="24"/>
        </w:rPr>
      </w:pPr>
    </w:p>
    <w:p>
      <w:pPr>
        <w:pStyle w:val="Heading5"/>
        <w:spacing w:line="240" w:lineRule="auto"/>
        <w:ind w:right="0"/>
        <w:jc w:val="left"/>
        <w:rPr>
          <w:b w:val="0"/>
          <w:bCs w:val="0"/>
        </w:rPr>
      </w:pPr>
      <w:bookmarkStart w:name="3、委托理财、衍生品投资和委托贷款情况" w:id="58"/>
      <w:bookmarkEnd w:id="58"/>
      <w:r>
        <w:rPr>
          <w:b w:val="0"/>
          <w:bCs w:val="0"/>
        </w:rPr>
      </w:r>
      <w:r>
        <w:rPr>
          <w:rFonts w:ascii="Times New Roman" w:hAnsi="Times New Roman" w:cs="Times New Roman" w:eastAsia="Times New Roman" w:hint="default"/>
        </w:rPr>
        <w:t>3</w:t>
      </w:r>
      <w:r>
        <w:rPr/>
        <w:t>、委托理财、衍生品投资和委托贷款情况</w:t>
      </w:r>
      <w:r>
        <w:rPr>
          <w:b w:val="0"/>
          <w:bCs w:val="0"/>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27"/>
          <w:szCs w:val="27"/>
        </w:rPr>
      </w:pPr>
    </w:p>
    <w:p>
      <w:pPr>
        <w:pStyle w:val="Heading5"/>
        <w:spacing w:line="240" w:lineRule="auto"/>
        <w:ind w:right="0"/>
        <w:jc w:val="left"/>
        <w:rPr>
          <w:b w:val="0"/>
          <w:bCs w:val="0"/>
        </w:rPr>
      </w:pPr>
      <w:bookmarkStart w:name="（1）委托理财情况" w:id="59"/>
      <w:bookmarkEnd w:id="59"/>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8" w:footer="982" w:top="1060" w:bottom="1180" w:left="980" w:right="980"/>
        </w:sectPr>
      </w:pPr>
    </w:p>
    <w:p>
      <w:pPr>
        <w:spacing w:line="240" w:lineRule="auto" w:before="8"/>
        <w:rPr>
          <w:rFonts w:ascii="宋体" w:hAnsi="宋体" w:cs="宋体" w:eastAsia="宋体" w:hint="default"/>
          <w:sz w:val="24"/>
          <w:szCs w:val="24"/>
        </w:rPr>
      </w:pPr>
    </w:p>
    <w:p>
      <w:pPr>
        <w:pStyle w:val="BodyText"/>
        <w:spacing w:line="240" w:lineRule="auto" w:before="36"/>
        <w:ind w:left="0" w:right="150"/>
        <w:jc w:val="right"/>
      </w:pPr>
      <w:r>
        <w:rPr>
          <w:spacing w:val="-1"/>
        </w:rPr>
        <w:t>单位：万元</w:t>
      </w:r>
    </w:p>
    <w:p>
      <w:pPr>
        <w:spacing w:line="240" w:lineRule="auto" w:before="10"/>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744"/>
        <w:gridCol w:w="749"/>
        <w:gridCol w:w="746"/>
        <w:gridCol w:w="823"/>
        <w:gridCol w:w="706"/>
        <w:gridCol w:w="749"/>
        <w:gridCol w:w="744"/>
        <w:gridCol w:w="746"/>
        <w:gridCol w:w="746"/>
        <w:gridCol w:w="746"/>
        <w:gridCol w:w="746"/>
        <w:gridCol w:w="670"/>
        <w:gridCol w:w="655"/>
      </w:tblGrid>
      <w:tr>
        <w:trPr>
          <w:trHeight w:val="1375" w:hRule="exact"/>
        </w:trPr>
        <w:tc>
          <w:tcPr>
            <w:tcW w:w="7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58" w:right="47" w:hanging="106"/>
              <w:jc w:val="left"/>
              <w:rPr>
                <w:rFonts w:ascii="宋体" w:hAnsi="宋体" w:cs="宋体" w:eastAsia="宋体" w:hint="default"/>
                <w:sz w:val="21"/>
                <w:szCs w:val="21"/>
              </w:rPr>
            </w:pPr>
            <w:r>
              <w:rPr>
                <w:rFonts w:ascii="宋体" w:hAnsi="宋体" w:cs="宋体" w:eastAsia="宋体" w:hint="default"/>
                <w:sz w:val="21"/>
                <w:szCs w:val="21"/>
              </w:rPr>
              <w:t>受托人</w:t>
            </w:r>
            <w:r>
              <w:rPr>
                <w:rFonts w:ascii="宋体" w:hAnsi="宋体" w:cs="宋体" w:eastAsia="宋体" w:hint="default"/>
                <w:spacing w:val="-102"/>
                <w:sz w:val="21"/>
                <w:szCs w:val="21"/>
              </w:rPr>
              <w:t> </w:t>
            </w:r>
            <w:r>
              <w:rPr>
                <w:rFonts w:ascii="宋体" w:hAnsi="宋体" w:cs="宋体" w:eastAsia="宋体" w:hint="default"/>
                <w:sz w:val="21"/>
                <w:szCs w:val="21"/>
              </w:rPr>
              <w:t>名称</w:t>
            </w:r>
          </w:p>
        </w:tc>
        <w:tc>
          <w:tcPr>
            <w:tcW w:w="74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266" w:right="48" w:hanging="212"/>
              <w:jc w:val="left"/>
              <w:rPr>
                <w:rFonts w:ascii="宋体" w:hAnsi="宋体" w:cs="宋体" w:eastAsia="宋体" w:hint="default"/>
                <w:sz w:val="21"/>
                <w:szCs w:val="21"/>
              </w:rPr>
            </w:pPr>
            <w:r>
              <w:rPr>
                <w:rFonts w:ascii="宋体" w:hAnsi="宋体" w:cs="宋体" w:eastAsia="宋体" w:hint="default"/>
                <w:sz w:val="21"/>
                <w:szCs w:val="21"/>
              </w:rPr>
              <w:t>关联关</w:t>
            </w:r>
            <w:r>
              <w:rPr>
                <w:rFonts w:ascii="宋体" w:hAnsi="宋体" w:cs="宋体" w:eastAsia="宋体" w:hint="default"/>
                <w:spacing w:val="-102"/>
                <w:sz w:val="21"/>
                <w:szCs w:val="21"/>
              </w:rPr>
              <w:t> </w:t>
            </w:r>
            <w:r>
              <w:rPr>
                <w:rFonts w:ascii="宋体" w:hAnsi="宋体" w:cs="宋体" w:eastAsia="宋体" w:hint="default"/>
                <w:sz w:val="21"/>
                <w:szCs w:val="21"/>
              </w:rPr>
              <w:t>系</w:t>
            </w:r>
          </w:p>
        </w:tc>
        <w:tc>
          <w:tcPr>
            <w:tcW w:w="7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52" w:right="48"/>
              <w:jc w:val="left"/>
              <w:rPr>
                <w:rFonts w:ascii="宋体" w:hAnsi="宋体" w:cs="宋体" w:eastAsia="宋体" w:hint="default"/>
                <w:sz w:val="21"/>
                <w:szCs w:val="21"/>
              </w:rPr>
            </w:pPr>
            <w:r>
              <w:rPr>
                <w:rFonts w:ascii="宋体" w:hAnsi="宋体" w:cs="宋体" w:eastAsia="宋体" w:hint="default"/>
                <w:sz w:val="21"/>
                <w:szCs w:val="21"/>
              </w:rPr>
              <w:t>是否关</w:t>
            </w:r>
            <w:r>
              <w:rPr>
                <w:rFonts w:ascii="宋体" w:hAnsi="宋体" w:cs="宋体" w:eastAsia="宋体" w:hint="default"/>
                <w:spacing w:val="-102"/>
                <w:sz w:val="21"/>
                <w:szCs w:val="21"/>
              </w:rPr>
              <w:t> </w:t>
            </w:r>
            <w:r>
              <w:rPr>
                <w:rFonts w:ascii="宋体" w:hAnsi="宋体" w:cs="宋体" w:eastAsia="宋体" w:hint="default"/>
                <w:sz w:val="21"/>
                <w:szCs w:val="21"/>
              </w:rPr>
              <w:t>联交易</w:t>
            </w:r>
          </w:p>
        </w:tc>
        <w:tc>
          <w:tcPr>
            <w:tcW w:w="8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302" w:right="86" w:hanging="212"/>
              <w:jc w:val="left"/>
              <w:rPr>
                <w:rFonts w:ascii="宋体" w:hAnsi="宋体" w:cs="宋体" w:eastAsia="宋体" w:hint="default"/>
                <w:sz w:val="21"/>
                <w:szCs w:val="21"/>
              </w:rPr>
            </w:pPr>
            <w:r>
              <w:rPr>
                <w:rFonts w:ascii="宋体" w:hAnsi="宋体" w:cs="宋体" w:eastAsia="宋体" w:hint="default"/>
                <w:sz w:val="21"/>
                <w:szCs w:val="21"/>
              </w:rPr>
              <w:t>产品类</w:t>
            </w:r>
            <w:r>
              <w:rPr>
                <w:rFonts w:ascii="宋体" w:hAnsi="宋体" w:cs="宋体" w:eastAsia="宋体" w:hint="default"/>
                <w:spacing w:val="-102"/>
                <w:sz w:val="21"/>
                <w:szCs w:val="21"/>
              </w:rPr>
              <w:t> </w:t>
            </w:r>
            <w:r>
              <w:rPr>
                <w:rFonts w:ascii="宋体" w:hAnsi="宋体" w:cs="宋体" w:eastAsia="宋体" w:hint="default"/>
                <w:sz w:val="21"/>
                <w:szCs w:val="21"/>
              </w:rPr>
              <w:t>型</w:t>
            </w:r>
          </w:p>
        </w:tc>
        <w:tc>
          <w:tcPr>
            <w:tcW w:w="7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33" w:right="26"/>
              <w:jc w:val="left"/>
              <w:rPr>
                <w:rFonts w:ascii="宋体" w:hAnsi="宋体" w:cs="宋体" w:eastAsia="宋体" w:hint="default"/>
                <w:sz w:val="21"/>
                <w:szCs w:val="21"/>
              </w:rPr>
            </w:pPr>
            <w:r>
              <w:rPr>
                <w:rFonts w:ascii="宋体" w:hAnsi="宋体" w:cs="宋体" w:eastAsia="宋体" w:hint="default"/>
                <w:sz w:val="21"/>
                <w:szCs w:val="21"/>
              </w:rPr>
              <w:t>委托理</w:t>
            </w:r>
            <w:r>
              <w:rPr>
                <w:rFonts w:ascii="宋体" w:hAnsi="宋体" w:cs="宋体" w:eastAsia="宋体" w:hint="default"/>
                <w:spacing w:val="-102"/>
                <w:sz w:val="21"/>
                <w:szCs w:val="21"/>
              </w:rPr>
              <w:t> </w:t>
            </w:r>
            <w:r>
              <w:rPr>
                <w:rFonts w:ascii="宋体" w:hAnsi="宋体" w:cs="宋体" w:eastAsia="宋体" w:hint="default"/>
                <w:sz w:val="21"/>
                <w:szCs w:val="21"/>
              </w:rPr>
              <w:t>财金额</w:t>
            </w:r>
          </w:p>
        </w:tc>
        <w:tc>
          <w:tcPr>
            <w:tcW w:w="74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266" w:right="48" w:hanging="212"/>
              <w:jc w:val="left"/>
              <w:rPr>
                <w:rFonts w:ascii="宋体" w:hAnsi="宋体" w:cs="宋体" w:eastAsia="宋体" w:hint="default"/>
                <w:sz w:val="21"/>
                <w:szCs w:val="21"/>
              </w:rPr>
            </w:pPr>
            <w:r>
              <w:rPr>
                <w:rFonts w:ascii="宋体" w:hAnsi="宋体" w:cs="宋体" w:eastAsia="宋体" w:hint="default"/>
                <w:sz w:val="21"/>
                <w:szCs w:val="21"/>
              </w:rPr>
              <w:t>起始日</w:t>
            </w:r>
            <w:r>
              <w:rPr>
                <w:rFonts w:ascii="宋体" w:hAnsi="宋体" w:cs="宋体" w:eastAsia="宋体" w:hint="default"/>
                <w:spacing w:val="-102"/>
                <w:sz w:val="21"/>
                <w:szCs w:val="21"/>
              </w:rPr>
              <w:t> </w:t>
            </w:r>
            <w:r>
              <w:rPr>
                <w:rFonts w:ascii="宋体" w:hAnsi="宋体" w:cs="宋体" w:eastAsia="宋体" w:hint="default"/>
                <w:sz w:val="21"/>
                <w:szCs w:val="21"/>
              </w:rPr>
              <w:t>期</w:t>
            </w:r>
          </w:p>
        </w:tc>
        <w:tc>
          <w:tcPr>
            <w:tcW w:w="7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261" w:right="47" w:hanging="209"/>
              <w:jc w:val="left"/>
              <w:rPr>
                <w:rFonts w:ascii="宋体" w:hAnsi="宋体" w:cs="宋体" w:eastAsia="宋体" w:hint="default"/>
                <w:sz w:val="21"/>
                <w:szCs w:val="21"/>
              </w:rPr>
            </w:pPr>
            <w:r>
              <w:rPr>
                <w:rFonts w:ascii="宋体" w:hAnsi="宋体" w:cs="宋体" w:eastAsia="宋体" w:hint="default"/>
                <w:sz w:val="21"/>
                <w:szCs w:val="21"/>
              </w:rPr>
              <w:t>终止日</w:t>
            </w:r>
            <w:r>
              <w:rPr>
                <w:rFonts w:ascii="宋体" w:hAnsi="宋体" w:cs="宋体" w:eastAsia="宋体" w:hint="default"/>
                <w:spacing w:val="-102"/>
                <w:sz w:val="21"/>
                <w:szCs w:val="21"/>
              </w:rPr>
              <w:t> </w:t>
            </w:r>
            <w:r>
              <w:rPr>
                <w:rFonts w:ascii="宋体" w:hAnsi="宋体" w:cs="宋体" w:eastAsia="宋体" w:hint="default"/>
                <w:sz w:val="21"/>
                <w:szCs w:val="21"/>
              </w:rPr>
              <w:t>期</w:t>
            </w:r>
          </w:p>
        </w:tc>
        <w:tc>
          <w:tcPr>
            <w:tcW w:w="7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52" w:right="48"/>
              <w:jc w:val="left"/>
              <w:rPr>
                <w:rFonts w:ascii="宋体" w:hAnsi="宋体" w:cs="宋体" w:eastAsia="宋体" w:hint="default"/>
                <w:sz w:val="21"/>
                <w:szCs w:val="21"/>
              </w:rPr>
            </w:pPr>
            <w:r>
              <w:rPr>
                <w:rFonts w:ascii="宋体" w:hAnsi="宋体" w:cs="宋体" w:eastAsia="宋体" w:hint="default"/>
                <w:sz w:val="21"/>
                <w:szCs w:val="21"/>
              </w:rPr>
              <w:t>报酬确</w:t>
            </w:r>
            <w:r>
              <w:rPr>
                <w:rFonts w:ascii="宋体" w:hAnsi="宋体" w:cs="宋体" w:eastAsia="宋体" w:hint="default"/>
                <w:spacing w:val="-102"/>
                <w:sz w:val="21"/>
                <w:szCs w:val="21"/>
              </w:rPr>
              <w:t> </w:t>
            </w:r>
            <w:r>
              <w:rPr>
                <w:rFonts w:ascii="宋体" w:hAnsi="宋体" w:cs="宋体" w:eastAsia="宋体" w:hint="default"/>
                <w:sz w:val="21"/>
                <w:szCs w:val="21"/>
              </w:rPr>
              <w:t>定方式</w:t>
            </w:r>
          </w:p>
        </w:tc>
        <w:tc>
          <w:tcPr>
            <w:tcW w:w="7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7" w:lineRule="auto" w:before="105"/>
              <w:ind w:left="52" w:right="48"/>
              <w:jc w:val="center"/>
              <w:rPr>
                <w:rFonts w:ascii="宋体" w:hAnsi="宋体" w:cs="宋体" w:eastAsia="宋体" w:hint="default"/>
                <w:sz w:val="21"/>
                <w:szCs w:val="21"/>
              </w:rPr>
            </w:pPr>
            <w:r>
              <w:rPr>
                <w:rFonts w:ascii="宋体" w:hAnsi="宋体" w:cs="宋体" w:eastAsia="宋体" w:hint="default"/>
                <w:sz w:val="21"/>
                <w:szCs w:val="21"/>
              </w:rPr>
              <w:t>本期实</w:t>
            </w:r>
            <w:r>
              <w:rPr>
                <w:rFonts w:ascii="宋体" w:hAnsi="宋体" w:cs="宋体" w:eastAsia="宋体" w:hint="default"/>
                <w:w w:val="100"/>
                <w:sz w:val="21"/>
                <w:szCs w:val="21"/>
              </w:rPr>
              <w:t> </w:t>
            </w:r>
            <w:r>
              <w:rPr>
                <w:rFonts w:ascii="宋体" w:hAnsi="宋体" w:cs="宋体" w:eastAsia="宋体" w:hint="default"/>
                <w:sz w:val="21"/>
                <w:szCs w:val="21"/>
              </w:rPr>
              <w:t>际收回</w:t>
            </w:r>
            <w:r>
              <w:rPr>
                <w:rFonts w:ascii="宋体" w:hAnsi="宋体" w:cs="宋体" w:eastAsia="宋体" w:hint="default"/>
                <w:w w:val="100"/>
                <w:sz w:val="21"/>
                <w:szCs w:val="21"/>
              </w:rPr>
              <w:t> </w:t>
            </w:r>
            <w:r>
              <w:rPr>
                <w:rFonts w:ascii="宋体" w:hAnsi="宋体" w:cs="宋体" w:eastAsia="宋体" w:hint="default"/>
                <w:sz w:val="21"/>
                <w:szCs w:val="21"/>
              </w:rPr>
              <w:t>本金金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7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52" w:right="48"/>
              <w:jc w:val="both"/>
              <w:rPr>
                <w:rFonts w:ascii="宋体" w:hAnsi="宋体" w:cs="宋体" w:eastAsia="宋体" w:hint="default"/>
                <w:sz w:val="21"/>
                <w:szCs w:val="21"/>
              </w:rPr>
            </w:pPr>
            <w:r>
              <w:rPr>
                <w:rFonts w:ascii="宋体" w:hAnsi="宋体" w:cs="宋体" w:eastAsia="宋体" w:hint="default"/>
                <w:sz w:val="21"/>
                <w:szCs w:val="21"/>
              </w:rPr>
              <w:t>是否经</w:t>
            </w:r>
            <w:r>
              <w:rPr>
                <w:rFonts w:ascii="宋体" w:hAnsi="宋体" w:cs="宋体" w:eastAsia="宋体" w:hint="default"/>
                <w:spacing w:val="-102"/>
                <w:sz w:val="21"/>
                <w:szCs w:val="21"/>
              </w:rPr>
              <w:t> </w:t>
            </w:r>
            <w:r>
              <w:rPr>
                <w:rFonts w:ascii="宋体" w:hAnsi="宋体" w:cs="宋体" w:eastAsia="宋体" w:hint="default"/>
                <w:sz w:val="21"/>
                <w:szCs w:val="21"/>
              </w:rPr>
              <w:t>过规定</w:t>
            </w:r>
            <w:r>
              <w:rPr>
                <w:rFonts w:ascii="宋体" w:hAnsi="宋体" w:cs="宋体" w:eastAsia="宋体" w:hint="default"/>
                <w:spacing w:val="-102"/>
                <w:sz w:val="21"/>
                <w:szCs w:val="21"/>
              </w:rPr>
              <w:t> </w:t>
            </w:r>
            <w:r>
              <w:rPr>
                <w:rFonts w:ascii="宋体" w:hAnsi="宋体" w:cs="宋体" w:eastAsia="宋体" w:hint="default"/>
                <w:sz w:val="21"/>
                <w:szCs w:val="21"/>
              </w:rPr>
              <w:t>程序</w:t>
            </w:r>
          </w:p>
        </w:tc>
        <w:tc>
          <w:tcPr>
            <w:tcW w:w="7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计提减</w:t>
            </w:r>
          </w:p>
          <w:p>
            <w:pPr>
              <w:pStyle w:val="TableParagraph"/>
              <w:spacing w:line="240" w:lineRule="auto"/>
              <w:ind w:left="52" w:right="48"/>
              <w:jc w:val="center"/>
              <w:rPr>
                <w:rFonts w:ascii="宋体" w:hAnsi="宋体" w:cs="宋体" w:eastAsia="宋体" w:hint="default"/>
                <w:sz w:val="21"/>
                <w:szCs w:val="21"/>
              </w:rPr>
            </w:pPr>
            <w:r>
              <w:rPr>
                <w:rFonts w:ascii="宋体" w:hAnsi="宋体" w:cs="宋体" w:eastAsia="宋体" w:hint="default"/>
                <w:sz w:val="21"/>
                <w:szCs w:val="21"/>
              </w:rPr>
              <w:t>值准备</w:t>
            </w:r>
            <w:r>
              <w:rPr>
                <w:rFonts w:ascii="宋体" w:hAnsi="宋体" w:cs="宋体" w:eastAsia="宋体" w:hint="default"/>
                <w:w w:val="100"/>
                <w:sz w:val="21"/>
                <w:szCs w:val="21"/>
              </w:rPr>
              <w:t> </w:t>
            </w:r>
            <w:r>
              <w:rPr>
                <w:rFonts w:ascii="宋体" w:hAnsi="宋体" w:cs="宋体" w:eastAsia="宋体" w:hint="default"/>
                <w:sz w:val="21"/>
                <w:szCs w:val="21"/>
              </w:rPr>
              <w:t>金额</w:t>
            </w:r>
          </w:p>
          <w:p>
            <w:pPr>
              <w:pStyle w:val="TableParagraph"/>
              <w:spacing w:line="274" w:lineRule="exact" w:before="22"/>
              <w:ind w:left="158" w:right="155"/>
              <w:jc w:val="center"/>
              <w:rPr>
                <w:rFonts w:ascii="宋体" w:hAnsi="宋体" w:cs="宋体" w:eastAsia="宋体" w:hint="default"/>
                <w:sz w:val="21"/>
                <w:szCs w:val="21"/>
              </w:rPr>
            </w:pPr>
            <w:r>
              <w:rPr>
                <w:rFonts w:ascii="宋体" w:hAnsi="宋体" w:cs="宋体" w:eastAsia="宋体" w:hint="default"/>
                <w:sz w:val="21"/>
                <w:szCs w:val="21"/>
              </w:rPr>
              <w:t>（如</w:t>
            </w:r>
            <w:r>
              <w:rPr>
                <w:rFonts w:ascii="宋体" w:hAnsi="宋体" w:cs="宋体" w:eastAsia="宋体" w:hint="default"/>
                <w:w w:val="100"/>
                <w:sz w:val="21"/>
                <w:szCs w:val="21"/>
              </w:rPr>
              <w:t> </w:t>
            </w:r>
            <w:r>
              <w:rPr>
                <w:rFonts w:ascii="宋体" w:hAnsi="宋体" w:cs="宋体" w:eastAsia="宋体" w:hint="default"/>
                <w:sz w:val="21"/>
                <w:szCs w:val="21"/>
              </w:rPr>
              <w:t>有）</w:t>
            </w:r>
          </w:p>
        </w:tc>
        <w:tc>
          <w:tcPr>
            <w:tcW w:w="6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19" w:right="115"/>
              <w:jc w:val="left"/>
              <w:rPr>
                <w:rFonts w:ascii="宋体" w:hAnsi="宋体" w:cs="宋体" w:eastAsia="宋体" w:hint="default"/>
                <w:sz w:val="21"/>
                <w:szCs w:val="21"/>
              </w:rPr>
            </w:pPr>
            <w:r>
              <w:rPr>
                <w:rFonts w:ascii="宋体" w:hAnsi="宋体" w:cs="宋体" w:eastAsia="宋体" w:hint="default"/>
                <w:sz w:val="21"/>
                <w:szCs w:val="21"/>
              </w:rPr>
              <w:t>预计</w:t>
            </w:r>
            <w:r>
              <w:rPr>
                <w:rFonts w:ascii="宋体" w:hAnsi="宋体" w:cs="宋体" w:eastAsia="宋体" w:hint="default"/>
                <w:spacing w:val="-103"/>
                <w:sz w:val="21"/>
                <w:szCs w:val="21"/>
              </w:rPr>
              <w:t> </w:t>
            </w:r>
            <w:r>
              <w:rPr>
                <w:rFonts w:ascii="宋体" w:hAnsi="宋体" w:cs="宋体" w:eastAsia="宋体" w:hint="default"/>
                <w:sz w:val="21"/>
                <w:szCs w:val="21"/>
              </w:rPr>
              <w:t>收益</w:t>
            </w:r>
          </w:p>
        </w:tc>
        <w:tc>
          <w:tcPr>
            <w:tcW w:w="6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exact"/>
              <w:ind w:left="112" w:right="0"/>
              <w:jc w:val="both"/>
              <w:rPr>
                <w:rFonts w:ascii="宋体" w:hAnsi="宋体" w:cs="宋体" w:eastAsia="宋体" w:hint="default"/>
                <w:sz w:val="21"/>
                <w:szCs w:val="21"/>
              </w:rPr>
            </w:pPr>
            <w:r>
              <w:rPr>
                <w:rFonts w:ascii="宋体" w:hAnsi="宋体" w:cs="宋体" w:eastAsia="宋体" w:hint="default"/>
                <w:sz w:val="21"/>
                <w:szCs w:val="21"/>
              </w:rPr>
              <w:t>报告</w:t>
            </w:r>
          </w:p>
          <w:p>
            <w:pPr>
              <w:pStyle w:val="TableParagraph"/>
              <w:spacing w:line="237" w:lineRule="auto" w:before="2"/>
              <w:ind w:left="112" w:right="108"/>
              <w:jc w:val="both"/>
              <w:rPr>
                <w:rFonts w:ascii="宋体" w:hAnsi="宋体" w:cs="宋体" w:eastAsia="宋体" w:hint="default"/>
                <w:sz w:val="21"/>
                <w:szCs w:val="21"/>
              </w:rPr>
            </w:pPr>
            <w:r>
              <w:rPr>
                <w:rFonts w:ascii="宋体" w:hAnsi="宋体" w:cs="宋体" w:eastAsia="宋体" w:hint="default"/>
                <w:sz w:val="21"/>
                <w:szCs w:val="21"/>
              </w:rPr>
              <w:t>期实</w:t>
            </w:r>
            <w:r>
              <w:rPr>
                <w:rFonts w:ascii="宋体" w:hAnsi="宋体" w:cs="宋体" w:eastAsia="宋体" w:hint="default"/>
                <w:spacing w:val="-103"/>
                <w:sz w:val="21"/>
                <w:szCs w:val="21"/>
              </w:rPr>
              <w:t> </w:t>
            </w:r>
            <w:r>
              <w:rPr>
                <w:rFonts w:ascii="宋体" w:hAnsi="宋体" w:cs="宋体" w:eastAsia="宋体" w:hint="default"/>
                <w:sz w:val="21"/>
                <w:szCs w:val="21"/>
              </w:rPr>
              <w:t>际损</w:t>
            </w:r>
            <w:r>
              <w:rPr>
                <w:rFonts w:ascii="宋体" w:hAnsi="宋体" w:cs="宋体" w:eastAsia="宋体" w:hint="default"/>
                <w:spacing w:val="-103"/>
                <w:sz w:val="21"/>
                <w:szCs w:val="21"/>
              </w:rPr>
              <w:t> </w:t>
            </w:r>
            <w:r>
              <w:rPr>
                <w:rFonts w:ascii="宋体" w:hAnsi="宋体" w:cs="宋体" w:eastAsia="宋体" w:hint="default"/>
                <w:sz w:val="21"/>
                <w:szCs w:val="21"/>
              </w:rPr>
              <w:t>益金</w:t>
            </w:r>
            <w:r>
              <w:rPr>
                <w:rFonts w:ascii="宋体" w:hAnsi="宋体" w:cs="宋体" w:eastAsia="宋体" w:hint="default"/>
                <w:spacing w:val="-103"/>
                <w:sz w:val="21"/>
                <w:szCs w:val="21"/>
              </w:rPr>
              <w:t> </w:t>
            </w:r>
            <w:r>
              <w:rPr>
                <w:rFonts w:ascii="宋体" w:hAnsi="宋体" w:cs="宋体" w:eastAsia="宋体" w:hint="default"/>
                <w:sz w:val="21"/>
                <w:szCs w:val="21"/>
              </w:rPr>
              <w:t>额</w:t>
            </w:r>
          </w:p>
        </w:tc>
      </w:tr>
      <w:tr>
        <w:trPr>
          <w:trHeight w:val="828" w:hRule="exact"/>
        </w:trPr>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74"/>
              <w:jc w:val="left"/>
              <w:rPr>
                <w:rFonts w:ascii="宋体" w:hAnsi="宋体" w:cs="宋体" w:eastAsia="宋体" w:hint="default"/>
                <w:sz w:val="21"/>
                <w:szCs w:val="21"/>
              </w:rPr>
            </w:pPr>
            <w:r>
              <w:rPr>
                <w:rFonts w:ascii="宋体" w:hAnsi="宋体" w:cs="宋体" w:eastAsia="宋体" w:hint="default"/>
                <w:sz w:val="21"/>
                <w:szCs w:val="21"/>
              </w:rPr>
              <w:t>浦发银</w:t>
            </w:r>
            <w:r>
              <w:rPr>
                <w:rFonts w:ascii="宋体" w:hAnsi="宋体" w:cs="宋体" w:eastAsia="宋体" w:hint="default"/>
                <w:spacing w:val="-102"/>
                <w:sz w:val="21"/>
                <w:szCs w:val="21"/>
              </w:rPr>
              <w:t> </w:t>
            </w:r>
            <w:r>
              <w:rPr>
                <w:rFonts w:ascii="宋体" w:hAnsi="宋体" w:cs="宋体" w:eastAsia="宋体" w:hint="default"/>
                <w:sz w:val="21"/>
                <w:szCs w:val="21"/>
              </w:rPr>
              <w:t>行</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155"/>
              <w:jc w:val="left"/>
              <w:rPr>
                <w:rFonts w:ascii="宋体" w:hAnsi="宋体" w:cs="宋体" w:eastAsia="宋体" w:hint="default"/>
                <w:sz w:val="21"/>
                <w:szCs w:val="21"/>
              </w:rPr>
            </w:pPr>
            <w:r>
              <w:rPr>
                <w:rFonts w:ascii="宋体" w:hAnsi="宋体" w:cs="宋体" w:eastAsia="宋体" w:hint="default"/>
                <w:sz w:val="21"/>
                <w:szCs w:val="21"/>
              </w:rPr>
              <w:t>保本保</w:t>
            </w:r>
            <w:r>
              <w:rPr>
                <w:rFonts w:ascii="宋体" w:hAnsi="宋体" w:cs="宋体" w:eastAsia="宋体" w:hint="default"/>
                <w:spacing w:val="-102"/>
                <w:sz w:val="21"/>
                <w:szCs w:val="21"/>
              </w:rPr>
              <w:t> </w:t>
            </w:r>
            <w:r>
              <w:rPr>
                <w:rFonts w:ascii="宋体" w:hAnsi="宋体" w:cs="宋体" w:eastAsia="宋体" w:hint="default"/>
                <w:sz w:val="21"/>
                <w:szCs w:val="21"/>
              </w:rPr>
              <w:t>收益</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2,500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p>
          <w:p>
            <w:pPr>
              <w:pStyle w:val="TableParagraph"/>
              <w:spacing w:line="274" w:lineRule="exact"/>
              <w:ind w:left="26"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4"/>
                <w:sz w:val="21"/>
                <w:szCs w:val="21"/>
              </w:rPr>
              <w:t>11 </w:t>
            </w:r>
            <w:r>
              <w:rPr>
                <w:rFonts w:ascii="宋体" w:hAnsi="宋体" w:cs="宋体" w:eastAsia="宋体" w:hint="default"/>
                <w:sz w:val="21"/>
                <w:szCs w:val="21"/>
              </w:rPr>
              <w:t>月</w:t>
            </w:r>
            <w:r>
              <w:rPr>
                <w:rFonts w:ascii="宋体" w:hAnsi="宋体" w:cs="宋体" w:eastAsia="宋体" w:hint="default"/>
                <w:spacing w:val="-84"/>
                <w:sz w:val="21"/>
                <w:szCs w:val="21"/>
              </w:rPr>
              <w:t> </w:t>
            </w:r>
            <w:r>
              <w:rPr>
                <w:rFonts w:ascii="Times New Roman" w:hAnsi="Times New Roman" w:cs="Times New Roman" w:eastAsia="Times New Roman" w:hint="default"/>
                <w:sz w:val="21"/>
                <w:szCs w:val="21"/>
              </w:rPr>
              <w:t>28</w:t>
            </w:r>
          </w:p>
          <w:p>
            <w:pPr>
              <w:pStyle w:val="TableParagraph"/>
              <w:spacing w:line="266"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p>
          <w:p>
            <w:pPr>
              <w:pStyle w:val="TableParagraph"/>
              <w:spacing w:line="274"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02</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27</w:t>
            </w:r>
          </w:p>
          <w:p>
            <w:pPr>
              <w:pStyle w:val="TableParagraph"/>
              <w:spacing w:line="266"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5.0%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2,500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46"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31.16</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31.16</w:t>
            </w:r>
          </w:p>
        </w:tc>
      </w:tr>
      <w:tr>
        <w:trPr>
          <w:trHeight w:val="830" w:hRule="exact"/>
        </w:trPr>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74"/>
              <w:jc w:val="left"/>
              <w:rPr>
                <w:rFonts w:ascii="宋体" w:hAnsi="宋体" w:cs="宋体" w:eastAsia="宋体" w:hint="default"/>
                <w:sz w:val="21"/>
                <w:szCs w:val="21"/>
              </w:rPr>
            </w:pPr>
            <w:r>
              <w:rPr>
                <w:rFonts w:ascii="宋体" w:hAnsi="宋体" w:cs="宋体" w:eastAsia="宋体" w:hint="default"/>
                <w:sz w:val="21"/>
                <w:szCs w:val="21"/>
              </w:rPr>
              <w:t>浦发银</w:t>
            </w:r>
            <w:r>
              <w:rPr>
                <w:rFonts w:ascii="宋体" w:hAnsi="宋体" w:cs="宋体" w:eastAsia="宋体" w:hint="default"/>
                <w:spacing w:val="-102"/>
                <w:sz w:val="21"/>
                <w:szCs w:val="21"/>
              </w:rPr>
              <w:t> </w:t>
            </w:r>
            <w:r>
              <w:rPr>
                <w:rFonts w:ascii="宋体" w:hAnsi="宋体" w:cs="宋体" w:eastAsia="宋体" w:hint="default"/>
                <w:sz w:val="21"/>
                <w:szCs w:val="21"/>
              </w:rPr>
              <w:t>行</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155"/>
              <w:jc w:val="left"/>
              <w:rPr>
                <w:rFonts w:ascii="宋体" w:hAnsi="宋体" w:cs="宋体" w:eastAsia="宋体" w:hint="default"/>
                <w:sz w:val="21"/>
                <w:szCs w:val="21"/>
              </w:rPr>
            </w:pPr>
            <w:r>
              <w:rPr>
                <w:rFonts w:ascii="宋体" w:hAnsi="宋体" w:cs="宋体" w:eastAsia="宋体" w:hint="default"/>
                <w:sz w:val="21"/>
                <w:szCs w:val="21"/>
              </w:rPr>
              <w:t>保本保</w:t>
            </w:r>
            <w:r>
              <w:rPr>
                <w:rFonts w:ascii="宋体" w:hAnsi="宋体" w:cs="宋体" w:eastAsia="宋体" w:hint="default"/>
                <w:spacing w:val="-102"/>
                <w:sz w:val="21"/>
                <w:szCs w:val="21"/>
              </w:rPr>
              <w:t> </w:t>
            </w:r>
            <w:r>
              <w:rPr>
                <w:rFonts w:ascii="宋体" w:hAnsi="宋体" w:cs="宋体" w:eastAsia="宋体" w:hint="default"/>
                <w:sz w:val="21"/>
                <w:szCs w:val="21"/>
              </w:rPr>
              <w:t>收益</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4,500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p>
          <w:p>
            <w:pPr>
              <w:pStyle w:val="TableParagraph"/>
              <w:spacing w:line="274" w:lineRule="exact"/>
              <w:ind w:left="26"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月</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24</w:t>
            </w:r>
          </w:p>
          <w:p>
            <w:pPr>
              <w:pStyle w:val="TableParagraph"/>
              <w:spacing w:line="266"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p>
          <w:p>
            <w:pPr>
              <w:pStyle w:val="TableParagraph"/>
              <w:spacing w:line="274"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25</w:t>
            </w:r>
          </w:p>
          <w:p>
            <w:pPr>
              <w:pStyle w:val="TableParagraph"/>
              <w:spacing w:line="266"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6.2%</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4,500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46"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69.56</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69.56</w:t>
            </w:r>
          </w:p>
        </w:tc>
      </w:tr>
      <w:tr>
        <w:trPr>
          <w:trHeight w:val="828" w:hRule="exact"/>
        </w:trPr>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74"/>
              <w:jc w:val="left"/>
              <w:rPr>
                <w:rFonts w:ascii="宋体" w:hAnsi="宋体" w:cs="宋体" w:eastAsia="宋体" w:hint="default"/>
                <w:sz w:val="21"/>
                <w:szCs w:val="21"/>
              </w:rPr>
            </w:pPr>
            <w:r>
              <w:rPr>
                <w:rFonts w:ascii="宋体" w:hAnsi="宋体" w:cs="宋体" w:eastAsia="宋体" w:hint="default"/>
                <w:sz w:val="21"/>
                <w:szCs w:val="21"/>
              </w:rPr>
              <w:t>广发银</w:t>
            </w:r>
            <w:r>
              <w:rPr>
                <w:rFonts w:ascii="宋体" w:hAnsi="宋体" w:cs="宋体" w:eastAsia="宋体" w:hint="default"/>
                <w:spacing w:val="-102"/>
                <w:sz w:val="21"/>
                <w:szCs w:val="21"/>
              </w:rPr>
              <w:t> </w:t>
            </w:r>
            <w:r>
              <w:rPr>
                <w:rFonts w:ascii="宋体" w:hAnsi="宋体" w:cs="宋体" w:eastAsia="宋体" w:hint="default"/>
                <w:sz w:val="21"/>
                <w:szCs w:val="21"/>
              </w:rPr>
              <w:t>行</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155"/>
              <w:jc w:val="left"/>
              <w:rPr>
                <w:rFonts w:ascii="宋体" w:hAnsi="宋体" w:cs="宋体" w:eastAsia="宋体" w:hint="default"/>
                <w:sz w:val="21"/>
                <w:szCs w:val="21"/>
              </w:rPr>
            </w:pPr>
            <w:r>
              <w:rPr>
                <w:rFonts w:ascii="宋体" w:hAnsi="宋体" w:cs="宋体" w:eastAsia="宋体" w:hint="default"/>
                <w:sz w:val="21"/>
                <w:szCs w:val="21"/>
              </w:rPr>
              <w:t>保本保</w:t>
            </w:r>
            <w:r>
              <w:rPr>
                <w:rFonts w:ascii="宋体" w:hAnsi="宋体" w:cs="宋体" w:eastAsia="宋体" w:hint="default"/>
                <w:spacing w:val="-102"/>
                <w:sz w:val="21"/>
                <w:szCs w:val="21"/>
              </w:rPr>
              <w:t> </w:t>
            </w:r>
            <w:r>
              <w:rPr>
                <w:rFonts w:ascii="宋体" w:hAnsi="宋体" w:cs="宋体" w:eastAsia="宋体" w:hint="default"/>
                <w:sz w:val="21"/>
                <w:szCs w:val="21"/>
              </w:rPr>
              <w:t>收益</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1,000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p>
          <w:p>
            <w:pPr>
              <w:pStyle w:val="TableParagraph"/>
              <w:spacing w:line="272" w:lineRule="exact"/>
              <w:ind w:left="26"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月</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27</w:t>
            </w:r>
          </w:p>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p>
          <w:p>
            <w:pPr>
              <w:pStyle w:val="TableParagraph"/>
              <w:spacing w:line="272"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26</w:t>
            </w:r>
          </w:p>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5.9%</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1,000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46"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29.1</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29.1</w:t>
            </w:r>
          </w:p>
        </w:tc>
      </w:tr>
      <w:tr>
        <w:trPr>
          <w:trHeight w:val="830" w:hRule="exact"/>
        </w:trPr>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74"/>
              <w:jc w:val="left"/>
              <w:rPr>
                <w:rFonts w:ascii="宋体" w:hAnsi="宋体" w:cs="宋体" w:eastAsia="宋体" w:hint="default"/>
                <w:sz w:val="21"/>
                <w:szCs w:val="21"/>
              </w:rPr>
            </w:pPr>
            <w:r>
              <w:rPr>
                <w:rFonts w:ascii="宋体" w:hAnsi="宋体" w:cs="宋体" w:eastAsia="宋体" w:hint="default"/>
                <w:sz w:val="21"/>
                <w:szCs w:val="21"/>
              </w:rPr>
              <w:t>浦发银</w:t>
            </w:r>
            <w:r>
              <w:rPr>
                <w:rFonts w:ascii="宋体" w:hAnsi="宋体" w:cs="宋体" w:eastAsia="宋体" w:hint="default"/>
                <w:spacing w:val="-102"/>
                <w:sz w:val="21"/>
                <w:szCs w:val="21"/>
              </w:rPr>
              <w:t> </w:t>
            </w:r>
            <w:r>
              <w:rPr>
                <w:rFonts w:ascii="宋体" w:hAnsi="宋体" w:cs="宋体" w:eastAsia="宋体" w:hint="default"/>
                <w:sz w:val="21"/>
                <w:szCs w:val="21"/>
              </w:rPr>
              <w:t>行</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155"/>
              <w:jc w:val="left"/>
              <w:rPr>
                <w:rFonts w:ascii="宋体" w:hAnsi="宋体" w:cs="宋体" w:eastAsia="宋体" w:hint="default"/>
                <w:sz w:val="21"/>
                <w:szCs w:val="21"/>
              </w:rPr>
            </w:pPr>
            <w:r>
              <w:rPr>
                <w:rFonts w:ascii="宋体" w:hAnsi="宋体" w:cs="宋体" w:eastAsia="宋体" w:hint="default"/>
                <w:sz w:val="21"/>
                <w:szCs w:val="21"/>
              </w:rPr>
              <w:t>保本保</w:t>
            </w:r>
            <w:r>
              <w:rPr>
                <w:rFonts w:ascii="宋体" w:hAnsi="宋体" w:cs="宋体" w:eastAsia="宋体" w:hint="default"/>
                <w:spacing w:val="-102"/>
                <w:sz w:val="21"/>
                <w:szCs w:val="21"/>
              </w:rPr>
              <w:t> </w:t>
            </w:r>
            <w:r>
              <w:rPr>
                <w:rFonts w:ascii="宋体" w:hAnsi="宋体" w:cs="宋体" w:eastAsia="宋体" w:hint="default"/>
                <w:sz w:val="21"/>
                <w:szCs w:val="21"/>
              </w:rPr>
              <w:t>收益</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2,500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p>
          <w:p>
            <w:pPr>
              <w:pStyle w:val="TableParagraph"/>
              <w:spacing w:line="274" w:lineRule="exact"/>
              <w:ind w:left="26"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月</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04</w:t>
            </w:r>
          </w:p>
          <w:p>
            <w:pPr>
              <w:pStyle w:val="TableParagraph"/>
              <w:spacing w:line="266"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p>
          <w:p>
            <w:pPr>
              <w:pStyle w:val="TableParagraph"/>
              <w:spacing w:line="274"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03</w:t>
            </w:r>
          </w:p>
          <w:p>
            <w:pPr>
              <w:pStyle w:val="TableParagraph"/>
              <w:spacing w:line="266"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5.4%</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2,500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46"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66.95</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66.95</w:t>
            </w:r>
          </w:p>
        </w:tc>
      </w:tr>
      <w:tr>
        <w:trPr>
          <w:trHeight w:val="828" w:hRule="exact"/>
        </w:trPr>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4" w:right="74"/>
              <w:jc w:val="left"/>
              <w:rPr>
                <w:rFonts w:ascii="宋体" w:hAnsi="宋体" w:cs="宋体" w:eastAsia="宋体" w:hint="default"/>
                <w:sz w:val="21"/>
                <w:szCs w:val="21"/>
              </w:rPr>
            </w:pPr>
            <w:r>
              <w:rPr>
                <w:rFonts w:ascii="宋体" w:hAnsi="宋体" w:cs="宋体" w:eastAsia="宋体" w:hint="default"/>
                <w:sz w:val="21"/>
                <w:szCs w:val="21"/>
              </w:rPr>
              <w:t>浦发银</w:t>
            </w:r>
            <w:r>
              <w:rPr>
                <w:rFonts w:ascii="宋体" w:hAnsi="宋体" w:cs="宋体" w:eastAsia="宋体" w:hint="default"/>
                <w:spacing w:val="-102"/>
                <w:sz w:val="21"/>
                <w:szCs w:val="21"/>
              </w:rPr>
              <w:t> </w:t>
            </w:r>
            <w:r>
              <w:rPr>
                <w:rFonts w:ascii="宋体" w:hAnsi="宋体" w:cs="宋体" w:eastAsia="宋体" w:hint="default"/>
                <w:sz w:val="21"/>
                <w:szCs w:val="21"/>
              </w:rPr>
              <w:t>行</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3" w:right="155"/>
              <w:jc w:val="left"/>
              <w:rPr>
                <w:rFonts w:ascii="宋体" w:hAnsi="宋体" w:cs="宋体" w:eastAsia="宋体" w:hint="default"/>
                <w:sz w:val="21"/>
                <w:szCs w:val="21"/>
              </w:rPr>
            </w:pPr>
            <w:r>
              <w:rPr>
                <w:rFonts w:ascii="宋体" w:hAnsi="宋体" w:cs="宋体" w:eastAsia="宋体" w:hint="default"/>
                <w:sz w:val="21"/>
                <w:szCs w:val="21"/>
              </w:rPr>
              <w:t>保本保</w:t>
            </w:r>
            <w:r>
              <w:rPr>
                <w:rFonts w:ascii="宋体" w:hAnsi="宋体" w:cs="宋体" w:eastAsia="宋体" w:hint="default"/>
                <w:spacing w:val="-102"/>
                <w:sz w:val="21"/>
                <w:szCs w:val="21"/>
              </w:rPr>
              <w:t> </w:t>
            </w:r>
            <w:r>
              <w:rPr>
                <w:rFonts w:ascii="宋体" w:hAnsi="宋体" w:cs="宋体" w:eastAsia="宋体" w:hint="default"/>
                <w:sz w:val="21"/>
                <w:szCs w:val="21"/>
              </w:rPr>
              <w:t>收益</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4,500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p>
          <w:p>
            <w:pPr>
              <w:pStyle w:val="TableParagraph"/>
              <w:spacing w:line="272" w:lineRule="exact"/>
              <w:ind w:left="26"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月</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03</w:t>
            </w:r>
          </w:p>
          <w:p>
            <w:pPr>
              <w:pStyle w:val="TableParagraph"/>
              <w:spacing w:line="266"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p>
          <w:p>
            <w:pPr>
              <w:pStyle w:val="TableParagraph"/>
              <w:spacing w:line="272"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03</w:t>
            </w:r>
          </w:p>
          <w:p>
            <w:pPr>
              <w:pStyle w:val="TableParagraph"/>
              <w:spacing w:line="266"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5.3%</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4,500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46"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59.46</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59.46</w:t>
            </w:r>
          </w:p>
        </w:tc>
      </w:tr>
      <w:tr>
        <w:trPr>
          <w:trHeight w:val="828" w:hRule="exact"/>
        </w:trPr>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74"/>
              <w:jc w:val="left"/>
              <w:rPr>
                <w:rFonts w:ascii="宋体" w:hAnsi="宋体" w:cs="宋体" w:eastAsia="宋体" w:hint="default"/>
                <w:sz w:val="21"/>
                <w:szCs w:val="21"/>
              </w:rPr>
            </w:pPr>
            <w:r>
              <w:rPr>
                <w:rFonts w:ascii="宋体" w:hAnsi="宋体" w:cs="宋体" w:eastAsia="宋体" w:hint="default"/>
                <w:sz w:val="21"/>
                <w:szCs w:val="21"/>
              </w:rPr>
              <w:t>广发银</w:t>
            </w:r>
            <w:r>
              <w:rPr>
                <w:rFonts w:ascii="宋体" w:hAnsi="宋体" w:cs="宋体" w:eastAsia="宋体" w:hint="default"/>
                <w:spacing w:val="-102"/>
                <w:sz w:val="21"/>
                <w:szCs w:val="21"/>
              </w:rPr>
              <w:t> </w:t>
            </w:r>
            <w:r>
              <w:rPr>
                <w:rFonts w:ascii="宋体" w:hAnsi="宋体" w:cs="宋体" w:eastAsia="宋体" w:hint="default"/>
                <w:sz w:val="21"/>
                <w:szCs w:val="21"/>
              </w:rPr>
              <w:t>行</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155"/>
              <w:jc w:val="left"/>
              <w:rPr>
                <w:rFonts w:ascii="宋体" w:hAnsi="宋体" w:cs="宋体" w:eastAsia="宋体" w:hint="default"/>
                <w:sz w:val="21"/>
                <w:szCs w:val="21"/>
              </w:rPr>
            </w:pPr>
            <w:r>
              <w:rPr>
                <w:rFonts w:ascii="宋体" w:hAnsi="宋体" w:cs="宋体" w:eastAsia="宋体" w:hint="default"/>
                <w:sz w:val="21"/>
                <w:szCs w:val="21"/>
              </w:rPr>
              <w:t>保本保</w:t>
            </w:r>
            <w:r>
              <w:rPr>
                <w:rFonts w:ascii="宋体" w:hAnsi="宋体" w:cs="宋体" w:eastAsia="宋体" w:hint="default"/>
                <w:spacing w:val="-102"/>
                <w:sz w:val="21"/>
                <w:szCs w:val="21"/>
              </w:rPr>
              <w:t> </w:t>
            </w:r>
            <w:r>
              <w:rPr>
                <w:rFonts w:ascii="宋体" w:hAnsi="宋体" w:cs="宋体" w:eastAsia="宋体" w:hint="default"/>
                <w:sz w:val="21"/>
                <w:szCs w:val="21"/>
              </w:rPr>
              <w:t>收益</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1,000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p>
          <w:p>
            <w:pPr>
              <w:pStyle w:val="TableParagraph"/>
              <w:spacing w:line="274" w:lineRule="exact"/>
              <w:ind w:left="26"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月</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26</w:t>
            </w:r>
          </w:p>
          <w:p>
            <w:pPr>
              <w:pStyle w:val="TableParagraph"/>
              <w:spacing w:line="266"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p>
          <w:p>
            <w:pPr>
              <w:pStyle w:val="TableParagraph"/>
              <w:spacing w:line="274"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25</w:t>
            </w:r>
          </w:p>
          <w:p>
            <w:pPr>
              <w:pStyle w:val="TableParagraph"/>
              <w:spacing w:line="266"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5.2%</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1,000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46"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12.96</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12.96</w:t>
            </w:r>
          </w:p>
        </w:tc>
      </w:tr>
      <w:tr>
        <w:trPr>
          <w:trHeight w:val="830" w:hRule="exact"/>
        </w:trPr>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74"/>
              <w:jc w:val="left"/>
              <w:rPr>
                <w:rFonts w:ascii="宋体" w:hAnsi="宋体" w:cs="宋体" w:eastAsia="宋体" w:hint="default"/>
                <w:sz w:val="21"/>
                <w:szCs w:val="21"/>
              </w:rPr>
            </w:pPr>
            <w:r>
              <w:rPr>
                <w:rFonts w:ascii="宋体" w:hAnsi="宋体" w:cs="宋体" w:eastAsia="宋体" w:hint="default"/>
                <w:sz w:val="21"/>
                <w:szCs w:val="21"/>
              </w:rPr>
              <w:t>广发银</w:t>
            </w:r>
            <w:r>
              <w:rPr>
                <w:rFonts w:ascii="宋体" w:hAnsi="宋体" w:cs="宋体" w:eastAsia="宋体" w:hint="default"/>
                <w:spacing w:val="-102"/>
                <w:sz w:val="21"/>
                <w:szCs w:val="21"/>
              </w:rPr>
              <w:t> </w:t>
            </w:r>
            <w:r>
              <w:rPr>
                <w:rFonts w:ascii="宋体" w:hAnsi="宋体" w:cs="宋体" w:eastAsia="宋体" w:hint="default"/>
                <w:sz w:val="21"/>
                <w:szCs w:val="21"/>
              </w:rPr>
              <w:t>行</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155"/>
              <w:jc w:val="left"/>
              <w:rPr>
                <w:rFonts w:ascii="宋体" w:hAnsi="宋体" w:cs="宋体" w:eastAsia="宋体" w:hint="default"/>
                <w:sz w:val="21"/>
                <w:szCs w:val="21"/>
              </w:rPr>
            </w:pPr>
            <w:r>
              <w:rPr>
                <w:rFonts w:ascii="宋体" w:hAnsi="宋体" w:cs="宋体" w:eastAsia="宋体" w:hint="default"/>
                <w:sz w:val="21"/>
                <w:szCs w:val="21"/>
              </w:rPr>
              <w:t>保本保</w:t>
            </w:r>
            <w:r>
              <w:rPr>
                <w:rFonts w:ascii="宋体" w:hAnsi="宋体" w:cs="宋体" w:eastAsia="宋体" w:hint="default"/>
                <w:spacing w:val="-102"/>
                <w:sz w:val="21"/>
                <w:szCs w:val="21"/>
              </w:rPr>
              <w:t> </w:t>
            </w:r>
            <w:r>
              <w:rPr>
                <w:rFonts w:ascii="宋体" w:hAnsi="宋体" w:cs="宋体" w:eastAsia="宋体" w:hint="default"/>
                <w:sz w:val="21"/>
                <w:szCs w:val="21"/>
              </w:rPr>
              <w:t>收益</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1,000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p>
          <w:p>
            <w:pPr>
              <w:pStyle w:val="TableParagraph"/>
              <w:spacing w:line="272" w:lineRule="exact"/>
              <w:ind w:left="26"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月</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01</w:t>
            </w:r>
          </w:p>
          <w:p>
            <w:pPr>
              <w:pStyle w:val="TableParagraph"/>
              <w:spacing w:line="266"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p>
          <w:p>
            <w:pPr>
              <w:pStyle w:val="TableParagraph"/>
              <w:spacing w:line="272"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07</w:t>
            </w:r>
          </w:p>
          <w:p>
            <w:pPr>
              <w:pStyle w:val="TableParagraph"/>
              <w:spacing w:line="266"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4.9%</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1,000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46"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0.94</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0.94</w:t>
            </w:r>
          </w:p>
        </w:tc>
      </w:tr>
      <w:tr>
        <w:trPr>
          <w:trHeight w:val="828" w:hRule="exact"/>
        </w:trPr>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74"/>
              <w:jc w:val="left"/>
              <w:rPr>
                <w:rFonts w:ascii="宋体" w:hAnsi="宋体" w:cs="宋体" w:eastAsia="宋体" w:hint="default"/>
                <w:sz w:val="21"/>
                <w:szCs w:val="21"/>
              </w:rPr>
            </w:pPr>
            <w:r>
              <w:rPr>
                <w:rFonts w:ascii="宋体" w:hAnsi="宋体" w:cs="宋体" w:eastAsia="宋体" w:hint="default"/>
                <w:sz w:val="21"/>
                <w:szCs w:val="21"/>
              </w:rPr>
              <w:t>宁波银</w:t>
            </w:r>
            <w:r>
              <w:rPr>
                <w:rFonts w:ascii="宋体" w:hAnsi="宋体" w:cs="宋体" w:eastAsia="宋体" w:hint="default"/>
                <w:spacing w:val="-102"/>
                <w:sz w:val="21"/>
                <w:szCs w:val="21"/>
              </w:rPr>
              <w:t> </w:t>
            </w:r>
            <w:r>
              <w:rPr>
                <w:rFonts w:ascii="宋体" w:hAnsi="宋体" w:cs="宋体" w:eastAsia="宋体" w:hint="default"/>
                <w:sz w:val="21"/>
                <w:szCs w:val="21"/>
              </w:rPr>
              <w:t>行</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155"/>
              <w:jc w:val="left"/>
              <w:rPr>
                <w:rFonts w:ascii="宋体" w:hAnsi="宋体" w:cs="宋体" w:eastAsia="宋体" w:hint="default"/>
                <w:sz w:val="21"/>
                <w:szCs w:val="21"/>
              </w:rPr>
            </w:pPr>
            <w:r>
              <w:rPr>
                <w:rFonts w:ascii="宋体" w:hAnsi="宋体" w:cs="宋体" w:eastAsia="宋体" w:hint="default"/>
                <w:sz w:val="21"/>
                <w:szCs w:val="21"/>
              </w:rPr>
              <w:t>保本保</w:t>
            </w:r>
            <w:r>
              <w:rPr>
                <w:rFonts w:ascii="宋体" w:hAnsi="宋体" w:cs="宋体" w:eastAsia="宋体" w:hint="default"/>
                <w:spacing w:val="-102"/>
                <w:sz w:val="21"/>
                <w:szCs w:val="21"/>
              </w:rPr>
              <w:t> </w:t>
            </w:r>
            <w:r>
              <w:rPr>
                <w:rFonts w:ascii="宋体" w:hAnsi="宋体" w:cs="宋体" w:eastAsia="宋体" w:hint="default"/>
                <w:sz w:val="21"/>
                <w:szCs w:val="21"/>
              </w:rPr>
              <w:t>收益</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1,000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p>
          <w:p>
            <w:pPr>
              <w:pStyle w:val="TableParagraph"/>
              <w:spacing w:line="272" w:lineRule="exact"/>
              <w:ind w:left="26"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月</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20</w:t>
            </w:r>
          </w:p>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p>
          <w:p>
            <w:pPr>
              <w:pStyle w:val="TableParagraph"/>
              <w:spacing w:line="272"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30</w:t>
            </w:r>
          </w:p>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5.0%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1,000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46"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5.34</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5.34</w:t>
            </w:r>
          </w:p>
        </w:tc>
      </w:tr>
      <w:tr>
        <w:trPr>
          <w:trHeight w:val="830" w:hRule="exact"/>
        </w:trPr>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74"/>
              <w:jc w:val="left"/>
              <w:rPr>
                <w:rFonts w:ascii="宋体" w:hAnsi="宋体" w:cs="宋体" w:eastAsia="宋体" w:hint="default"/>
                <w:sz w:val="21"/>
                <w:szCs w:val="21"/>
              </w:rPr>
            </w:pPr>
            <w:r>
              <w:rPr>
                <w:rFonts w:ascii="宋体" w:hAnsi="宋体" w:cs="宋体" w:eastAsia="宋体" w:hint="default"/>
                <w:sz w:val="21"/>
                <w:szCs w:val="21"/>
              </w:rPr>
              <w:t>浦发银</w:t>
            </w:r>
            <w:r>
              <w:rPr>
                <w:rFonts w:ascii="宋体" w:hAnsi="宋体" w:cs="宋体" w:eastAsia="宋体" w:hint="default"/>
                <w:spacing w:val="-102"/>
                <w:sz w:val="21"/>
                <w:szCs w:val="21"/>
              </w:rPr>
              <w:t> </w:t>
            </w:r>
            <w:r>
              <w:rPr>
                <w:rFonts w:ascii="宋体" w:hAnsi="宋体" w:cs="宋体" w:eastAsia="宋体" w:hint="default"/>
                <w:sz w:val="21"/>
                <w:szCs w:val="21"/>
              </w:rPr>
              <w:t>行</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155"/>
              <w:jc w:val="left"/>
              <w:rPr>
                <w:rFonts w:ascii="宋体" w:hAnsi="宋体" w:cs="宋体" w:eastAsia="宋体" w:hint="default"/>
                <w:sz w:val="21"/>
                <w:szCs w:val="21"/>
              </w:rPr>
            </w:pPr>
            <w:r>
              <w:rPr>
                <w:rFonts w:ascii="宋体" w:hAnsi="宋体" w:cs="宋体" w:eastAsia="宋体" w:hint="default"/>
                <w:sz w:val="21"/>
                <w:szCs w:val="21"/>
              </w:rPr>
              <w:t>保本保</w:t>
            </w:r>
            <w:r>
              <w:rPr>
                <w:rFonts w:ascii="宋体" w:hAnsi="宋体" w:cs="宋体" w:eastAsia="宋体" w:hint="default"/>
                <w:spacing w:val="-102"/>
                <w:sz w:val="21"/>
                <w:szCs w:val="21"/>
              </w:rPr>
              <w:t> </w:t>
            </w:r>
            <w:r>
              <w:rPr>
                <w:rFonts w:ascii="宋体" w:hAnsi="宋体" w:cs="宋体" w:eastAsia="宋体" w:hint="default"/>
                <w:sz w:val="21"/>
                <w:szCs w:val="21"/>
              </w:rPr>
              <w:t>收益</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2,500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p>
          <w:p>
            <w:pPr>
              <w:pStyle w:val="TableParagraph"/>
              <w:spacing w:line="274" w:lineRule="exact"/>
              <w:ind w:left="26"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月</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09</w:t>
            </w:r>
          </w:p>
          <w:p>
            <w:pPr>
              <w:pStyle w:val="TableParagraph"/>
              <w:spacing w:line="266"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p>
          <w:p>
            <w:pPr>
              <w:pStyle w:val="TableParagraph"/>
              <w:spacing w:line="274"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08</w:t>
            </w:r>
          </w:p>
          <w:p>
            <w:pPr>
              <w:pStyle w:val="TableParagraph"/>
              <w:spacing w:line="266"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4.7%</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2,500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46"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28.97</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28.97</w:t>
            </w:r>
          </w:p>
        </w:tc>
      </w:tr>
      <w:tr>
        <w:trPr>
          <w:trHeight w:val="828" w:hRule="exact"/>
        </w:trPr>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4" w:right="74"/>
              <w:jc w:val="left"/>
              <w:rPr>
                <w:rFonts w:ascii="宋体" w:hAnsi="宋体" w:cs="宋体" w:eastAsia="宋体" w:hint="default"/>
                <w:sz w:val="21"/>
                <w:szCs w:val="21"/>
              </w:rPr>
            </w:pPr>
            <w:r>
              <w:rPr>
                <w:rFonts w:ascii="宋体" w:hAnsi="宋体" w:cs="宋体" w:eastAsia="宋体" w:hint="default"/>
                <w:sz w:val="21"/>
                <w:szCs w:val="21"/>
              </w:rPr>
              <w:t>广发银</w:t>
            </w:r>
            <w:r>
              <w:rPr>
                <w:rFonts w:ascii="宋体" w:hAnsi="宋体" w:cs="宋体" w:eastAsia="宋体" w:hint="default"/>
                <w:spacing w:val="-102"/>
                <w:sz w:val="21"/>
                <w:szCs w:val="21"/>
              </w:rPr>
              <w:t> </w:t>
            </w:r>
            <w:r>
              <w:rPr>
                <w:rFonts w:ascii="宋体" w:hAnsi="宋体" w:cs="宋体" w:eastAsia="宋体" w:hint="default"/>
                <w:sz w:val="21"/>
                <w:szCs w:val="21"/>
              </w:rPr>
              <w:t>行</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3" w:right="155"/>
              <w:jc w:val="left"/>
              <w:rPr>
                <w:rFonts w:ascii="宋体" w:hAnsi="宋体" w:cs="宋体" w:eastAsia="宋体" w:hint="default"/>
                <w:sz w:val="21"/>
                <w:szCs w:val="21"/>
              </w:rPr>
            </w:pPr>
            <w:r>
              <w:rPr>
                <w:rFonts w:ascii="宋体" w:hAnsi="宋体" w:cs="宋体" w:eastAsia="宋体" w:hint="default"/>
                <w:sz w:val="21"/>
                <w:szCs w:val="21"/>
              </w:rPr>
              <w:t>保本保</w:t>
            </w:r>
            <w:r>
              <w:rPr>
                <w:rFonts w:ascii="宋体" w:hAnsi="宋体" w:cs="宋体" w:eastAsia="宋体" w:hint="default"/>
                <w:spacing w:val="-102"/>
                <w:sz w:val="21"/>
                <w:szCs w:val="21"/>
              </w:rPr>
              <w:t> </w:t>
            </w:r>
            <w:r>
              <w:rPr>
                <w:rFonts w:ascii="宋体" w:hAnsi="宋体" w:cs="宋体" w:eastAsia="宋体" w:hint="default"/>
                <w:sz w:val="21"/>
                <w:szCs w:val="21"/>
              </w:rPr>
              <w:t>收益</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1,000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p>
          <w:p>
            <w:pPr>
              <w:pStyle w:val="TableParagraph"/>
              <w:spacing w:line="272" w:lineRule="exact"/>
              <w:ind w:left="26"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月</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10</w:t>
            </w:r>
          </w:p>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p>
          <w:p>
            <w:pPr>
              <w:pStyle w:val="TableParagraph"/>
              <w:spacing w:line="272"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17</w:t>
            </w:r>
          </w:p>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4.4%</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1,000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46"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8.2</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8.2</w:t>
            </w:r>
          </w:p>
        </w:tc>
      </w:tr>
      <w:tr>
        <w:trPr>
          <w:trHeight w:val="828" w:hRule="exact"/>
        </w:trPr>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74"/>
              <w:jc w:val="left"/>
              <w:rPr>
                <w:rFonts w:ascii="宋体" w:hAnsi="宋体" w:cs="宋体" w:eastAsia="宋体" w:hint="default"/>
                <w:sz w:val="21"/>
                <w:szCs w:val="21"/>
              </w:rPr>
            </w:pPr>
            <w:r>
              <w:rPr>
                <w:rFonts w:ascii="宋体" w:hAnsi="宋体" w:cs="宋体" w:eastAsia="宋体" w:hint="default"/>
                <w:sz w:val="21"/>
                <w:szCs w:val="21"/>
              </w:rPr>
              <w:t>浦发银</w:t>
            </w:r>
            <w:r>
              <w:rPr>
                <w:rFonts w:ascii="宋体" w:hAnsi="宋体" w:cs="宋体" w:eastAsia="宋体" w:hint="default"/>
                <w:spacing w:val="-102"/>
                <w:sz w:val="21"/>
                <w:szCs w:val="21"/>
              </w:rPr>
              <w:t> </w:t>
            </w:r>
            <w:r>
              <w:rPr>
                <w:rFonts w:ascii="宋体" w:hAnsi="宋体" w:cs="宋体" w:eastAsia="宋体" w:hint="default"/>
                <w:sz w:val="21"/>
                <w:szCs w:val="21"/>
              </w:rPr>
              <w:t>行</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155"/>
              <w:jc w:val="left"/>
              <w:rPr>
                <w:rFonts w:ascii="宋体" w:hAnsi="宋体" w:cs="宋体" w:eastAsia="宋体" w:hint="default"/>
                <w:sz w:val="21"/>
                <w:szCs w:val="21"/>
              </w:rPr>
            </w:pPr>
            <w:r>
              <w:rPr>
                <w:rFonts w:ascii="宋体" w:hAnsi="宋体" w:cs="宋体" w:eastAsia="宋体" w:hint="default"/>
                <w:sz w:val="21"/>
                <w:szCs w:val="21"/>
              </w:rPr>
              <w:t>保本保</w:t>
            </w:r>
            <w:r>
              <w:rPr>
                <w:rFonts w:ascii="宋体" w:hAnsi="宋体" w:cs="宋体" w:eastAsia="宋体" w:hint="default"/>
                <w:spacing w:val="-102"/>
                <w:sz w:val="21"/>
                <w:szCs w:val="21"/>
              </w:rPr>
              <w:t> </w:t>
            </w:r>
            <w:r>
              <w:rPr>
                <w:rFonts w:ascii="宋体" w:hAnsi="宋体" w:cs="宋体" w:eastAsia="宋体" w:hint="default"/>
                <w:sz w:val="21"/>
                <w:szCs w:val="21"/>
              </w:rPr>
              <w:t>收益</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4,500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p>
          <w:p>
            <w:pPr>
              <w:pStyle w:val="TableParagraph"/>
              <w:spacing w:line="274" w:lineRule="exact"/>
              <w:ind w:left="26"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月</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08</w:t>
            </w:r>
          </w:p>
          <w:p>
            <w:pPr>
              <w:pStyle w:val="TableParagraph"/>
              <w:spacing w:line="266"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p>
          <w:p>
            <w:pPr>
              <w:pStyle w:val="TableParagraph"/>
              <w:spacing w:line="274"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05</w:t>
            </w:r>
          </w:p>
          <w:p>
            <w:pPr>
              <w:pStyle w:val="TableParagraph"/>
              <w:spacing w:line="266"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5.0%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46"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2"/>
                <w:sz w:val="21"/>
              </w:rPr>
              <w:t>110.96</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104.21</w:t>
            </w:r>
          </w:p>
        </w:tc>
      </w:tr>
      <w:tr>
        <w:trPr>
          <w:trHeight w:val="830" w:hRule="exact"/>
        </w:trPr>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3"/>
              <w:ind w:left="24" w:right="74"/>
              <w:jc w:val="left"/>
              <w:rPr>
                <w:rFonts w:ascii="宋体" w:hAnsi="宋体" w:cs="宋体" w:eastAsia="宋体" w:hint="default"/>
                <w:sz w:val="21"/>
                <w:szCs w:val="21"/>
              </w:rPr>
            </w:pPr>
            <w:r>
              <w:rPr>
                <w:rFonts w:ascii="宋体" w:hAnsi="宋体" w:cs="宋体" w:eastAsia="宋体" w:hint="default"/>
                <w:sz w:val="21"/>
                <w:szCs w:val="21"/>
              </w:rPr>
              <w:t>包商银</w:t>
            </w:r>
            <w:r>
              <w:rPr>
                <w:rFonts w:ascii="宋体" w:hAnsi="宋体" w:cs="宋体" w:eastAsia="宋体" w:hint="default"/>
                <w:spacing w:val="-102"/>
                <w:sz w:val="21"/>
                <w:szCs w:val="21"/>
              </w:rPr>
              <w:t> </w:t>
            </w:r>
            <w:r>
              <w:rPr>
                <w:rFonts w:ascii="宋体" w:hAnsi="宋体" w:cs="宋体" w:eastAsia="宋体" w:hint="default"/>
                <w:sz w:val="21"/>
                <w:szCs w:val="21"/>
              </w:rPr>
              <w:t>行</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3"/>
              <w:ind w:left="23" w:right="155"/>
              <w:jc w:val="left"/>
              <w:rPr>
                <w:rFonts w:ascii="宋体" w:hAnsi="宋体" w:cs="宋体" w:eastAsia="宋体" w:hint="default"/>
                <w:sz w:val="21"/>
                <w:szCs w:val="21"/>
              </w:rPr>
            </w:pPr>
            <w:r>
              <w:rPr>
                <w:rFonts w:ascii="宋体" w:hAnsi="宋体" w:cs="宋体" w:eastAsia="宋体" w:hint="default"/>
                <w:sz w:val="21"/>
                <w:szCs w:val="21"/>
              </w:rPr>
              <w:t>保本保</w:t>
            </w:r>
            <w:r>
              <w:rPr>
                <w:rFonts w:ascii="宋体" w:hAnsi="宋体" w:cs="宋体" w:eastAsia="宋体" w:hint="default"/>
                <w:spacing w:val="-102"/>
                <w:sz w:val="21"/>
                <w:szCs w:val="21"/>
              </w:rPr>
              <w:t> </w:t>
            </w:r>
            <w:r>
              <w:rPr>
                <w:rFonts w:ascii="宋体" w:hAnsi="宋体" w:cs="宋体" w:eastAsia="宋体" w:hint="default"/>
                <w:sz w:val="21"/>
                <w:szCs w:val="21"/>
              </w:rPr>
              <w:t>收益</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1,000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p>
          <w:p>
            <w:pPr>
              <w:pStyle w:val="TableParagraph"/>
              <w:spacing w:line="272" w:lineRule="exact"/>
              <w:ind w:left="26"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月</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21</w:t>
            </w:r>
          </w:p>
          <w:p>
            <w:pPr>
              <w:pStyle w:val="TableParagraph"/>
              <w:spacing w:line="266"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p>
          <w:p>
            <w:pPr>
              <w:pStyle w:val="TableParagraph"/>
              <w:spacing w:line="272"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02</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12</w:t>
            </w:r>
          </w:p>
          <w:p>
            <w:pPr>
              <w:pStyle w:val="TableParagraph"/>
              <w:spacing w:line="266"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5.0%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46"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23.84</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17.94</w:t>
            </w:r>
          </w:p>
        </w:tc>
      </w:tr>
      <w:tr>
        <w:trPr>
          <w:trHeight w:val="828" w:hRule="exact"/>
        </w:trPr>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74"/>
              <w:jc w:val="left"/>
              <w:rPr>
                <w:rFonts w:ascii="宋体" w:hAnsi="宋体" w:cs="宋体" w:eastAsia="宋体" w:hint="default"/>
                <w:sz w:val="21"/>
                <w:szCs w:val="21"/>
              </w:rPr>
            </w:pPr>
            <w:r>
              <w:rPr>
                <w:rFonts w:ascii="宋体" w:hAnsi="宋体" w:cs="宋体" w:eastAsia="宋体" w:hint="default"/>
                <w:sz w:val="21"/>
                <w:szCs w:val="21"/>
              </w:rPr>
              <w:t>浦发银</w:t>
            </w:r>
            <w:r>
              <w:rPr>
                <w:rFonts w:ascii="宋体" w:hAnsi="宋体" w:cs="宋体" w:eastAsia="宋体" w:hint="default"/>
                <w:spacing w:val="-102"/>
                <w:sz w:val="21"/>
                <w:szCs w:val="21"/>
              </w:rPr>
              <w:t> </w:t>
            </w:r>
            <w:r>
              <w:rPr>
                <w:rFonts w:ascii="宋体" w:hAnsi="宋体" w:cs="宋体" w:eastAsia="宋体" w:hint="default"/>
                <w:sz w:val="21"/>
                <w:szCs w:val="21"/>
              </w:rPr>
              <w:t>行</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155"/>
              <w:jc w:val="left"/>
              <w:rPr>
                <w:rFonts w:ascii="宋体" w:hAnsi="宋体" w:cs="宋体" w:eastAsia="宋体" w:hint="default"/>
                <w:sz w:val="21"/>
                <w:szCs w:val="21"/>
              </w:rPr>
            </w:pPr>
            <w:r>
              <w:rPr>
                <w:rFonts w:ascii="宋体" w:hAnsi="宋体" w:cs="宋体" w:eastAsia="宋体" w:hint="default"/>
                <w:sz w:val="21"/>
                <w:szCs w:val="21"/>
              </w:rPr>
              <w:t>保本保</w:t>
            </w:r>
            <w:r>
              <w:rPr>
                <w:rFonts w:ascii="宋体" w:hAnsi="宋体" w:cs="宋体" w:eastAsia="宋体" w:hint="default"/>
                <w:spacing w:val="-102"/>
                <w:sz w:val="21"/>
                <w:szCs w:val="21"/>
              </w:rPr>
              <w:t> </w:t>
            </w:r>
            <w:r>
              <w:rPr>
                <w:rFonts w:ascii="宋体" w:hAnsi="宋体" w:cs="宋体" w:eastAsia="宋体" w:hint="default"/>
                <w:sz w:val="21"/>
                <w:szCs w:val="21"/>
              </w:rPr>
              <w:t>收益</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2,500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p>
          <w:p>
            <w:pPr>
              <w:pStyle w:val="TableParagraph"/>
              <w:spacing w:line="274" w:lineRule="exact"/>
              <w:ind w:left="26"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月</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10</w:t>
            </w:r>
          </w:p>
          <w:p>
            <w:pPr>
              <w:pStyle w:val="TableParagraph"/>
              <w:spacing w:line="266"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p>
          <w:p>
            <w:pPr>
              <w:pStyle w:val="TableParagraph"/>
              <w:spacing w:line="274"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10</w:t>
            </w:r>
          </w:p>
          <w:p>
            <w:pPr>
              <w:pStyle w:val="TableParagraph"/>
              <w:spacing w:line="266"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4.5%</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46"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27.74</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6.78</w:t>
            </w:r>
          </w:p>
        </w:tc>
      </w:tr>
      <w:tr>
        <w:trPr>
          <w:trHeight w:val="830" w:hRule="exact"/>
        </w:trPr>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74"/>
              <w:jc w:val="left"/>
              <w:rPr>
                <w:rFonts w:ascii="宋体" w:hAnsi="宋体" w:cs="宋体" w:eastAsia="宋体" w:hint="default"/>
                <w:sz w:val="21"/>
                <w:szCs w:val="21"/>
              </w:rPr>
            </w:pPr>
            <w:r>
              <w:rPr>
                <w:rFonts w:ascii="宋体" w:hAnsi="宋体" w:cs="宋体" w:eastAsia="宋体" w:hint="default"/>
                <w:sz w:val="21"/>
                <w:szCs w:val="21"/>
              </w:rPr>
              <w:t>广发银</w:t>
            </w:r>
            <w:r>
              <w:rPr>
                <w:rFonts w:ascii="宋体" w:hAnsi="宋体" w:cs="宋体" w:eastAsia="宋体" w:hint="default"/>
                <w:spacing w:val="-102"/>
                <w:sz w:val="21"/>
                <w:szCs w:val="21"/>
              </w:rPr>
              <w:t> </w:t>
            </w:r>
            <w:r>
              <w:rPr>
                <w:rFonts w:ascii="宋体" w:hAnsi="宋体" w:cs="宋体" w:eastAsia="宋体" w:hint="default"/>
                <w:sz w:val="21"/>
                <w:szCs w:val="21"/>
              </w:rPr>
              <w:t>行</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155"/>
              <w:jc w:val="left"/>
              <w:rPr>
                <w:rFonts w:ascii="宋体" w:hAnsi="宋体" w:cs="宋体" w:eastAsia="宋体" w:hint="default"/>
                <w:sz w:val="21"/>
                <w:szCs w:val="21"/>
              </w:rPr>
            </w:pPr>
            <w:r>
              <w:rPr>
                <w:rFonts w:ascii="宋体" w:hAnsi="宋体" w:cs="宋体" w:eastAsia="宋体" w:hint="default"/>
                <w:sz w:val="21"/>
                <w:szCs w:val="21"/>
              </w:rPr>
              <w:t>保本保</w:t>
            </w:r>
            <w:r>
              <w:rPr>
                <w:rFonts w:ascii="宋体" w:hAnsi="宋体" w:cs="宋体" w:eastAsia="宋体" w:hint="default"/>
                <w:spacing w:val="-102"/>
                <w:sz w:val="21"/>
                <w:szCs w:val="21"/>
              </w:rPr>
              <w:t> </w:t>
            </w:r>
            <w:r>
              <w:rPr>
                <w:rFonts w:ascii="宋体" w:hAnsi="宋体" w:cs="宋体" w:eastAsia="宋体" w:hint="default"/>
                <w:sz w:val="21"/>
                <w:szCs w:val="21"/>
              </w:rPr>
              <w:t>收益</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1,000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p>
          <w:p>
            <w:pPr>
              <w:pStyle w:val="TableParagraph"/>
              <w:spacing w:line="274" w:lineRule="exact"/>
              <w:ind w:left="26"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月</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26</w:t>
            </w:r>
          </w:p>
          <w:p>
            <w:pPr>
              <w:pStyle w:val="TableParagraph"/>
              <w:spacing w:line="266"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p>
          <w:p>
            <w:pPr>
              <w:pStyle w:val="TableParagraph"/>
              <w:spacing w:line="274"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04</w:t>
            </w:r>
          </w:p>
          <w:p>
            <w:pPr>
              <w:pStyle w:val="TableParagraph"/>
              <w:spacing w:line="266"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5.1%</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46"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35.35</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0.84</w:t>
            </w:r>
          </w:p>
        </w:tc>
      </w:tr>
      <w:tr>
        <w:trPr>
          <w:trHeight w:val="557" w:hRule="exact"/>
        </w:trPr>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宁波银</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行</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保本保</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z w:val="21"/>
              </w:rPr>
              <w:t>1,000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p>
          <w:p>
            <w:pPr>
              <w:pStyle w:val="TableParagraph"/>
              <w:spacing w:line="282" w:lineRule="exact"/>
              <w:ind w:left="26"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10 </w:t>
            </w:r>
            <w:r>
              <w:rPr>
                <w:rFonts w:ascii="宋体" w:hAnsi="宋体" w:cs="宋体" w:eastAsia="宋体" w:hint="default"/>
                <w:sz w:val="21"/>
                <w:szCs w:val="21"/>
              </w:rPr>
              <w:t>月</w:t>
            </w:r>
            <w:r>
              <w:rPr>
                <w:rFonts w:ascii="宋体" w:hAnsi="宋体" w:cs="宋体" w:eastAsia="宋体" w:hint="default"/>
                <w:spacing w:val="-88"/>
                <w:sz w:val="21"/>
                <w:szCs w:val="21"/>
              </w:rPr>
              <w:t> </w:t>
            </w:r>
            <w:r>
              <w:rPr>
                <w:rFonts w:ascii="Times New Roman" w:hAnsi="Times New Roman" w:cs="Times New Roman" w:eastAsia="Times New Roman" w:hint="default"/>
                <w:spacing w:val="-8"/>
                <w:sz w:val="21"/>
                <w:szCs w:val="21"/>
              </w:rPr>
              <w:t>11</w:t>
            </w:r>
            <w:r>
              <w:rPr>
                <w:rFonts w:ascii="Times New Roman" w:hAnsi="Times New Roman" w:cs="Times New Roman" w:eastAsia="Times New Roman" w:hint="default"/>
                <w:sz w:val="21"/>
                <w:szCs w:val="21"/>
              </w:rPr>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无期限</w:t>
            </w:r>
          </w:p>
        </w:tc>
        <w:tc>
          <w:tcPr>
            <w:tcW w:w="746"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w w:val="100"/>
                <w:sz w:val="21"/>
              </w:rPr>
              <w:t>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46"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w w:val="100"/>
                <w:sz w:val="21"/>
              </w:rPr>
              <w:t>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w w:val="100"/>
                <w:sz w:val="21"/>
              </w:rPr>
              <w:t>0</w:t>
            </w:r>
          </w:p>
        </w:tc>
      </w:tr>
    </w:tbl>
    <w:p>
      <w:pPr>
        <w:spacing w:after="0" w:line="240" w:lineRule="auto"/>
        <w:jc w:val="right"/>
        <w:rPr>
          <w:rFonts w:ascii="Times New Roman" w:hAnsi="Times New Roman" w:cs="Times New Roman" w:eastAsia="Times New Roman" w:hint="default"/>
          <w:sz w:val="21"/>
          <w:szCs w:val="21"/>
        </w:rPr>
        <w:sectPr>
          <w:pgSz w:w="11910" w:h="16840"/>
          <w:pgMar w:header="748" w:footer="982" w:top="1060" w:bottom="1180" w:left="980" w:right="98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43"/>
        <w:gridCol w:w="749"/>
        <w:gridCol w:w="746"/>
        <w:gridCol w:w="823"/>
        <w:gridCol w:w="706"/>
        <w:gridCol w:w="749"/>
        <w:gridCol w:w="744"/>
        <w:gridCol w:w="746"/>
        <w:gridCol w:w="746"/>
        <w:gridCol w:w="746"/>
        <w:gridCol w:w="746"/>
        <w:gridCol w:w="670"/>
        <w:gridCol w:w="655"/>
      </w:tblGrid>
      <w:tr>
        <w:trPr>
          <w:trHeight w:val="379" w:hRule="exact"/>
        </w:trPr>
        <w:tc>
          <w:tcPr>
            <w:tcW w:w="743"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744"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3061" w:type="dxa"/>
            <w:gridSpan w:val="4"/>
            <w:tcBorders>
              <w:top w:val="single" w:sz="4" w:space="0" w:color="000000"/>
              <w:left w:val="single" w:sz="4" w:space="0" w:color="000000"/>
              <w:bottom w:val="single" w:sz="4" w:space="0" w:color="FFFFFF"/>
              <w:right w:val="single" w:sz="4" w:space="0" w:color="000000"/>
            </w:tcBorders>
            <w:shd w:val="clear" w:color="auto" w:fill="D4D4D4"/>
          </w:tcPr>
          <w:p>
            <w:pPr>
              <w:pStyle w:val="TableParagraph"/>
              <w:spacing w:line="240" w:lineRule="auto" w:before="14"/>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06"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58"/>
              <w:ind w:left="96" w:right="0"/>
              <w:jc w:val="left"/>
              <w:rPr>
                <w:rFonts w:ascii="Times New Roman" w:hAnsi="Times New Roman" w:cs="Times New Roman" w:eastAsia="Times New Roman" w:hint="default"/>
                <w:sz w:val="21"/>
                <w:szCs w:val="21"/>
              </w:rPr>
            </w:pPr>
            <w:r>
              <w:rPr>
                <w:rFonts w:ascii="Times New Roman"/>
                <w:sz w:val="21"/>
              </w:rPr>
              <w:t>31,500</w:t>
            </w:r>
          </w:p>
        </w:tc>
        <w:tc>
          <w:tcPr>
            <w:tcW w:w="749" w:type="dxa"/>
            <w:tcBorders>
              <w:top w:val="single" w:sz="4" w:space="0" w:color="000000"/>
              <w:left w:val="single" w:sz="4" w:space="0" w:color="000000"/>
              <w:bottom w:val="single" w:sz="4" w:space="0" w:color="FFFFFF"/>
              <w:right w:val="single" w:sz="4" w:space="0" w:color="000000"/>
            </w:tcBorders>
            <w:shd w:val="clear" w:color="auto" w:fill="D4D4D4"/>
          </w:tcPr>
          <w:p>
            <w:pPr>
              <w:pStyle w:val="TableParagraph"/>
              <w:spacing w:line="240" w:lineRule="auto" w:before="58"/>
              <w:ind w:left="4" w:right="0"/>
              <w:jc w:val="center"/>
              <w:rPr>
                <w:rFonts w:ascii="Times New Roman" w:hAnsi="Times New Roman" w:cs="Times New Roman" w:eastAsia="Times New Roman" w:hint="default"/>
                <w:sz w:val="21"/>
                <w:szCs w:val="21"/>
              </w:rPr>
            </w:pPr>
            <w:r>
              <w:rPr>
                <w:rFonts w:ascii="Times New Roman"/>
                <w:sz w:val="21"/>
              </w:rPr>
              <w:t>--</w:t>
            </w:r>
          </w:p>
        </w:tc>
        <w:tc>
          <w:tcPr>
            <w:tcW w:w="744" w:type="dxa"/>
            <w:tcBorders>
              <w:top w:val="single" w:sz="4" w:space="0" w:color="000000"/>
              <w:left w:val="single" w:sz="4" w:space="0" w:color="000000"/>
              <w:bottom w:val="single" w:sz="4" w:space="0" w:color="FFFFFF"/>
              <w:right w:val="single" w:sz="4" w:space="0" w:color="000000"/>
            </w:tcBorders>
            <w:shd w:val="clear" w:color="auto" w:fill="D4D4D4"/>
          </w:tcPr>
          <w:p>
            <w:pPr>
              <w:pStyle w:val="TableParagraph"/>
              <w:spacing w:line="240" w:lineRule="auto" w:before="58"/>
              <w:ind w:right="0"/>
              <w:jc w:val="center"/>
              <w:rPr>
                <w:rFonts w:ascii="Times New Roman" w:hAnsi="Times New Roman" w:cs="Times New Roman" w:eastAsia="Times New Roman" w:hint="default"/>
                <w:sz w:val="21"/>
                <w:szCs w:val="21"/>
              </w:rPr>
            </w:pPr>
            <w:r>
              <w:rPr>
                <w:rFonts w:ascii="Times New Roman"/>
                <w:sz w:val="21"/>
              </w:rPr>
              <w:t>--</w:t>
            </w:r>
          </w:p>
        </w:tc>
        <w:tc>
          <w:tcPr>
            <w:tcW w:w="746" w:type="dxa"/>
            <w:tcBorders>
              <w:top w:val="single" w:sz="4" w:space="0" w:color="000000"/>
              <w:left w:val="single" w:sz="4" w:space="0" w:color="000000"/>
              <w:bottom w:val="single" w:sz="4" w:space="0" w:color="FFFFFF"/>
              <w:right w:val="single" w:sz="4" w:space="0" w:color="000000"/>
            </w:tcBorders>
            <w:shd w:val="clear" w:color="auto" w:fill="D4D4D4"/>
          </w:tcPr>
          <w:p>
            <w:pPr>
              <w:pStyle w:val="TableParagraph"/>
              <w:spacing w:line="240" w:lineRule="auto" w:before="58"/>
              <w:ind w:left="2" w:right="0"/>
              <w:jc w:val="center"/>
              <w:rPr>
                <w:rFonts w:ascii="Times New Roman" w:hAnsi="Times New Roman" w:cs="Times New Roman" w:eastAsia="Times New Roman" w:hint="default"/>
                <w:sz w:val="21"/>
                <w:szCs w:val="21"/>
              </w:rPr>
            </w:pPr>
            <w:r>
              <w:rPr>
                <w:rFonts w:ascii="Times New Roman"/>
                <w:sz w:val="21"/>
              </w:rPr>
              <w:t>--</w:t>
            </w:r>
          </w:p>
        </w:tc>
        <w:tc>
          <w:tcPr>
            <w:tcW w:w="746"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58"/>
              <w:ind w:left="134" w:right="0"/>
              <w:jc w:val="left"/>
              <w:rPr>
                <w:rFonts w:ascii="Times New Roman" w:hAnsi="Times New Roman" w:cs="Times New Roman" w:eastAsia="Times New Roman" w:hint="default"/>
                <w:sz w:val="21"/>
                <w:szCs w:val="21"/>
              </w:rPr>
            </w:pPr>
            <w:r>
              <w:rPr>
                <w:rFonts w:ascii="Times New Roman"/>
                <w:sz w:val="21"/>
              </w:rPr>
              <w:t>21,500</w:t>
            </w:r>
          </w:p>
        </w:tc>
        <w:tc>
          <w:tcPr>
            <w:tcW w:w="746" w:type="dxa"/>
            <w:tcBorders>
              <w:top w:val="single" w:sz="4" w:space="0" w:color="000000"/>
              <w:left w:val="single" w:sz="4" w:space="0" w:color="000000"/>
              <w:bottom w:val="single" w:sz="4" w:space="0" w:color="FFFFFF"/>
              <w:right w:val="single" w:sz="4" w:space="0" w:color="000000"/>
            </w:tcBorders>
            <w:shd w:val="clear" w:color="auto" w:fill="D4D4D4"/>
          </w:tcPr>
          <w:p>
            <w:pPr>
              <w:pStyle w:val="TableParagraph"/>
              <w:spacing w:line="240" w:lineRule="auto" w:before="58"/>
              <w:ind w:left="2" w:right="0"/>
              <w:jc w:val="center"/>
              <w:rPr>
                <w:rFonts w:ascii="Times New Roman" w:hAnsi="Times New Roman" w:cs="Times New Roman" w:eastAsia="Times New Roman" w:hint="default"/>
                <w:sz w:val="21"/>
                <w:szCs w:val="21"/>
              </w:rPr>
            </w:pPr>
            <w:r>
              <w:rPr>
                <w:rFonts w:ascii="Times New Roman"/>
                <w:sz w:val="21"/>
              </w:rPr>
              <w:t>--</w:t>
            </w:r>
          </w:p>
        </w:tc>
        <w:tc>
          <w:tcPr>
            <w:tcW w:w="746" w:type="dxa"/>
            <w:tcBorders>
              <w:top w:val="single" w:sz="4" w:space="0" w:color="000000"/>
              <w:left w:val="single" w:sz="4" w:space="0" w:color="000000"/>
              <w:bottom w:val="single" w:sz="4" w:space="0" w:color="FFFFFF"/>
              <w:right w:val="single" w:sz="4" w:space="0" w:color="000000"/>
            </w:tcBorders>
          </w:tcPr>
          <w:p>
            <w:pPr/>
          </w:p>
        </w:tc>
        <w:tc>
          <w:tcPr>
            <w:tcW w:w="670"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58"/>
              <w:ind w:left="57" w:right="0"/>
              <w:jc w:val="left"/>
              <w:rPr>
                <w:rFonts w:ascii="Times New Roman" w:hAnsi="Times New Roman" w:cs="Times New Roman" w:eastAsia="Times New Roman" w:hint="default"/>
                <w:sz w:val="21"/>
                <w:szCs w:val="21"/>
              </w:rPr>
            </w:pPr>
            <w:r>
              <w:rPr>
                <w:rFonts w:ascii="Times New Roman"/>
                <w:sz w:val="21"/>
              </w:rPr>
              <w:t>510.53</w:t>
            </w:r>
          </w:p>
        </w:tc>
        <w:tc>
          <w:tcPr>
            <w:tcW w:w="655"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58"/>
              <w:ind w:left="45" w:right="0"/>
              <w:jc w:val="left"/>
              <w:rPr>
                <w:rFonts w:ascii="Times New Roman" w:hAnsi="Times New Roman" w:cs="Times New Roman" w:eastAsia="Times New Roman" w:hint="default"/>
                <w:sz w:val="21"/>
                <w:szCs w:val="21"/>
              </w:rPr>
            </w:pPr>
            <w:r>
              <w:rPr>
                <w:rFonts w:ascii="Times New Roman"/>
                <w:sz w:val="21"/>
              </w:rPr>
              <w:t>442.41</w:t>
            </w:r>
          </w:p>
        </w:tc>
      </w:tr>
      <w:tr>
        <w:trPr>
          <w:trHeight w:val="379" w:hRule="exact"/>
        </w:trPr>
        <w:tc>
          <w:tcPr>
            <w:tcW w:w="3061" w:type="dxa"/>
            <w:gridSpan w:val="4"/>
            <w:tcBorders>
              <w:top w:val="single" w:sz="4" w:space="0" w:color="FFFFFF"/>
              <w:left w:val="single" w:sz="4" w:space="0" w:color="000000"/>
              <w:bottom w:val="single" w:sz="4" w:space="0" w:color="000000"/>
              <w:right w:val="single" w:sz="4" w:space="0" w:color="000000"/>
            </w:tcBorders>
            <w:shd w:val="clear" w:color="auto" w:fill="D4D4D4"/>
          </w:tcPr>
          <w:p>
            <w:pPr>
              <w:pStyle w:val="TableParagraph"/>
              <w:spacing w:line="240" w:lineRule="auto" w:before="14"/>
              <w:ind w:left="22" w:right="0"/>
              <w:jc w:val="left"/>
              <w:rPr>
                <w:rFonts w:ascii="宋体" w:hAnsi="宋体" w:cs="宋体" w:eastAsia="宋体" w:hint="default"/>
                <w:sz w:val="21"/>
                <w:szCs w:val="21"/>
              </w:rPr>
            </w:pPr>
            <w:r>
              <w:rPr>
                <w:rFonts w:ascii="宋体" w:hAnsi="宋体" w:cs="宋体" w:eastAsia="宋体" w:hint="default"/>
                <w:sz w:val="21"/>
                <w:szCs w:val="21"/>
              </w:rPr>
              <w:t>委托理财资金来源</w:t>
            </w:r>
          </w:p>
        </w:tc>
        <w:tc>
          <w:tcPr>
            <w:tcW w:w="6509" w:type="dxa"/>
            <w:gridSpan w:val="9"/>
            <w:tcBorders>
              <w:top w:val="single" w:sz="4" w:space="0" w:color="FFFFFF"/>
              <w:left w:val="single" w:sz="4" w:space="0" w:color="000000"/>
              <w:bottom w:val="single" w:sz="4" w:space="0" w:color="000000"/>
              <w:right w:val="single" w:sz="4" w:space="0" w:color="000000"/>
            </w:tcBorders>
          </w:tcPr>
          <w:p>
            <w:pPr>
              <w:pStyle w:val="TableParagraph"/>
              <w:spacing w:line="240" w:lineRule="auto" w:before="14"/>
              <w:ind w:left="23" w:right="0"/>
              <w:jc w:val="left"/>
              <w:rPr>
                <w:rFonts w:ascii="宋体" w:hAnsi="宋体" w:cs="宋体" w:eastAsia="宋体" w:hint="default"/>
                <w:sz w:val="21"/>
                <w:szCs w:val="21"/>
              </w:rPr>
            </w:pPr>
            <w:r>
              <w:rPr>
                <w:rFonts w:ascii="宋体" w:hAnsi="宋体" w:cs="宋体" w:eastAsia="宋体" w:hint="default"/>
                <w:sz w:val="21"/>
                <w:szCs w:val="21"/>
              </w:rPr>
              <w:t>企业自有资金</w:t>
            </w:r>
          </w:p>
        </w:tc>
      </w:tr>
      <w:tr>
        <w:trPr>
          <w:trHeight w:val="554" w:hRule="exact"/>
        </w:trPr>
        <w:tc>
          <w:tcPr>
            <w:tcW w:w="3061" w:type="dxa"/>
            <w:gridSpan w:val="4"/>
            <w:tcBorders>
              <w:top w:val="single" w:sz="4" w:space="0" w:color="000000"/>
              <w:left w:val="single" w:sz="4" w:space="0" w:color="000000"/>
              <w:bottom w:val="single" w:sz="4" w:space="0" w:color="FFFFFF"/>
              <w:right w:val="single" w:sz="4" w:space="0" w:color="000000"/>
            </w:tcBorders>
            <w:shd w:val="clear" w:color="auto" w:fill="D4D4D4"/>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逾期未收回的本金和收益累计金</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6509" w:type="dxa"/>
            <w:gridSpan w:val="9"/>
            <w:tcBorders>
              <w:top w:val="single" w:sz="4" w:space="0" w:color="000000"/>
              <w:left w:val="single" w:sz="4" w:space="0" w:color="000000"/>
              <w:bottom w:val="single" w:sz="4" w:space="0" w:color="FFFFFF"/>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w w:val="100"/>
                <w:sz w:val="21"/>
              </w:rPr>
              <w:t>0</w:t>
            </w:r>
          </w:p>
        </w:tc>
      </w:tr>
      <w:tr>
        <w:trPr>
          <w:trHeight w:val="379" w:hRule="exact"/>
        </w:trPr>
        <w:tc>
          <w:tcPr>
            <w:tcW w:w="3061" w:type="dxa"/>
            <w:gridSpan w:val="4"/>
            <w:tcBorders>
              <w:top w:val="single" w:sz="4" w:space="0" w:color="FFFFFF"/>
              <w:left w:val="single" w:sz="4" w:space="0" w:color="000000"/>
              <w:bottom w:val="single" w:sz="4" w:space="0" w:color="000000"/>
              <w:right w:val="single" w:sz="4" w:space="0" w:color="000000"/>
            </w:tcBorders>
            <w:shd w:val="clear" w:color="auto" w:fill="D4D4D4"/>
          </w:tcPr>
          <w:p>
            <w:pPr>
              <w:pStyle w:val="TableParagraph"/>
              <w:spacing w:line="240" w:lineRule="auto" w:before="16"/>
              <w:ind w:left="22" w:right="0"/>
              <w:jc w:val="left"/>
              <w:rPr>
                <w:rFonts w:ascii="宋体" w:hAnsi="宋体" w:cs="宋体" w:eastAsia="宋体" w:hint="default"/>
                <w:sz w:val="21"/>
                <w:szCs w:val="21"/>
              </w:rPr>
            </w:pPr>
            <w:r>
              <w:rPr>
                <w:rFonts w:ascii="宋体" w:hAnsi="宋体" w:cs="宋体" w:eastAsia="宋体" w:hint="default"/>
                <w:sz w:val="21"/>
                <w:szCs w:val="21"/>
              </w:rPr>
              <w:t>涉诉情况（如适用）</w:t>
            </w:r>
          </w:p>
        </w:tc>
        <w:tc>
          <w:tcPr>
            <w:tcW w:w="6509" w:type="dxa"/>
            <w:gridSpan w:val="9"/>
            <w:tcBorders>
              <w:top w:val="single" w:sz="4" w:space="0" w:color="FFFFFF"/>
              <w:left w:val="single" w:sz="4" w:space="0" w:color="000000"/>
              <w:bottom w:val="single" w:sz="4" w:space="0" w:color="000000"/>
              <w:right w:val="single" w:sz="4" w:space="0" w:color="000000"/>
            </w:tcBorders>
          </w:tcPr>
          <w:p>
            <w:pPr>
              <w:pStyle w:val="TableParagraph"/>
              <w:spacing w:line="240" w:lineRule="auto" w:before="16"/>
              <w:ind w:left="2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557" w:hRule="exact"/>
        </w:trPr>
        <w:tc>
          <w:tcPr>
            <w:tcW w:w="3061"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审议委托理财的董事会决议披露</w:t>
            </w:r>
          </w:p>
          <w:p>
            <w:pPr>
              <w:pStyle w:val="TableParagraph"/>
              <w:spacing w:line="290" w:lineRule="exact"/>
              <w:ind w:left="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日期（如有</w:t>
            </w:r>
            <w:r>
              <w:rPr>
                <w:rFonts w:ascii="Times New Roman" w:hAnsi="Times New Roman" w:cs="Times New Roman" w:eastAsia="Times New Roman" w:hint="default"/>
                <w:sz w:val="21"/>
                <w:szCs w:val="21"/>
              </w:rPr>
              <w:t>)</w:t>
            </w:r>
          </w:p>
        </w:tc>
        <w:tc>
          <w:tcPr>
            <w:tcW w:w="6509" w:type="dxa"/>
            <w:gridSpan w:val="9"/>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061" w:type="dxa"/>
            <w:gridSpan w:val="4"/>
            <w:tcBorders>
              <w:top w:val="single" w:sz="4" w:space="0" w:color="000000"/>
              <w:left w:val="single" w:sz="4" w:space="0" w:color="000000"/>
              <w:bottom w:val="single" w:sz="4" w:space="0" w:color="FFFFFF"/>
              <w:right w:val="single" w:sz="4" w:space="0" w:color="000000"/>
            </w:tcBorders>
            <w:shd w:val="clear" w:color="auto" w:fill="D4D4D4"/>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审议委托理财的股东大会决议披</w:t>
            </w:r>
          </w:p>
          <w:p>
            <w:pPr>
              <w:pStyle w:val="TableParagraph"/>
              <w:spacing w:line="290" w:lineRule="exact"/>
              <w:ind w:left="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露日期（如有</w:t>
            </w:r>
            <w:r>
              <w:rPr>
                <w:rFonts w:ascii="Times New Roman" w:hAnsi="Times New Roman" w:cs="Times New Roman" w:eastAsia="Times New Roman" w:hint="default"/>
                <w:sz w:val="21"/>
                <w:szCs w:val="21"/>
              </w:rPr>
              <w:t>)</w:t>
            </w:r>
          </w:p>
        </w:tc>
        <w:tc>
          <w:tcPr>
            <w:tcW w:w="6509" w:type="dxa"/>
            <w:gridSpan w:val="9"/>
            <w:tcBorders>
              <w:top w:val="single" w:sz="4" w:space="0" w:color="000000"/>
              <w:left w:val="single" w:sz="4" w:space="0" w:color="000000"/>
              <w:bottom w:val="single" w:sz="4" w:space="0" w:color="FFFFFF"/>
              <w:right w:val="single" w:sz="4" w:space="0" w:color="000000"/>
            </w:tcBorders>
          </w:tcPr>
          <w:p>
            <w:pPr/>
          </w:p>
        </w:tc>
      </w:tr>
      <w:tr>
        <w:trPr>
          <w:trHeight w:val="379" w:hRule="exact"/>
        </w:trPr>
        <w:tc>
          <w:tcPr>
            <w:tcW w:w="3061" w:type="dxa"/>
            <w:gridSpan w:val="4"/>
            <w:tcBorders>
              <w:top w:val="single" w:sz="4" w:space="0" w:color="FFFFFF"/>
              <w:left w:val="single" w:sz="4" w:space="0" w:color="000000"/>
              <w:bottom w:val="single" w:sz="4" w:space="0" w:color="000000"/>
              <w:right w:val="single" w:sz="4" w:space="0" w:color="000000"/>
            </w:tcBorders>
            <w:shd w:val="clear" w:color="auto" w:fill="D4D4D4"/>
          </w:tcPr>
          <w:p>
            <w:pPr>
              <w:pStyle w:val="TableParagraph"/>
              <w:spacing w:line="240" w:lineRule="auto" w:before="14"/>
              <w:ind w:left="22" w:right="0"/>
              <w:jc w:val="left"/>
              <w:rPr>
                <w:rFonts w:ascii="宋体" w:hAnsi="宋体" w:cs="宋体" w:eastAsia="宋体" w:hint="default"/>
                <w:sz w:val="21"/>
                <w:szCs w:val="21"/>
              </w:rPr>
            </w:pPr>
            <w:r>
              <w:rPr>
                <w:rFonts w:ascii="宋体" w:hAnsi="宋体" w:cs="宋体" w:eastAsia="宋体" w:hint="default"/>
                <w:sz w:val="21"/>
                <w:szCs w:val="21"/>
              </w:rPr>
              <w:t>委托理财情况及未来计划说明</w:t>
            </w:r>
          </w:p>
        </w:tc>
        <w:tc>
          <w:tcPr>
            <w:tcW w:w="6509" w:type="dxa"/>
            <w:gridSpan w:val="9"/>
            <w:tcBorders>
              <w:top w:val="single" w:sz="4" w:space="0" w:color="FFFFFF"/>
              <w:left w:val="single" w:sz="4" w:space="0" w:color="000000"/>
              <w:bottom w:val="single" w:sz="4" w:space="0" w:color="000000"/>
              <w:right w:val="single" w:sz="4" w:space="0" w:color="000000"/>
            </w:tcBorders>
          </w:tcPr>
          <w:p>
            <w:pPr>
              <w:pStyle w:val="TableParagraph"/>
              <w:spacing w:line="240" w:lineRule="auto" w:before="14"/>
              <w:ind w:left="23" w:right="0"/>
              <w:jc w:val="left"/>
              <w:rPr>
                <w:rFonts w:ascii="宋体" w:hAnsi="宋体" w:cs="宋体" w:eastAsia="宋体" w:hint="default"/>
                <w:sz w:val="21"/>
                <w:szCs w:val="21"/>
              </w:rPr>
            </w:pPr>
            <w:r>
              <w:rPr>
                <w:rFonts w:ascii="宋体" w:hAnsi="宋体" w:cs="宋体" w:eastAsia="宋体" w:hint="default"/>
                <w:sz w:val="21"/>
                <w:szCs w:val="21"/>
              </w:rPr>
              <w:t>委托理财主要是向银行购买保本保收益理财产品</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bookmarkStart w:name="（2）衍生品投资情况" w:id="60"/>
      <w:bookmarkEnd w:id="60"/>
      <w:r>
        <w:rPr>
          <w:b w:val="0"/>
          <w:bCs w:val="0"/>
        </w:rPr>
      </w:r>
      <w:r>
        <w:rPr/>
        <w:t>（</w:t>
      </w:r>
      <w:r>
        <w:rPr>
          <w:rFonts w:ascii="Times New Roman" w:hAnsi="Times New Roman" w:cs="Times New Roman" w:eastAsia="Times New Roman" w:hint="default"/>
        </w:rPr>
        <w:t>2</w:t>
      </w:r>
      <w:r>
        <w:rPr/>
        <w:t>）衍生品投资情况</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right="5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公司报告期不存在衍生品投资。</w:t>
      </w:r>
    </w:p>
    <w:p>
      <w:pPr>
        <w:spacing w:line="240" w:lineRule="auto" w:before="8"/>
        <w:rPr>
          <w:rFonts w:ascii="宋体" w:hAnsi="宋体" w:cs="宋体" w:eastAsia="宋体" w:hint="default"/>
          <w:sz w:val="24"/>
          <w:szCs w:val="24"/>
        </w:rPr>
      </w:pPr>
    </w:p>
    <w:p>
      <w:pPr>
        <w:pStyle w:val="Heading5"/>
        <w:spacing w:line="240" w:lineRule="auto"/>
        <w:ind w:right="0"/>
        <w:jc w:val="left"/>
        <w:rPr>
          <w:b w:val="0"/>
          <w:bCs w:val="0"/>
        </w:rPr>
      </w:pPr>
      <w:bookmarkStart w:name="（3）委托贷款情况" w:id="61"/>
      <w:bookmarkEnd w:id="61"/>
      <w:r>
        <w:rPr>
          <w:b w:val="0"/>
          <w:bCs w:val="0"/>
        </w:rPr>
      </w:r>
      <w:r>
        <w:rPr/>
        <w:t>（</w:t>
      </w:r>
      <w:r>
        <w:rPr>
          <w:rFonts w:ascii="Times New Roman" w:hAnsi="Times New Roman" w:cs="Times New Roman" w:eastAsia="Times New Roman" w:hint="default"/>
        </w:rPr>
        <w:t>3</w:t>
      </w:r>
      <w:r>
        <w:rPr/>
        <w:t>）委托贷款情况</w:t>
      </w:r>
      <w:r>
        <w:rPr>
          <w:b w:val="0"/>
          <w:bCs w:val="0"/>
        </w:rPr>
      </w:r>
    </w:p>
    <w:p>
      <w:pPr>
        <w:spacing w:line="240" w:lineRule="auto" w:before="10"/>
        <w:rPr>
          <w:rFonts w:ascii="宋体" w:hAnsi="宋体" w:cs="宋体" w:eastAsia="宋体" w:hint="default"/>
          <w:b/>
          <w:bCs/>
          <w:sz w:val="24"/>
          <w:szCs w:val="24"/>
        </w:rPr>
      </w:pPr>
    </w:p>
    <w:p>
      <w:pPr>
        <w:pStyle w:val="BodyText"/>
        <w:spacing w:line="256" w:lineRule="auto"/>
        <w:ind w:right="5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公司报告期不存在委托贷款。</w:t>
      </w:r>
    </w:p>
    <w:p>
      <w:pPr>
        <w:spacing w:line="240" w:lineRule="auto" w:before="8"/>
        <w:rPr>
          <w:rFonts w:ascii="宋体" w:hAnsi="宋体" w:cs="宋体" w:eastAsia="宋体" w:hint="default"/>
          <w:sz w:val="24"/>
          <w:szCs w:val="24"/>
        </w:rPr>
      </w:pPr>
    </w:p>
    <w:p>
      <w:pPr>
        <w:pStyle w:val="Heading5"/>
        <w:spacing w:line="240" w:lineRule="auto"/>
        <w:ind w:right="0"/>
        <w:jc w:val="left"/>
        <w:rPr>
          <w:b w:val="0"/>
          <w:bCs w:val="0"/>
        </w:rPr>
      </w:pPr>
      <w:bookmarkStart w:name="4、其他重大合同" w:id="62"/>
      <w:bookmarkEnd w:id="62"/>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right="5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公司报告期不存在其他重大合同。</w:t>
      </w:r>
    </w:p>
    <w:p>
      <w:pPr>
        <w:spacing w:line="240" w:lineRule="auto" w:before="9"/>
        <w:rPr>
          <w:rFonts w:ascii="宋体" w:hAnsi="宋体" w:cs="宋体" w:eastAsia="宋体" w:hint="default"/>
          <w:sz w:val="22"/>
          <w:szCs w:val="22"/>
        </w:rPr>
      </w:pPr>
    </w:p>
    <w:p>
      <w:pPr>
        <w:pStyle w:val="Heading4"/>
        <w:spacing w:line="240" w:lineRule="auto"/>
        <w:ind w:right="0"/>
        <w:jc w:val="left"/>
        <w:rPr>
          <w:b w:val="0"/>
          <w:bCs w:val="0"/>
        </w:rPr>
      </w:pPr>
      <w:bookmarkStart w:name="八、承诺事项履行情况" w:id="63"/>
      <w:bookmarkEnd w:id="63"/>
      <w:r>
        <w:rPr>
          <w:b w:val="0"/>
          <w:bCs w:val="0"/>
        </w:rPr>
      </w:r>
      <w:r>
        <w:rPr/>
        <w:t>八、承诺事项履行情况</w:t>
      </w:r>
      <w:r>
        <w:rPr>
          <w:b w:val="0"/>
          <w:bCs w:val="0"/>
        </w:rPr>
      </w:r>
    </w:p>
    <w:p>
      <w:pPr>
        <w:spacing w:line="240" w:lineRule="auto" w:before="0"/>
        <w:rPr>
          <w:rFonts w:ascii="宋体" w:hAnsi="宋体" w:cs="宋体" w:eastAsia="宋体" w:hint="default"/>
          <w:b/>
          <w:bCs/>
          <w:sz w:val="24"/>
          <w:szCs w:val="24"/>
        </w:rPr>
      </w:pPr>
    </w:p>
    <w:p>
      <w:pPr>
        <w:spacing w:line="240" w:lineRule="auto" w:before="11"/>
        <w:rPr>
          <w:rFonts w:ascii="宋体" w:hAnsi="宋体" w:cs="宋体" w:eastAsia="宋体" w:hint="default"/>
          <w:b/>
          <w:bCs/>
          <w:sz w:val="23"/>
          <w:szCs w:val="23"/>
        </w:rPr>
      </w:pPr>
    </w:p>
    <w:p>
      <w:pPr>
        <w:pStyle w:val="Heading5"/>
        <w:spacing w:line="240" w:lineRule="auto"/>
        <w:ind w:right="0"/>
        <w:jc w:val="left"/>
        <w:rPr>
          <w:b w:val="0"/>
          <w:bCs w:val="0"/>
        </w:rPr>
      </w:pPr>
      <w:bookmarkStart w:name="1、公司或持股5%以上股东在报告期内发生或以前期间发生但持续到报告期内的承诺事项" w:id="64"/>
      <w:bookmarkEnd w:id="64"/>
      <w:r>
        <w:rPr>
          <w:b w:val="0"/>
          <w:bCs w:val="0"/>
        </w:rPr>
      </w:r>
      <w:r>
        <w:rPr>
          <w:rFonts w:ascii="Times New Roman" w:hAnsi="Times New Roman" w:cs="Times New Roman" w:eastAsia="Times New Roman" w:hint="default"/>
          <w:spacing w:val="-1"/>
        </w:rPr>
        <w:t>1</w:t>
      </w:r>
      <w:r>
        <w:rPr>
          <w:spacing w:val="-1"/>
        </w:rPr>
        <w:t>、公司或持股</w:t>
      </w:r>
      <w:r>
        <w:rPr>
          <w:spacing w:val="-7"/>
        </w:rPr>
        <w:t> </w:t>
      </w:r>
      <w:r>
        <w:rPr>
          <w:rFonts w:ascii="Times New Roman" w:hAnsi="Times New Roman" w:cs="Times New Roman" w:eastAsia="Times New Roman" w:hint="default"/>
          <w:spacing w:val="-2"/>
        </w:rPr>
        <w:t>5%</w:t>
      </w:r>
      <w:r>
        <w:rPr>
          <w:spacing w:val="-2"/>
        </w:rPr>
        <w:t>以上股东在报告期内发生或以前期间发生但持续到报告期内的承诺事项</w:t>
      </w:r>
      <w:r>
        <w:rPr>
          <w:b w:val="0"/>
          <w:bCs w:val="0"/>
          <w:spacing w:val="-2"/>
        </w:rPr>
      </w:r>
    </w:p>
    <w:p>
      <w:pPr>
        <w:spacing w:line="240" w:lineRule="auto" w:before="7"/>
        <w:rPr>
          <w:rFonts w:ascii="宋体" w:hAnsi="宋体" w:cs="宋体" w:eastAsia="宋体" w:hint="default"/>
          <w:b/>
          <w:bCs/>
          <w:sz w:val="24"/>
          <w:szCs w:val="24"/>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06"/>
        <w:gridCol w:w="1133"/>
        <w:gridCol w:w="3828"/>
        <w:gridCol w:w="806"/>
        <w:gridCol w:w="1114"/>
        <w:gridCol w:w="1270"/>
      </w:tblGrid>
      <w:tr>
        <w:trPr>
          <w:trHeight w:val="347" w:hRule="exact"/>
        </w:trPr>
        <w:tc>
          <w:tcPr>
            <w:tcW w:w="1406" w:type="dxa"/>
            <w:tcBorders>
              <w:top w:val="single" w:sz="4" w:space="0" w:color="000000"/>
              <w:left w:val="single" w:sz="4" w:space="0" w:color="000000"/>
              <w:bottom w:val="nil" w:sz="6" w:space="0" w:color="auto"/>
              <w:right w:val="single" w:sz="4" w:space="0" w:color="000000"/>
            </w:tcBorders>
            <w:shd w:val="clear" w:color="auto" w:fill="D4D4D4"/>
          </w:tcPr>
          <w:p>
            <w:pPr>
              <w:pStyle w:val="TableParagraph"/>
              <w:spacing w:line="240" w:lineRule="auto" w:before="34"/>
              <w:ind w:left="273" w:right="0"/>
              <w:jc w:val="left"/>
              <w:rPr>
                <w:rFonts w:ascii="宋体" w:hAnsi="宋体" w:cs="宋体" w:eastAsia="宋体" w:hint="default"/>
                <w:sz w:val="21"/>
                <w:szCs w:val="21"/>
              </w:rPr>
            </w:pPr>
            <w:r>
              <w:rPr>
                <w:rFonts w:ascii="宋体" w:hAnsi="宋体" w:cs="宋体" w:eastAsia="宋体" w:hint="default"/>
                <w:sz w:val="21"/>
                <w:szCs w:val="21"/>
              </w:rPr>
              <w:t>承诺来源</w:t>
            </w:r>
          </w:p>
        </w:tc>
        <w:tc>
          <w:tcPr>
            <w:tcW w:w="1133" w:type="dxa"/>
            <w:tcBorders>
              <w:top w:val="single" w:sz="4" w:space="0" w:color="000000"/>
              <w:left w:val="single" w:sz="4" w:space="0" w:color="000000"/>
              <w:bottom w:val="nil" w:sz="6" w:space="0" w:color="auto"/>
              <w:right w:val="single" w:sz="4" w:space="0" w:color="000000"/>
            </w:tcBorders>
            <w:shd w:val="clear" w:color="auto" w:fill="D4D4D4"/>
          </w:tcPr>
          <w:p>
            <w:pPr>
              <w:pStyle w:val="TableParagraph"/>
              <w:spacing w:line="240" w:lineRule="auto" w:before="34"/>
              <w:ind w:left="247" w:right="0"/>
              <w:jc w:val="left"/>
              <w:rPr>
                <w:rFonts w:ascii="宋体" w:hAnsi="宋体" w:cs="宋体" w:eastAsia="宋体" w:hint="default"/>
                <w:sz w:val="21"/>
                <w:szCs w:val="21"/>
              </w:rPr>
            </w:pPr>
            <w:r>
              <w:rPr>
                <w:rFonts w:ascii="宋体" w:hAnsi="宋体" w:cs="宋体" w:eastAsia="宋体" w:hint="default"/>
                <w:sz w:val="21"/>
                <w:szCs w:val="21"/>
              </w:rPr>
              <w:t>承诺方</w:t>
            </w:r>
          </w:p>
        </w:tc>
        <w:tc>
          <w:tcPr>
            <w:tcW w:w="3828" w:type="dxa"/>
            <w:tcBorders>
              <w:top w:val="single" w:sz="4" w:space="0" w:color="000000"/>
              <w:left w:val="single" w:sz="4" w:space="0" w:color="000000"/>
              <w:bottom w:val="nil" w:sz="6" w:space="0" w:color="auto"/>
              <w:right w:val="single" w:sz="4" w:space="0" w:color="000000"/>
            </w:tcBorders>
            <w:shd w:val="clear" w:color="auto" w:fill="D4D4D4"/>
          </w:tcPr>
          <w:p>
            <w:pPr>
              <w:pStyle w:val="TableParagraph"/>
              <w:spacing w:line="240" w:lineRule="auto" w:before="34"/>
              <w:ind w:right="0"/>
              <w:jc w:val="center"/>
              <w:rPr>
                <w:rFonts w:ascii="宋体" w:hAnsi="宋体" w:cs="宋体" w:eastAsia="宋体" w:hint="default"/>
                <w:sz w:val="21"/>
                <w:szCs w:val="21"/>
              </w:rPr>
            </w:pPr>
            <w:r>
              <w:rPr>
                <w:rFonts w:ascii="宋体" w:hAnsi="宋体" w:cs="宋体" w:eastAsia="宋体" w:hint="default"/>
                <w:sz w:val="21"/>
                <w:szCs w:val="21"/>
              </w:rPr>
              <w:t>承诺内容</w:t>
            </w:r>
          </w:p>
        </w:tc>
        <w:tc>
          <w:tcPr>
            <w:tcW w:w="806" w:type="dxa"/>
            <w:vMerge w:val="restart"/>
            <w:tcBorders>
              <w:top w:val="single" w:sz="4" w:space="0" w:color="000000"/>
              <w:left w:val="single" w:sz="4" w:space="0" w:color="000000"/>
              <w:right w:val="single" w:sz="4" w:space="0" w:color="000000"/>
            </w:tcBorders>
            <w:shd w:val="clear" w:color="auto" w:fill="D4D4D4"/>
          </w:tcPr>
          <w:p>
            <w:pPr>
              <w:pStyle w:val="TableParagraph"/>
              <w:spacing w:line="173" w:lineRule="exact"/>
              <w:ind w:left="4" w:right="0"/>
              <w:jc w:val="center"/>
              <w:rPr>
                <w:rFonts w:ascii="宋体" w:hAnsi="宋体" w:cs="宋体" w:eastAsia="宋体" w:hint="default"/>
                <w:sz w:val="21"/>
                <w:szCs w:val="21"/>
              </w:rPr>
            </w:pPr>
            <w:r>
              <w:rPr>
                <w:rFonts w:ascii="宋体" w:hAnsi="宋体" w:cs="宋体" w:eastAsia="宋体" w:hint="default"/>
                <w:sz w:val="21"/>
                <w:szCs w:val="21"/>
              </w:rPr>
              <w:t>承诺时</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间</w:t>
            </w:r>
          </w:p>
        </w:tc>
        <w:tc>
          <w:tcPr>
            <w:tcW w:w="1114" w:type="dxa"/>
            <w:tcBorders>
              <w:top w:val="single" w:sz="4" w:space="0" w:color="000000"/>
              <w:left w:val="single" w:sz="4" w:space="0" w:color="000000"/>
              <w:bottom w:val="nil" w:sz="6" w:space="0" w:color="auto"/>
              <w:right w:val="single" w:sz="4" w:space="0" w:color="000000"/>
            </w:tcBorders>
            <w:shd w:val="clear" w:color="auto" w:fill="D4D4D4"/>
          </w:tcPr>
          <w:p>
            <w:pPr>
              <w:pStyle w:val="TableParagraph"/>
              <w:spacing w:line="240" w:lineRule="auto" w:before="34"/>
              <w:ind w:left="131" w:right="0"/>
              <w:jc w:val="left"/>
              <w:rPr>
                <w:rFonts w:ascii="宋体" w:hAnsi="宋体" w:cs="宋体" w:eastAsia="宋体" w:hint="default"/>
                <w:sz w:val="21"/>
                <w:szCs w:val="21"/>
              </w:rPr>
            </w:pPr>
            <w:r>
              <w:rPr>
                <w:rFonts w:ascii="宋体" w:hAnsi="宋体" w:cs="宋体" w:eastAsia="宋体" w:hint="default"/>
                <w:sz w:val="21"/>
                <w:szCs w:val="21"/>
              </w:rPr>
              <w:t>承诺期限</w:t>
            </w:r>
          </w:p>
        </w:tc>
        <w:tc>
          <w:tcPr>
            <w:tcW w:w="1270" w:type="dxa"/>
            <w:tcBorders>
              <w:top w:val="single" w:sz="4" w:space="0" w:color="000000"/>
              <w:left w:val="single" w:sz="4" w:space="0" w:color="000000"/>
              <w:bottom w:val="nil" w:sz="6" w:space="0" w:color="auto"/>
              <w:right w:val="single" w:sz="4" w:space="0" w:color="000000"/>
            </w:tcBorders>
            <w:shd w:val="clear" w:color="auto" w:fill="D4D4D4"/>
          </w:tcPr>
          <w:p>
            <w:pPr>
              <w:pStyle w:val="TableParagraph"/>
              <w:spacing w:line="240" w:lineRule="auto" w:before="34"/>
              <w:ind w:left="208" w:right="0"/>
              <w:jc w:val="left"/>
              <w:rPr>
                <w:rFonts w:ascii="宋体" w:hAnsi="宋体" w:cs="宋体" w:eastAsia="宋体" w:hint="default"/>
                <w:sz w:val="21"/>
                <w:szCs w:val="21"/>
              </w:rPr>
            </w:pPr>
            <w:r>
              <w:rPr>
                <w:rFonts w:ascii="宋体" w:hAnsi="宋体" w:cs="宋体" w:eastAsia="宋体" w:hint="default"/>
                <w:sz w:val="21"/>
                <w:szCs w:val="21"/>
              </w:rPr>
              <w:t>履行情况</w:t>
            </w:r>
          </w:p>
        </w:tc>
      </w:tr>
      <w:tr>
        <w:trPr>
          <w:trHeight w:val="142" w:hRule="exact"/>
        </w:trPr>
        <w:tc>
          <w:tcPr>
            <w:tcW w:w="1406" w:type="dxa"/>
            <w:tcBorders>
              <w:top w:val="nil" w:sz="6" w:space="0" w:color="auto"/>
              <w:left w:val="single" w:sz="4" w:space="0" w:color="000000"/>
              <w:bottom w:val="single" w:sz="4" w:space="0" w:color="000000"/>
              <w:right w:val="single" w:sz="4" w:space="0" w:color="000000"/>
            </w:tcBorders>
            <w:shd w:val="clear" w:color="auto" w:fill="D4D4D4"/>
          </w:tcPr>
          <w:p>
            <w:pPr/>
          </w:p>
        </w:tc>
        <w:tc>
          <w:tcPr>
            <w:tcW w:w="1133" w:type="dxa"/>
            <w:tcBorders>
              <w:top w:val="nil" w:sz="6" w:space="0" w:color="auto"/>
              <w:left w:val="single" w:sz="4" w:space="0" w:color="000000"/>
              <w:bottom w:val="single" w:sz="4" w:space="0" w:color="000000"/>
              <w:right w:val="single" w:sz="4" w:space="0" w:color="000000"/>
            </w:tcBorders>
            <w:shd w:val="clear" w:color="auto" w:fill="D4D4D4"/>
          </w:tcPr>
          <w:p>
            <w:pPr/>
          </w:p>
        </w:tc>
        <w:tc>
          <w:tcPr>
            <w:tcW w:w="3828" w:type="dxa"/>
            <w:tcBorders>
              <w:top w:val="nil" w:sz="6" w:space="0" w:color="auto"/>
              <w:left w:val="single" w:sz="4" w:space="0" w:color="000000"/>
              <w:bottom w:val="single" w:sz="4" w:space="0" w:color="000000"/>
              <w:right w:val="single" w:sz="4" w:space="0" w:color="000000"/>
            </w:tcBorders>
            <w:shd w:val="clear" w:color="auto" w:fill="D4D4D4"/>
          </w:tcPr>
          <w:p>
            <w:pPr/>
          </w:p>
        </w:tc>
        <w:tc>
          <w:tcPr>
            <w:tcW w:w="806" w:type="dxa"/>
            <w:vMerge/>
            <w:tcBorders>
              <w:left w:val="single" w:sz="4" w:space="0" w:color="000000"/>
              <w:bottom w:val="single" w:sz="4" w:space="0" w:color="000000"/>
              <w:right w:val="single" w:sz="4" w:space="0" w:color="000000"/>
            </w:tcBorders>
            <w:shd w:val="clear" w:color="auto" w:fill="D4D4D4"/>
          </w:tcPr>
          <w:p>
            <w:pPr/>
          </w:p>
        </w:tc>
        <w:tc>
          <w:tcPr>
            <w:tcW w:w="1114" w:type="dxa"/>
            <w:tcBorders>
              <w:top w:val="nil" w:sz="6" w:space="0" w:color="auto"/>
              <w:left w:val="single" w:sz="4" w:space="0" w:color="000000"/>
              <w:bottom w:val="single" w:sz="4" w:space="0" w:color="000000"/>
              <w:right w:val="single" w:sz="4" w:space="0" w:color="000000"/>
            </w:tcBorders>
            <w:shd w:val="clear" w:color="auto" w:fill="D4D4D4"/>
          </w:tcPr>
          <w:p>
            <w:pPr/>
          </w:p>
        </w:tc>
        <w:tc>
          <w:tcPr>
            <w:tcW w:w="1270"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379" w:hRule="exact"/>
        </w:trPr>
        <w:tc>
          <w:tcPr>
            <w:tcW w:w="14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4"/>
              <w:ind w:left="12" w:right="0"/>
              <w:jc w:val="left"/>
              <w:rPr>
                <w:rFonts w:ascii="宋体" w:hAnsi="宋体" w:cs="宋体" w:eastAsia="宋体" w:hint="default"/>
                <w:sz w:val="21"/>
                <w:szCs w:val="21"/>
              </w:rPr>
            </w:pPr>
            <w:r>
              <w:rPr>
                <w:rFonts w:ascii="宋体" w:hAnsi="宋体" w:cs="宋体" w:eastAsia="宋体" w:hint="default"/>
                <w:sz w:val="21"/>
                <w:szCs w:val="21"/>
              </w:rPr>
              <w:t>股权激励承诺</w:t>
            </w:r>
          </w:p>
        </w:tc>
        <w:tc>
          <w:tcPr>
            <w:tcW w:w="1133" w:type="dxa"/>
            <w:tcBorders>
              <w:top w:val="single" w:sz="4" w:space="0" w:color="000000"/>
              <w:left w:val="single" w:sz="12" w:space="0" w:color="D4D4D4"/>
              <w:bottom w:val="single" w:sz="4" w:space="0" w:color="000000"/>
              <w:right w:val="single" w:sz="4" w:space="0" w:color="000000"/>
            </w:tcBorders>
          </w:tcPr>
          <w:p>
            <w:pPr/>
          </w:p>
        </w:tc>
        <w:tc>
          <w:tcPr>
            <w:tcW w:w="3828"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4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exact"/>
              <w:ind w:left="12" w:right="0"/>
              <w:jc w:val="left"/>
              <w:rPr>
                <w:rFonts w:ascii="宋体" w:hAnsi="宋体" w:cs="宋体" w:eastAsia="宋体" w:hint="default"/>
                <w:sz w:val="21"/>
                <w:szCs w:val="21"/>
              </w:rPr>
            </w:pPr>
            <w:r>
              <w:rPr>
                <w:rFonts w:ascii="宋体" w:hAnsi="宋体" w:cs="宋体" w:eastAsia="宋体" w:hint="default"/>
                <w:sz w:val="21"/>
                <w:szCs w:val="21"/>
              </w:rPr>
              <w:t>收购报告书或</w:t>
            </w:r>
          </w:p>
          <w:p>
            <w:pPr>
              <w:pStyle w:val="TableParagraph"/>
              <w:spacing w:line="240" w:lineRule="auto"/>
              <w:ind w:left="12" w:right="120"/>
              <w:jc w:val="left"/>
              <w:rPr>
                <w:rFonts w:ascii="宋体" w:hAnsi="宋体" w:cs="宋体" w:eastAsia="宋体" w:hint="default"/>
                <w:sz w:val="21"/>
                <w:szCs w:val="21"/>
              </w:rPr>
            </w:pPr>
            <w:r>
              <w:rPr>
                <w:rFonts w:ascii="宋体" w:hAnsi="宋体" w:cs="宋体" w:eastAsia="宋体" w:hint="default"/>
                <w:sz w:val="21"/>
                <w:szCs w:val="21"/>
              </w:rPr>
              <w:t>权益变动报告</w:t>
            </w:r>
            <w:r>
              <w:rPr>
                <w:rFonts w:ascii="宋体" w:hAnsi="宋体" w:cs="宋体" w:eastAsia="宋体" w:hint="default"/>
                <w:w w:val="100"/>
                <w:sz w:val="21"/>
                <w:szCs w:val="21"/>
              </w:rPr>
              <w:t> </w:t>
            </w:r>
            <w:r>
              <w:rPr>
                <w:rFonts w:ascii="宋体" w:hAnsi="宋体" w:cs="宋体" w:eastAsia="宋体" w:hint="default"/>
                <w:sz w:val="21"/>
                <w:szCs w:val="21"/>
              </w:rPr>
              <w:t>书中所作承诺</w:t>
            </w:r>
          </w:p>
        </w:tc>
        <w:tc>
          <w:tcPr>
            <w:tcW w:w="1133" w:type="dxa"/>
            <w:tcBorders>
              <w:top w:val="single" w:sz="4" w:space="0" w:color="000000"/>
              <w:left w:val="single" w:sz="12" w:space="0" w:color="D4D4D4"/>
              <w:bottom w:val="single" w:sz="4" w:space="0" w:color="000000"/>
              <w:right w:val="single" w:sz="4" w:space="0" w:color="000000"/>
            </w:tcBorders>
          </w:tcPr>
          <w:p>
            <w:pPr/>
          </w:p>
        </w:tc>
        <w:tc>
          <w:tcPr>
            <w:tcW w:w="3828"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资产重组时所</w:t>
            </w:r>
          </w:p>
          <w:p>
            <w:pPr>
              <w:pStyle w:val="TableParagraph"/>
              <w:spacing w:line="273" w:lineRule="exact"/>
              <w:ind w:left="12" w:right="0"/>
              <w:jc w:val="left"/>
              <w:rPr>
                <w:rFonts w:ascii="宋体" w:hAnsi="宋体" w:cs="宋体" w:eastAsia="宋体" w:hint="default"/>
                <w:sz w:val="21"/>
                <w:szCs w:val="21"/>
              </w:rPr>
            </w:pPr>
            <w:r>
              <w:rPr>
                <w:rFonts w:ascii="宋体" w:hAnsi="宋体" w:cs="宋体" w:eastAsia="宋体" w:hint="default"/>
                <w:sz w:val="21"/>
                <w:szCs w:val="21"/>
              </w:rPr>
              <w:t>作承诺</w:t>
            </w:r>
          </w:p>
        </w:tc>
        <w:tc>
          <w:tcPr>
            <w:tcW w:w="1133" w:type="dxa"/>
            <w:tcBorders>
              <w:top w:val="single" w:sz="4" w:space="0" w:color="000000"/>
              <w:left w:val="single" w:sz="12" w:space="0" w:color="D4D4D4"/>
              <w:bottom w:val="single" w:sz="4" w:space="0" w:color="000000"/>
              <w:right w:val="single" w:sz="4" w:space="0" w:color="000000"/>
            </w:tcBorders>
          </w:tcPr>
          <w:p>
            <w:pPr/>
          </w:p>
        </w:tc>
        <w:tc>
          <w:tcPr>
            <w:tcW w:w="3828"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142" w:hRule="exact"/>
        </w:trPr>
        <w:tc>
          <w:tcPr>
            <w:tcW w:w="1406" w:type="dxa"/>
            <w:tcBorders>
              <w:top w:val="single" w:sz="4" w:space="0" w:color="000000"/>
              <w:left w:val="single" w:sz="4" w:space="0" w:color="000000"/>
              <w:bottom w:val="nil" w:sz="6" w:space="0" w:color="auto"/>
              <w:right w:val="single" w:sz="4" w:space="0" w:color="000000"/>
            </w:tcBorders>
            <w:shd w:val="clear" w:color="auto" w:fill="D4D4D4"/>
          </w:tcPr>
          <w:p>
            <w:pPr/>
          </w:p>
        </w:tc>
        <w:tc>
          <w:tcPr>
            <w:tcW w:w="1133" w:type="dxa"/>
            <w:vMerge w:val="restart"/>
            <w:tcBorders>
              <w:top w:val="single" w:sz="4" w:space="0" w:color="000000"/>
              <w:left w:val="single" w:sz="12" w:space="0" w:color="D4D4D4"/>
              <w:right w:val="single" w:sz="4" w:space="0" w:color="000000"/>
            </w:tcBorders>
          </w:tcPr>
          <w:p>
            <w:pPr>
              <w:pStyle w:val="TableParagraph"/>
              <w:spacing w:line="240" w:lineRule="exact"/>
              <w:ind w:left="13" w:right="0"/>
              <w:jc w:val="both"/>
              <w:rPr>
                <w:rFonts w:ascii="宋体" w:hAnsi="宋体" w:cs="宋体" w:eastAsia="宋体" w:hint="default"/>
                <w:sz w:val="21"/>
                <w:szCs w:val="21"/>
              </w:rPr>
            </w:pPr>
            <w:r>
              <w:rPr>
                <w:rFonts w:ascii="宋体" w:hAnsi="宋体" w:cs="宋体" w:eastAsia="宋体" w:hint="default"/>
                <w:sz w:val="21"/>
                <w:szCs w:val="21"/>
              </w:rPr>
              <w:t>发行人股东</w:t>
            </w:r>
          </w:p>
          <w:p>
            <w:pPr>
              <w:pStyle w:val="TableParagraph"/>
              <w:spacing w:line="240" w:lineRule="auto"/>
              <w:ind w:left="13" w:right="254"/>
              <w:jc w:val="both"/>
              <w:rPr>
                <w:rFonts w:ascii="宋体" w:hAnsi="宋体" w:cs="宋体" w:eastAsia="宋体" w:hint="default"/>
                <w:sz w:val="21"/>
                <w:szCs w:val="21"/>
              </w:rPr>
            </w:pPr>
            <w:r>
              <w:rPr>
                <w:rFonts w:ascii="宋体" w:hAnsi="宋体" w:cs="宋体" w:eastAsia="宋体" w:hint="default"/>
                <w:sz w:val="21"/>
                <w:szCs w:val="21"/>
              </w:rPr>
              <w:t>黄元忠、</w:t>
            </w:r>
            <w:r>
              <w:rPr>
                <w:rFonts w:ascii="宋体" w:hAnsi="宋体" w:cs="宋体" w:eastAsia="宋体" w:hint="default"/>
                <w:w w:val="100"/>
                <w:sz w:val="21"/>
                <w:szCs w:val="21"/>
              </w:rPr>
              <w:t> </w:t>
            </w:r>
            <w:r>
              <w:rPr>
                <w:rFonts w:ascii="宋体" w:hAnsi="宋体" w:cs="宋体" w:eastAsia="宋体" w:hint="default"/>
                <w:sz w:val="21"/>
                <w:szCs w:val="21"/>
              </w:rPr>
              <w:t>黄晓峰、</w:t>
            </w:r>
            <w:r>
              <w:rPr>
                <w:rFonts w:ascii="宋体" w:hAnsi="宋体" w:cs="宋体" w:eastAsia="宋体" w:hint="default"/>
                <w:w w:val="100"/>
                <w:sz w:val="21"/>
                <w:szCs w:val="21"/>
              </w:rPr>
              <w:t> </w:t>
            </w:r>
            <w:r>
              <w:rPr>
                <w:rFonts w:ascii="宋体" w:hAnsi="宋体" w:cs="宋体" w:eastAsia="宋体" w:hint="default"/>
                <w:sz w:val="21"/>
                <w:szCs w:val="21"/>
              </w:rPr>
              <w:t>陈克让、</w:t>
            </w:r>
          </w:p>
        </w:tc>
        <w:tc>
          <w:tcPr>
            <w:tcW w:w="3828" w:type="dxa"/>
            <w:vMerge w:val="restart"/>
            <w:tcBorders>
              <w:top w:val="single" w:sz="4" w:space="0" w:color="000000"/>
              <w:left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2"/>
                <w:sz w:val="21"/>
                <w:szCs w:val="21"/>
              </w:rPr>
              <w:t>（一）公司股票上市前股东所持股份的流</w:t>
            </w:r>
          </w:p>
          <w:p>
            <w:pPr>
              <w:pStyle w:val="TableParagraph"/>
              <w:spacing w:line="274" w:lineRule="exact" w:before="25"/>
              <w:ind w:left="23" w:right="16"/>
              <w:jc w:val="left"/>
              <w:rPr>
                <w:rFonts w:ascii="宋体" w:hAnsi="宋体" w:cs="宋体" w:eastAsia="宋体" w:hint="default"/>
                <w:sz w:val="21"/>
                <w:szCs w:val="21"/>
              </w:rPr>
            </w:pPr>
            <w:r>
              <w:rPr>
                <w:rFonts w:ascii="宋体" w:hAnsi="宋体" w:cs="宋体" w:eastAsia="宋体" w:hint="default"/>
                <w:sz w:val="21"/>
                <w:szCs w:val="21"/>
              </w:rPr>
              <w:t>通限制和自愿锁定股份的承诺</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、发行人股东黄元忠、黄晓峰、陈克让</w:t>
            </w:r>
            <w:r>
              <w:rPr>
                <w:rFonts w:ascii="宋体" w:hAnsi="宋体" w:cs="宋体" w:eastAsia="宋体" w:hint="default"/>
                <w:spacing w:val="-3"/>
                <w:w w:val="100"/>
                <w:sz w:val="21"/>
                <w:szCs w:val="21"/>
              </w:rPr>
              <w:t> </w:t>
            </w:r>
            <w:r>
              <w:rPr>
                <w:rFonts w:ascii="宋体" w:hAnsi="宋体" w:cs="宋体" w:eastAsia="宋体" w:hint="default"/>
                <w:spacing w:val="-2"/>
                <w:sz w:val="21"/>
                <w:szCs w:val="21"/>
              </w:rPr>
              <w:t>承诺：自发行人股票在证券交易所上市交</w:t>
            </w:r>
          </w:p>
        </w:tc>
        <w:tc>
          <w:tcPr>
            <w:tcW w:w="806" w:type="dxa"/>
            <w:vMerge w:val="restart"/>
            <w:tcBorders>
              <w:top w:val="single" w:sz="4" w:space="0" w:color="000000"/>
              <w:left w:val="single" w:sz="4" w:space="0" w:color="000000"/>
              <w:right w:val="single" w:sz="4" w:space="0" w:color="000000"/>
            </w:tcBorders>
          </w:tcPr>
          <w:p>
            <w:pPr>
              <w:pStyle w:val="TableParagraph"/>
              <w:spacing w:line="282" w:lineRule="exact" w:before="102"/>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p>
          <w:p>
            <w:pPr>
              <w:pStyle w:val="TableParagraph"/>
              <w:spacing w:line="274"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04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21</w:t>
            </w:r>
            <w:r>
              <w:rPr>
                <w:rFonts w:ascii="Times New Roman" w:hAnsi="Times New Roman" w:cs="Times New Roman" w:eastAsia="Times New Roman" w:hint="default"/>
                <w:sz w:val="21"/>
                <w:szCs w:val="21"/>
              </w:rPr>
            </w:r>
          </w:p>
          <w:p>
            <w:pPr>
              <w:pStyle w:val="TableParagraph"/>
              <w:spacing w:line="266"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114" w:type="dxa"/>
            <w:vMerge w:val="restart"/>
            <w:tcBorders>
              <w:top w:val="single" w:sz="4" w:space="0" w:color="000000"/>
              <w:left w:val="single" w:sz="4" w:space="0" w:color="000000"/>
              <w:right w:val="single" w:sz="4" w:space="0" w:color="000000"/>
            </w:tcBorders>
          </w:tcPr>
          <w:p>
            <w:pPr>
              <w:pStyle w:val="TableParagraph"/>
              <w:spacing w:line="240" w:lineRule="auto" w:before="102"/>
              <w:ind w:left="23" w:right="24"/>
              <w:jc w:val="both"/>
              <w:rPr>
                <w:rFonts w:ascii="宋体" w:hAnsi="宋体" w:cs="宋体" w:eastAsia="宋体" w:hint="default"/>
                <w:sz w:val="21"/>
                <w:szCs w:val="21"/>
              </w:rPr>
            </w:pPr>
            <w:r>
              <w:rPr>
                <w:rFonts w:ascii="宋体" w:hAnsi="宋体" w:cs="宋体" w:eastAsia="宋体" w:hint="default"/>
                <w:sz w:val="21"/>
                <w:szCs w:val="21"/>
              </w:rPr>
              <w:t>作出承诺时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至承诺履行</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完毕</w:t>
            </w:r>
          </w:p>
        </w:tc>
        <w:tc>
          <w:tcPr>
            <w:tcW w:w="1270" w:type="dxa"/>
            <w:vMerge w:val="restart"/>
            <w:tcBorders>
              <w:top w:val="single" w:sz="4" w:space="0" w:color="000000"/>
              <w:left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截止报告期</w:t>
            </w:r>
          </w:p>
          <w:p>
            <w:pPr>
              <w:pStyle w:val="TableParagraph"/>
              <w:spacing w:line="240" w:lineRule="auto"/>
              <w:ind w:left="23" w:right="19"/>
              <w:jc w:val="left"/>
              <w:rPr>
                <w:rFonts w:ascii="宋体" w:hAnsi="宋体" w:cs="宋体" w:eastAsia="宋体" w:hint="default"/>
                <w:sz w:val="21"/>
                <w:szCs w:val="21"/>
              </w:rPr>
            </w:pPr>
            <w:r>
              <w:rPr>
                <w:rFonts w:ascii="宋体" w:hAnsi="宋体" w:cs="宋体" w:eastAsia="宋体" w:hint="default"/>
                <w:spacing w:val="-10"/>
                <w:sz w:val="21"/>
                <w:szCs w:val="21"/>
              </w:rPr>
              <w:t>末，公司上述</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股东均遵守</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9"/>
                <w:sz w:val="21"/>
                <w:szCs w:val="21"/>
              </w:rPr>
              <w:t>以上承诺，未</w:t>
            </w:r>
          </w:p>
        </w:tc>
      </w:tr>
      <w:tr>
        <w:trPr>
          <w:trHeight w:val="818" w:hRule="exact"/>
        </w:trPr>
        <w:tc>
          <w:tcPr>
            <w:tcW w:w="140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exact"/>
              <w:ind w:left="12" w:right="0"/>
              <w:jc w:val="left"/>
              <w:rPr>
                <w:rFonts w:ascii="宋体" w:hAnsi="宋体" w:cs="宋体" w:eastAsia="宋体" w:hint="default"/>
                <w:sz w:val="21"/>
                <w:szCs w:val="21"/>
              </w:rPr>
            </w:pPr>
            <w:r>
              <w:rPr>
                <w:rFonts w:ascii="宋体" w:hAnsi="宋体" w:cs="宋体" w:eastAsia="宋体" w:hint="default"/>
                <w:sz w:val="21"/>
                <w:szCs w:val="21"/>
              </w:rPr>
              <w:t>首次公开发行</w:t>
            </w:r>
          </w:p>
          <w:p>
            <w:pPr>
              <w:pStyle w:val="TableParagraph"/>
              <w:spacing w:line="240" w:lineRule="auto"/>
              <w:ind w:left="12" w:right="120"/>
              <w:jc w:val="left"/>
              <w:rPr>
                <w:rFonts w:ascii="宋体" w:hAnsi="宋体" w:cs="宋体" w:eastAsia="宋体" w:hint="default"/>
                <w:sz w:val="21"/>
                <w:szCs w:val="21"/>
              </w:rPr>
            </w:pPr>
            <w:r>
              <w:rPr>
                <w:rFonts w:ascii="宋体" w:hAnsi="宋体" w:cs="宋体" w:eastAsia="宋体" w:hint="default"/>
                <w:sz w:val="21"/>
                <w:szCs w:val="21"/>
              </w:rPr>
              <w:t>或再融资时所</w:t>
            </w:r>
            <w:r>
              <w:rPr>
                <w:rFonts w:ascii="宋体" w:hAnsi="宋体" w:cs="宋体" w:eastAsia="宋体" w:hint="default"/>
                <w:w w:val="100"/>
                <w:sz w:val="21"/>
                <w:szCs w:val="21"/>
              </w:rPr>
              <w:t> </w:t>
            </w:r>
            <w:r>
              <w:rPr>
                <w:rFonts w:ascii="宋体" w:hAnsi="宋体" w:cs="宋体" w:eastAsia="宋体" w:hint="default"/>
                <w:sz w:val="21"/>
                <w:szCs w:val="21"/>
              </w:rPr>
              <w:t>作承诺</w:t>
            </w:r>
          </w:p>
        </w:tc>
        <w:tc>
          <w:tcPr>
            <w:tcW w:w="1133" w:type="dxa"/>
            <w:vMerge/>
            <w:tcBorders>
              <w:left w:val="single" w:sz="12" w:space="0" w:color="D4D4D4"/>
              <w:right w:val="single" w:sz="4" w:space="0" w:color="000000"/>
            </w:tcBorders>
          </w:tcPr>
          <w:p>
            <w:pPr/>
          </w:p>
        </w:tc>
        <w:tc>
          <w:tcPr>
            <w:tcW w:w="3828" w:type="dxa"/>
            <w:vMerge/>
            <w:tcBorders>
              <w:left w:val="single" w:sz="4" w:space="0" w:color="000000"/>
              <w:right w:val="single" w:sz="4" w:space="0" w:color="000000"/>
            </w:tcBorders>
          </w:tcPr>
          <w:p>
            <w:pPr/>
          </w:p>
        </w:tc>
        <w:tc>
          <w:tcPr>
            <w:tcW w:w="806" w:type="dxa"/>
            <w:vMerge/>
            <w:tcBorders>
              <w:left w:val="single" w:sz="4" w:space="0" w:color="000000"/>
              <w:right w:val="single" w:sz="4" w:space="0" w:color="000000"/>
            </w:tcBorders>
          </w:tcPr>
          <w:p>
            <w:pPr/>
          </w:p>
        </w:tc>
        <w:tc>
          <w:tcPr>
            <w:tcW w:w="1114"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142" w:hRule="exact"/>
        </w:trPr>
        <w:tc>
          <w:tcPr>
            <w:tcW w:w="1406" w:type="dxa"/>
            <w:tcBorders>
              <w:top w:val="nil" w:sz="6" w:space="0" w:color="auto"/>
              <w:left w:val="single" w:sz="4" w:space="0" w:color="000000"/>
              <w:bottom w:val="single" w:sz="4" w:space="0" w:color="000000"/>
              <w:right w:val="single" w:sz="4" w:space="0" w:color="000000"/>
            </w:tcBorders>
            <w:shd w:val="clear" w:color="auto" w:fill="D4D4D4"/>
          </w:tcPr>
          <w:p>
            <w:pPr/>
          </w:p>
        </w:tc>
        <w:tc>
          <w:tcPr>
            <w:tcW w:w="1133" w:type="dxa"/>
            <w:vMerge/>
            <w:tcBorders>
              <w:left w:val="single" w:sz="12" w:space="0" w:color="D4D4D4"/>
              <w:bottom w:val="single" w:sz="4" w:space="0" w:color="000000"/>
              <w:right w:val="single" w:sz="4" w:space="0" w:color="000000"/>
            </w:tcBorders>
          </w:tcPr>
          <w:p>
            <w:pPr/>
          </w:p>
        </w:tc>
        <w:tc>
          <w:tcPr>
            <w:tcW w:w="3828" w:type="dxa"/>
            <w:vMerge/>
            <w:tcBorders>
              <w:left w:val="single" w:sz="4" w:space="0" w:color="000000"/>
              <w:bottom w:val="single" w:sz="4" w:space="0" w:color="000000"/>
              <w:right w:val="single" w:sz="4" w:space="0" w:color="000000"/>
            </w:tcBorders>
          </w:tcPr>
          <w:p>
            <w:pPr/>
          </w:p>
        </w:tc>
        <w:tc>
          <w:tcPr>
            <w:tcW w:w="806" w:type="dxa"/>
            <w:vMerge/>
            <w:tcBorders>
              <w:left w:val="single" w:sz="4" w:space="0" w:color="000000"/>
              <w:bottom w:val="single" w:sz="4" w:space="0" w:color="000000"/>
              <w:right w:val="single" w:sz="4" w:space="0" w:color="000000"/>
            </w:tcBorders>
          </w:tcPr>
          <w:p>
            <w:pPr/>
          </w:p>
        </w:tc>
        <w:tc>
          <w:tcPr>
            <w:tcW w:w="1114" w:type="dxa"/>
            <w:vMerge/>
            <w:tcBorders>
              <w:left w:val="single" w:sz="4" w:space="0" w:color="000000"/>
              <w:bottom w:val="single" w:sz="4" w:space="0" w:color="000000"/>
              <w:right w:val="single" w:sz="4" w:space="0" w:color="000000"/>
            </w:tcBorders>
          </w:tcPr>
          <w:p>
            <w:pPr/>
          </w:p>
        </w:tc>
        <w:tc>
          <w:tcPr>
            <w:tcW w:w="1270" w:type="dxa"/>
            <w:vMerge/>
            <w:tcBorders>
              <w:left w:val="single" w:sz="4" w:space="0" w:color="000000"/>
              <w:bottom w:val="single" w:sz="4" w:space="0" w:color="000000"/>
              <w:right w:val="single" w:sz="4" w:space="0" w:color="000000"/>
            </w:tcBorders>
          </w:tcPr>
          <w:p>
            <w:pPr/>
          </w:p>
        </w:tc>
      </w:tr>
    </w:tbl>
    <w:p>
      <w:pPr>
        <w:spacing w:after="0"/>
        <w:sectPr>
          <w:pgSz w:w="11910" w:h="16840"/>
          <w:pgMar w:header="748" w:footer="982" w:top="1060" w:bottom="1180" w:left="980" w:right="98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17"/>
        <w:gridCol w:w="1133"/>
        <w:gridCol w:w="3828"/>
        <w:gridCol w:w="806"/>
        <w:gridCol w:w="1114"/>
        <w:gridCol w:w="1270"/>
      </w:tblGrid>
      <w:tr>
        <w:trPr>
          <w:trHeight w:val="9564" w:hRule="exact"/>
        </w:trPr>
        <w:tc>
          <w:tcPr>
            <w:tcW w:w="141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孙晓玲、</w:t>
            </w:r>
          </w:p>
          <w:p>
            <w:pPr>
              <w:pStyle w:val="TableParagraph"/>
              <w:spacing w:line="237" w:lineRule="auto" w:before="2"/>
              <w:ind w:left="23" w:right="254"/>
              <w:jc w:val="left"/>
              <w:rPr>
                <w:rFonts w:ascii="宋体" w:hAnsi="宋体" w:cs="宋体" w:eastAsia="宋体" w:hint="default"/>
                <w:sz w:val="21"/>
                <w:szCs w:val="21"/>
              </w:rPr>
            </w:pPr>
            <w:r>
              <w:rPr>
                <w:rFonts w:ascii="宋体" w:hAnsi="宋体" w:cs="宋体" w:eastAsia="宋体" w:hint="default"/>
                <w:sz w:val="21"/>
                <w:szCs w:val="21"/>
              </w:rPr>
              <w:t>杨颖、</w:t>
            </w:r>
            <w:r>
              <w:rPr>
                <w:rFonts w:ascii="宋体" w:hAnsi="宋体" w:cs="宋体" w:eastAsia="宋体" w:hint="default"/>
                <w:spacing w:val="-102"/>
                <w:sz w:val="21"/>
                <w:szCs w:val="21"/>
              </w:rPr>
              <w:t> </w:t>
            </w:r>
            <w:r>
              <w:rPr>
                <w:rFonts w:ascii="宋体" w:hAnsi="宋体" w:cs="宋体" w:eastAsia="宋体" w:hint="default"/>
                <w:sz w:val="21"/>
                <w:szCs w:val="21"/>
              </w:rPr>
              <w:t>张振华、</w:t>
            </w:r>
            <w:r>
              <w:rPr>
                <w:rFonts w:ascii="宋体" w:hAnsi="宋体" w:cs="宋体" w:eastAsia="宋体" w:hint="default"/>
                <w:w w:val="100"/>
                <w:sz w:val="21"/>
                <w:szCs w:val="21"/>
              </w:rPr>
              <w:t> </w:t>
            </w:r>
            <w:r>
              <w:rPr>
                <w:rFonts w:ascii="宋体" w:hAnsi="宋体" w:cs="宋体" w:eastAsia="宋体" w:hint="default"/>
                <w:sz w:val="21"/>
                <w:szCs w:val="21"/>
              </w:rPr>
              <w:t>何华辉、</w:t>
            </w:r>
            <w:r>
              <w:rPr>
                <w:rFonts w:ascii="宋体" w:hAnsi="宋体" w:cs="宋体" w:eastAsia="宋体" w:hint="default"/>
                <w:w w:val="100"/>
                <w:sz w:val="21"/>
                <w:szCs w:val="21"/>
              </w:rPr>
              <w:t> </w:t>
            </w:r>
            <w:r>
              <w:rPr>
                <w:rFonts w:ascii="宋体" w:hAnsi="宋体" w:cs="宋体" w:eastAsia="宋体" w:hint="default"/>
                <w:sz w:val="21"/>
                <w:szCs w:val="21"/>
              </w:rPr>
              <w:t>武文静。</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2"/>
                <w:sz w:val="21"/>
                <w:szCs w:val="21"/>
              </w:rPr>
              <w:t>易之日起三十六个月内，不转让或者委托</w:t>
            </w:r>
          </w:p>
          <w:p>
            <w:pPr>
              <w:pStyle w:val="TableParagraph"/>
              <w:spacing w:line="237" w:lineRule="auto" w:before="2"/>
              <w:ind w:left="23" w:right="7"/>
              <w:jc w:val="left"/>
              <w:rPr>
                <w:rFonts w:ascii="宋体" w:hAnsi="宋体" w:cs="宋体" w:eastAsia="宋体" w:hint="default"/>
                <w:sz w:val="21"/>
                <w:szCs w:val="21"/>
              </w:rPr>
            </w:pPr>
            <w:r>
              <w:rPr>
                <w:rFonts w:ascii="宋体" w:hAnsi="宋体" w:cs="宋体" w:eastAsia="宋体" w:hint="default"/>
                <w:sz w:val="21"/>
                <w:szCs w:val="21"/>
              </w:rPr>
              <w:t>他人管理其本次发行前已持有的发行人</w:t>
            </w:r>
            <w:r>
              <w:rPr>
                <w:rFonts w:ascii="宋体" w:hAnsi="宋体" w:cs="宋体" w:eastAsia="宋体" w:hint="default"/>
                <w:w w:val="100"/>
                <w:sz w:val="21"/>
                <w:szCs w:val="21"/>
              </w:rPr>
              <w:t> </w:t>
            </w:r>
            <w:r>
              <w:rPr>
                <w:rFonts w:ascii="宋体" w:hAnsi="宋体" w:cs="宋体" w:eastAsia="宋体" w:hint="default"/>
                <w:spacing w:val="-2"/>
                <w:sz w:val="21"/>
                <w:szCs w:val="21"/>
              </w:rPr>
              <w:t>股份，也不由发行人收购其所持有的发行</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人股份；</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、担任发行人董事、监事、高级管理人</w:t>
            </w:r>
            <w:r>
              <w:rPr>
                <w:rFonts w:ascii="宋体" w:hAnsi="宋体" w:cs="宋体" w:eastAsia="宋体" w:hint="default"/>
                <w:spacing w:val="-3"/>
                <w:w w:val="100"/>
                <w:sz w:val="21"/>
                <w:szCs w:val="21"/>
              </w:rPr>
              <w:t> </w:t>
            </w:r>
            <w:r>
              <w:rPr>
                <w:rFonts w:ascii="宋体" w:hAnsi="宋体" w:cs="宋体" w:eastAsia="宋体" w:hint="default"/>
                <w:spacing w:val="-2"/>
                <w:sz w:val="21"/>
                <w:szCs w:val="21"/>
              </w:rPr>
              <w:t>员的直接或间接股东黄元忠、黄晓峰、陈</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克让、孙晓玲、杨颖、张振华、何华辉、</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武文静承诺：上述前述承诺期满后，在本</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人任职期间，每年转让的发行人股份不超</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过本人直接或间接持有的发行人股份总</w:t>
            </w:r>
            <w:r>
              <w:rPr>
                <w:rFonts w:ascii="宋体" w:hAnsi="宋体" w:cs="宋体" w:eastAsia="宋体" w:hint="default"/>
                <w:w w:val="100"/>
                <w:sz w:val="21"/>
                <w:szCs w:val="21"/>
              </w:rPr>
              <w:t> </w:t>
            </w:r>
            <w:r>
              <w:rPr>
                <w:rFonts w:ascii="宋体" w:hAnsi="宋体" w:cs="宋体" w:eastAsia="宋体" w:hint="default"/>
                <w:spacing w:val="-2"/>
                <w:sz w:val="21"/>
                <w:szCs w:val="21"/>
              </w:rPr>
              <w:t>数的百分之二十五；在离职后半年内，不</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转让直接或间接持有的发行人股份。</w:t>
            </w:r>
          </w:p>
          <w:p>
            <w:pPr>
              <w:pStyle w:val="TableParagraph"/>
              <w:spacing w:line="237" w:lineRule="auto" w:before="1"/>
              <w:ind w:left="23" w:right="16"/>
              <w:jc w:val="left"/>
              <w:rPr>
                <w:rFonts w:ascii="宋体" w:hAnsi="宋体" w:cs="宋体" w:eastAsia="宋体" w:hint="default"/>
                <w:sz w:val="21"/>
                <w:szCs w:val="21"/>
              </w:rPr>
            </w:pPr>
            <w:r>
              <w:rPr>
                <w:rFonts w:ascii="宋体" w:hAnsi="宋体" w:cs="宋体" w:eastAsia="宋体" w:hint="default"/>
                <w:sz w:val="21"/>
                <w:szCs w:val="21"/>
              </w:rPr>
              <w:t>（二）避免同业竞争的承诺</w:t>
            </w:r>
            <w:r>
              <w:rPr>
                <w:rFonts w:ascii="宋体" w:hAnsi="宋体" w:cs="宋体" w:eastAsia="宋体" w:hint="default"/>
                <w:w w:val="100"/>
                <w:sz w:val="21"/>
                <w:szCs w:val="21"/>
              </w:rPr>
              <w:t> </w:t>
            </w:r>
            <w:r>
              <w:rPr>
                <w:rFonts w:ascii="宋体" w:hAnsi="宋体" w:cs="宋体" w:eastAsia="宋体" w:hint="default"/>
                <w:sz w:val="21"/>
                <w:szCs w:val="21"/>
              </w:rPr>
              <w:t>为避免同业竞争损害公司及其他股东的</w:t>
            </w:r>
            <w:r>
              <w:rPr>
                <w:rFonts w:ascii="宋体" w:hAnsi="宋体" w:cs="宋体" w:eastAsia="宋体" w:hint="default"/>
                <w:w w:val="100"/>
                <w:sz w:val="21"/>
                <w:szCs w:val="21"/>
              </w:rPr>
              <w:t> </w:t>
            </w:r>
            <w:r>
              <w:rPr>
                <w:rFonts w:ascii="宋体" w:hAnsi="宋体" w:cs="宋体" w:eastAsia="宋体" w:hint="default"/>
                <w:spacing w:val="-2"/>
                <w:sz w:val="21"/>
                <w:szCs w:val="21"/>
              </w:rPr>
              <w:t>利益，公司控股股东、实际控制人黄元忠</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先生及其一致行动人、主要股东黄晓峰先</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生、陈克让先生、戈尔登公司分别做出避</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免同业竞争的承诺。</w:t>
            </w:r>
          </w:p>
          <w:p>
            <w:pPr>
              <w:pStyle w:val="TableParagraph"/>
              <w:spacing w:line="237" w:lineRule="auto" w:before="1"/>
              <w:ind w:left="23" w:right="7"/>
              <w:jc w:val="left"/>
              <w:rPr>
                <w:rFonts w:ascii="宋体" w:hAnsi="宋体" w:cs="宋体" w:eastAsia="宋体" w:hint="default"/>
                <w:sz w:val="21"/>
                <w:szCs w:val="21"/>
              </w:rPr>
            </w:pPr>
            <w:r>
              <w:rPr>
                <w:rFonts w:ascii="宋体" w:hAnsi="宋体" w:cs="宋体" w:eastAsia="宋体" w:hint="default"/>
                <w:sz w:val="21"/>
                <w:szCs w:val="21"/>
              </w:rPr>
              <w:t>（三）不占用公司资金承诺</w:t>
            </w:r>
            <w:r>
              <w:rPr>
                <w:rFonts w:ascii="宋体" w:hAnsi="宋体" w:cs="宋体" w:eastAsia="宋体" w:hint="default"/>
                <w:w w:val="100"/>
                <w:sz w:val="21"/>
                <w:szCs w:val="21"/>
              </w:rPr>
              <w:t> </w:t>
            </w:r>
            <w:r>
              <w:rPr>
                <w:rFonts w:ascii="宋体" w:hAnsi="宋体" w:cs="宋体" w:eastAsia="宋体" w:hint="default"/>
                <w:spacing w:val="-2"/>
                <w:sz w:val="21"/>
                <w:szCs w:val="21"/>
              </w:rPr>
              <w:t>公司控股股东、实际控制人黄元忠及其他</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主要股东陈克让、黄晓峰、孙晓玲、杨颖</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pacing w:val="-2"/>
                <w:sz w:val="21"/>
                <w:szCs w:val="21"/>
              </w:rPr>
              <w:t>分别承诺：截止本承诺函出具日，本人不</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存在占用方直科技资金的情形；自本承诺</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函出具日起，本人将严格遵守相关法律、</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法规及公司相关规定，不占用公司资金。</w:t>
            </w:r>
          </w:p>
          <w:p>
            <w:pPr>
              <w:pStyle w:val="TableParagraph"/>
              <w:spacing w:line="237" w:lineRule="auto" w:before="1"/>
              <w:ind w:left="23" w:right="7"/>
              <w:jc w:val="left"/>
              <w:rPr>
                <w:rFonts w:ascii="宋体" w:hAnsi="宋体" w:cs="宋体" w:eastAsia="宋体" w:hint="default"/>
                <w:sz w:val="21"/>
                <w:szCs w:val="21"/>
              </w:rPr>
            </w:pPr>
            <w:r>
              <w:rPr>
                <w:rFonts w:ascii="宋体" w:hAnsi="宋体" w:cs="宋体" w:eastAsia="宋体" w:hint="default"/>
                <w:sz w:val="21"/>
                <w:szCs w:val="21"/>
              </w:rPr>
              <w:t>（四）不谋求实际控制权的承诺</w:t>
            </w:r>
            <w:r>
              <w:rPr>
                <w:rFonts w:ascii="宋体" w:hAnsi="宋体" w:cs="宋体" w:eastAsia="宋体" w:hint="default"/>
                <w:w w:val="100"/>
                <w:sz w:val="21"/>
                <w:szCs w:val="21"/>
              </w:rPr>
              <w:t> </w:t>
            </w:r>
            <w:r>
              <w:rPr>
                <w:rFonts w:ascii="宋体" w:hAnsi="宋体" w:cs="宋体" w:eastAsia="宋体" w:hint="default"/>
                <w:spacing w:val="-2"/>
                <w:sz w:val="21"/>
                <w:szCs w:val="21"/>
              </w:rPr>
              <w:t>黄晓峰、陈克让承诺：二人为各自独立的</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自然人股东，相互之间不存在关联关系，</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在作为发行人股东期间，不相互转让股</w:t>
            </w:r>
            <w:r>
              <w:rPr>
                <w:rFonts w:ascii="宋体" w:hAnsi="宋体" w:cs="宋体" w:eastAsia="宋体" w:hint="default"/>
                <w:w w:val="100"/>
                <w:sz w:val="21"/>
                <w:szCs w:val="21"/>
              </w:rPr>
              <w:t> </w:t>
            </w:r>
            <w:r>
              <w:rPr>
                <w:rFonts w:ascii="宋体" w:hAnsi="宋体" w:cs="宋体" w:eastAsia="宋体" w:hint="default"/>
                <w:spacing w:val="-2"/>
                <w:sz w:val="21"/>
                <w:szCs w:val="21"/>
              </w:rPr>
              <w:t>份，不通过受让其他股东持有的方直科技</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股份、增资等途径取得方直科技的控股地</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位，不通过与其他任何第三方签订一致行</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动协议或类似安排的方式取得方直科技</w:t>
            </w:r>
            <w:r>
              <w:rPr>
                <w:rFonts w:ascii="宋体" w:hAnsi="宋体" w:cs="宋体" w:eastAsia="宋体" w:hint="default"/>
                <w:w w:val="100"/>
                <w:sz w:val="21"/>
                <w:szCs w:val="21"/>
              </w:rPr>
              <w:t> </w:t>
            </w:r>
            <w:r>
              <w:rPr>
                <w:rFonts w:ascii="宋体" w:hAnsi="宋体" w:cs="宋体" w:eastAsia="宋体" w:hint="default"/>
                <w:spacing w:val="-2"/>
                <w:sz w:val="21"/>
                <w:szCs w:val="21"/>
              </w:rPr>
              <w:t>的实际控股地位，不得做出有损发行人实</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际控制权及经营稳定、整体利益的行为。</w:t>
            </w:r>
          </w:p>
        </w:tc>
        <w:tc>
          <w:tcPr>
            <w:tcW w:w="806"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27"/>
              <w:jc w:val="left"/>
              <w:rPr>
                <w:rFonts w:ascii="宋体" w:hAnsi="宋体" w:cs="宋体" w:eastAsia="宋体" w:hint="default"/>
                <w:sz w:val="21"/>
                <w:szCs w:val="21"/>
              </w:rPr>
            </w:pPr>
            <w:r>
              <w:rPr>
                <w:rFonts w:ascii="宋体" w:hAnsi="宋体" w:cs="宋体" w:eastAsia="宋体" w:hint="default"/>
                <w:sz w:val="21"/>
                <w:szCs w:val="21"/>
              </w:rPr>
              <w:t>有违反上述</w:t>
            </w:r>
          </w:p>
          <w:p>
            <w:pPr>
              <w:pStyle w:val="TableParagraph"/>
              <w:spacing w:line="274" w:lineRule="exact"/>
              <w:ind w:left="23" w:right="-27"/>
              <w:jc w:val="left"/>
              <w:rPr>
                <w:rFonts w:ascii="宋体" w:hAnsi="宋体" w:cs="宋体" w:eastAsia="宋体" w:hint="default"/>
                <w:sz w:val="21"/>
                <w:szCs w:val="21"/>
              </w:rPr>
            </w:pPr>
            <w:r>
              <w:rPr>
                <w:rFonts w:ascii="宋体" w:hAnsi="宋体" w:cs="宋体" w:eastAsia="宋体" w:hint="default"/>
                <w:sz w:val="21"/>
                <w:szCs w:val="21"/>
              </w:rPr>
              <w:t>承诺的情况。</w:t>
            </w:r>
          </w:p>
        </w:tc>
      </w:tr>
      <w:tr>
        <w:trPr>
          <w:trHeight w:val="830" w:hRule="exact"/>
        </w:trPr>
        <w:tc>
          <w:tcPr>
            <w:tcW w:w="14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其他对公司中</w:t>
            </w:r>
          </w:p>
          <w:p>
            <w:pPr>
              <w:pStyle w:val="TableParagraph"/>
              <w:spacing w:line="240" w:lineRule="auto"/>
              <w:ind w:left="22" w:right="120"/>
              <w:jc w:val="left"/>
              <w:rPr>
                <w:rFonts w:ascii="宋体" w:hAnsi="宋体" w:cs="宋体" w:eastAsia="宋体" w:hint="default"/>
                <w:sz w:val="21"/>
                <w:szCs w:val="21"/>
              </w:rPr>
            </w:pPr>
            <w:r>
              <w:rPr>
                <w:rFonts w:ascii="宋体" w:hAnsi="宋体" w:cs="宋体" w:eastAsia="宋体" w:hint="default"/>
                <w:sz w:val="21"/>
                <w:szCs w:val="21"/>
              </w:rPr>
              <w:t>小股东所作承</w:t>
            </w:r>
            <w:r>
              <w:rPr>
                <w:rFonts w:ascii="宋体" w:hAnsi="宋体" w:cs="宋体" w:eastAsia="宋体" w:hint="default"/>
                <w:w w:val="100"/>
                <w:sz w:val="21"/>
                <w:szCs w:val="21"/>
              </w:rPr>
              <w:t> </w:t>
            </w:r>
            <w:r>
              <w:rPr>
                <w:rFonts w:ascii="宋体" w:hAnsi="宋体" w:cs="宋体" w:eastAsia="宋体" w:hint="default"/>
                <w:sz w:val="21"/>
                <w:szCs w:val="21"/>
              </w:rPr>
              <w:t>诺</w:t>
            </w:r>
          </w:p>
        </w:tc>
        <w:tc>
          <w:tcPr>
            <w:tcW w:w="1133" w:type="dxa"/>
            <w:tcBorders>
              <w:top w:val="single" w:sz="4" w:space="0" w:color="000000"/>
              <w:left w:val="single" w:sz="4" w:space="0" w:color="000000"/>
              <w:bottom w:val="single" w:sz="4" w:space="0" w:color="000000"/>
              <w:right w:val="single" w:sz="4" w:space="0" w:color="000000"/>
            </w:tcBorders>
          </w:tcPr>
          <w:p>
            <w:pPr/>
          </w:p>
        </w:tc>
        <w:tc>
          <w:tcPr>
            <w:tcW w:w="3828"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承诺是否及时</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履行</w:t>
            </w:r>
          </w:p>
        </w:tc>
        <w:tc>
          <w:tcPr>
            <w:tcW w:w="815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1104" w:hRule="exact"/>
        </w:trPr>
        <w:tc>
          <w:tcPr>
            <w:tcW w:w="14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22" w:right="0"/>
              <w:jc w:val="both"/>
              <w:rPr>
                <w:rFonts w:ascii="宋体" w:hAnsi="宋体" w:cs="宋体" w:eastAsia="宋体" w:hint="default"/>
                <w:sz w:val="21"/>
                <w:szCs w:val="21"/>
              </w:rPr>
            </w:pPr>
            <w:r>
              <w:rPr>
                <w:rFonts w:ascii="宋体" w:hAnsi="宋体" w:cs="宋体" w:eastAsia="宋体" w:hint="default"/>
                <w:sz w:val="21"/>
                <w:szCs w:val="21"/>
              </w:rPr>
              <w:t>未完成履行的</w:t>
            </w:r>
          </w:p>
          <w:p>
            <w:pPr>
              <w:pStyle w:val="TableParagraph"/>
              <w:spacing w:line="240" w:lineRule="auto"/>
              <w:ind w:left="22" w:right="120"/>
              <w:jc w:val="both"/>
              <w:rPr>
                <w:rFonts w:ascii="宋体" w:hAnsi="宋体" w:cs="宋体" w:eastAsia="宋体" w:hint="default"/>
                <w:sz w:val="21"/>
                <w:szCs w:val="21"/>
              </w:rPr>
            </w:pPr>
            <w:r>
              <w:rPr>
                <w:rFonts w:ascii="宋体" w:hAnsi="宋体" w:cs="宋体" w:eastAsia="宋体" w:hint="default"/>
                <w:sz w:val="21"/>
                <w:szCs w:val="21"/>
              </w:rPr>
              <w:t>具体原因及下</w:t>
            </w:r>
            <w:r>
              <w:rPr>
                <w:rFonts w:ascii="宋体" w:hAnsi="宋体" w:cs="宋体" w:eastAsia="宋体" w:hint="default"/>
                <w:w w:val="100"/>
                <w:sz w:val="21"/>
                <w:szCs w:val="21"/>
              </w:rPr>
              <w:t> </w:t>
            </w:r>
            <w:r>
              <w:rPr>
                <w:rFonts w:ascii="宋体" w:hAnsi="宋体" w:cs="宋体" w:eastAsia="宋体" w:hint="default"/>
                <w:sz w:val="21"/>
                <w:szCs w:val="21"/>
              </w:rPr>
              <w:t>一步计划（如</w:t>
            </w:r>
            <w:r>
              <w:rPr>
                <w:rFonts w:ascii="宋体" w:hAnsi="宋体" w:cs="宋体" w:eastAsia="宋体" w:hint="default"/>
                <w:w w:val="100"/>
                <w:sz w:val="21"/>
                <w:szCs w:val="21"/>
              </w:rPr>
              <w:t> </w:t>
            </w:r>
            <w:r>
              <w:rPr>
                <w:rFonts w:ascii="宋体" w:hAnsi="宋体" w:cs="宋体" w:eastAsia="宋体" w:hint="default"/>
                <w:sz w:val="21"/>
                <w:szCs w:val="21"/>
              </w:rPr>
              <w:t>有）</w:t>
            </w:r>
          </w:p>
        </w:tc>
        <w:tc>
          <w:tcPr>
            <w:tcW w:w="815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line="240" w:lineRule="auto" w:before="3"/>
        <w:rPr>
          <w:rFonts w:ascii="宋体" w:hAnsi="宋体" w:cs="宋体" w:eastAsia="宋体" w:hint="default"/>
          <w:sz w:val="19"/>
          <w:szCs w:val="19"/>
        </w:rPr>
      </w:pPr>
    </w:p>
    <w:p>
      <w:pPr>
        <w:pStyle w:val="Heading5"/>
        <w:spacing w:line="256" w:lineRule="auto" w:before="36"/>
        <w:ind w:right="0"/>
        <w:jc w:val="left"/>
        <w:rPr>
          <w:b w:val="0"/>
          <w:bCs w:val="0"/>
        </w:rPr>
      </w:pPr>
      <w:bookmarkStart w:name="2、公司资产或项目存在盈利预测，且报告期仍处在盈利预测期间，公司就资产或项目达到" w:id="65"/>
      <w:bookmarkEnd w:id="65"/>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11"/>
        <w:rPr>
          <w:rFonts w:ascii="宋体" w:hAnsi="宋体" w:cs="宋体" w:eastAsia="宋体" w:hint="default"/>
          <w:b/>
          <w:bCs/>
          <w:sz w:val="24"/>
          <w:szCs w:val="24"/>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8" w:footer="982" w:top="1060" w:bottom="1180" w:left="980" w:right="980"/>
        </w:sectPr>
      </w:pPr>
    </w:p>
    <w:p>
      <w:pPr>
        <w:spacing w:line="240" w:lineRule="auto" w:before="6"/>
        <w:rPr>
          <w:rFonts w:ascii="宋体" w:hAnsi="宋体" w:cs="宋体" w:eastAsia="宋体" w:hint="default"/>
          <w:sz w:val="23"/>
          <w:szCs w:val="23"/>
        </w:rPr>
      </w:pPr>
    </w:p>
    <w:p>
      <w:pPr>
        <w:pStyle w:val="Heading4"/>
        <w:spacing w:line="240" w:lineRule="auto" w:before="26"/>
        <w:ind w:right="0"/>
        <w:jc w:val="left"/>
        <w:rPr>
          <w:b w:val="0"/>
          <w:bCs w:val="0"/>
        </w:rPr>
      </w:pPr>
      <w:r>
        <w:rPr/>
        <w:t>九、聘任、解聘会计师事务所情况</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right="0"/>
        <w:jc w:val="left"/>
      </w:pPr>
      <w:bookmarkStart w:name="九、聘任、解聘会计师事务所情况" w:id="66"/>
      <w:bookmarkEnd w:id="66"/>
      <w:r>
        <w:rPr/>
      </w:r>
      <w:r>
        <w:rPr/>
        <w:t>现聘任的会计事务所</w:t>
      </w:r>
    </w:p>
    <w:p>
      <w:pPr>
        <w:spacing w:line="240" w:lineRule="auto" w:before="10"/>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3884"/>
        <w:gridCol w:w="5683"/>
      </w:tblGrid>
      <w:tr>
        <w:trPr>
          <w:trHeight w:val="402" w:hRule="exact"/>
        </w:trPr>
        <w:tc>
          <w:tcPr>
            <w:tcW w:w="3884" w:type="dxa"/>
            <w:tcBorders>
              <w:top w:val="single" w:sz="4" w:space="0" w:color="000000"/>
              <w:left w:val="single" w:sz="4" w:space="0" w:color="000000"/>
              <w:bottom w:val="single" w:sz="24" w:space="0" w:color="FFFFFF"/>
              <w:right w:val="single" w:sz="4" w:space="0" w:color="000000"/>
            </w:tcBorders>
            <w:shd w:val="clear" w:color="auto" w:fill="D4D4D4"/>
          </w:tcPr>
          <w:p>
            <w:pPr>
              <w:pStyle w:val="TableParagraph"/>
              <w:spacing w:line="240" w:lineRule="auto" w:before="14"/>
              <w:ind w:left="22"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5683" w:type="dxa"/>
            <w:tcBorders>
              <w:top w:val="single" w:sz="4" w:space="0" w:color="000000"/>
              <w:left w:val="single" w:sz="4" w:space="0" w:color="000000"/>
              <w:bottom w:val="single" w:sz="24" w:space="0" w:color="FFFFFF"/>
              <w:right w:val="single" w:sz="4" w:space="0" w:color="000000"/>
            </w:tcBorders>
          </w:tcPr>
          <w:p>
            <w:pPr>
              <w:pStyle w:val="TableParagraph"/>
              <w:spacing w:line="240" w:lineRule="auto" w:before="14"/>
              <w:ind w:left="23" w:right="0"/>
              <w:jc w:val="left"/>
              <w:rPr>
                <w:rFonts w:ascii="宋体" w:hAnsi="宋体" w:cs="宋体" w:eastAsia="宋体" w:hint="default"/>
                <w:sz w:val="21"/>
                <w:szCs w:val="21"/>
              </w:rPr>
            </w:pPr>
            <w:r>
              <w:rPr>
                <w:rFonts w:ascii="宋体" w:hAnsi="宋体" w:cs="宋体" w:eastAsia="宋体" w:hint="default"/>
                <w:sz w:val="21"/>
                <w:szCs w:val="21"/>
              </w:rPr>
              <w:t>大华会计师事务所（特殊普通合伙）</w:t>
            </w:r>
          </w:p>
        </w:tc>
      </w:tr>
      <w:tr>
        <w:trPr>
          <w:trHeight w:val="379" w:hRule="exact"/>
        </w:trPr>
        <w:tc>
          <w:tcPr>
            <w:tcW w:w="3884" w:type="dxa"/>
            <w:tcBorders>
              <w:top w:val="single" w:sz="24" w:space="0" w:color="FFFFFF"/>
              <w:left w:val="single" w:sz="4" w:space="0" w:color="000000"/>
              <w:bottom w:val="single" w:sz="24" w:space="0" w:color="FFFFFF"/>
              <w:right w:val="single" w:sz="4" w:space="0" w:color="000000"/>
            </w:tcBorders>
            <w:shd w:val="clear" w:color="auto" w:fill="D4D4D4"/>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境内会计师事务所报酬（万元）</w:t>
            </w:r>
          </w:p>
        </w:tc>
        <w:tc>
          <w:tcPr>
            <w:tcW w:w="5683" w:type="dxa"/>
            <w:tcBorders>
              <w:top w:val="single" w:sz="24" w:space="0" w:color="FFFFFF"/>
              <w:left w:val="single" w:sz="4" w:space="0" w:color="000000"/>
              <w:bottom w:val="single" w:sz="24" w:space="0" w:color="FFFFFF"/>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21"/>
                <w:szCs w:val="21"/>
              </w:rPr>
            </w:pPr>
            <w:r>
              <w:rPr>
                <w:rFonts w:ascii="Times New Roman"/>
                <w:sz w:val="21"/>
              </w:rPr>
              <w:t>27.5</w:t>
            </w:r>
          </w:p>
        </w:tc>
      </w:tr>
      <w:tr>
        <w:trPr>
          <w:trHeight w:val="378" w:hRule="exact"/>
        </w:trPr>
        <w:tc>
          <w:tcPr>
            <w:tcW w:w="3884" w:type="dxa"/>
            <w:tcBorders>
              <w:top w:val="single" w:sz="24" w:space="0" w:color="FFFFFF"/>
              <w:left w:val="single" w:sz="4" w:space="0" w:color="000000"/>
              <w:bottom w:val="single" w:sz="23" w:space="0" w:color="FFFFFF"/>
              <w:right w:val="single" w:sz="4" w:space="0" w:color="000000"/>
            </w:tcBorders>
            <w:shd w:val="clear" w:color="auto" w:fill="D4D4D4"/>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境内会计师事务所审计服务的连续年限</w:t>
            </w:r>
          </w:p>
        </w:tc>
        <w:tc>
          <w:tcPr>
            <w:tcW w:w="5683" w:type="dxa"/>
            <w:tcBorders>
              <w:top w:val="single" w:sz="24" w:space="0" w:color="FFFFFF"/>
              <w:left w:val="single" w:sz="4" w:space="0" w:color="000000"/>
              <w:bottom w:val="single" w:sz="23" w:space="0" w:color="FFFFFF"/>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21"/>
                <w:szCs w:val="21"/>
              </w:rPr>
            </w:pPr>
            <w:r>
              <w:rPr>
                <w:rFonts w:ascii="Times New Roman"/>
                <w:w w:val="100"/>
                <w:sz w:val="21"/>
              </w:rPr>
              <w:t>6</w:t>
            </w:r>
          </w:p>
        </w:tc>
      </w:tr>
      <w:tr>
        <w:trPr>
          <w:trHeight w:val="355" w:hRule="exact"/>
        </w:trPr>
        <w:tc>
          <w:tcPr>
            <w:tcW w:w="3884" w:type="dxa"/>
            <w:tcBorders>
              <w:top w:val="single" w:sz="23" w:space="0" w:color="FFFFFF"/>
              <w:left w:val="single" w:sz="4" w:space="0" w:color="000000"/>
              <w:bottom w:val="single" w:sz="4" w:space="0" w:color="000000"/>
              <w:right w:val="single" w:sz="4" w:space="0" w:color="000000"/>
            </w:tcBorders>
            <w:shd w:val="clear" w:color="auto" w:fill="D4D4D4"/>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境内会计师事务所注册会计师姓名</w:t>
            </w:r>
          </w:p>
        </w:tc>
        <w:tc>
          <w:tcPr>
            <w:tcW w:w="5683" w:type="dxa"/>
            <w:tcBorders>
              <w:top w:val="single" w:sz="23" w:space="0" w:color="FFFFFF"/>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张晓义、彭彬</w:t>
            </w:r>
          </w:p>
        </w:tc>
      </w:tr>
    </w:tbl>
    <w:p>
      <w:pPr>
        <w:pStyle w:val="BodyText"/>
        <w:spacing w:line="262" w:lineRule="exact"/>
        <w:ind w:right="0"/>
        <w:jc w:val="left"/>
      </w:pPr>
      <w:r>
        <w:rPr/>
        <w:t>是否改聘会计师事务所</w:t>
      </w:r>
    </w:p>
    <w:p>
      <w:pPr>
        <w:pStyle w:val="BodyText"/>
        <w:spacing w:line="240" w:lineRule="auto" w:before="3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8"/>
        <w:rPr>
          <w:rFonts w:ascii="宋体" w:hAnsi="宋体" w:cs="宋体" w:eastAsia="宋体" w:hint="default"/>
          <w:sz w:val="22"/>
          <w:szCs w:val="22"/>
        </w:rPr>
      </w:pPr>
    </w:p>
    <w:p>
      <w:pPr>
        <w:pStyle w:val="Heading4"/>
        <w:spacing w:line="240" w:lineRule="auto"/>
        <w:ind w:right="136"/>
        <w:jc w:val="left"/>
        <w:rPr>
          <w:b w:val="0"/>
          <w:bCs w:val="0"/>
        </w:rPr>
      </w:pPr>
      <w:bookmarkStart w:name="十、上市公司及其董事、监事、高级管理人员、公司股东、实际控制人和收购人处罚及整改" w:id="67"/>
      <w:bookmarkEnd w:id="67"/>
      <w:r>
        <w:rPr>
          <w:b w:val="0"/>
          <w:bCs w:val="0"/>
        </w:rPr>
      </w:r>
      <w:r>
        <w:rPr/>
        <w:t>十、上市公司及其董事、监事、高级管理人员、公司股东、实际控制人和收购人处罚及整改</w:t>
      </w:r>
      <w:r>
        <w:rPr>
          <w:w w:val="99"/>
        </w:rPr>
        <w:t> </w:t>
      </w:r>
      <w:r>
        <w:rPr/>
        <w:t>情况</w:t>
      </w:r>
      <w:r>
        <w:rPr>
          <w:b w:val="0"/>
          <w:bCs w:val="0"/>
        </w:rPr>
      </w:r>
    </w:p>
    <w:p>
      <w:pPr>
        <w:spacing w:line="240" w:lineRule="auto" w:before="9"/>
        <w:rPr>
          <w:rFonts w:ascii="宋体" w:hAnsi="宋体" w:cs="宋体" w:eastAsia="宋体" w:hint="default"/>
          <w:b/>
          <w:bCs/>
          <w:sz w:val="24"/>
          <w:szCs w:val="24"/>
        </w:rPr>
      </w:pPr>
    </w:p>
    <w:p>
      <w:pPr>
        <w:pStyle w:val="BodyText"/>
        <w:spacing w:line="256" w:lineRule="auto"/>
        <w:ind w:right="306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上市公司及其子公司是否被列入环保部门公布的污染严重企业名单</w:t>
      </w:r>
    </w:p>
    <w:p>
      <w:pPr>
        <w:pStyle w:val="BodyText"/>
        <w:spacing w:line="256" w:lineRule="auto" w:before="22"/>
        <w:ind w:right="380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不适用</w:t>
      </w:r>
      <w:r>
        <w:rPr>
          <w:spacing w:val="-3"/>
          <w:w w:val="100"/>
        </w:rPr>
        <w:t> </w:t>
      </w:r>
      <w:r>
        <w:rPr>
          <w:spacing w:val="-2"/>
        </w:rPr>
        <w:t>上市公司及其子公司是否存在其他重大社会安全问题</w:t>
      </w:r>
    </w:p>
    <w:p>
      <w:pPr>
        <w:pStyle w:val="BodyText"/>
        <w:spacing w:line="256" w:lineRule="auto" w:before="22"/>
        <w:ind w:right="56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7"/>
        </w:rPr>
        <w:t> </w:t>
      </w:r>
      <w:r>
        <w:rPr/>
        <w:t>不适用</w:t>
      </w:r>
      <w:r>
        <w:rPr>
          <w:spacing w:val="-3"/>
          <w:w w:val="100"/>
        </w:rPr>
        <w:t> </w:t>
      </w:r>
      <w:r>
        <w:rPr>
          <w:spacing w:val="-2"/>
        </w:rPr>
        <w:t>报告期内是否被行政处罚</w:t>
      </w:r>
    </w:p>
    <w:p>
      <w:pPr>
        <w:pStyle w:val="BodyText"/>
        <w:spacing w:line="240" w:lineRule="auto" w:before="22"/>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不适用</w:t>
      </w:r>
    </w:p>
    <w:p>
      <w:pPr>
        <w:spacing w:line="240" w:lineRule="auto" w:before="8"/>
        <w:rPr>
          <w:rFonts w:ascii="宋体" w:hAnsi="宋体" w:cs="宋体" w:eastAsia="宋体" w:hint="default"/>
          <w:sz w:val="22"/>
          <w:szCs w:val="22"/>
        </w:rPr>
      </w:pPr>
    </w:p>
    <w:p>
      <w:pPr>
        <w:pStyle w:val="Heading4"/>
        <w:spacing w:line="240" w:lineRule="auto"/>
        <w:ind w:right="0"/>
        <w:jc w:val="left"/>
        <w:rPr>
          <w:b w:val="0"/>
          <w:bCs w:val="0"/>
        </w:rPr>
      </w:pPr>
      <w:bookmarkStart w:name="十一、公司股东及其一致行动人在报告期提出或实施股份增持计划的情况" w:id="68"/>
      <w:bookmarkEnd w:id="68"/>
      <w:r>
        <w:rPr>
          <w:b w:val="0"/>
          <w:bCs w:val="0"/>
        </w:rPr>
      </w:r>
      <w:r>
        <w:rPr/>
        <w:t>十一、公司股东及其一致行动人在报告期提出或实施股份增持计划的情况</w:t>
      </w:r>
      <w:r>
        <w:rPr>
          <w:b w:val="0"/>
          <w:bCs w:val="0"/>
        </w:rPr>
      </w:r>
    </w:p>
    <w:p>
      <w:pPr>
        <w:spacing w:line="240" w:lineRule="auto" w:before="12"/>
        <w:rPr>
          <w:rFonts w:ascii="宋体" w:hAnsi="宋体" w:cs="宋体" w:eastAsia="宋体" w:hint="default"/>
          <w:b/>
          <w:bCs/>
          <w:sz w:val="24"/>
          <w:szCs w:val="24"/>
        </w:rPr>
      </w:pPr>
    </w:p>
    <w:p>
      <w:pPr>
        <w:pStyle w:val="BodyText"/>
        <w:spacing w:line="256" w:lineRule="auto"/>
        <w:ind w:right="306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公司股东及其一致行动人在报告期内未提出或实施股份增持计划。</w:t>
      </w:r>
    </w:p>
    <w:p>
      <w:pPr>
        <w:spacing w:line="240" w:lineRule="auto" w:before="9"/>
        <w:rPr>
          <w:rFonts w:ascii="宋体" w:hAnsi="宋体" w:cs="宋体" w:eastAsia="宋体" w:hint="default"/>
          <w:sz w:val="22"/>
          <w:szCs w:val="22"/>
        </w:rPr>
      </w:pPr>
    </w:p>
    <w:p>
      <w:pPr>
        <w:pStyle w:val="Heading4"/>
        <w:spacing w:line="240" w:lineRule="auto"/>
        <w:ind w:right="0"/>
        <w:jc w:val="left"/>
        <w:rPr>
          <w:b w:val="0"/>
          <w:bCs w:val="0"/>
        </w:rPr>
      </w:pPr>
      <w:bookmarkStart w:name="十二、董事、监事、高级管理人员、持股5%以上的股东违规买卖公司股票情况" w:id="69"/>
      <w:bookmarkEnd w:id="69"/>
      <w:r>
        <w:rPr>
          <w:b w:val="0"/>
          <w:bCs w:val="0"/>
        </w:rPr>
      </w:r>
      <w:r>
        <w:rPr/>
        <w:t>十二、董事、监事、高级管理人员、持股</w:t>
      </w:r>
      <w:r>
        <w:rPr>
          <w:spacing w:val="-85"/>
        </w:rPr>
        <w:t> </w:t>
      </w:r>
      <w:r>
        <w:rPr>
          <w:rFonts w:ascii="Times New Roman" w:hAnsi="Times New Roman" w:cs="Times New Roman" w:eastAsia="Times New Roman" w:hint="default"/>
        </w:rPr>
        <w:t>5%</w:t>
      </w:r>
      <w:r>
        <w:rPr/>
        <w:t>以上的股东违规买卖公司股票情况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8"/>
        <w:rPr>
          <w:rFonts w:ascii="宋体" w:hAnsi="宋体" w:cs="宋体" w:eastAsia="宋体" w:hint="default"/>
          <w:sz w:val="22"/>
          <w:szCs w:val="22"/>
        </w:rPr>
      </w:pPr>
    </w:p>
    <w:p>
      <w:pPr>
        <w:pStyle w:val="Heading4"/>
        <w:spacing w:line="240" w:lineRule="auto"/>
        <w:ind w:right="0"/>
        <w:jc w:val="left"/>
        <w:rPr>
          <w:b w:val="0"/>
          <w:bCs w:val="0"/>
        </w:rPr>
      </w:pPr>
      <w:bookmarkStart w:name="十三、年度报告披露后面临暂停上市和终止上市情况" w:id="70"/>
      <w:bookmarkEnd w:id="70"/>
      <w:r>
        <w:rPr>
          <w:b w:val="0"/>
          <w:bCs w:val="0"/>
        </w:rPr>
      </w:r>
      <w:r>
        <w:rPr/>
        <w:t>十三、年度报告披露后面临暂停上市和终止上市情况</w:t>
      </w:r>
      <w:r>
        <w:rPr>
          <w:b w:val="0"/>
          <w:bCs w:val="0"/>
        </w:rPr>
      </w:r>
    </w:p>
    <w:p>
      <w:pPr>
        <w:spacing w:line="240" w:lineRule="auto" w:before="9"/>
        <w:rPr>
          <w:rFonts w:ascii="宋体" w:hAnsi="宋体" w:cs="宋体" w:eastAsia="宋体" w:hint="default"/>
          <w:b/>
          <w:bCs/>
          <w:sz w:val="24"/>
          <w:szCs w:val="24"/>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8"/>
        <w:rPr>
          <w:rFonts w:ascii="宋体" w:hAnsi="宋体" w:cs="宋体" w:eastAsia="宋体" w:hint="default"/>
          <w:sz w:val="22"/>
          <w:szCs w:val="22"/>
        </w:rPr>
      </w:pPr>
    </w:p>
    <w:p>
      <w:pPr>
        <w:pStyle w:val="Heading4"/>
        <w:spacing w:line="240" w:lineRule="auto"/>
        <w:ind w:right="0"/>
        <w:jc w:val="left"/>
        <w:rPr>
          <w:b w:val="0"/>
          <w:bCs w:val="0"/>
        </w:rPr>
      </w:pPr>
      <w:bookmarkStart w:name="十四、其他重大事项的说明" w:id="71"/>
      <w:bookmarkEnd w:id="71"/>
      <w:r>
        <w:rPr>
          <w:b w:val="0"/>
          <w:bCs w:val="0"/>
        </w:rPr>
      </w:r>
      <w:r>
        <w:rPr/>
        <w:t>十四、其他重大事项的说明</w:t>
      </w:r>
      <w:r>
        <w:rPr>
          <w:b w:val="0"/>
          <w:bCs w:val="0"/>
        </w:rPr>
      </w:r>
    </w:p>
    <w:p>
      <w:pPr>
        <w:spacing w:line="240" w:lineRule="auto" w:before="12"/>
        <w:rPr>
          <w:rFonts w:ascii="宋体" w:hAnsi="宋体" w:cs="宋体" w:eastAsia="宋体" w:hint="default"/>
          <w:b/>
          <w:bCs/>
          <w:sz w:val="24"/>
          <w:szCs w:val="24"/>
        </w:rPr>
      </w:pPr>
    </w:p>
    <w:p>
      <w:pPr>
        <w:pStyle w:val="BodyText"/>
        <w:spacing w:line="256" w:lineRule="auto"/>
        <w:ind w:right="47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公司报告期不存在需要说明的其他重大事项。</w:t>
      </w:r>
    </w:p>
    <w:p>
      <w:pPr>
        <w:spacing w:line="240" w:lineRule="auto" w:before="9"/>
        <w:rPr>
          <w:rFonts w:ascii="宋体" w:hAnsi="宋体" w:cs="宋体" w:eastAsia="宋体" w:hint="default"/>
          <w:sz w:val="22"/>
          <w:szCs w:val="22"/>
        </w:rPr>
      </w:pPr>
    </w:p>
    <w:p>
      <w:pPr>
        <w:pStyle w:val="Heading4"/>
        <w:spacing w:line="240" w:lineRule="auto"/>
        <w:ind w:right="0"/>
        <w:jc w:val="left"/>
        <w:rPr>
          <w:b w:val="0"/>
          <w:bCs w:val="0"/>
        </w:rPr>
      </w:pPr>
      <w:bookmarkStart w:name="十五、控股子公司重要事项" w:id="72"/>
      <w:bookmarkEnd w:id="72"/>
      <w:r>
        <w:rPr>
          <w:b w:val="0"/>
          <w:bCs w:val="0"/>
        </w:rPr>
      </w:r>
      <w:r>
        <w:rPr/>
        <w:t>十五、控股子公司重要事项</w:t>
      </w:r>
      <w:r>
        <w:rPr>
          <w:b w:val="0"/>
          <w:bCs w:val="0"/>
        </w:rPr>
      </w:r>
    </w:p>
    <w:p>
      <w:pPr>
        <w:spacing w:line="240" w:lineRule="auto" w:before="9"/>
        <w:rPr>
          <w:rFonts w:ascii="宋体" w:hAnsi="宋体" w:cs="宋体" w:eastAsia="宋体" w:hint="default"/>
          <w:b/>
          <w:bCs/>
          <w:sz w:val="24"/>
          <w:szCs w:val="24"/>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8"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38"/>
        <w:ind w:left="2970" w:right="106"/>
        <w:jc w:val="left"/>
        <w:rPr>
          <w:b w:val="0"/>
          <w:bCs w:val="0"/>
        </w:rPr>
      </w:pPr>
      <w:bookmarkStart w:name="第六节 股份变动及股东情况" w:id="73"/>
      <w:bookmarkEnd w:id="73"/>
      <w:r>
        <w:rPr>
          <w:b w:val="0"/>
          <w:bCs w:val="0"/>
        </w:rPr>
      </w:r>
      <w:bookmarkStart w:name="_bookmark5" w:id="74"/>
      <w:bookmarkEnd w:id="74"/>
      <w:r>
        <w:rPr>
          <w:b w:val="0"/>
          <w:bCs w:val="0"/>
        </w:rPr>
      </w:r>
      <w:r>
        <w:rPr/>
        <w:t>第六节</w:t>
      </w:r>
      <w:r>
        <w:rPr>
          <w:spacing w:val="-15"/>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4"/>
          <w:szCs w:val="14"/>
        </w:rPr>
      </w:pPr>
    </w:p>
    <w:p>
      <w:pPr>
        <w:pStyle w:val="Heading4"/>
        <w:spacing w:line="240" w:lineRule="auto" w:before="26"/>
        <w:ind w:right="106"/>
        <w:jc w:val="left"/>
        <w:rPr>
          <w:b w:val="0"/>
          <w:bCs w:val="0"/>
        </w:rPr>
      </w:pPr>
      <w:bookmarkStart w:name="一、股份变动情况" w:id="75"/>
      <w:bookmarkEnd w:id="75"/>
      <w:r>
        <w:rPr>
          <w:b w:val="0"/>
          <w:bCs w:val="0"/>
        </w:rPr>
      </w:r>
      <w:r>
        <w:rPr/>
        <w:t>一、股份变动情况</w:t>
      </w:r>
      <w:r>
        <w:rPr>
          <w:b w:val="0"/>
          <w:bCs w:val="0"/>
        </w:rPr>
      </w:r>
    </w:p>
    <w:p>
      <w:pPr>
        <w:spacing w:line="240" w:lineRule="auto" w:before="0"/>
        <w:rPr>
          <w:rFonts w:ascii="宋体" w:hAnsi="宋体" w:cs="宋体" w:eastAsia="宋体" w:hint="default"/>
          <w:b/>
          <w:bCs/>
          <w:sz w:val="24"/>
          <w:szCs w:val="24"/>
        </w:rPr>
      </w:pPr>
    </w:p>
    <w:p>
      <w:pPr>
        <w:spacing w:line="240" w:lineRule="auto" w:before="11"/>
        <w:rPr>
          <w:rFonts w:ascii="宋体" w:hAnsi="宋体" w:cs="宋体" w:eastAsia="宋体" w:hint="default"/>
          <w:b/>
          <w:bCs/>
          <w:sz w:val="23"/>
          <w:szCs w:val="23"/>
        </w:rPr>
      </w:pPr>
    </w:p>
    <w:p>
      <w:pPr>
        <w:pStyle w:val="Heading5"/>
        <w:spacing w:line="240" w:lineRule="auto"/>
        <w:ind w:right="106"/>
        <w:jc w:val="left"/>
        <w:rPr>
          <w:b w:val="0"/>
          <w:bCs w:val="0"/>
        </w:rPr>
      </w:pPr>
      <w:bookmarkStart w:name="1、股份变动情况" w:id="76"/>
      <w:bookmarkEnd w:id="76"/>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36"/>
        <w:ind w:left="0" w:right="210"/>
        <w:jc w:val="right"/>
      </w:pPr>
      <w:r>
        <w:rPr>
          <w:spacing w:val="-1"/>
        </w:rPr>
        <w:t>单位：股</w:t>
      </w:r>
    </w:p>
    <w:p>
      <w:pPr>
        <w:spacing w:line="240" w:lineRule="auto" w:before="8"/>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033"/>
        <w:gridCol w:w="842"/>
        <w:gridCol w:w="845"/>
        <w:gridCol w:w="845"/>
        <w:gridCol w:w="842"/>
        <w:gridCol w:w="842"/>
        <w:gridCol w:w="842"/>
        <w:gridCol w:w="845"/>
        <w:gridCol w:w="814"/>
        <w:gridCol w:w="814"/>
      </w:tblGrid>
      <w:tr>
        <w:trPr>
          <w:trHeight w:val="326" w:hRule="exact"/>
        </w:trPr>
        <w:tc>
          <w:tcPr>
            <w:tcW w:w="2033" w:type="dxa"/>
            <w:tcBorders>
              <w:top w:val="single" w:sz="4" w:space="0" w:color="000000"/>
              <w:left w:val="single" w:sz="4" w:space="0" w:color="000000"/>
              <w:bottom w:val="nil" w:sz="6" w:space="0" w:color="auto"/>
              <w:right w:val="single" w:sz="4" w:space="0" w:color="000000"/>
            </w:tcBorders>
            <w:shd w:val="clear" w:color="auto" w:fill="D4D4D4"/>
          </w:tcPr>
          <w:p>
            <w:pPr/>
          </w:p>
        </w:tc>
        <w:tc>
          <w:tcPr>
            <w:tcW w:w="168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65" w:lineRule="exact"/>
              <w:ind w:left="314"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4217"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65" w:lineRule="exact"/>
              <w:ind w:left="947"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162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65" w:lineRule="exact"/>
              <w:ind w:left="283"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187" w:hRule="exact"/>
        </w:trPr>
        <w:tc>
          <w:tcPr>
            <w:tcW w:w="2033" w:type="dxa"/>
            <w:tcBorders>
              <w:top w:val="nil" w:sz="6" w:space="0" w:color="auto"/>
              <w:left w:val="single" w:sz="4" w:space="0" w:color="000000"/>
              <w:bottom w:val="single" w:sz="13" w:space="0" w:color="FFFFFF"/>
              <w:right w:val="single" w:sz="4" w:space="0" w:color="000000"/>
            </w:tcBorders>
            <w:shd w:val="clear" w:color="auto" w:fill="D4D4D4"/>
          </w:tcPr>
          <w:p>
            <w:pPr/>
          </w:p>
        </w:tc>
        <w:tc>
          <w:tcPr>
            <w:tcW w:w="842" w:type="dxa"/>
            <w:tcBorders>
              <w:top w:val="single" w:sz="4" w:space="0" w:color="000000"/>
              <w:left w:val="single" w:sz="4" w:space="0" w:color="000000"/>
              <w:bottom w:val="single" w:sz="13" w:space="0" w:color="FFFFFF"/>
              <w:right w:val="single" w:sz="4" w:space="0" w:color="000000"/>
            </w:tcBorders>
            <w:shd w:val="clear" w:color="auto" w:fill="D4D4D4"/>
          </w:tcPr>
          <w:p>
            <w:pPr/>
          </w:p>
        </w:tc>
        <w:tc>
          <w:tcPr>
            <w:tcW w:w="845" w:type="dxa"/>
            <w:tcBorders>
              <w:top w:val="single" w:sz="4" w:space="0" w:color="000000"/>
              <w:left w:val="single" w:sz="4" w:space="0" w:color="000000"/>
              <w:bottom w:val="single" w:sz="13" w:space="0" w:color="FFFFFF"/>
              <w:right w:val="single" w:sz="4" w:space="0" w:color="000000"/>
            </w:tcBorders>
            <w:shd w:val="clear" w:color="auto" w:fill="D4D4D4"/>
          </w:tcPr>
          <w:p>
            <w:pPr/>
          </w:p>
        </w:tc>
        <w:tc>
          <w:tcPr>
            <w:tcW w:w="845" w:type="dxa"/>
            <w:vMerge w:val="restart"/>
            <w:tcBorders>
              <w:top w:val="single" w:sz="4" w:space="0" w:color="000000"/>
              <w:left w:val="single" w:sz="4" w:space="0" w:color="000000"/>
              <w:right w:val="single" w:sz="4" w:space="0" w:color="000000"/>
            </w:tcBorders>
            <w:shd w:val="clear" w:color="auto" w:fill="D4D4D4"/>
          </w:tcPr>
          <w:p>
            <w:pPr>
              <w:pStyle w:val="TableParagraph"/>
              <w:spacing w:line="274" w:lineRule="exact" w:before="20"/>
              <w:ind w:left="311" w:right="98" w:hanging="212"/>
              <w:jc w:val="left"/>
              <w:rPr>
                <w:rFonts w:ascii="宋体" w:hAnsi="宋体" w:cs="宋体" w:eastAsia="宋体" w:hint="default"/>
                <w:sz w:val="21"/>
                <w:szCs w:val="21"/>
              </w:rPr>
            </w:pPr>
            <w:r>
              <w:rPr>
                <w:rFonts w:ascii="宋体" w:hAnsi="宋体" w:cs="宋体" w:eastAsia="宋体" w:hint="default"/>
                <w:sz w:val="21"/>
                <w:szCs w:val="21"/>
              </w:rPr>
              <w:t>发行新</w:t>
            </w:r>
            <w:r>
              <w:rPr>
                <w:rFonts w:ascii="宋体" w:hAnsi="宋体" w:cs="宋体" w:eastAsia="宋体" w:hint="default"/>
                <w:spacing w:val="-102"/>
                <w:sz w:val="21"/>
                <w:szCs w:val="21"/>
              </w:rPr>
              <w:t> </w:t>
            </w:r>
            <w:r>
              <w:rPr>
                <w:rFonts w:ascii="宋体" w:hAnsi="宋体" w:cs="宋体" w:eastAsia="宋体" w:hint="default"/>
                <w:sz w:val="21"/>
                <w:szCs w:val="21"/>
              </w:rPr>
              <w:t>股</w:t>
            </w:r>
          </w:p>
        </w:tc>
        <w:tc>
          <w:tcPr>
            <w:tcW w:w="842" w:type="dxa"/>
            <w:tcBorders>
              <w:top w:val="single" w:sz="4" w:space="0" w:color="000000"/>
              <w:left w:val="single" w:sz="4" w:space="0" w:color="000000"/>
              <w:bottom w:val="nil" w:sz="6" w:space="0" w:color="auto"/>
              <w:right w:val="single" w:sz="4" w:space="0" w:color="000000"/>
            </w:tcBorders>
            <w:shd w:val="clear" w:color="auto" w:fill="D4D4D4"/>
          </w:tcPr>
          <w:p>
            <w:pPr/>
          </w:p>
        </w:tc>
        <w:tc>
          <w:tcPr>
            <w:tcW w:w="842" w:type="dxa"/>
            <w:vMerge w:val="restart"/>
            <w:tcBorders>
              <w:top w:val="single" w:sz="4" w:space="0" w:color="000000"/>
              <w:left w:val="single" w:sz="4" w:space="0" w:color="000000"/>
              <w:right w:val="single" w:sz="4" w:space="0" w:color="000000"/>
            </w:tcBorders>
            <w:shd w:val="clear" w:color="auto" w:fill="D4D4D4"/>
          </w:tcPr>
          <w:p>
            <w:pPr>
              <w:pStyle w:val="TableParagraph"/>
              <w:spacing w:line="274" w:lineRule="exact" w:before="20"/>
              <w:ind w:left="206" w:right="96" w:hanging="106"/>
              <w:jc w:val="left"/>
              <w:rPr>
                <w:rFonts w:ascii="宋体" w:hAnsi="宋体" w:cs="宋体" w:eastAsia="宋体" w:hint="default"/>
                <w:sz w:val="21"/>
                <w:szCs w:val="21"/>
              </w:rPr>
            </w:pPr>
            <w:r>
              <w:rPr>
                <w:rFonts w:ascii="宋体" w:hAnsi="宋体" w:cs="宋体" w:eastAsia="宋体" w:hint="default"/>
                <w:sz w:val="21"/>
                <w:szCs w:val="21"/>
              </w:rPr>
              <w:t>公积金</w:t>
            </w:r>
            <w:r>
              <w:rPr>
                <w:rFonts w:ascii="宋体" w:hAnsi="宋体" w:cs="宋体" w:eastAsia="宋体" w:hint="default"/>
                <w:spacing w:val="-102"/>
                <w:sz w:val="21"/>
                <w:szCs w:val="21"/>
              </w:rPr>
              <w:t> </w:t>
            </w:r>
            <w:r>
              <w:rPr>
                <w:rFonts w:ascii="宋体" w:hAnsi="宋体" w:cs="宋体" w:eastAsia="宋体" w:hint="default"/>
                <w:sz w:val="21"/>
                <w:szCs w:val="21"/>
              </w:rPr>
              <w:t>转股</w:t>
            </w:r>
          </w:p>
        </w:tc>
        <w:tc>
          <w:tcPr>
            <w:tcW w:w="842" w:type="dxa"/>
            <w:tcBorders>
              <w:top w:val="single" w:sz="4" w:space="0" w:color="000000"/>
              <w:left w:val="single" w:sz="4" w:space="0" w:color="000000"/>
              <w:bottom w:val="nil" w:sz="6" w:space="0" w:color="auto"/>
              <w:right w:val="single" w:sz="4" w:space="0" w:color="000000"/>
            </w:tcBorders>
            <w:shd w:val="clear" w:color="auto" w:fill="D4D4D4"/>
          </w:tcPr>
          <w:p>
            <w:pPr/>
          </w:p>
        </w:tc>
        <w:tc>
          <w:tcPr>
            <w:tcW w:w="845" w:type="dxa"/>
            <w:tcBorders>
              <w:top w:val="single" w:sz="4" w:space="0" w:color="000000"/>
              <w:left w:val="single" w:sz="4" w:space="0" w:color="000000"/>
              <w:bottom w:val="nil" w:sz="6" w:space="0" w:color="auto"/>
              <w:right w:val="single" w:sz="4" w:space="0" w:color="000000"/>
            </w:tcBorders>
            <w:shd w:val="clear" w:color="auto" w:fill="D4D4D4"/>
          </w:tcPr>
          <w:p>
            <w:pPr/>
          </w:p>
        </w:tc>
        <w:tc>
          <w:tcPr>
            <w:tcW w:w="814" w:type="dxa"/>
            <w:tcBorders>
              <w:top w:val="single" w:sz="4" w:space="0" w:color="000000"/>
              <w:left w:val="single" w:sz="4" w:space="0" w:color="000000"/>
              <w:bottom w:val="nil" w:sz="6" w:space="0" w:color="auto"/>
              <w:right w:val="single" w:sz="4" w:space="0" w:color="000000"/>
            </w:tcBorders>
            <w:shd w:val="clear" w:color="auto" w:fill="D4D4D4"/>
          </w:tcPr>
          <w:p>
            <w:pPr/>
          </w:p>
        </w:tc>
        <w:tc>
          <w:tcPr>
            <w:tcW w:w="814"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240" w:hRule="exact"/>
        </w:trPr>
        <w:tc>
          <w:tcPr>
            <w:tcW w:w="2033" w:type="dxa"/>
            <w:vMerge w:val="restart"/>
            <w:tcBorders>
              <w:top w:val="single" w:sz="13" w:space="0" w:color="FFFFFF"/>
              <w:left w:val="single" w:sz="4" w:space="0" w:color="000000"/>
              <w:right w:val="single" w:sz="4" w:space="0" w:color="000000"/>
            </w:tcBorders>
            <w:shd w:val="clear" w:color="auto" w:fill="D4D4D4"/>
          </w:tcPr>
          <w:p>
            <w:pPr/>
          </w:p>
        </w:tc>
        <w:tc>
          <w:tcPr>
            <w:tcW w:w="842" w:type="dxa"/>
            <w:tcBorders>
              <w:top w:val="single" w:sz="13" w:space="0" w:color="FFFFFF"/>
              <w:left w:val="single" w:sz="4" w:space="0" w:color="000000"/>
              <w:bottom w:val="nil" w:sz="6" w:space="0" w:color="auto"/>
              <w:right w:val="single" w:sz="4" w:space="0" w:color="000000"/>
            </w:tcBorders>
            <w:shd w:val="clear" w:color="auto" w:fill="D4D4D4"/>
          </w:tcPr>
          <w:p>
            <w:pPr>
              <w:pStyle w:val="TableParagraph"/>
              <w:spacing w:line="207" w:lineRule="exact"/>
              <w:ind w:left="206"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845" w:type="dxa"/>
            <w:tcBorders>
              <w:top w:val="single" w:sz="13" w:space="0" w:color="FFFFFF"/>
              <w:left w:val="single" w:sz="4" w:space="0" w:color="000000"/>
              <w:bottom w:val="nil" w:sz="6" w:space="0" w:color="auto"/>
              <w:right w:val="single" w:sz="4" w:space="0" w:color="000000"/>
            </w:tcBorders>
            <w:shd w:val="clear" w:color="auto" w:fill="D4D4D4"/>
          </w:tcPr>
          <w:p>
            <w:pPr>
              <w:pStyle w:val="TableParagraph"/>
              <w:spacing w:line="207" w:lineRule="exact"/>
              <w:ind w:left="206"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845" w:type="dxa"/>
            <w:vMerge/>
            <w:tcBorders>
              <w:left w:val="single" w:sz="4" w:space="0" w:color="000000"/>
              <w:right w:val="single" w:sz="4" w:space="0" w:color="000000"/>
            </w:tcBorders>
            <w:shd w:val="clear" w:color="auto" w:fill="D4D4D4"/>
          </w:tcPr>
          <w:p>
            <w:pPr/>
          </w:p>
        </w:tc>
        <w:tc>
          <w:tcPr>
            <w:tcW w:w="842"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842" w:type="dxa"/>
            <w:vMerge/>
            <w:tcBorders>
              <w:left w:val="single" w:sz="4" w:space="0" w:color="000000"/>
              <w:right w:val="single" w:sz="4" w:space="0" w:color="000000"/>
            </w:tcBorders>
            <w:shd w:val="clear" w:color="auto" w:fill="D4D4D4"/>
          </w:tcPr>
          <w:p>
            <w:pPr/>
          </w:p>
        </w:tc>
        <w:tc>
          <w:tcPr>
            <w:tcW w:w="842"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07" w:lineRule="exact"/>
              <w:ind w:left="20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84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07" w:lineRule="exact"/>
              <w:ind w:left="208"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81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07" w:lineRule="exact"/>
              <w:ind w:left="191"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81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07" w:lineRule="exact"/>
              <w:ind w:left="2" w:right="0"/>
              <w:jc w:val="center"/>
              <w:rPr>
                <w:rFonts w:ascii="宋体" w:hAnsi="宋体" w:cs="宋体" w:eastAsia="宋体" w:hint="default"/>
                <w:sz w:val="21"/>
                <w:szCs w:val="21"/>
              </w:rPr>
            </w:pPr>
            <w:r>
              <w:rPr>
                <w:rFonts w:ascii="宋体" w:hAnsi="宋体" w:cs="宋体" w:eastAsia="宋体" w:hint="default"/>
                <w:sz w:val="21"/>
                <w:szCs w:val="21"/>
              </w:rPr>
              <w:t>比例</w:t>
            </w:r>
          </w:p>
        </w:tc>
      </w:tr>
      <w:tr>
        <w:trPr>
          <w:trHeight w:val="142" w:hRule="exact"/>
        </w:trPr>
        <w:tc>
          <w:tcPr>
            <w:tcW w:w="2033" w:type="dxa"/>
            <w:vMerge/>
            <w:tcBorders>
              <w:left w:val="single" w:sz="4" w:space="0" w:color="000000"/>
              <w:bottom w:val="single" w:sz="4" w:space="0" w:color="000000"/>
              <w:right w:val="single" w:sz="4" w:space="0" w:color="000000"/>
            </w:tcBorders>
            <w:shd w:val="clear" w:color="auto" w:fill="D4D4D4"/>
          </w:tcPr>
          <w:p>
            <w:pPr/>
          </w:p>
        </w:tc>
        <w:tc>
          <w:tcPr>
            <w:tcW w:w="842" w:type="dxa"/>
            <w:tcBorders>
              <w:top w:val="nil" w:sz="6" w:space="0" w:color="auto"/>
              <w:left w:val="single" w:sz="4" w:space="0" w:color="000000"/>
              <w:bottom w:val="single" w:sz="4" w:space="0" w:color="000000"/>
              <w:right w:val="single" w:sz="4" w:space="0" w:color="000000"/>
            </w:tcBorders>
            <w:shd w:val="clear" w:color="auto" w:fill="D4D4D4"/>
          </w:tcPr>
          <w:p>
            <w:pPr/>
          </w:p>
        </w:tc>
        <w:tc>
          <w:tcPr>
            <w:tcW w:w="845" w:type="dxa"/>
            <w:tcBorders>
              <w:top w:val="nil" w:sz="6" w:space="0" w:color="auto"/>
              <w:left w:val="single" w:sz="4" w:space="0" w:color="000000"/>
              <w:bottom w:val="single" w:sz="4" w:space="0" w:color="000000"/>
              <w:right w:val="single" w:sz="4" w:space="0" w:color="000000"/>
            </w:tcBorders>
            <w:shd w:val="clear" w:color="auto" w:fill="D4D4D4"/>
          </w:tcPr>
          <w:p>
            <w:pPr/>
          </w:p>
        </w:tc>
        <w:tc>
          <w:tcPr>
            <w:tcW w:w="845" w:type="dxa"/>
            <w:vMerge/>
            <w:tcBorders>
              <w:left w:val="single" w:sz="4" w:space="0" w:color="000000"/>
              <w:bottom w:val="single" w:sz="4" w:space="0" w:color="000000"/>
              <w:right w:val="single" w:sz="4" w:space="0" w:color="000000"/>
            </w:tcBorders>
            <w:shd w:val="clear" w:color="auto" w:fill="D4D4D4"/>
          </w:tcPr>
          <w:p>
            <w:pPr/>
          </w:p>
        </w:tc>
        <w:tc>
          <w:tcPr>
            <w:tcW w:w="842" w:type="dxa"/>
            <w:tcBorders>
              <w:top w:val="nil" w:sz="6" w:space="0" w:color="auto"/>
              <w:left w:val="single" w:sz="4" w:space="0" w:color="000000"/>
              <w:bottom w:val="single" w:sz="4" w:space="0" w:color="000000"/>
              <w:right w:val="single" w:sz="4" w:space="0" w:color="000000"/>
            </w:tcBorders>
            <w:shd w:val="clear" w:color="auto" w:fill="D4D4D4"/>
          </w:tcPr>
          <w:p>
            <w:pPr/>
          </w:p>
        </w:tc>
        <w:tc>
          <w:tcPr>
            <w:tcW w:w="842" w:type="dxa"/>
            <w:vMerge/>
            <w:tcBorders>
              <w:left w:val="single" w:sz="4" w:space="0" w:color="000000"/>
              <w:bottom w:val="single" w:sz="4" w:space="0" w:color="000000"/>
              <w:right w:val="single" w:sz="4" w:space="0" w:color="000000"/>
            </w:tcBorders>
            <w:shd w:val="clear" w:color="auto" w:fill="D4D4D4"/>
          </w:tcPr>
          <w:p>
            <w:pPr/>
          </w:p>
        </w:tc>
        <w:tc>
          <w:tcPr>
            <w:tcW w:w="842" w:type="dxa"/>
            <w:tcBorders>
              <w:top w:val="nil" w:sz="6" w:space="0" w:color="auto"/>
              <w:left w:val="single" w:sz="4" w:space="0" w:color="000000"/>
              <w:bottom w:val="single" w:sz="4" w:space="0" w:color="000000"/>
              <w:right w:val="single" w:sz="4" w:space="0" w:color="000000"/>
            </w:tcBorders>
            <w:shd w:val="clear" w:color="auto" w:fill="D4D4D4"/>
          </w:tcPr>
          <w:p>
            <w:pPr/>
          </w:p>
        </w:tc>
        <w:tc>
          <w:tcPr>
            <w:tcW w:w="845" w:type="dxa"/>
            <w:tcBorders>
              <w:top w:val="nil" w:sz="6" w:space="0" w:color="auto"/>
              <w:left w:val="single" w:sz="4" w:space="0" w:color="000000"/>
              <w:bottom w:val="single" w:sz="4" w:space="0" w:color="000000"/>
              <w:right w:val="single" w:sz="4" w:space="0" w:color="000000"/>
            </w:tcBorders>
            <w:shd w:val="clear" w:color="auto" w:fill="D4D4D4"/>
          </w:tcPr>
          <w:p>
            <w:pPr/>
          </w:p>
        </w:tc>
        <w:tc>
          <w:tcPr>
            <w:tcW w:w="814" w:type="dxa"/>
            <w:tcBorders>
              <w:top w:val="nil" w:sz="6" w:space="0" w:color="auto"/>
              <w:left w:val="single" w:sz="4" w:space="0" w:color="000000"/>
              <w:bottom w:val="single" w:sz="4" w:space="0" w:color="000000"/>
              <w:right w:val="single" w:sz="4" w:space="0" w:color="000000"/>
            </w:tcBorders>
            <w:shd w:val="clear" w:color="auto" w:fill="D4D4D4"/>
          </w:tcPr>
          <w:p>
            <w:pPr/>
          </w:p>
        </w:tc>
        <w:tc>
          <w:tcPr>
            <w:tcW w:w="814"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108" w:hRule="exact"/>
        </w:trPr>
        <w:tc>
          <w:tcPr>
            <w:tcW w:w="2033" w:type="dxa"/>
            <w:tcBorders>
              <w:top w:val="single" w:sz="4" w:space="0" w:color="000000"/>
              <w:left w:val="single" w:sz="4" w:space="0" w:color="000000"/>
              <w:bottom w:val="nil" w:sz="6" w:space="0" w:color="auto"/>
              <w:right w:val="single" w:sz="4" w:space="0" w:color="000000"/>
            </w:tcBorders>
            <w:shd w:val="clear" w:color="auto" w:fill="D4D4D4"/>
          </w:tcPr>
          <w:p>
            <w:pPr/>
          </w:p>
        </w:tc>
        <w:tc>
          <w:tcPr>
            <w:tcW w:w="842" w:type="dxa"/>
            <w:vMerge w:val="restart"/>
            <w:tcBorders>
              <w:top w:val="single" w:sz="4" w:space="0" w:color="000000"/>
              <w:left w:val="single" w:sz="10" w:space="0" w:color="D4D4D4"/>
              <w:right w:val="single" w:sz="4" w:space="0" w:color="000000"/>
            </w:tcBorders>
          </w:tcPr>
          <w:p>
            <w:pPr>
              <w:pStyle w:val="TableParagraph"/>
              <w:spacing w:line="234" w:lineRule="exact"/>
              <w:ind w:right="17"/>
              <w:jc w:val="right"/>
              <w:rPr>
                <w:rFonts w:ascii="Times New Roman" w:hAnsi="Times New Roman" w:cs="Times New Roman" w:eastAsia="Times New Roman" w:hint="default"/>
                <w:sz w:val="21"/>
                <w:szCs w:val="21"/>
              </w:rPr>
            </w:pPr>
            <w:r>
              <w:rPr>
                <w:rFonts w:ascii="Times New Roman"/>
                <w:spacing w:val="-1"/>
                <w:sz w:val="21"/>
              </w:rPr>
              <w:t>51,335,9</w:t>
            </w:r>
          </w:p>
          <w:p>
            <w:pPr>
              <w:pStyle w:val="TableParagraph"/>
              <w:spacing w:line="241" w:lineRule="exact"/>
              <w:ind w:right="19"/>
              <w:jc w:val="right"/>
              <w:rPr>
                <w:rFonts w:ascii="Times New Roman" w:hAnsi="Times New Roman" w:cs="Times New Roman" w:eastAsia="Times New Roman" w:hint="default"/>
                <w:sz w:val="21"/>
                <w:szCs w:val="21"/>
              </w:rPr>
            </w:pPr>
            <w:r>
              <w:rPr>
                <w:rFonts w:ascii="Times New Roman"/>
                <w:sz w:val="21"/>
              </w:rPr>
              <w:t>50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13"/>
              <w:ind w:left="163" w:right="0"/>
              <w:jc w:val="left"/>
              <w:rPr>
                <w:rFonts w:ascii="Times New Roman" w:hAnsi="Times New Roman" w:cs="Times New Roman" w:eastAsia="Times New Roman" w:hint="default"/>
                <w:sz w:val="21"/>
                <w:szCs w:val="21"/>
              </w:rPr>
            </w:pPr>
            <w:r>
              <w:rPr>
                <w:rFonts w:ascii="Times New Roman"/>
                <w:sz w:val="21"/>
              </w:rPr>
              <w:t>58.34%</w:t>
            </w:r>
          </w:p>
        </w:tc>
        <w:tc>
          <w:tcPr>
            <w:tcW w:w="845"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34" w:lineRule="exact"/>
              <w:ind w:right="17"/>
              <w:jc w:val="right"/>
              <w:rPr>
                <w:rFonts w:ascii="Times New Roman" w:hAnsi="Times New Roman" w:cs="Times New Roman" w:eastAsia="Times New Roman" w:hint="default"/>
                <w:sz w:val="21"/>
                <w:szCs w:val="21"/>
              </w:rPr>
            </w:pPr>
            <w:r>
              <w:rPr>
                <w:rFonts w:ascii="Times New Roman"/>
                <w:spacing w:val="-1"/>
                <w:sz w:val="21"/>
              </w:rPr>
              <w:t>30,934,5</w:t>
            </w:r>
          </w:p>
          <w:p>
            <w:pPr>
              <w:pStyle w:val="TableParagraph"/>
              <w:spacing w:line="241" w:lineRule="exact"/>
              <w:ind w:right="19"/>
              <w:jc w:val="right"/>
              <w:rPr>
                <w:rFonts w:ascii="Times New Roman" w:hAnsi="Times New Roman" w:cs="Times New Roman" w:eastAsia="Times New Roman" w:hint="default"/>
                <w:sz w:val="21"/>
                <w:szCs w:val="21"/>
              </w:rPr>
            </w:pPr>
            <w:r>
              <w:rPr>
                <w:rFonts w:ascii="Times New Roman"/>
                <w:sz w:val="21"/>
              </w:rPr>
              <w:t>42</w:t>
            </w:r>
          </w:p>
        </w:tc>
        <w:tc>
          <w:tcPr>
            <w:tcW w:w="842" w:type="dxa"/>
            <w:vMerge w:val="restart"/>
            <w:tcBorders>
              <w:top w:val="single" w:sz="4" w:space="0" w:color="000000"/>
              <w:left w:val="single" w:sz="4" w:space="0" w:color="000000"/>
              <w:right w:val="single" w:sz="4" w:space="0" w:color="000000"/>
            </w:tcBorders>
          </w:tcPr>
          <w:p>
            <w:pPr>
              <w:pStyle w:val="TableParagraph"/>
              <w:spacing w:line="234" w:lineRule="exact"/>
              <w:ind w:left="110" w:right="0"/>
              <w:jc w:val="left"/>
              <w:rPr>
                <w:rFonts w:ascii="Times New Roman" w:hAnsi="Times New Roman" w:cs="Times New Roman" w:eastAsia="Times New Roman" w:hint="default"/>
                <w:sz w:val="21"/>
                <w:szCs w:val="21"/>
              </w:rPr>
            </w:pPr>
            <w:r>
              <w:rPr>
                <w:rFonts w:ascii="Times New Roman"/>
                <w:sz w:val="21"/>
              </w:rPr>
              <w:t>-12,667,</w:t>
            </w:r>
          </w:p>
          <w:p>
            <w:pPr>
              <w:pStyle w:val="TableParagraph"/>
              <w:spacing w:line="241" w:lineRule="exact"/>
              <w:ind w:left="496" w:right="0"/>
              <w:jc w:val="left"/>
              <w:rPr>
                <w:rFonts w:ascii="Times New Roman" w:hAnsi="Times New Roman" w:cs="Times New Roman" w:eastAsia="Times New Roman" w:hint="default"/>
                <w:sz w:val="21"/>
                <w:szCs w:val="21"/>
              </w:rPr>
            </w:pPr>
            <w:r>
              <w:rPr>
                <w:rFonts w:ascii="Times New Roman"/>
                <w:sz w:val="21"/>
              </w:rPr>
              <w:t>773</w:t>
            </w:r>
          </w:p>
        </w:tc>
        <w:tc>
          <w:tcPr>
            <w:tcW w:w="845" w:type="dxa"/>
            <w:vMerge w:val="restart"/>
            <w:tcBorders>
              <w:top w:val="single" w:sz="4" w:space="0" w:color="000000"/>
              <w:left w:val="single" w:sz="4" w:space="0" w:color="000000"/>
              <w:right w:val="single" w:sz="4" w:space="0" w:color="000000"/>
            </w:tcBorders>
          </w:tcPr>
          <w:p>
            <w:pPr>
              <w:pStyle w:val="TableParagraph"/>
              <w:spacing w:line="234" w:lineRule="exact"/>
              <w:ind w:right="17"/>
              <w:jc w:val="right"/>
              <w:rPr>
                <w:rFonts w:ascii="Times New Roman" w:hAnsi="Times New Roman" w:cs="Times New Roman" w:eastAsia="Times New Roman" w:hint="default"/>
                <w:sz w:val="21"/>
                <w:szCs w:val="21"/>
              </w:rPr>
            </w:pPr>
            <w:r>
              <w:rPr>
                <w:rFonts w:ascii="Times New Roman"/>
                <w:spacing w:val="-1"/>
                <w:sz w:val="21"/>
              </w:rPr>
              <w:t>18,266,7</w:t>
            </w:r>
          </w:p>
          <w:p>
            <w:pPr>
              <w:pStyle w:val="TableParagraph"/>
              <w:spacing w:line="241" w:lineRule="exact"/>
              <w:ind w:right="19"/>
              <w:jc w:val="right"/>
              <w:rPr>
                <w:rFonts w:ascii="Times New Roman" w:hAnsi="Times New Roman" w:cs="Times New Roman" w:eastAsia="Times New Roman" w:hint="default"/>
                <w:sz w:val="21"/>
                <w:szCs w:val="21"/>
              </w:rPr>
            </w:pPr>
            <w:r>
              <w:rPr>
                <w:rFonts w:ascii="Times New Roman"/>
                <w:sz w:val="21"/>
              </w:rPr>
              <w:t>69</w:t>
            </w:r>
          </w:p>
        </w:tc>
        <w:tc>
          <w:tcPr>
            <w:tcW w:w="814" w:type="dxa"/>
            <w:vMerge w:val="restart"/>
            <w:tcBorders>
              <w:top w:val="single" w:sz="4" w:space="0" w:color="000000"/>
              <w:left w:val="single" w:sz="4" w:space="0" w:color="000000"/>
              <w:right w:val="single" w:sz="4" w:space="0" w:color="000000"/>
            </w:tcBorders>
          </w:tcPr>
          <w:p>
            <w:pPr>
              <w:pStyle w:val="TableParagraph"/>
              <w:spacing w:line="234" w:lineRule="exact"/>
              <w:ind w:right="17"/>
              <w:jc w:val="right"/>
              <w:rPr>
                <w:rFonts w:ascii="Times New Roman" w:hAnsi="Times New Roman" w:cs="Times New Roman" w:eastAsia="Times New Roman" w:hint="default"/>
                <w:sz w:val="21"/>
                <w:szCs w:val="21"/>
              </w:rPr>
            </w:pPr>
            <w:r>
              <w:rPr>
                <w:rFonts w:ascii="Times New Roman"/>
                <w:spacing w:val="-1"/>
                <w:sz w:val="21"/>
              </w:rPr>
              <w:t>69,602,7</w:t>
            </w:r>
          </w:p>
          <w:p>
            <w:pPr>
              <w:pStyle w:val="TableParagraph"/>
              <w:spacing w:line="241" w:lineRule="exact"/>
              <w:ind w:right="19"/>
              <w:jc w:val="right"/>
              <w:rPr>
                <w:rFonts w:ascii="Times New Roman" w:hAnsi="Times New Roman" w:cs="Times New Roman" w:eastAsia="Times New Roman" w:hint="default"/>
                <w:sz w:val="21"/>
                <w:szCs w:val="21"/>
              </w:rPr>
            </w:pPr>
            <w:r>
              <w:rPr>
                <w:rFonts w:ascii="Times New Roman"/>
                <w:sz w:val="21"/>
              </w:rPr>
              <w:t>19</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13"/>
              <w:ind w:left="134" w:right="0"/>
              <w:jc w:val="left"/>
              <w:rPr>
                <w:rFonts w:ascii="Times New Roman" w:hAnsi="Times New Roman" w:cs="Times New Roman" w:eastAsia="Times New Roman" w:hint="default"/>
                <w:sz w:val="21"/>
                <w:szCs w:val="21"/>
              </w:rPr>
            </w:pPr>
            <w:r>
              <w:rPr>
                <w:rFonts w:ascii="Times New Roman"/>
                <w:sz w:val="21"/>
              </w:rPr>
              <w:t>43.94%</w:t>
            </w:r>
          </w:p>
        </w:tc>
      </w:tr>
      <w:tr>
        <w:trPr>
          <w:trHeight w:val="384" w:hRule="exact"/>
        </w:trPr>
        <w:tc>
          <w:tcPr>
            <w:tcW w:w="2033" w:type="dxa"/>
            <w:tcBorders>
              <w:top w:val="nil" w:sz="6" w:space="0" w:color="auto"/>
              <w:left w:val="single" w:sz="4" w:space="0" w:color="000000"/>
              <w:bottom w:val="single" w:sz="4" w:space="0" w:color="000000"/>
              <w:right w:val="single" w:sz="4" w:space="0" w:color="000000"/>
            </w:tcBorders>
            <w:shd w:val="clear" w:color="auto" w:fill="D4D4D4"/>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一、有限售条件股份</w:t>
            </w:r>
          </w:p>
        </w:tc>
        <w:tc>
          <w:tcPr>
            <w:tcW w:w="842" w:type="dxa"/>
            <w:vMerge/>
            <w:tcBorders>
              <w:left w:val="single" w:sz="10" w:space="0" w:color="D4D4D4"/>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10" w:hRule="exact"/>
        </w:trPr>
        <w:tc>
          <w:tcPr>
            <w:tcW w:w="2033" w:type="dxa"/>
            <w:tcBorders>
              <w:top w:val="single" w:sz="4" w:space="0" w:color="000000"/>
              <w:left w:val="single" w:sz="4" w:space="0" w:color="000000"/>
              <w:bottom w:val="nil" w:sz="6" w:space="0" w:color="auto"/>
              <w:right w:val="single" w:sz="4" w:space="0" w:color="000000"/>
            </w:tcBorders>
            <w:shd w:val="clear" w:color="auto" w:fill="D4D4D4"/>
          </w:tcPr>
          <w:p>
            <w:pPr/>
          </w:p>
        </w:tc>
        <w:tc>
          <w:tcPr>
            <w:tcW w:w="842" w:type="dxa"/>
            <w:vMerge w:val="restart"/>
            <w:tcBorders>
              <w:top w:val="single" w:sz="4" w:space="0" w:color="000000"/>
              <w:left w:val="single" w:sz="10" w:space="0" w:color="D4D4D4"/>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51,335,9</w:t>
            </w:r>
          </w:p>
          <w:p>
            <w:pPr>
              <w:pStyle w:val="TableParagraph"/>
              <w:spacing w:line="240" w:lineRule="auto" w:before="1"/>
              <w:ind w:right="19"/>
              <w:jc w:val="right"/>
              <w:rPr>
                <w:rFonts w:ascii="Times New Roman" w:hAnsi="Times New Roman" w:cs="Times New Roman" w:eastAsia="Times New Roman" w:hint="default"/>
                <w:sz w:val="21"/>
                <w:szCs w:val="21"/>
              </w:rPr>
            </w:pPr>
            <w:r>
              <w:rPr>
                <w:rFonts w:ascii="Times New Roman"/>
                <w:sz w:val="21"/>
              </w:rPr>
              <w:t>50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13"/>
              <w:ind w:left="163" w:right="0"/>
              <w:jc w:val="left"/>
              <w:rPr>
                <w:rFonts w:ascii="Times New Roman" w:hAnsi="Times New Roman" w:cs="Times New Roman" w:eastAsia="Times New Roman" w:hint="default"/>
                <w:sz w:val="21"/>
                <w:szCs w:val="21"/>
              </w:rPr>
            </w:pPr>
            <w:r>
              <w:rPr>
                <w:rFonts w:ascii="Times New Roman"/>
                <w:sz w:val="21"/>
              </w:rPr>
              <w:t>58.34%</w:t>
            </w:r>
          </w:p>
        </w:tc>
        <w:tc>
          <w:tcPr>
            <w:tcW w:w="845"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30,934,5</w:t>
            </w:r>
          </w:p>
          <w:p>
            <w:pPr>
              <w:pStyle w:val="TableParagraph"/>
              <w:spacing w:line="240" w:lineRule="auto" w:before="1"/>
              <w:ind w:right="19"/>
              <w:jc w:val="right"/>
              <w:rPr>
                <w:rFonts w:ascii="Times New Roman" w:hAnsi="Times New Roman" w:cs="Times New Roman" w:eastAsia="Times New Roman" w:hint="default"/>
                <w:sz w:val="21"/>
                <w:szCs w:val="21"/>
              </w:rPr>
            </w:pPr>
            <w:r>
              <w:rPr>
                <w:rFonts w:ascii="Times New Roman"/>
                <w:sz w:val="21"/>
              </w:rPr>
              <w:t>42</w:t>
            </w:r>
          </w:p>
        </w:tc>
        <w:tc>
          <w:tcPr>
            <w:tcW w:w="842" w:type="dxa"/>
            <w:vMerge w:val="restart"/>
            <w:tcBorders>
              <w:top w:val="single" w:sz="4" w:space="0" w:color="000000"/>
              <w:left w:val="single" w:sz="4" w:space="0" w:color="000000"/>
              <w:right w:val="single" w:sz="4" w:space="0" w:color="000000"/>
            </w:tcBorders>
          </w:tcPr>
          <w:p>
            <w:pPr>
              <w:pStyle w:val="TableParagraph"/>
              <w:spacing w:line="235" w:lineRule="exact"/>
              <w:ind w:left="110" w:right="0"/>
              <w:jc w:val="left"/>
              <w:rPr>
                <w:rFonts w:ascii="Times New Roman" w:hAnsi="Times New Roman" w:cs="Times New Roman" w:eastAsia="Times New Roman" w:hint="default"/>
                <w:sz w:val="21"/>
                <w:szCs w:val="21"/>
              </w:rPr>
            </w:pPr>
            <w:r>
              <w:rPr>
                <w:rFonts w:ascii="Times New Roman"/>
                <w:sz w:val="21"/>
              </w:rPr>
              <w:t>-12,667,</w:t>
            </w:r>
          </w:p>
          <w:p>
            <w:pPr>
              <w:pStyle w:val="TableParagraph"/>
              <w:spacing w:line="240" w:lineRule="auto" w:before="1"/>
              <w:ind w:left="496" w:right="0"/>
              <w:jc w:val="left"/>
              <w:rPr>
                <w:rFonts w:ascii="Times New Roman" w:hAnsi="Times New Roman" w:cs="Times New Roman" w:eastAsia="Times New Roman" w:hint="default"/>
                <w:sz w:val="21"/>
                <w:szCs w:val="21"/>
              </w:rPr>
            </w:pPr>
            <w:r>
              <w:rPr>
                <w:rFonts w:ascii="Times New Roman"/>
                <w:sz w:val="21"/>
              </w:rPr>
              <w:t>773</w:t>
            </w:r>
          </w:p>
        </w:tc>
        <w:tc>
          <w:tcPr>
            <w:tcW w:w="845" w:type="dxa"/>
            <w:vMerge w:val="restart"/>
            <w:tcBorders>
              <w:top w:val="single" w:sz="4" w:space="0" w:color="000000"/>
              <w:left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18,266,7</w:t>
            </w:r>
          </w:p>
          <w:p>
            <w:pPr>
              <w:pStyle w:val="TableParagraph"/>
              <w:spacing w:line="240" w:lineRule="auto" w:before="1"/>
              <w:ind w:right="19"/>
              <w:jc w:val="right"/>
              <w:rPr>
                <w:rFonts w:ascii="Times New Roman" w:hAnsi="Times New Roman" w:cs="Times New Roman" w:eastAsia="Times New Roman" w:hint="default"/>
                <w:sz w:val="21"/>
                <w:szCs w:val="21"/>
              </w:rPr>
            </w:pPr>
            <w:r>
              <w:rPr>
                <w:rFonts w:ascii="Times New Roman"/>
                <w:sz w:val="21"/>
              </w:rPr>
              <w:t>69</w:t>
            </w:r>
          </w:p>
        </w:tc>
        <w:tc>
          <w:tcPr>
            <w:tcW w:w="814" w:type="dxa"/>
            <w:vMerge w:val="restart"/>
            <w:tcBorders>
              <w:top w:val="single" w:sz="4" w:space="0" w:color="000000"/>
              <w:left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69,602,7</w:t>
            </w:r>
          </w:p>
          <w:p>
            <w:pPr>
              <w:pStyle w:val="TableParagraph"/>
              <w:spacing w:line="240" w:lineRule="auto" w:before="1"/>
              <w:ind w:right="19"/>
              <w:jc w:val="right"/>
              <w:rPr>
                <w:rFonts w:ascii="Times New Roman" w:hAnsi="Times New Roman" w:cs="Times New Roman" w:eastAsia="Times New Roman" w:hint="default"/>
                <w:sz w:val="21"/>
                <w:szCs w:val="21"/>
              </w:rPr>
            </w:pPr>
            <w:r>
              <w:rPr>
                <w:rFonts w:ascii="Times New Roman"/>
                <w:sz w:val="21"/>
              </w:rPr>
              <w:t>19</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13"/>
              <w:ind w:left="134" w:right="0"/>
              <w:jc w:val="left"/>
              <w:rPr>
                <w:rFonts w:ascii="Times New Roman" w:hAnsi="Times New Roman" w:cs="Times New Roman" w:eastAsia="Times New Roman" w:hint="default"/>
                <w:sz w:val="21"/>
                <w:szCs w:val="21"/>
              </w:rPr>
            </w:pPr>
            <w:r>
              <w:rPr>
                <w:rFonts w:ascii="Times New Roman"/>
                <w:sz w:val="21"/>
              </w:rPr>
              <w:t>43.94%</w:t>
            </w:r>
          </w:p>
        </w:tc>
      </w:tr>
      <w:tr>
        <w:trPr>
          <w:trHeight w:val="382" w:hRule="exact"/>
        </w:trPr>
        <w:tc>
          <w:tcPr>
            <w:tcW w:w="2033" w:type="dxa"/>
            <w:tcBorders>
              <w:top w:val="nil" w:sz="6" w:space="0" w:color="auto"/>
              <w:left w:val="single" w:sz="4" w:space="0" w:color="000000"/>
              <w:bottom w:val="single" w:sz="4" w:space="0" w:color="000000"/>
              <w:right w:val="single" w:sz="4" w:space="0" w:color="000000"/>
            </w:tcBorders>
            <w:shd w:val="clear" w:color="auto" w:fill="D4D4D4"/>
          </w:tcPr>
          <w:p>
            <w:pPr>
              <w:pStyle w:val="TableParagraph"/>
              <w:spacing w:line="25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、其他内资持股</w:t>
            </w:r>
          </w:p>
        </w:tc>
        <w:tc>
          <w:tcPr>
            <w:tcW w:w="842" w:type="dxa"/>
            <w:vMerge/>
            <w:tcBorders>
              <w:left w:val="single" w:sz="10" w:space="0" w:color="D4D4D4"/>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557" w:hRule="exact"/>
        </w:trPr>
        <w:tc>
          <w:tcPr>
            <w:tcW w:w="203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exact"/>
              <w:ind w:left="655" w:right="0"/>
              <w:jc w:val="left"/>
              <w:rPr>
                <w:rFonts w:ascii="宋体" w:hAnsi="宋体" w:cs="宋体" w:eastAsia="宋体" w:hint="default"/>
                <w:sz w:val="21"/>
                <w:szCs w:val="21"/>
              </w:rPr>
            </w:pPr>
            <w:r>
              <w:rPr>
                <w:rFonts w:ascii="宋体" w:hAnsi="宋体" w:cs="宋体" w:eastAsia="宋体" w:hint="default"/>
                <w:sz w:val="21"/>
                <w:szCs w:val="21"/>
              </w:rPr>
              <w:t>境内自然人持</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股</w:t>
            </w:r>
          </w:p>
        </w:tc>
        <w:tc>
          <w:tcPr>
            <w:tcW w:w="842" w:type="dxa"/>
            <w:tcBorders>
              <w:top w:val="single" w:sz="4" w:space="0" w:color="000000"/>
              <w:left w:val="single" w:sz="10" w:space="0" w:color="D4D4D4"/>
              <w:bottom w:val="single" w:sz="4" w:space="0" w:color="000000"/>
              <w:right w:val="single" w:sz="4" w:space="0" w:color="000000"/>
            </w:tcBorders>
          </w:tcPr>
          <w:p>
            <w:pPr>
              <w:pStyle w:val="TableParagraph"/>
              <w:spacing w:line="241" w:lineRule="exact" w:before="27"/>
              <w:ind w:right="17"/>
              <w:jc w:val="right"/>
              <w:rPr>
                <w:rFonts w:ascii="Times New Roman" w:hAnsi="Times New Roman" w:cs="Times New Roman" w:eastAsia="Times New Roman" w:hint="default"/>
                <w:sz w:val="21"/>
                <w:szCs w:val="21"/>
              </w:rPr>
            </w:pPr>
            <w:r>
              <w:rPr>
                <w:rFonts w:ascii="Times New Roman"/>
                <w:spacing w:val="-1"/>
                <w:sz w:val="21"/>
              </w:rPr>
              <w:t>51,335,9</w:t>
            </w:r>
          </w:p>
          <w:p>
            <w:pPr>
              <w:pStyle w:val="TableParagraph"/>
              <w:spacing w:line="241" w:lineRule="exact"/>
              <w:ind w:right="19"/>
              <w:jc w:val="right"/>
              <w:rPr>
                <w:rFonts w:ascii="Times New Roman" w:hAnsi="Times New Roman" w:cs="Times New Roman" w:eastAsia="Times New Roman" w:hint="default"/>
                <w:sz w:val="21"/>
                <w:szCs w:val="21"/>
              </w:rPr>
            </w:pPr>
            <w:r>
              <w:rPr>
                <w:rFonts w:ascii="Times New Roman"/>
                <w:sz w:val="21"/>
              </w:rPr>
              <w:t>50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63" w:right="0"/>
              <w:jc w:val="left"/>
              <w:rPr>
                <w:rFonts w:ascii="Times New Roman" w:hAnsi="Times New Roman" w:cs="Times New Roman" w:eastAsia="Times New Roman" w:hint="default"/>
                <w:sz w:val="21"/>
                <w:szCs w:val="21"/>
              </w:rPr>
            </w:pPr>
            <w:r>
              <w:rPr>
                <w:rFonts w:ascii="Times New Roman"/>
                <w:sz w:val="21"/>
              </w:rPr>
              <w:t>58.34%</w:t>
            </w:r>
          </w:p>
        </w:tc>
        <w:tc>
          <w:tcPr>
            <w:tcW w:w="845"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7"/>
              <w:ind w:right="17"/>
              <w:jc w:val="right"/>
              <w:rPr>
                <w:rFonts w:ascii="Times New Roman" w:hAnsi="Times New Roman" w:cs="Times New Roman" w:eastAsia="Times New Roman" w:hint="default"/>
                <w:sz w:val="21"/>
                <w:szCs w:val="21"/>
              </w:rPr>
            </w:pPr>
            <w:r>
              <w:rPr>
                <w:rFonts w:ascii="Times New Roman"/>
                <w:spacing w:val="-1"/>
                <w:sz w:val="21"/>
              </w:rPr>
              <w:t>30,934,5</w:t>
            </w:r>
          </w:p>
          <w:p>
            <w:pPr>
              <w:pStyle w:val="TableParagraph"/>
              <w:spacing w:line="241" w:lineRule="exact"/>
              <w:ind w:right="19"/>
              <w:jc w:val="right"/>
              <w:rPr>
                <w:rFonts w:ascii="Times New Roman" w:hAnsi="Times New Roman" w:cs="Times New Roman" w:eastAsia="Times New Roman" w:hint="default"/>
                <w:sz w:val="21"/>
                <w:szCs w:val="21"/>
              </w:rPr>
            </w:pPr>
            <w:r>
              <w:rPr>
                <w:rFonts w:ascii="Times New Roman"/>
                <w:sz w:val="21"/>
              </w:rPr>
              <w:t>42</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7"/>
              <w:ind w:left="110" w:right="0"/>
              <w:jc w:val="left"/>
              <w:rPr>
                <w:rFonts w:ascii="Times New Roman" w:hAnsi="Times New Roman" w:cs="Times New Roman" w:eastAsia="Times New Roman" w:hint="default"/>
                <w:sz w:val="21"/>
                <w:szCs w:val="21"/>
              </w:rPr>
            </w:pPr>
            <w:r>
              <w:rPr>
                <w:rFonts w:ascii="Times New Roman"/>
                <w:sz w:val="21"/>
              </w:rPr>
              <w:t>-12,667,</w:t>
            </w:r>
          </w:p>
          <w:p>
            <w:pPr>
              <w:pStyle w:val="TableParagraph"/>
              <w:spacing w:line="241" w:lineRule="exact"/>
              <w:ind w:left="496" w:right="0"/>
              <w:jc w:val="left"/>
              <w:rPr>
                <w:rFonts w:ascii="Times New Roman" w:hAnsi="Times New Roman" w:cs="Times New Roman" w:eastAsia="Times New Roman" w:hint="default"/>
                <w:sz w:val="21"/>
                <w:szCs w:val="21"/>
              </w:rPr>
            </w:pPr>
            <w:r>
              <w:rPr>
                <w:rFonts w:ascii="Times New Roman"/>
                <w:sz w:val="21"/>
              </w:rPr>
              <w:t>773</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7"/>
              <w:ind w:right="17"/>
              <w:jc w:val="right"/>
              <w:rPr>
                <w:rFonts w:ascii="Times New Roman" w:hAnsi="Times New Roman" w:cs="Times New Roman" w:eastAsia="Times New Roman" w:hint="default"/>
                <w:sz w:val="21"/>
                <w:szCs w:val="21"/>
              </w:rPr>
            </w:pPr>
            <w:r>
              <w:rPr>
                <w:rFonts w:ascii="Times New Roman"/>
                <w:spacing w:val="-1"/>
                <w:sz w:val="21"/>
              </w:rPr>
              <w:t>18,266,7</w:t>
            </w:r>
          </w:p>
          <w:p>
            <w:pPr>
              <w:pStyle w:val="TableParagraph"/>
              <w:spacing w:line="241" w:lineRule="exact"/>
              <w:ind w:right="19"/>
              <w:jc w:val="right"/>
              <w:rPr>
                <w:rFonts w:ascii="Times New Roman" w:hAnsi="Times New Roman" w:cs="Times New Roman" w:eastAsia="Times New Roman" w:hint="default"/>
                <w:sz w:val="21"/>
                <w:szCs w:val="21"/>
              </w:rPr>
            </w:pPr>
            <w:r>
              <w:rPr>
                <w:rFonts w:ascii="Times New Roman"/>
                <w:sz w:val="21"/>
              </w:rPr>
              <w:t>69</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7"/>
              <w:ind w:right="17"/>
              <w:jc w:val="right"/>
              <w:rPr>
                <w:rFonts w:ascii="Times New Roman" w:hAnsi="Times New Roman" w:cs="Times New Roman" w:eastAsia="Times New Roman" w:hint="default"/>
                <w:sz w:val="21"/>
                <w:szCs w:val="21"/>
              </w:rPr>
            </w:pPr>
            <w:r>
              <w:rPr>
                <w:rFonts w:ascii="Times New Roman"/>
                <w:spacing w:val="-1"/>
                <w:sz w:val="21"/>
              </w:rPr>
              <w:t>69,602,7</w:t>
            </w:r>
          </w:p>
          <w:p>
            <w:pPr>
              <w:pStyle w:val="TableParagraph"/>
              <w:spacing w:line="241" w:lineRule="exact"/>
              <w:ind w:right="19"/>
              <w:jc w:val="right"/>
              <w:rPr>
                <w:rFonts w:ascii="Times New Roman" w:hAnsi="Times New Roman" w:cs="Times New Roman" w:eastAsia="Times New Roman" w:hint="default"/>
                <w:sz w:val="21"/>
                <w:szCs w:val="21"/>
              </w:rPr>
            </w:pPr>
            <w:r>
              <w:rPr>
                <w:rFonts w:ascii="Times New Roman"/>
                <w:sz w:val="21"/>
              </w:rPr>
              <w:t>19</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15" w:right="0"/>
              <w:jc w:val="center"/>
              <w:rPr>
                <w:rFonts w:ascii="Times New Roman" w:hAnsi="Times New Roman" w:cs="Times New Roman" w:eastAsia="Times New Roman" w:hint="default"/>
                <w:sz w:val="21"/>
                <w:szCs w:val="21"/>
              </w:rPr>
            </w:pPr>
            <w:r>
              <w:rPr>
                <w:rFonts w:ascii="Times New Roman"/>
                <w:sz w:val="21"/>
              </w:rPr>
              <w:t>43.94%</w:t>
            </w:r>
          </w:p>
        </w:tc>
      </w:tr>
      <w:tr>
        <w:trPr>
          <w:trHeight w:val="110" w:hRule="exact"/>
        </w:trPr>
        <w:tc>
          <w:tcPr>
            <w:tcW w:w="2033" w:type="dxa"/>
            <w:tcBorders>
              <w:top w:val="single" w:sz="4" w:space="0" w:color="000000"/>
              <w:left w:val="single" w:sz="4" w:space="0" w:color="000000"/>
              <w:bottom w:val="nil" w:sz="6" w:space="0" w:color="auto"/>
              <w:right w:val="single" w:sz="4" w:space="0" w:color="000000"/>
            </w:tcBorders>
            <w:shd w:val="clear" w:color="auto" w:fill="D4D4D4"/>
          </w:tcPr>
          <w:p>
            <w:pPr/>
          </w:p>
        </w:tc>
        <w:tc>
          <w:tcPr>
            <w:tcW w:w="842" w:type="dxa"/>
            <w:vMerge w:val="restart"/>
            <w:tcBorders>
              <w:top w:val="single" w:sz="4" w:space="0" w:color="000000"/>
              <w:left w:val="single" w:sz="10" w:space="0" w:color="D4D4D4"/>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36,664,0</w:t>
            </w:r>
          </w:p>
          <w:p>
            <w:pPr>
              <w:pStyle w:val="TableParagraph"/>
              <w:spacing w:line="240" w:lineRule="auto" w:before="1"/>
              <w:ind w:right="19"/>
              <w:jc w:val="right"/>
              <w:rPr>
                <w:rFonts w:ascii="Times New Roman" w:hAnsi="Times New Roman" w:cs="Times New Roman" w:eastAsia="Times New Roman" w:hint="default"/>
                <w:sz w:val="21"/>
                <w:szCs w:val="21"/>
              </w:rPr>
            </w:pPr>
            <w:r>
              <w:rPr>
                <w:rFonts w:ascii="Times New Roman"/>
                <w:sz w:val="21"/>
              </w:rPr>
              <w:t>50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13"/>
              <w:ind w:left="163" w:right="0"/>
              <w:jc w:val="left"/>
              <w:rPr>
                <w:rFonts w:ascii="Times New Roman" w:hAnsi="Times New Roman" w:cs="Times New Roman" w:eastAsia="Times New Roman" w:hint="default"/>
                <w:sz w:val="21"/>
                <w:szCs w:val="21"/>
              </w:rPr>
            </w:pPr>
            <w:r>
              <w:rPr>
                <w:rFonts w:ascii="Times New Roman"/>
                <w:sz w:val="21"/>
              </w:rPr>
              <w:t>41.66%</w:t>
            </w:r>
          </w:p>
        </w:tc>
        <w:tc>
          <w:tcPr>
            <w:tcW w:w="845"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39,465,4</w:t>
            </w:r>
          </w:p>
          <w:p>
            <w:pPr>
              <w:pStyle w:val="TableParagraph"/>
              <w:spacing w:line="240" w:lineRule="auto" w:before="1"/>
              <w:ind w:right="19"/>
              <w:jc w:val="right"/>
              <w:rPr>
                <w:rFonts w:ascii="Times New Roman" w:hAnsi="Times New Roman" w:cs="Times New Roman" w:eastAsia="Times New Roman" w:hint="default"/>
                <w:sz w:val="21"/>
                <w:szCs w:val="21"/>
              </w:rPr>
            </w:pPr>
            <w:r>
              <w:rPr>
                <w:rFonts w:ascii="Times New Roman"/>
                <w:sz w:val="21"/>
              </w:rPr>
              <w:t>58</w:t>
            </w:r>
          </w:p>
        </w:tc>
        <w:tc>
          <w:tcPr>
            <w:tcW w:w="842" w:type="dxa"/>
            <w:vMerge w:val="restart"/>
            <w:tcBorders>
              <w:top w:val="single" w:sz="4" w:space="0" w:color="000000"/>
              <w:left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12,667,7</w:t>
            </w:r>
          </w:p>
          <w:p>
            <w:pPr>
              <w:pStyle w:val="TableParagraph"/>
              <w:spacing w:line="240" w:lineRule="auto" w:before="1"/>
              <w:ind w:right="19"/>
              <w:jc w:val="right"/>
              <w:rPr>
                <w:rFonts w:ascii="Times New Roman" w:hAnsi="Times New Roman" w:cs="Times New Roman" w:eastAsia="Times New Roman" w:hint="default"/>
                <w:sz w:val="21"/>
                <w:szCs w:val="21"/>
              </w:rPr>
            </w:pPr>
            <w:r>
              <w:rPr>
                <w:rFonts w:ascii="Times New Roman"/>
                <w:sz w:val="21"/>
              </w:rPr>
              <w:t>73</w:t>
            </w:r>
          </w:p>
        </w:tc>
        <w:tc>
          <w:tcPr>
            <w:tcW w:w="845" w:type="dxa"/>
            <w:vMerge w:val="restart"/>
            <w:tcBorders>
              <w:top w:val="single" w:sz="4" w:space="0" w:color="000000"/>
              <w:left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52,133,2</w:t>
            </w:r>
          </w:p>
          <w:p>
            <w:pPr>
              <w:pStyle w:val="TableParagraph"/>
              <w:spacing w:line="240" w:lineRule="auto" w:before="1"/>
              <w:ind w:right="19"/>
              <w:jc w:val="right"/>
              <w:rPr>
                <w:rFonts w:ascii="Times New Roman" w:hAnsi="Times New Roman" w:cs="Times New Roman" w:eastAsia="Times New Roman" w:hint="default"/>
                <w:sz w:val="21"/>
                <w:szCs w:val="21"/>
              </w:rPr>
            </w:pPr>
            <w:r>
              <w:rPr>
                <w:rFonts w:ascii="Times New Roman"/>
                <w:sz w:val="21"/>
              </w:rPr>
              <w:t>31</w:t>
            </w:r>
          </w:p>
        </w:tc>
        <w:tc>
          <w:tcPr>
            <w:tcW w:w="814" w:type="dxa"/>
            <w:vMerge w:val="restart"/>
            <w:tcBorders>
              <w:top w:val="single" w:sz="4" w:space="0" w:color="000000"/>
              <w:left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88,797,2</w:t>
            </w:r>
          </w:p>
          <w:p>
            <w:pPr>
              <w:pStyle w:val="TableParagraph"/>
              <w:spacing w:line="240" w:lineRule="auto" w:before="1"/>
              <w:ind w:right="19"/>
              <w:jc w:val="right"/>
              <w:rPr>
                <w:rFonts w:ascii="Times New Roman" w:hAnsi="Times New Roman" w:cs="Times New Roman" w:eastAsia="Times New Roman" w:hint="default"/>
                <w:sz w:val="21"/>
                <w:szCs w:val="21"/>
              </w:rPr>
            </w:pPr>
            <w:r>
              <w:rPr>
                <w:rFonts w:ascii="Times New Roman"/>
                <w:sz w:val="21"/>
              </w:rPr>
              <w:t>81</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13"/>
              <w:ind w:left="134" w:right="0"/>
              <w:jc w:val="left"/>
              <w:rPr>
                <w:rFonts w:ascii="Times New Roman" w:hAnsi="Times New Roman" w:cs="Times New Roman" w:eastAsia="Times New Roman" w:hint="default"/>
                <w:sz w:val="21"/>
                <w:szCs w:val="21"/>
              </w:rPr>
            </w:pPr>
            <w:r>
              <w:rPr>
                <w:rFonts w:ascii="Times New Roman"/>
                <w:sz w:val="21"/>
              </w:rPr>
              <w:t>56.05%</w:t>
            </w:r>
          </w:p>
        </w:tc>
      </w:tr>
      <w:tr>
        <w:trPr>
          <w:trHeight w:val="382" w:hRule="exact"/>
        </w:trPr>
        <w:tc>
          <w:tcPr>
            <w:tcW w:w="2033" w:type="dxa"/>
            <w:tcBorders>
              <w:top w:val="nil" w:sz="6" w:space="0" w:color="auto"/>
              <w:left w:val="single" w:sz="4" w:space="0" w:color="000000"/>
              <w:bottom w:val="single" w:sz="4" w:space="0" w:color="000000"/>
              <w:right w:val="single" w:sz="4" w:space="0" w:color="000000"/>
            </w:tcBorders>
            <w:shd w:val="clear" w:color="auto" w:fill="D4D4D4"/>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二、无限售条件股份</w:t>
            </w:r>
          </w:p>
        </w:tc>
        <w:tc>
          <w:tcPr>
            <w:tcW w:w="842" w:type="dxa"/>
            <w:vMerge/>
            <w:tcBorders>
              <w:left w:val="single" w:sz="10" w:space="0" w:color="D4D4D4"/>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10" w:hRule="exact"/>
        </w:trPr>
        <w:tc>
          <w:tcPr>
            <w:tcW w:w="2033" w:type="dxa"/>
            <w:tcBorders>
              <w:top w:val="single" w:sz="4" w:space="0" w:color="000000"/>
              <w:left w:val="single" w:sz="4" w:space="0" w:color="000000"/>
              <w:bottom w:val="nil" w:sz="6" w:space="0" w:color="auto"/>
              <w:right w:val="single" w:sz="4" w:space="0" w:color="000000"/>
            </w:tcBorders>
            <w:shd w:val="clear" w:color="auto" w:fill="D4D4D4"/>
          </w:tcPr>
          <w:p>
            <w:pPr/>
          </w:p>
        </w:tc>
        <w:tc>
          <w:tcPr>
            <w:tcW w:w="842" w:type="dxa"/>
            <w:vMerge w:val="restart"/>
            <w:tcBorders>
              <w:top w:val="single" w:sz="4" w:space="0" w:color="000000"/>
              <w:left w:val="single" w:sz="10" w:space="0" w:color="D4D4D4"/>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36,664,0</w:t>
            </w:r>
          </w:p>
          <w:p>
            <w:pPr>
              <w:pStyle w:val="TableParagraph"/>
              <w:spacing w:line="240" w:lineRule="auto" w:before="1"/>
              <w:ind w:right="19"/>
              <w:jc w:val="right"/>
              <w:rPr>
                <w:rFonts w:ascii="Times New Roman" w:hAnsi="Times New Roman" w:cs="Times New Roman" w:eastAsia="Times New Roman" w:hint="default"/>
                <w:sz w:val="21"/>
                <w:szCs w:val="21"/>
              </w:rPr>
            </w:pPr>
            <w:r>
              <w:rPr>
                <w:rFonts w:ascii="Times New Roman"/>
                <w:sz w:val="21"/>
              </w:rPr>
              <w:t>50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13"/>
              <w:ind w:left="163" w:right="0"/>
              <w:jc w:val="left"/>
              <w:rPr>
                <w:rFonts w:ascii="Times New Roman" w:hAnsi="Times New Roman" w:cs="Times New Roman" w:eastAsia="Times New Roman" w:hint="default"/>
                <w:sz w:val="21"/>
                <w:szCs w:val="21"/>
              </w:rPr>
            </w:pPr>
            <w:r>
              <w:rPr>
                <w:rFonts w:ascii="Times New Roman"/>
                <w:sz w:val="21"/>
              </w:rPr>
              <w:t>41.66%</w:t>
            </w:r>
          </w:p>
        </w:tc>
        <w:tc>
          <w:tcPr>
            <w:tcW w:w="845"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39,465,4</w:t>
            </w:r>
          </w:p>
          <w:p>
            <w:pPr>
              <w:pStyle w:val="TableParagraph"/>
              <w:spacing w:line="240" w:lineRule="auto" w:before="1"/>
              <w:ind w:right="19"/>
              <w:jc w:val="right"/>
              <w:rPr>
                <w:rFonts w:ascii="Times New Roman" w:hAnsi="Times New Roman" w:cs="Times New Roman" w:eastAsia="Times New Roman" w:hint="default"/>
                <w:sz w:val="21"/>
                <w:szCs w:val="21"/>
              </w:rPr>
            </w:pPr>
            <w:r>
              <w:rPr>
                <w:rFonts w:ascii="Times New Roman"/>
                <w:sz w:val="21"/>
              </w:rPr>
              <w:t>58</w:t>
            </w:r>
          </w:p>
        </w:tc>
        <w:tc>
          <w:tcPr>
            <w:tcW w:w="842" w:type="dxa"/>
            <w:vMerge w:val="restart"/>
            <w:tcBorders>
              <w:top w:val="single" w:sz="4" w:space="0" w:color="000000"/>
              <w:left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12,667,7</w:t>
            </w:r>
          </w:p>
          <w:p>
            <w:pPr>
              <w:pStyle w:val="TableParagraph"/>
              <w:spacing w:line="240" w:lineRule="auto" w:before="1"/>
              <w:ind w:right="19"/>
              <w:jc w:val="right"/>
              <w:rPr>
                <w:rFonts w:ascii="Times New Roman" w:hAnsi="Times New Roman" w:cs="Times New Roman" w:eastAsia="Times New Roman" w:hint="default"/>
                <w:sz w:val="21"/>
                <w:szCs w:val="21"/>
              </w:rPr>
            </w:pPr>
            <w:r>
              <w:rPr>
                <w:rFonts w:ascii="Times New Roman"/>
                <w:sz w:val="21"/>
              </w:rPr>
              <w:t>73</w:t>
            </w:r>
          </w:p>
        </w:tc>
        <w:tc>
          <w:tcPr>
            <w:tcW w:w="845" w:type="dxa"/>
            <w:vMerge w:val="restart"/>
            <w:tcBorders>
              <w:top w:val="single" w:sz="4" w:space="0" w:color="000000"/>
              <w:left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52,133,2</w:t>
            </w:r>
          </w:p>
          <w:p>
            <w:pPr>
              <w:pStyle w:val="TableParagraph"/>
              <w:spacing w:line="240" w:lineRule="auto" w:before="1"/>
              <w:ind w:right="19"/>
              <w:jc w:val="right"/>
              <w:rPr>
                <w:rFonts w:ascii="Times New Roman" w:hAnsi="Times New Roman" w:cs="Times New Roman" w:eastAsia="Times New Roman" w:hint="default"/>
                <w:sz w:val="21"/>
                <w:szCs w:val="21"/>
              </w:rPr>
            </w:pPr>
            <w:r>
              <w:rPr>
                <w:rFonts w:ascii="Times New Roman"/>
                <w:sz w:val="21"/>
              </w:rPr>
              <w:t>31</w:t>
            </w:r>
          </w:p>
        </w:tc>
        <w:tc>
          <w:tcPr>
            <w:tcW w:w="814" w:type="dxa"/>
            <w:vMerge w:val="restart"/>
            <w:tcBorders>
              <w:top w:val="single" w:sz="4" w:space="0" w:color="000000"/>
              <w:left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88,797,2</w:t>
            </w:r>
          </w:p>
          <w:p>
            <w:pPr>
              <w:pStyle w:val="TableParagraph"/>
              <w:spacing w:line="240" w:lineRule="auto" w:before="1"/>
              <w:ind w:right="19"/>
              <w:jc w:val="right"/>
              <w:rPr>
                <w:rFonts w:ascii="Times New Roman" w:hAnsi="Times New Roman" w:cs="Times New Roman" w:eastAsia="Times New Roman" w:hint="default"/>
                <w:sz w:val="21"/>
                <w:szCs w:val="21"/>
              </w:rPr>
            </w:pPr>
            <w:r>
              <w:rPr>
                <w:rFonts w:ascii="Times New Roman"/>
                <w:sz w:val="21"/>
              </w:rPr>
              <w:t>81</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13"/>
              <w:ind w:left="134" w:right="0"/>
              <w:jc w:val="left"/>
              <w:rPr>
                <w:rFonts w:ascii="Times New Roman" w:hAnsi="Times New Roman" w:cs="Times New Roman" w:eastAsia="Times New Roman" w:hint="default"/>
                <w:sz w:val="21"/>
                <w:szCs w:val="21"/>
              </w:rPr>
            </w:pPr>
            <w:r>
              <w:rPr>
                <w:rFonts w:ascii="Times New Roman"/>
                <w:sz w:val="21"/>
              </w:rPr>
              <w:t>56.05%</w:t>
            </w:r>
          </w:p>
        </w:tc>
      </w:tr>
      <w:tr>
        <w:trPr>
          <w:trHeight w:val="382" w:hRule="exact"/>
        </w:trPr>
        <w:tc>
          <w:tcPr>
            <w:tcW w:w="2033" w:type="dxa"/>
            <w:tcBorders>
              <w:top w:val="nil" w:sz="6" w:space="0" w:color="auto"/>
              <w:left w:val="single" w:sz="4" w:space="0" w:color="000000"/>
              <w:bottom w:val="single" w:sz="4" w:space="0" w:color="000000"/>
              <w:right w:val="single" w:sz="4" w:space="0" w:color="000000"/>
            </w:tcBorders>
            <w:shd w:val="clear" w:color="auto" w:fill="D4D4D4"/>
          </w:tcPr>
          <w:p>
            <w:pPr>
              <w:pStyle w:val="TableParagraph"/>
              <w:spacing w:line="25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、人民币普通股</w:t>
            </w:r>
          </w:p>
        </w:tc>
        <w:tc>
          <w:tcPr>
            <w:tcW w:w="842" w:type="dxa"/>
            <w:vMerge/>
            <w:tcBorders>
              <w:left w:val="single" w:sz="10" w:space="0" w:color="D4D4D4"/>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10" w:hRule="exact"/>
        </w:trPr>
        <w:tc>
          <w:tcPr>
            <w:tcW w:w="2033" w:type="dxa"/>
            <w:tcBorders>
              <w:top w:val="single" w:sz="4" w:space="0" w:color="000000"/>
              <w:left w:val="single" w:sz="4" w:space="0" w:color="000000"/>
              <w:bottom w:val="nil" w:sz="6" w:space="0" w:color="auto"/>
              <w:right w:val="single" w:sz="4" w:space="0" w:color="000000"/>
            </w:tcBorders>
            <w:shd w:val="clear" w:color="auto" w:fill="D4D4D4"/>
          </w:tcPr>
          <w:p>
            <w:pPr/>
          </w:p>
        </w:tc>
        <w:tc>
          <w:tcPr>
            <w:tcW w:w="842" w:type="dxa"/>
            <w:vMerge w:val="restart"/>
            <w:tcBorders>
              <w:top w:val="single" w:sz="4" w:space="0" w:color="000000"/>
              <w:left w:val="single" w:sz="10" w:space="0" w:color="D4D4D4"/>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88,000,0</w:t>
            </w:r>
          </w:p>
          <w:p>
            <w:pPr>
              <w:pStyle w:val="TableParagraph"/>
              <w:spacing w:line="240" w:lineRule="auto" w:before="1"/>
              <w:ind w:right="19"/>
              <w:jc w:val="right"/>
              <w:rPr>
                <w:rFonts w:ascii="Times New Roman" w:hAnsi="Times New Roman" w:cs="Times New Roman" w:eastAsia="Times New Roman" w:hint="default"/>
                <w:sz w:val="21"/>
                <w:szCs w:val="21"/>
              </w:rPr>
            </w:pPr>
            <w:r>
              <w:rPr>
                <w:rFonts w:ascii="Times New Roman"/>
                <w:sz w:val="21"/>
              </w:rPr>
              <w:t>00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16"/>
              <w:ind w:left="57" w:right="0"/>
              <w:jc w:val="left"/>
              <w:rPr>
                <w:rFonts w:ascii="Times New Roman" w:hAnsi="Times New Roman" w:cs="Times New Roman" w:eastAsia="Times New Roman" w:hint="default"/>
                <w:sz w:val="21"/>
                <w:szCs w:val="21"/>
              </w:rPr>
            </w:pPr>
            <w:r>
              <w:rPr>
                <w:rFonts w:ascii="Times New Roman"/>
                <w:sz w:val="21"/>
              </w:rPr>
              <w:t>100.00%</w:t>
            </w:r>
          </w:p>
        </w:tc>
        <w:tc>
          <w:tcPr>
            <w:tcW w:w="845"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70,400,0</w:t>
            </w:r>
          </w:p>
          <w:p>
            <w:pPr>
              <w:pStyle w:val="TableParagraph"/>
              <w:spacing w:line="240" w:lineRule="auto" w:before="1"/>
              <w:ind w:right="19"/>
              <w:jc w:val="right"/>
              <w:rPr>
                <w:rFonts w:ascii="Times New Roman" w:hAnsi="Times New Roman" w:cs="Times New Roman" w:eastAsia="Times New Roman" w:hint="default"/>
                <w:sz w:val="21"/>
                <w:szCs w:val="21"/>
              </w:rPr>
            </w:pPr>
            <w:r>
              <w:rPr>
                <w:rFonts w:ascii="Times New Roman"/>
                <w:sz w:val="21"/>
              </w:rPr>
              <w:t>00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16"/>
              <w:ind w:right="19"/>
              <w:jc w:val="right"/>
              <w:rPr>
                <w:rFonts w:ascii="Times New Roman" w:hAnsi="Times New Roman" w:cs="Times New Roman" w:eastAsia="Times New Roman" w:hint="default"/>
                <w:sz w:val="21"/>
                <w:szCs w:val="21"/>
              </w:rPr>
            </w:pPr>
            <w:r>
              <w:rPr>
                <w:rFonts w:ascii="Times New Roman"/>
                <w:w w:val="100"/>
                <w:sz w:val="21"/>
              </w:rPr>
              <w:t>0</w:t>
            </w:r>
          </w:p>
        </w:tc>
        <w:tc>
          <w:tcPr>
            <w:tcW w:w="845" w:type="dxa"/>
            <w:vMerge w:val="restart"/>
            <w:tcBorders>
              <w:top w:val="single" w:sz="4" w:space="0" w:color="000000"/>
              <w:left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70,400,0</w:t>
            </w:r>
          </w:p>
          <w:p>
            <w:pPr>
              <w:pStyle w:val="TableParagraph"/>
              <w:spacing w:line="240" w:lineRule="auto" w:before="1"/>
              <w:ind w:right="19"/>
              <w:jc w:val="right"/>
              <w:rPr>
                <w:rFonts w:ascii="Times New Roman" w:hAnsi="Times New Roman" w:cs="Times New Roman" w:eastAsia="Times New Roman" w:hint="default"/>
                <w:sz w:val="21"/>
                <w:szCs w:val="21"/>
              </w:rPr>
            </w:pPr>
            <w:r>
              <w:rPr>
                <w:rFonts w:ascii="Times New Roman"/>
                <w:sz w:val="21"/>
              </w:rPr>
              <w:t>00</w:t>
            </w:r>
          </w:p>
        </w:tc>
        <w:tc>
          <w:tcPr>
            <w:tcW w:w="814" w:type="dxa"/>
            <w:vMerge w:val="restart"/>
            <w:tcBorders>
              <w:top w:val="single" w:sz="4" w:space="0" w:color="000000"/>
              <w:left w:val="single" w:sz="4" w:space="0" w:color="000000"/>
              <w:right w:val="single" w:sz="4" w:space="0" w:color="000000"/>
            </w:tcBorders>
          </w:tcPr>
          <w:p>
            <w:pPr>
              <w:pStyle w:val="TableParagraph"/>
              <w:spacing w:line="235" w:lineRule="exact"/>
              <w:ind w:left="47" w:right="0"/>
              <w:jc w:val="left"/>
              <w:rPr>
                <w:rFonts w:ascii="Times New Roman" w:hAnsi="Times New Roman" w:cs="Times New Roman" w:eastAsia="Times New Roman" w:hint="default"/>
                <w:sz w:val="21"/>
                <w:szCs w:val="21"/>
              </w:rPr>
            </w:pPr>
            <w:r>
              <w:rPr>
                <w:rFonts w:ascii="Times New Roman"/>
                <w:sz w:val="21"/>
              </w:rPr>
              <w:t>158,400,</w:t>
            </w:r>
          </w:p>
          <w:p>
            <w:pPr>
              <w:pStyle w:val="TableParagraph"/>
              <w:spacing w:line="240" w:lineRule="auto" w:before="1"/>
              <w:ind w:left="467" w:right="0"/>
              <w:jc w:val="left"/>
              <w:rPr>
                <w:rFonts w:ascii="Times New Roman" w:hAnsi="Times New Roman" w:cs="Times New Roman" w:eastAsia="Times New Roman" w:hint="default"/>
                <w:sz w:val="21"/>
                <w:szCs w:val="21"/>
              </w:rPr>
            </w:pPr>
            <w:r>
              <w:rPr>
                <w:rFonts w:ascii="Times New Roman"/>
                <w:sz w:val="21"/>
              </w:rPr>
              <w:t>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16"/>
              <w:ind w:left="28" w:right="0"/>
              <w:jc w:val="left"/>
              <w:rPr>
                <w:rFonts w:ascii="Times New Roman" w:hAnsi="Times New Roman" w:cs="Times New Roman" w:eastAsia="Times New Roman" w:hint="default"/>
                <w:sz w:val="21"/>
                <w:szCs w:val="21"/>
              </w:rPr>
            </w:pPr>
            <w:r>
              <w:rPr>
                <w:rFonts w:ascii="Times New Roman"/>
                <w:sz w:val="21"/>
              </w:rPr>
              <w:t>100.00%</w:t>
            </w:r>
          </w:p>
        </w:tc>
      </w:tr>
      <w:tr>
        <w:trPr>
          <w:trHeight w:val="384" w:hRule="exact"/>
        </w:trPr>
        <w:tc>
          <w:tcPr>
            <w:tcW w:w="2033" w:type="dxa"/>
            <w:tcBorders>
              <w:top w:val="nil" w:sz="6" w:space="0" w:color="auto"/>
              <w:left w:val="single" w:sz="4" w:space="0" w:color="000000"/>
              <w:bottom w:val="single" w:sz="4" w:space="0" w:color="000000"/>
              <w:right w:val="single" w:sz="4" w:space="0" w:color="000000"/>
            </w:tcBorders>
            <w:shd w:val="clear" w:color="auto" w:fill="D4D4D4"/>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842" w:type="dxa"/>
            <w:vMerge/>
            <w:tcBorders>
              <w:left w:val="single" w:sz="10" w:space="0" w:color="D4D4D4"/>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bl>
    <w:p>
      <w:pPr>
        <w:pStyle w:val="BodyText"/>
        <w:spacing w:line="262" w:lineRule="exact"/>
        <w:ind w:right="106"/>
        <w:jc w:val="left"/>
      </w:pPr>
      <w:r>
        <w:rPr/>
        <w:t>股份变动的原因</w:t>
      </w:r>
    </w:p>
    <w:p>
      <w:pPr>
        <w:pStyle w:val="BodyText"/>
        <w:spacing w:line="240" w:lineRule="auto" w:before="37"/>
        <w:ind w:right="10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45"/>
        <w:ind w:left="572" w:right="106"/>
        <w:jc w:val="left"/>
        <w:rPr>
          <w:rFonts w:ascii="宋体" w:hAnsi="宋体" w:cs="宋体" w:eastAsia="宋体" w:hint="default"/>
        </w:rPr>
      </w:pPr>
      <w:r>
        <w:rPr>
          <w:rFonts w:ascii="宋体" w:hAnsi="宋体" w:cs="宋体" w:eastAsia="宋体" w:hint="default"/>
        </w:rPr>
        <w:t>1</w:t>
      </w:r>
      <w:r>
        <w:rPr/>
        <w:t>、根据相关规定，公司董事黄元忠先生、陈克让先生、黄晓峰先生</w:t>
      </w:r>
      <w:r>
        <w:rPr>
          <w:spacing w:val="-57"/>
        </w:rPr>
        <w:t> </w:t>
      </w:r>
      <w:r>
        <w:rPr>
          <w:rFonts w:ascii="宋体" w:hAnsi="宋体" w:cs="宋体" w:eastAsia="宋体" w:hint="default"/>
        </w:rPr>
        <w:t>3</w:t>
      </w:r>
      <w:r>
        <w:rPr>
          <w:rFonts w:ascii="宋体" w:hAnsi="宋体" w:cs="宋体" w:eastAsia="宋体" w:hint="default"/>
          <w:spacing w:val="-56"/>
        </w:rPr>
        <w:t> </w:t>
      </w:r>
      <w:r>
        <w:rPr/>
        <w:t>名股东合计持有的</w:t>
      </w:r>
      <w:r>
        <w:rPr>
          <w:spacing w:val="-56"/>
        </w:rPr>
        <w:t> </w:t>
      </w:r>
      <w:r>
        <w:rPr>
          <w:rFonts w:ascii="宋体" w:hAnsi="宋体" w:cs="宋体" w:eastAsia="宋体" w:hint="default"/>
        </w:rPr>
        <w:t>48,640,080</w:t>
      </w:r>
    </w:p>
    <w:p>
      <w:pPr>
        <w:pStyle w:val="BodyText"/>
        <w:spacing w:line="240" w:lineRule="auto" w:before="82"/>
        <w:ind w:right="0"/>
        <w:jc w:val="left"/>
      </w:pPr>
      <w:r>
        <w:rPr/>
        <w:t>股限售流通股份于</w:t>
      </w:r>
      <w:r>
        <w:rPr>
          <w:spacing w:val="-53"/>
        </w:rPr>
        <w:t> </w:t>
      </w:r>
      <w:r>
        <w:rPr>
          <w:rFonts w:ascii="宋体" w:hAnsi="宋体" w:cs="宋体" w:eastAsia="宋体" w:hint="default"/>
        </w:rPr>
        <w:t>2014</w:t>
      </w:r>
      <w:r>
        <w:rPr>
          <w:rFonts w:ascii="宋体" w:hAnsi="宋体" w:cs="宋体" w:eastAsia="宋体" w:hint="default"/>
          <w:spacing w:val="-55"/>
        </w:rPr>
        <w:t> </w:t>
      </w:r>
      <w:r>
        <w:rPr/>
        <w:t>年</w:t>
      </w:r>
      <w:r>
        <w:rPr>
          <w:spacing w:val="-53"/>
        </w:rPr>
        <w:t> </w:t>
      </w:r>
      <w:r>
        <w:rPr>
          <w:rFonts w:ascii="宋体" w:hAnsi="宋体" w:cs="宋体" w:eastAsia="宋体" w:hint="default"/>
        </w:rPr>
        <w:t>6</w:t>
      </w:r>
      <w:r>
        <w:rPr>
          <w:rFonts w:ascii="宋体" w:hAnsi="宋体" w:cs="宋体" w:eastAsia="宋体" w:hint="default"/>
          <w:spacing w:val="-55"/>
        </w:rPr>
        <w:t> </w:t>
      </w:r>
      <w:r>
        <w:rPr/>
        <w:t>月</w:t>
      </w:r>
      <w:r>
        <w:rPr>
          <w:spacing w:val="-53"/>
        </w:rPr>
        <w:t> </w:t>
      </w:r>
      <w:r>
        <w:rPr>
          <w:rFonts w:ascii="宋体" w:hAnsi="宋体" w:cs="宋体" w:eastAsia="宋体" w:hint="default"/>
        </w:rPr>
        <w:t>29</w:t>
      </w:r>
      <w:r>
        <w:rPr>
          <w:rFonts w:ascii="宋体" w:hAnsi="宋体" w:cs="宋体" w:eastAsia="宋体" w:hint="default"/>
          <w:spacing w:val="-55"/>
        </w:rPr>
        <w:t> </w:t>
      </w:r>
      <w:r>
        <w:rPr>
          <w:spacing w:val="-4"/>
        </w:rPr>
        <w:t>日限售期满，其中的</w:t>
      </w:r>
      <w:r>
        <w:rPr>
          <w:spacing w:val="-53"/>
        </w:rPr>
        <w:t> </w:t>
      </w:r>
      <w:r>
        <w:rPr>
          <w:rFonts w:ascii="宋体" w:hAnsi="宋体" w:cs="宋体" w:eastAsia="宋体" w:hint="default"/>
        </w:rPr>
        <w:t>12,160,021</w:t>
      </w:r>
      <w:r>
        <w:rPr>
          <w:rFonts w:ascii="宋体" w:hAnsi="宋体" w:cs="宋体" w:eastAsia="宋体" w:hint="default"/>
          <w:spacing w:val="-53"/>
        </w:rPr>
        <w:t> </w:t>
      </w:r>
      <w:r>
        <w:rPr/>
        <w:t>股于</w:t>
      </w:r>
      <w:r>
        <w:rPr>
          <w:spacing w:val="-53"/>
        </w:rPr>
        <w:t> </w:t>
      </w:r>
      <w:r>
        <w:rPr>
          <w:rFonts w:ascii="宋体" w:hAnsi="宋体" w:cs="宋体" w:eastAsia="宋体" w:hint="default"/>
        </w:rPr>
        <w:t>2014</w:t>
      </w:r>
      <w:r>
        <w:rPr>
          <w:rFonts w:ascii="宋体" w:hAnsi="宋体" w:cs="宋体" w:eastAsia="宋体" w:hint="default"/>
          <w:spacing w:val="-53"/>
        </w:rPr>
        <w:t> </w:t>
      </w:r>
      <w:r>
        <w:rPr/>
        <w:t>年</w:t>
      </w:r>
      <w:r>
        <w:rPr>
          <w:spacing w:val="-53"/>
        </w:rPr>
        <w:t> </w:t>
      </w:r>
      <w:r>
        <w:rPr>
          <w:rFonts w:ascii="宋体" w:hAnsi="宋体" w:cs="宋体" w:eastAsia="宋体" w:hint="default"/>
        </w:rPr>
        <w:t>6</w:t>
      </w:r>
      <w:r>
        <w:rPr>
          <w:rFonts w:ascii="宋体" w:hAnsi="宋体" w:cs="宋体" w:eastAsia="宋体" w:hint="default"/>
          <w:spacing w:val="-55"/>
        </w:rPr>
        <w:t> </w:t>
      </w:r>
      <w:r>
        <w:rPr/>
        <w:t>月</w:t>
      </w:r>
      <w:r>
        <w:rPr>
          <w:spacing w:val="-53"/>
        </w:rPr>
        <w:t> </w:t>
      </w:r>
      <w:r>
        <w:rPr>
          <w:rFonts w:ascii="宋体" w:hAnsi="宋体" w:cs="宋体" w:eastAsia="宋体" w:hint="default"/>
        </w:rPr>
        <w:t>30</w:t>
      </w:r>
      <w:r>
        <w:rPr>
          <w:rFonts w:ascii="宋体" w:hAnsi="宋体" w:cs="宋体" w:eastAsia="宋体" w:hint="default"/>
          <w:spacing w:val="-53"/>
        </w:rPr>
        <w:t> </w:t>
      </w:r>
      <w:r>
        <w:rPr/>
        <w:t>日正式上市流通；</w:t>
      </w:r>
    </w:p>
    <w:p>
      <w:pPr>
        <w:pStyle w:val="BodyText"/>
        <w:spacing w:line="240" w:lineRule="auto" w:before="85"/>
        <w:ind w:left="573" w:right="106"/>
        <w:jc w:val="left"/>
      </w:pPr>
      <w:r>
        <w:rPr>
          <w:rFonts w:ascii="宋体" w:hAnsi="宋体" w:cs="宋体" w:eastAsia="宋体" w:hint="default"/>
        </w:rPr>
        <w:t>2</w:t>
      </w:r>
      <w:r>
        <w:rPr/>
        <w:t>、公司于</w:t>
      </w:r>
      <w:r>
        <w:rPr>
          <w:spacing w:val="-55"/>
        </w:rPr>
        <w:t> </w:t>
      </w:r>
      <w:r>
        <w:rPr>
          <w:rFonts w:ascii="宋体" w:hAnsi="宋体" w:cs="宋体" w:eastAsia="宋体" w:hint="default"/>
        </w:rPr>
        <w:t>2014</w:t>
      </w:r>
      <w:r>
        <w:rPr>
          <w:rFonts w:ascii="宋体" w:hAnsi="宋体" w:cs="宋体" w:eastAsia="宋体" w:hint="default"/>
          <w:spacing w:val="-55"/>
        </w:rPr>
        <w:t> </w:t>
      </w:r>
      <w:r>
        <w:rPr/>
        <w:t>年</w:t>
      </w:r>
      <w:r>
        <w:rPr>
          <w:spacing w:val="-53"/>
        </w:rPr>
        <w:t> </w:t>
      </w:r>
      <w:r>
        <w:rPr>
          <w:rFonts w:ascii="宋体" w:hAnsi="宋体" w:cs="宋体" w:eastAsia="宋体" w:hint="default"/>
        </w:rPr>
        <w:t>7</w:t>
      </w:r>
      <w:r>
        <w:rPr>
          <w:rFonts w:ascii="宋体" w:hAnsi="宋体" w:cs="宋体" w:eastAsia="宋体" w:hint="default"/>
          <w:spacing w:val="-55"/>
        </w:rPr>
        <w:t> </w:t>
      </w:r>
      <w:r>
        <w:rPr/>
        <w:t>月</w:t>
      </w:r>
      <w:r>
        <w:rPr>
          <w:spacing w:val="-53"/>
        </w:rPr>
        <w:t> </w:t>
      </w:r>
      <w:r>
        <w:rPr>
          <w:rFonts w:ascii="宋体" w:hAnsi="宋体" w:cs="宋体" w:eastAsia="宋体" w:hint="default"/>
        </w:rPr>
        <w:t>8</w:t>
      </w:r>
      <w:r>
        <w:rPr>
          <w:rFonts w:ascii="宋体" w:hAnsi="宋体" w:cs="宋体" w:eastAsia="宋体" w:hint="default"/>
          <w:spacing w:val="-55"/>
        </w:rPr>
        <w:t> </w:t>
      </w:r>
      <w:r>
        <w:rPr/>
        <w:t>日实施</w:t>
      </w:r>
      <w:r>
        <w:rPr>
          <w:spacing w:val="-53"/>
        </w:rPr>
        <w:t> </w:t>
      </w:r>
      <w:r>
        <w:rPr>
          <w:rFonts w:ascii="宋体" w:hAnsi="宋体" w:cs="宋体" w:eastAsia="宋体" w:hint="default"/>
        </w:rPr>
        <w:t>2013</w:t>
      </w:r>
      <w:r>
        <w:rPr>
          <w:rFonts w:ascii="宋体" w:hAnsi="宋体" w:cs="宋体" w:eastAsia="宋体" w:hint="default"/>
          <w:spacing w:val="-53"/>
        </w:rPr>
        <w:t> </w:t>
      </w:r>
      <w:r>
        <w:rPr/>
        <w:t>年度利润分配及资本公积金转增股本的方案。以</w:t>
      </w:r>
      <w:r>
        <w:rPr>
          <w:spacing w:val="-54"/>
        </w:rPr>
        <w:t> </w:t>
      </w:r>
      <w:r>
        <w:rPr>
          <w:rFonts w:ascii="宋体" w:hAnsi="宋体" w:cs="宋体" w:eastAsia="宋体" w:hint="default"/>
        </w:rPr>
        <w:t>8,800</w:t>
      </w:r>
      <w:r>
        <w:rPr>
          <w:rFonts w:ascii="宋体" w:hAnsi="宋体" w:cs="宋体" w:eastAsia="宋体" w:hint="default"/>
          <w:spacing w:val="-55"/>
        </w:rPr>
        <w:t> </w:t>
      </w:r>
      <w:r>
        <w:rPr/>
        <w:t>万股为</w:t>
      </w:r>
    </w:p>
    <w:p>
      <w:pPr>
        <w:pStyle w:val="BodyText"/>
        <w:spacing w:line="240" w:lineRule="auto" w:before="82"/>
        <w:ind w:left="153" w:right="106"/>
        <w:jc w:val="left"/>
      </w:pPr>
      <w:r>
        <w:rPr/>
        <w:t>基数向全体股东每</w:t>
      </w:r>
      <w:r>
        <w:rPr>
          <w:spacing w:val="-54"/>
        </w:rPr>
        <w:t> </w:t>
      </w:r>
      <w:r>
        <w:rPr>
          <w:rFonts w:ascii="宋体" w:hAnsi="宋体" w:cs="宋体" w:eastAsia="宋体" w:hint="default"/>
        </w:rPr>
        <w:t>10</w:t>
      </w:r>
      <w:r>
        <w:rPr>
          <w:rFonts w:ascii="宋体" w:hAnsi="宋体" w:cs="宋体" w:eastAsia="宋体" w:hint="default"/>
          <w:spacing w:val="-54"/>
        </w:rPr>
        <w:t> </w:t>
      </w:r>
      <w:r>
        <w:rPr/>
        <w:t>股转增</w:t>
      </w:r>
      <w:r>
        <w:rPr>
          <w:spacing w:val="-54"/>
        </w:rPr>
        <w:t> </w:t>
      </w:r>
      <w:r>
        <w:rPr>
          <w:rFonts w:ascii="宋体" w:hAnsi="宋体" w:cs="宋体" w:eastAsia="宋体" w:hint="default"/>
        </w:rPr>
        <w:t>8</w:t>
      </w:r>
      <w:r>
        <w:rPr>
          <w:rFonts w:ascii="宋体" w:hAnsi="宋体" w:cs="宋体" w:eastAsia="宋体" w:hint="default"/>
          <w:spacing w:val="-54"/>
        </w:rPr>
        <w:t> </w:t>
      </w:r>
      <w:r>
        <w:rPr/>
        <w:t>股，共计转增</w:t>
      </w:r>
      <w:r>
        <w:rPr>
          <w:spacing w:val="-54"/>
        </w:rPr>
        <w:t> </w:t>
      </w:r>
      <w:r>
        <w:rPr>
          <w:rFonts w:ascii="宋体" w:hAnsi="宋体" w:cs="宋体" w:eastAsia="宋体" w:hint="default"/>
        </w:rPr>
        <w:t>7,040</w:t>
      </w:r>
      <w:r>
        <w:rPr>
          <w:rFonts w:ascii="宋体" w:hAnsi="宋体" w:cs="宋体" w:eastAsia="宋体" w:hint="default"/>
          <w:spacing w:val="-56"/>
        </w:rPr>
        <w:t> </w:t>
      </w:r>
      <w:r>
        <w:rPr/>
        <w:t>万股；</w:t>
      </w:r>
    </w:p>
    <w:p>
      <w:pPr>
        <w:pStyle w:val="BodyText"/>
        <w:spacing w:line="240" w:lineRule="auto" w:before="85"/>
        <w:ind w:left="573" w:right="106"/>
        <w:jc w:val="left"/>
      </w:pPr>
      <w:r>
        <w:rPr>
          <w:rFonts w:ascii="宋体" w:hAnsi="宋体" w:cs="宋体" w:eastAsia="宋体" w:hint="default"/>
        </w:rPr>
        <w:t>3</w:t>
      </w:r>
      <w:r>
        <w:rPr/>
        <w:t>、</w:t>
      </w:r>
      <w:r>
        <w:rPr>
          <w:rFonts w:ascii="宋体" w:hAnsi="宋体" w:cs="宋体" w:eastAsia="宋体" w:hint="default"/>
        </w:rPr>
        <w:t>2014</w:t>
      </w:r>
      <w:r>
        <w:rPr>
          <w:rFonts w:ascii="宋体" w:hAnsi="宋体" w:cs="宋体" w:eastAsia="宋体" w:hint="default"/>
          <w:spacing w:val="-54"/>
        </w:rPr>
        <w:t> </w:t>
      </w:r>
      <w:r>
        <w:rPr/>
        <w:t>年</w:t>
      </w:r>
      <w:r>
        <w:rPr>
          <w:spacing w:val="-56"/>
        </w:rPr>
        <w:t> </w:t>
      </w:r>
      <w:r>
        <w:rPr>
          <w:rFonts w:ascii="宋体" w:hAnsi="宋体" w:cs="宋体" w:eastAsia="宋体" w:hint="default"/>
        </w:rPr>
        <w:t>1</w:t>
      </w:r>
      <w:r>
        <w:rPr>
          <w:rFonts w:ascii="宋体" w:hAnsi="宋体" w:cs="宋体" w:eastAsia="宋体" w:hint="default"/>
          <w:spacing w:val="-54"/>
        </w:rPr>
        <w:t> </w:t>
      </w:r>
      <w:r>
        <w:rPr/>
        <w:t>月</w:t>
      </w:r>
      <w:r>
        <w:rPr>
          <w:spacing w:val="-56"/>
        </w:rPr>
        <w:t> </w:t>
      </w:r>
      <w:r>
        <w:rPr>
          <w:rFonts w:ascii="宋体" w:hAnsi="宋体" w:cs="宋体" w:eastAsia="宋体" w:hint="default"/>
        </w:rPr>
        <w:t>1</w:t>
      </w:r>
      <w:r>
        <w:rPr>
          <w:rFonts w:ascii="宋体" w:hAnsi="宋体" w:cs="宋体" w:eastAsia="宋体" w:hint="default"/>
          <w:spacing w:val="-54"/>
        </w:rPr>
        <w:t> </w:t>
      </w:r>
      <w:r>
        <w:rPr/>
        <w:t>日，根据各董事、监事、高管的承诺，其持有的公司股份每年度解除限售</w:t>
      </w:r>
      <w:r>
        <w:rPr>
          <w:spacing w:val="-55"/>
        </w:rPr>
        <w:t> </w:t>
      </w:r>
      <w:r>
        <w:rPr>
          <w:rFonts w:ascii="宋体" w:hAnsi="宋体" w:cs="宋体" w:eastAsia="宋体" w:hint="default"/>
        </w:rPr>
        <w:t>25%</w:t>
      </w:r>
      <w:r>
        <w:rPr/>
        <w:t>；</w:t>
      </w:r>
    </w:p>
    <w:p>
      <w:pPr>
        <w:spacing w:line="240" w:lineRule="auto" w:before="4"/>
        <w:rPr>
          <w:rFonts w:ascii="宋体" w:hAnsi="宋体" w:cs="宋体" w:eastAsia="宋体" w:hint="default"/>
          <w:sz w:val="28"/>
          <w:szCs w:val="28"/>
        </w:rPr>
      </w:pPr>
    </w:p>
    <w:p>
      <w:pPr>
        <w:pStyle w:val="BodyText"/>
        <w:spacing w:line="240" w:lineRule="auto"/>
        <w:ind w:left="153" w:right="106"/>
        <w:jc w:val="left"/>
      </w:pPr>
      <w:r>
        <w:rPr/>
        <w:t>股份变动的批准情况</w:t>
      </w:r>
    </w:p>
    <w:p>
      <w:pPr>
        <w:pStyle w:val="BodyText"/>
        <w:spacing w:line="240" w:lineRule="auto" w:before="37"/>
        <w:ind w:left="153" w:right="10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45"/>
        <w:ind w:left="573" w:right="106"/>
        <w:jc w:val="left"/>
      </w:pPr>
      <w:r>
        <w:rPr>
          <w:rFonts w:ascii="宋体" w:hAnsi="宋体" w:cs="宋体" w:eastAsia="宋体" w:hint="default"/>
        </w:rPr>
        <w:t>1</w:t>
      </w:r>
      <w:r>
        <w:rPr/>
        <w:t>、</w:t>
      </w:r>
      <w:r>
        <w:rPr>
          <w:rFonts w:ascii="宋体" w:hAnsi="宋体" w:cs="宋体" w:eastAsia="宋体" w:hint="default"/>
        </w:rPr>
        <w:t>2014</w:t>
      </w:r>
      <w:r>
        <w:rPr>
          <w:rFonts w:ascii="宋体" w:hAnsi="宋体" w:cs="宋体" w:eastAsia="宋体" w:hint="default"/>
          <w:spacing w:val="-54"/>
        </w:rPr>
        <w:t> </w:t>
      </w:r>
      <w:r>
        <w:rPr/>
        <w:t>年</w:t>
      </w:r>
      <w:r>
        <w:rPr>
          <w:spacing w:val="-56"/>
        </w:rPr>
        <w:t> </w:t>
      </w:r>
      <w:r>
        <w:rPr>
          <w:rFonts w:ascii="宋体" w:hAnsi="宋体" w:cs="宋体" w:eastAsia="宋体" w:hint="default"/>
        </w:rPr>
        <w:t>6</w:t>
      </w:r>
      <w:r>
        <w:rPr>
          <w:rFonts w:ascii="宋体" w:hAnsi="宋体" w:cs="宋体" w:eastAsia="宋体" w:hint="default"/>
          <w:spacing w:val="-54"/>
        </w:rPr>
        <w:t> </w:t>
      </w:r>
      <w:r>
        <w:rPr/>
        <w:t>月</w:t>
      </w:r>
      <w:r>
        <w:rPr>
          <w:spacing w:val="-56"/>
        </w:rPr>
        <w:t> </w:t>
      </w:r>
      <w:r>
        <w:rPr>
          <w:rFonts w:ascii="宋体" w:hAnsi="宋体" w:cs="宋体" w:eastAsia="宋体" w:hint="default"/>
        </w:rPr>
        <w:t>6</w:t>
      </w:r>
      <w:r>
        <w:rPr>
          <w:rFonts w:ascii="宋体" w:hAnsi="宋体" w:cs="宋体" w:eastAsia="宋体" w:hint="default"/>
          <w:spacing w:val="-54"/>
        </w:rPr>
        <w:t> </w:t>
      </w:r>
      <w:r>
        <w:rPr/>
        <w:t>日，公司召开</w:t>
      </w:r>
      <w:r>
        <w:rPr>
          <w:spacing w:val="-54"/>
        </w:rPr>
        <w:t> </w:t>
      </w:r>
      <w:r>
        <w:rPr>
          <w:rFonts w:ascii="宋体" w:hAnsi="宋体" w:cs="宋体" w:eastAsia="宋体" w:hint="default"/>
        </w:rPr>
        <w:t>2013</w:t>
      </w:r>
      <w:r>
        <w:rPr>
          <w:rFonts w:ascii="宋体" w:hAnsi="宋体" w:cs="宋体" w:eastAsia="宋体" w:hint="default"/>
          <w:spacing w:val="-54"/>
        </w:rPr>
        <w:t> </w:t>
      </w:r>
      <w:r>
        <w:rPr/>
        <w:t>年度股东大会，审议通过了“关于公司</w:t>
      </w:r>
      <w:r>
        <w:rPr>
          <w:spacing w:val="-57"/>
        </w:rPr>
        <w:t> </w:t>
      </w:r>
      <w:r>
        <w:rPr>
          <w:rFonts w:ascii="宋体" w:hAnsi="宋体" w:cs="宋体" w:eastAsia="宋体" w:hint="default"/>
        </w:rPr>
        <w:t>2013</w:t>
      </w:r>
      <w:r>
        <w:rPr>
          <w:rFonts w:ascii="宋体" w:hAnsi="宋体" w:cs="宋体" w:eastAsia="宋体" w:hint="default"/>
          <w:spacing w:val="-56"/>
        </w:rPr>
        <w:t> </w:t>
      </w:r>
      <w:r>
        <w:rPr/>
        <w:t>年度利润分配及资</w:t>
      </w:r>
    </w:p>
    <w:p>
      <w:pPr>
        <w:pStyle w:val="BodyText"/>
        <w:spacing w:line="240" w:lineRule="auto" w:before="85"/>
        <w:ind w:left="154" w:right="106"/>
        <w:jc w:val="left"/>
      </w:pPr>
      <w:r>
        <w:rPr/>
        <w:t>本公积金转增股本的议案”。</w:t>
      </w:r>
      <w:r>
        <w:rPr>
          <w:rFonts w:ascii="宋体" w:hAnsi="宋体" w:cs="宋体" w:eastAsia="宋体" w:hint="default"/>
        </w:rPr>
        <w:t>2014</w:t>
      </w:r>
      <w:r>
        <w:rPr>
          <w:rFonts w:ascii="宋体" w:hAnsi="宋体" w:cs="宋体" w:eastAsia="宋体" w:hint="default"/>
          <w:spacing w:val="-58"/>
        </w:rPr>
        <w:t> </w:t>
      </w:r>
      <w:r>
        <w:rPr/>
        <w:t>年</w:t>
      </w:r>
      <w:r>
        <w:rPr>
          <w:spacing w:val="-55"/>
        </w:rPr>
        <w:t> </w:t>
      </w:r>
      <w:r>
        <w:rPr>
          <w:rFonts w:ascii="宋体" w:hAnsi="宋体" w:cs="宋体" w:eastAsia="宋体" w:hint="default"/>
        </w:rPr>
        <w:t>7</w:t>
      </w:r>
      <w:r>
        <w:rPr>
          <w:rFonts w:ascii="宋体" w:hAnsi="宋体" w:cs="宋体" w:eastAsia="宋体" w:hint="default"/>
          <w:spacing w:val="-57"/>
        </w:rPr>
        <w:t> </w:t>
      </w:r>
      <w:r>
        <w:rPr/>
        <w:t>月</w:t>
      </w:r>
      <w:r>
        <w:rPr>
          <w:spacing w:val="-55"/>
        </w:rPr>
        <w:t> </w:t>
      </w:r>
      <w:r>
        <w:rPr>
          <w:rFonts w:ascii="宋体" w:hAnsi="宋体" w:cs="宋体" w:eastAsia="宋体" w:hint="default"/>
        </w:rPr>
        <w:t>1</w:t>
      </w:r>
      <w:r>
        <w:rPr>
          <w:rFonts w:ascii="宋体" w:hAnsi="宋体" w:cs="宋体" w:eastAsia="宋体" w:hint="default"/>
          <w:spacing w:val="-57"/>
        </w:rPr>
        <w:t> </w:t>
      </w:r>
      <w:r>
        <w:rPr/>
        <w:t>日，公司发布</w:t>
      </w:r>
      <w:r>
        <w:rPr>
          <w:spacing w:val="-55"/>
        </w:rPr>
        <w:t> </w:t>
      </w:r>
      <w:r>
        <w:rPr>
          <w:rFonts w:ascii="宋体" w:hAnsi="宋体" w:cs="宋体" w:eastAsia="宋体" w:hint="default"/>
        </w:rPr>
        <w:t>2013</w:t>
      </w:r>
      <w:r>
        <w:rPr>
          <w:rFonts w:ascii="宋体" w:hAnsi="宋体" w:cs="宋体" w:eastAsia="宋体" w:hint="default"/>
          <w:spacing w:val="-55"/>
        </w:rPr>
        <w:t> </w:t>
      </w:r>
      <w:r>
        <w:rPr/>
        <w:t>年度权益分派实施公告，拟定股权登记日</w:t>
      </w:r>
    </w:p>
    <w:p>
      <w:pPr>
        <w:pStyle w:val="BodyText"/>
        <w:spacing w:line="314" w:lineRule="auto" w:before="82"/>
        <w:ind w:left="154" w:right="106" w:hanging="1"/>
        <w:jc w:val="left"/>
      </w:pPr>
      <w:r>
        <w:rPr/>
        <w:t>为：</w:t>
      </w:r>
      <w:r>
        <w:rPr>
          <w:rFonts w:ascii="宋体" w:hAnsi="宋体" w:cs="宋体" w:eastAsia="宋体" w:hint="default"/>
        </w:rPr>
        <w:t>2014</w:t>
      </w:r>
      <w:r>
        <w:rPr>
          <w:rFonts w:ascii="宋体" w:hAnsi="宋体" w:cs="宋体" w:eastAsia="宋体" w:hint="default"/>
          <w:spacing w:val="-55"/>
        </w:rPr>
        <w:t> </w:t>
      </w:r>
      <w:r>
        <w:rPr/>
        <w:t>年</w:t>
      </w:r>
      <w:r>
        <w:rPr>
          <w:spacing w:val="-53"/>
        </w:rPr>
        <w:t> </w:t>
      </w:r>
      <w:r>
        <w:rPr>
          <w:rFonts w:ascii="宋体" w:hAnsi="宋体" w:cs="宋体" w:eastAsia="宋体" w:hint="default"/>
        </w:rPr>
        <w:t>7</w:t>
      </w:r>
      <w:r>
        <w:rPr>
          <w:rFonts w:ascii="宋体" w:hAnsi="宋体" w:cs="宋体" w:eastAsia="宋体" w:hint="default"/>
          <w:spacing w:val="-55"/>
        </w:rPr>
        <w:t> </w:t>
      </w:r>
      <w:r>
        <w:rPr/>
        <w:t>月</w:t>
      </w:r>
      <w:r>
        <w:rPr>
          <w:spacing w:val="-53"/>
        </w:rPr>
        <w:t> </w:t>
      </w:r>
      <w:r>
        <w:rPr>
          <w:rFonts w:ascii="宋体" w:hAnsi="宋体" w:cs="宋体" w:eastAsia="宋体" w:hint="default"/>
        </w:rPr>
        <w:t>7</w:t>
      </w:r>
      <w:r>
        <w:rPr>
          <w:rFonts w:ascii="宋体" w:hAnsi="宋体" w:cs="宋体" w:eastAsia="宋体" w:hint="default"/>
          <w:spacing w:val="-55"/>
        </w:rPr>
        <w:t> </w:t>
      </w:r>
      <w:r>
        <w:rPr/>
        <w:t>日，除权除息日为：</w:t>
      </w:r>
      <w:r>
        <w:rPr>
          <w:rFonts w:ascii="宋体" w:hAnsi="宋体" w:cs="宋体" w:eastAsia="宋体" w:hint="default"/>
        </w:rPr>
        <w:t>2014</w:t>
      </w:r>
      <w:r>
        <w:rPr>
          <w:rFonts w:ascii="宋体" w:hAnsi="宋体" w:cs="宋体" w:eastAsia="宋体" w:hint="default"/>
          <w:spacing w:val="-55"/>
        </w:rPr>
        <w:t> </w:t>
      </w:r>
      <w:r>
        <w:rPr/>
        <w:t>年</w:t>
      </w:r>
      <w:r>
        <w:rPr>
          <w:spacing w:val="-53"/>
        </w:rPr>
        <w:t> </w:t>
      </w:r>
      <w:r>
        <w:rPr>
          <w:rFonts w:ascii="宋体" w:hAnsi="宋体" w:cs="宋体" w:eastAsia="宋体" w:hint="default"/>
        </w:rPr>
        <w:t>7</w:t>
      </w:r>
      <w:r>
        <w:rPr>
          <w:rFonts w:ascii="宋体" w:hAnsi="宋体" w:cs="宋体" w:eastAsia="宋体" w:hint="default"/>
          <w:spacing w:val="-55"/>
        </w:rPr>
        <w:t> </w:t>
      </w:r>
      <w:r>
        <w:rPr/>
        <w:t>月</w:t>
      </w:r>
      <w:r>
        <w:rPr>
          <w:spacing w:val="-55"/>
        </w:rPr>
        <w:t> </w:t>
      </w:r>
      <w:r>
        <w:rPr>
          <w:rFonts w:ascii="宋体" w:hAnsi="宋体" w:cs="宋体" w:eastAsia="宋体" w:hint="default"/>
        </w:rPr>
        <w:t>8</w:t>
      </w:r>
      <w:r>
        <w:rPr>
          <w:rFonts w:ascii="宋体" w:hAnsi="宋体" w:cs="宋体" w:eastAsia="宋体" w:hint="default"/>
          <w:spacing w:val="-53"/>
        </w:rPr>
        <w:t> </w:t>
      </w:r>
      <w:r>
        <w:rPr/>
        <w:t>日。截至</w:t>
      </w:r>
      <w:r>
        <w:rPr>
          <w:spacing w:val="-55"/>
        </w:rPr>
        <w:t> </w:t>
      </w:r>
      <w:r>
        <w:rPr>
          <w:rFonts w:ascii="宋体" w:hAnsi="宋体" w:cs="宋体" w:eastAsia="宋体" w:hint="default"/>
        </w:rPr>
        <w:t>2014</w:t>
      </w:r>
      <w:r>
        <w:rPr>
          <w:rFonts w:ascii="宋体" w:hAnsi="宋体" w:cs="宋体" w:eastAsia="宋体" w:hint="default"/>
          <w:spacing w:val="-53"/>
        </w:rPr>
        <w:t> </w:t>
      </w:r>
      <w:r>
        <w:rPr/>
        <w:t>年</w:t>
      </w:r>
      <w:r>
        <w:rPr>
          <w:spacing w:val="-55"/>
        </w:rPr>
        <w:t> </w:t>
      </w:r>
      <w:r>
        <w:rPr>
          <w:rFonts w:ascii="宋体" w:hAnsi="宋体" w:cs="宋体" w:eastAsia="宋体" w:hint="default"/>
        </w:rPr>
        <w:t>7</w:t>
      </w:r>
      <w:r>
        <w:rPr>
          <w:rFonts w:ascii="宋体" w:hAnsi="宋体" w:cs="宋体" w:eastAsia="宋体" w:hint="default"/>
          <w:spacing w:val="-53"/>
        </w:rPr>
        <w:t> </w:t>
      </w:r>
      <w:r>
        <w:rPr/>
        <w:t>月</w:t>
      </w:r>
      <w:r>
        <w:rPr>
          <w:spacing w:val="-55"/>
        </w:rPr>
        <w:t> </w:t>
      </w:r>
      <w:r>
        <w:rPr>
          <w:rFonts w:ascii="宋体" w:hAnsi="宋体" w:cs="宋体" w:eastAsia="宋体" w:hint="default"/>
        </w:rPr>
        <w:t>8</w:t>
      </w:r>
      <w:r>
        <w:rPr>
          <w:rFonts w:ascii="宋体" w:hAnsi="宋体" w:cs="宋体" w:eastAsia="宋体" w:hint="default"/>
          <w:spacing w:val="-55"/>
        </w:rPr>
        <w:t> </w:t>
      </w:r>
      <w:r>
        <w:rPr/>
        <w:t>日，公司关于</w:t>
      </w:r>
      <w:r>
        <w:rPr>
          <w:spacing w:val="-53"/>
        </w:rPr>
        <w:t> </w:t>
      </w:r>
      <w:r>
        <w:rPr>
          <w:rFonts w:ascii="宋体" w:hAnsi="宋体" w:cs="宋体" w:eastAsia="宋体" w:hint="default"/>
        </w:rPr>
        <w:t>2013</w:t>
      </w:r>
      <w:r>
        <w:rPr>
          <w:rFonts w:ascii="宋体" w:hAnsi="宋体" w:cs="宋体" w:eastAsia="宋体" w:hint="default"/>
          <w:spacing w:val="-55"/>
        </w:rPr>
        <w:t> </w:t>
      </w:r>
      <w:r>
        <w:rPr/>
        <w:t>年度利</w:t>
      </w:r>
      <w:r>
        <w:rPr>
          <w:spacing w:val="-3"/>
          <w:w w:val="100"/>
        </w:rPr>
        <w:t> </w:t>
      </w:r>
      <w:r>
        <w:rPr/>
        <w:t>润分配及资本公积金转增股本的方案实施完毕。</w:t>
      </w:r>
    </w:p>
    <w:p>
      <w:pPr>
        <w:pStyle w:val="BodyText"/>
        <w:spacing w:line="240" w:lineRule="auto" w:before="17"/>
        <w:ind w:left="574" w:right="106"/>
        <w:jc w:val="left"/>
      </w:pPr>
      <w:r>
        <w:rPr>
          <w:rFonts w:ascii="宋体" w:hAnsi="宋体" w:cs="宋体" w:eastAsia="宋体" w:hint="default"/>
          <w:spacing w:val="-3"/>
        </w:rPr>
        <w:t>2</w:t>
      </w:r>
      <w:r>
        <w:rPr>
          <w:spacing w:val="-3"/>
        </w:rPr>
        <w:t>、公司董事黄元忠先生、陈克让先生、黄晓峰先生</w:t>
      </w:r>
      <w:r>
        <w:rPr>
          <w:spacing w:val="-47"/>
        </w:rPr>
        <w:t> </w:t>
      </w:r>
      <w:r>
        <w:rPr>
          <w:rFonts w:ascii="宋体" w:hAnsi="宋体" w:cs="宋体" w:eastAsia="宋体" w:hint="default"/>
        </w:rPr>
        <w:t>3</w:t>
      </w:r>
      <w:r>
        <w:rPr>
          <w:rFonts w:ascii="宋体" w:hAnsi="宋体" w:cs="宋体" w:eastAsia="宋体" w:hint="default"/>
          <w:spacing w:val="-43"/>
        </w:rPr>
        <w:t> </w:t>
      </w:r>
      <w:r>
        <w:rPr/>
        <w:t>名股东合计持有的</w:t>
      </w:r>
      <w:r>
        <w:rPr>
          <w:spacing w:val="-46"/>
        </w:rPr>
        <w:t> </w:t>
      </w:r>
      <w:r>
        <w:rPr>
          <w:rFonts w:ascii="宋体" w:hAnsi="宋体" w:cs="宋体" w:eastAsia="宋体" w:hint="default"/>
        </w:rPr>
        <w:t>48,640,080</w:t>
      </w:r>
      <w:r>
        <w:rPr>
          <w:rFonts w:ascii="宋体" w:hAnsi="宋体" w:cs="宋体" w:eastAsia="宋体" w:hint="default"/>
          <w:spacing w:val="-46"/>
        </w:rPr>
        <w:t> </w:t>
      </w:r>
      <w:r>
        <w:rPr/>
        <w:t>股限售流通股份</w:t>
      </w:r>
    </w:p>
    <w:p>
      <w:pPr>
        <w:pStyle w:val="BodyText"/>
        <w:spacing w:line="240" w:lineRule="auto" w:before="85"/>
        <w:ind w:left="154" w:right="106"/>
        <w:jc w:val="left"/>
        <w:rPr>
          <w:rFonts w:ascii="宋体" w:hAnsi="宋体" w:cs="宋体" w:eastAsia="宋体" w:hint="default"/>
        </w:rPr>
      </w:pPr>
      <w:r>
        <w:rPr/>
        <w:t>于</w:t>
      </w:r>
      <w:r>
        <w:rPr>
          <w:spacing w:val="-53"/>
        </w:rPr>
        <w:t> </w:t>
      </w:r>
      <w:r>
        <w:rPr>
          <w:rFonts w:ascii="宋体" w:hAnsi="宋体" w:cs="宋体" w:eastAsia="宋体" w:hint="default"/>
        </w:rPr>
        <w:t>2014</w:t>
      </w:r>
      <w:r>
        <w:rPr>
          <w:rFonts w:ascii="宋体" w:hAnsi="宋体" w:cs="宋体" w:eastAsia="宋体" w:hint="default"/>
          <w:spacing w:val="-53"/>
        </w:rPr>
        <w:t> </w:t>
      </w:r>
      <w:r>
        <w:rPr/>
        <w:t>年</w:t>
      </w:r>
      <w:r>
        <w:rPr>
          <w:spacing w:val="-55"/>
        </w:rPr>
        <w:t> </w:t>
      </w:r>
      <w:r>
        <w:rPr>
          <w:rFonts w:ascii="宋体" w:hAnsi="宋体" w:cs="宋体" w:eastAsia="宋体" w:hint="default"/>
        </w:rPr>
        <w:t>6</w:t>
      </w:r>
      <w:r>
        <w:rPr>
          <w:rFonts w:ascii="宋体" w:hAnsi="宋体" w:cs="宋体" w:eastAsia="宋体" w:hint="default"/>
          <w:spacing w:val="-53"/>
        </w:rPr>
        <w:t> </w:t>
      </w:r>
      <w:r>
        <w:rPr/>
        <w:t>月</w:t>
      </w:r>
      <w:r>
        <w:rPr>
          <w:spacing w:val="-55"/>
        </w:rPr>
        <w:t> </w:t>
      </w:r>
      <w:r>
        <w:rPr>
          <w:rFonts w:ascii="宋体" w:hAnsi="宋体" w:cs="宋体" w:eastAsia="宋体" w:hint="default"/>
        </w:rPr>
        <w:t>29</w:t>
      </w:r>
      <w:r>
        <w:rPr>
          <w:rFonts w:ascii="宋体" w:hAnsi="宋体" w:cs="宋体" w:eastAsia="宋体" w:hint="default"/>
          <w:spacing w:val="-53"/>
        </w:rPr>
        <w:t> </w:t>
      </w:r>
      <w:r>
        <w:rPr/>
        <w:t>日限售期满，其中的</w:t>
      </w:r>
      <w:r>
        <w:rPr>
          <w:spacing w:val="-53"/>
        </w:rPr>
        <w:t> </w:t>
      </w:r>
      <w:r>
        <w:rPr>
          <w:rFonts w:ascii="宋体" w:hAnsi="宋体" w:cs="宋体" w:eastAsia="宋体" w:hint="default"/>
        </w:rPr>
        <w:t>12,160,021</w:t>
      </w:r>
      <w:r>
        <w:rPr>
          <w:rFonts w:ascii="宋体" w:hAnsi="宋体" w:cs="宋体" w:eastAsia="宋体" w:hint="default"/>
          <w:spacing w:val="-55"/>
        </w:rPr>
        <w:t> </w:t>
      </w:r>
      <w:r>
        <w:rPr/>
        <w:t>股于</w:t>
      </w:r>
      <w:r>
        <w:rPr>
          <w:spacing w:val="-53"/>
        </w:rPr>
        <w:t> </w:t>
      </w:r>
      <w:r>
        <w:rPr>
          <w:rFonts w:ascii="宋体" w:hAnsi="宋体" w:cs="宋体" w:eastAsia="宋体" w:hint="default"/>
        </w:rPr>
        <w:t>2014</w:t>
      </w:r>
      <w:r>
        <w:rPr>
          <w:rFonts w:ascii="宋体" w:hAnsi="宋体" w:cs="宋体" w:eastAsia="宋体" w:hint="default"/>
          <w:spacing w:val="-55"/>
        </w:rPr>
        <w:t> </w:t>
      </w:r>
      <w:r>
        <w:rPr/>
        <w:t>年</w:t>
      </w:r>
      <w:r>
        <w:rPr>
          <w:spacing w:val="-53"/>
        </w:rPr>
        <w:t> </w:t>
      </w:r>
      <w:r>
        <w:rPr>
          <w:rFonts w:ascii="宋体" w:hAnsi="宋体" w:cs="宋体" w:eastAsia="宋体" w:hint="default"/>
        </w:rPr>
        <w:t>6</w:t>
      </w:r>
      <w:r>
        <w:rPr>
          <w:rFonts w:ascii="宋体" w:hAnsi="宋体" w:cs="宋体" w:eastAsia="宋体" w:hint="default"/>
          <w:spacing w:val="-55"/>
        </w:rPr>
        <w:t> </w:t>
      </w:r>
      <w:r>
        <w:rPr/>
        <w:t>月</w:t>
      </w:r>
      <w:r>
        <w:rPr>
          <w:spacing w:val="-53"/>
        </w:rPr>
        <w:t> </w:t>
      </w:r>
      <w:r>
        <w:rPr>
          <w:rFonts w:ascii="宋体" w:hAnsi="宋体" w:cs="宋体" w:eastAsia="宋体" w:hint="default"/>
        </w:rPr>
        <w:t>30</w:t>
      </w:r>
      <w:r>
        <w:rPr>
          <w:rFonts w:ascii="宋体" w:hAnsi="宋体" w:cs="宋体" w:eastAsia="宋体" w:hint="default"/>
          <w:spacing w:val="-55"/>
        </w:rPr>
        <w:t> </w:t>
      </w:r>
      <w:r>
        <w:rPr/>
        <w:t>日正式上市流通。公司已于</w:t>
      </w:r>
      <w:r>
        <w:rPr>
          <w:spacing w:val="-53"/>
        </w:rPr>
        <w:t> </w:t>
      </w:r>
      <w:r>
        <w:rPr>
          <w:rFonts w:ascii="宋体" w:hAnsi="宋体" w:cs="宋体" w:eastAsia="宋体" w:hint="default"/>
        </w:rPr>
        <w:t>2014</w:t>
      </w:r>
    </w:p>
    <w:p>
      <w:pPr>
        <w:pStyle w:val="BodyText"/>
        <w:spacing w:line="302" w:lineRule="auto" w:before="82"/>
        <w:ind w:left="155" w:right="287" w:hanging="1"/>
        <w:jc w:val="left"/>
      </w:pPr>
      <w:r>
        <w:rPr/>
        <w:t>年</w:t>
      </w:r>
      <w:r>
        <w:rPr>
          <w:spacing w:val="-54"/>
        </w:rPr>
        <w:t> </w:t>
      </w:r>
      <w:r>
        <w:rPr>
          <w:rFonts w:ascii="宋体" w:hAnsi="宋体" w:cs="宋体" w:eastAsia="宋体" w:hint="default"/>
        </w:rPr>
        <w:t>6</w:t>
      </w:r>
      <w:r>
        <w:rPr>
          <w:rFonts w:ascii="宋体" w:hAnsi="宋体" w:cs="宋体" w:eastAsia="宋体" w:hint="default"/>
          <w:spacing w:val="-56"/>
        </w:rPr>
        <w:t> </w:t>
      </w:r>
      <w:r>
        <w:rPr/>
        <w:t>月</w:t>
      </w:r>
      <w:r>
        <w:rPr>
          <w:spacing w:val="-54"/>
        </w:rPr>
        <w:t> </w:t>
      </w:r>
      <w:r>
        <w:rPr>
          <w:rFonts w:ascii="宋体" w:hAnsi="宋体" w:cs="宋体" w:eastAsia="宋体" w:hint="default"/>
        </w:rPr>
        <w:t>25</w:t>
      </w:r>
      <w:r>
        <w:rPr>
          <w:rFonts w:ascii="宋体" w:hAnsi="宋体" w:cs="宋体" w:eastAsia="宋体" w:hint="default"/>
          <w:spacing w:val="-56"/>
        </w:rPr>
        <w:t> </w:t>
      </w:r>
      <w:r>
        <w:rPr/>
        <w:t>日进行公告，详细批准情况请参见公告“关于首次公开发行前已发行股份上市流通的提示性公</w:t>
      </w:r>
      <w:r>
        <w:rPr>
          <w:w w:val="100"/>
        </w:rPr>
        <w:t> </w:t>
      </w:r>
      <w:r>
        <w:rPr/>
        <w:t>告”以及“平安证券有限责任公司关于公司首次公开发行前已发行股份上市流通的核查意见”。</w:t>
      </w:r>
      <w:r>
        <w:rPr>
          <w:w w:val="100"/>
        </w:rPr>
        <w:t> </w:t>
      </w:r>
      <w:r>
        <w:rPr/>
        <w:t>股份变动的过户情况</w:t>
      </w:r>
    </w:p>
    <w:p>
      <w:pPr>
        <w:pStyle w:val="BodyText"/>
        <w:spacing w:line="273" w:lineRule="exact"/>
        <w:ind w:left="155" w:right="10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73" w:lineRule="exact"/>
        <w:jc w:val="left"/>
        <w:sectPr>
          <w:pgSz w:w="11910" w:h="16840"/>
          <w:pgMar w:header="748" w:footer="982" w:top="1060" w:bottom="1180" w:left="980" w:right="920"/>
        </w:sectPr>
      </w:pPr>
    </w:p>
    <w:p>
      <w:pPr>
        <w:spacing w:line="240" w:lineRule="auto" w:before="8"/>
        <w:rPr>
          <w:rFonts w:ascii="宋体" w:hAnsi="宋体" w:cs="宋体" w:eastAsia="宋体" w:hint="default"/>
          <w:sz w:val="24"/>
          <w:szCs w:val="24"/>
        </w:rPr>
      </w:pPr>
    </w:p>
    <w:p>
      <w:pPr>
        <w:pStyle w:val="BodyText"/>
        <w:spacing w:line="273" w:lineRule="auto" w:before="36"/>
        <w:ind w:right="106"/>
        <w:jc w:val="left"/>
      </w:pPr>
      <w:r>
        <w:rPr>
          <w:spacing w:val="-2"/>
        </w:rPr>
        <w:t>股份变动对最近一年和最近一期基本每股收益和稀释每股收益、归属于公司普通股股东的每股净资产等财</w:t>
      </w:r>
      <w:r>
        <w:rPr>
          <w:spacing w:val="-43"/>
        </w:rPr>
        <w:t> </w:t>
      </w:r>
      <w:r>
        <w:rPr>
          <w:spacing w:val="-43"/>
        </w:rPr>
      </w:r>
      <w:r>
        <w:rPr/>
        <w:t>务指标的影响</w:t>
      </w:r>
    </w:p>
    <w:p>
      <w:pPr>
        <w:pStyle w:val="BodyText"/>
        <w:spacing w:line="256" w:lineRule="auto" w:before="7"/>
        <w:ind w:right="40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公司认为必要或证券监管机构要求披露的其他内容</w:t>
      </w:r>
    </w:p>
    <w:p>
      <w:pPr>
        <w:pStyle w:val="BodyText"/>
        <w:spacing w:line="240" w:lineRule="auto" w:before="22"/>
        <w:ind w:right="10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7"/>
        <w:rPr>
          <w:rFonts w:ascii="宋体" w:hAnsi="宋体" w:cs="宋体" w:eastAsia="宋体" w:hint="default"/>
          <w:sz w:val="24"/>
          <w:szCs w:val="24"/>
        </w:rPr>
      </w:pPr>
    </w:p>
    <w:p>
      <w:pPr>
        <w:pStyle w:val="Heading5"/>
        <w:spacing w:line="240" w:lineRule="auto"/>
        <w:ind w:right="106"/>
        <w:jc w:val="left"/>
        <w:rPr>
          <w:b w:val="0"/>
          <w:bCs w:val="0"/>
        </w:rPr>
      </w:pPr>
      <w:bookmarkStart w:name="2、限售股份变动情况" w:id="77"/>
      <w:bookmarkEnd w:id="77"/>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right="10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21"/>
        <w:ind w:left="0" w:right="210"/>
        <w:jc w:val="right"/>
      </w:pPr>
      <w:r>
        <w:rPr>
          <w:spacing w:val="-1"/>
        </w:rPr>
        <w:t>单位：股</w:t>
      </w:r>
    </w:p>
    <w:p>
      <w:pPr>
        <w:spacing w:line="240" w:lineRule="auto" w:before="10"/>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554"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2"/>
              <w:ind w:left="259"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2"/>
              <w:ind w:right="43"/>
              <w:jc w:val="right"/>
              <w:rPr>
                <w:rFonts w:ascii="宋体" w:hAnsi="宋体" w:cs="宋体" w:eastAsia="宋体" w:hint="default"/>
                <w:sz w:val="21"/>
                <w:szCs w:val="21"/>
              </w:rPr>
            </w:pPr>
            <w:r>
              <w:rPr>
                <w:rFonts w:ascii="宋体" w:hAnsi="宋体" w:cs="宋体" w:eastAsia="宋体" w:hint="default"/>
                <w:spacing w:val="-1"/>
                <w:sz w:val="21"/>
                <w:szCs w:val="21"/>
              </w:rPr>
              <w:t>期初限售股数</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本期解除限售</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股数</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本期增加限售</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股数</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2"/>
              <w:ind w:right="45"/>
              <w:jc w:val="right"/>
              <w:rPr>
                <w:rFonts w:ascii="宋体" w:hAnsi="宋体" w:cs="宋体" w:eastAsia="宋体" w:hint="default"/>
                <w:sz w:val="21"/>
                <w:szCs w:val="21"/>
              </w:rPr>
            </w:pPr>
            <w:r>
              <w:rPr>
                <w:rFonts w:ascii="宋体" w:hAnsi="宋体" w:cs="宋体" w:eastAsia="宋体" w:hint="default"/>
                <w:spacing w:val="-1"/>
                <w:sz w:val="21"/>
                <w:szCs w:val="21"/>
              </w:rPr>
              <w:t>期末限售股数</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2"/>
              <w:ind w:right="252"/>
              <w:jc w:val="right"/>
              <w:rPr>
                <w:rFonts w:ascii="宋体" w:hAnsi="宋体" w:cs="宋体" w:eastAsia="宋体" w:hint="default"/>
                <w:sz w:val="21"/>
                <w:szCs w:val="21"/>
              </w:rPr>
            </w:pPr>
            <w:r>
              <w:rPr>
                <w:rFonts w:ascii="宋体" w:hAnsi="宋体" w:cs="宋体" w:eastAsia="宋体" w:hint="default"/>
                <w:spacing w:val="-1"/>
                <w:sz w:val="21"/>
                <w:szCs w:val="21"/>
              </w:rPr>
              <w:t>限售原因</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2"/>
              <w:ind w:left="47" w:right="0"/>
              <w:jc w:val="left"/>
              <w:rPr>
                <w:rFonts w:ascii="宋体" w:hAnsi="宋体" w:cs="宋体" w:eastAsia="宋体" w:hint="default"/>
                <w:sz w:val="21"/>
                <w:szCs w:val="21"/>
              </w:rPr>
            </w:pPr>
            <w:r>
              <w:rPr>
                <w:rFonts w:ascii="宋体" w:hAnsi="宋体" w:cs="宋体" w:eastAsia="宋体" w:hint="default"/>
                <w:sz w:val="21"/>
                <w:szCs w:val="21"/>
              </w:rPr>
              <w:t>解除限售日期</w:t>
            </w:r>
          </w:p>
        </w:tc>
      </w:tr>
      <w:tr>
        <w:trPr>
          <w:trHeight w:val="55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黄元忠</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1"/>
                <w:sz w:val="21"/>
              </w:rPr>
              <w:t>19,930,660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4,982,665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2"/>
                <w:sz w:val="21"/>
              </w:rPr>
              <w:t>11,958,396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26,906,391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首发前个人类</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3" w:right="0"/>
              <w:jc w:val="left"/>
              <w:rPr>
                <w:rFonts w:ascii="Times New Roman" w:hAnsi="Times New Roman" w:cs="Times New Roman" w:eastAsia="Times New Roman" w:hint="default"/>
                <w:sz w:val="21"/>
                <w:szCs w:val="21"/>
              </w:rPr>
            </w:pPr>
            <w:r>
              <w:rPr>
                <w:rFonts w:ascii="Times New Roman"/>
                <w:sz w:val="21"/>
              </w:rPr>
              <w:t>2014-06-30</w:t>
            </w:r>
          </w:p>
        </w:tc>
      </w:tr>
      <w:tr>
        <w:trPr>
          <w:trHeight w:val="55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陈克让</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1"/>
                <w:sz w:val="21"/>
              </w:rPr>
              <w:t>14,354,710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3,588,678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1"/>
                <w:sz w:val="21"/>
              </w:rPr>
              <w:t>8,612,826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19,378,858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首发前个人类</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3" w:right="0"/>
              <w:jc w:val="left"/>
              <w:rPr>
                <w:rFonts w:ascii="Times New Roman" w:hAnsi="Times New Roman" w:cs="Times New Roman" w:eastAsia="Times New Roman" w:hint="default"/>
                <w:sz w:val="21"/>
                <w:szCs w:val="21"/>
              </w:rPr>
            </w:pPr>
            <w:r>
              <w:rPr>
                <w:rFonts w:ascii="Times New Roman"/>
                <w:sz w:val="21"/>
              </w:rPr>
              <w:t>2014-06-30</w:t>
            </w:r>
          </w:p>
        </w:tc>
      </w:tr>
      <w:tr>
        <w:trPr>
          <w:trHeight w:val="55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黄晓峰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14,354,710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3,588,678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8,612,825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19,378,857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首发前个人类</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3" w:right="0"/>
              <w:jc w:val="left"/>
              <w:rPr>
                <w:rFonts w:ascii="Times New Roman" w:hAnsi="Times New Roman" w:cs="Times New Roman" w:eastAsia="Times New Roman" w:hint="default"/>
                <w:sz w:val="21"/>
                <w:szCs w:val="21"/>
              </w:rPr>
            </w:pPr>
            <w:r>
              <w:rPr>
                <w:rFonts w:ascii="Times New Roman"/>
                <w:sz w:val="21"/>
              </w:rPr>
              <w:t>2014-06-30</w:t>
            </w:r>
          </w:p>
        </w:tc>
      </w:tr>
      <w:tr>
        <w:trPr>
          <w:trHeight w:val="37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4" w:right="0"/>
              <w:jc w:val="left"/>
              <w:rPr>
                <w:rFonts w:ascii="宋体" w:hAnsi="宋体" w:cs="宋体" w:eastAsia="宋体" w:hint="default"/>
                <w:sz w:val="21"/>
                <w:szCs w:val="21"/>
              </w:rPr>
            </w:pPr>
            <w:r>
              <w:rPr>
                <w:rFonts w:ascii="宋体" w:hAnsi="宋体" w:cs="宋体" w:eastAsia="宋体" w:hint="default"/>
                <w:sz w:val="21"/>
                <w:szCs w:val="21"/>
              </w:rPr>
              <w:t>孙晓玲</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Times New Roman" w:hAnsi="Times New Roman" w:cs="Times New Roman" w:eastAsia="Times New Roman" w:hint="default"/>
                <w:sz w:val="21"/>
                <w:szCs w:val="21"/>
              </w:rPr>
            </w:pPr>
            <w:r>
              <w:rPr>
                <w:rFonts w:ascii="Times New Roman"/>
                <w:spacing w:val="-1"/>
                <w:sz w:val="21"/>
              </w:rPr>
              <w:t>1,502,466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Times New Roman" w:hAnsi="Times New Roman" w:cs="Times New Roman" w:eastAsia="Times New Roman" w:hint="default"/>
                <w:sz w:val="21"/>
                <w:szCs w:val="21"/>
              </w:rPr>
            </w:pPr>
            <w:r>
              <w:rPr>
                <w:rFonts w:ascii="Times New Roman"/>
                <w:spacing w:val="-1"/>
                <w:sz w:val="21"/>
              </w:rPr>
              <w:t>247,125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Times New Roman" w:hAnsi="Times New Roman" w:cs="Times New Roman" w:eastAsia="Times New Roman" w:hint="default"/>
                <w:sz w:val="21"/>
                <w:szCs w:val="21"/>
              </w:rPr>
            </w:pPr>
            <w:r>
              <w:rPr>
                <w:rFonts w:ascii="Times New Roman"/>
                <w:spacing w:val="-1"/>
                <w:sz w:val="21"/>
              </w:rPr>
              <w:t>1,004,273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Times New Roman" w:hAnsi="Times New Roman" w:cs="Times New Roman" w:eastAsia="Times New Roman" w:hint="default"/>
                <w:sz w:val="21"/>
                <w:szCs w:val="21"/>
              </w:rPr>
            </w:pPr>
            <w:r>
              <w:rPr>
                <w:rFonts w:ascii="Times New Roman"/>
                <w:spacing w:val="-1"/>
                <w:sz w:val="21"/>
              </w:rPr>
              <w:t>2,259,614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76"/>
              <w:jc w:val="right"/>
              <w:rPr>
                <w:rFonts w:ascii="宋体" w:hAnsi="宋体" w:cs="宋体" w:eastAsia="宋体" w:hint="default"/>
                <w:sz w:val="21"/>
                <w:szCs w:val="21"/>
              </w:rPr>
            </w:pPr>
            <w:r>
              <w:rPr>
                <w:rFonts w:ascii="宋体" w:hAnsi="宋体" w:cs="宋体" w:eastAsia="宋体" w:hint="default"/>
                <w:spacing w:val="-1"/>
                <w:sz w:val="21"/>
                <w:szCs w:val="21"/>
              </w:rPr>
              <w:t>高管锁定股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21"/>
                <w:szCs w:val="21"/>
              </w:rPr>
            </w:pPr>
            <w:r>
              <w:rPr>
                <w:rFonts w:ascii="Times New Roman"/>
                <w:sz w:val="21"/>
              </w:rPr>
              <w:t>2014-01-02</w:t>
            </w:r>
          </w:p>
        </w:tc>
      </w:tr>
      <w:tr>
        <w:trPr>
          <w:trHeight w:val="37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4" w:right="0"/>
              <w:jc w:val="left"/>
              <w:rPr>
                <w:rFonts w:ascii="宋体" w:hAnsi="宋体" w:cs="宋体" w:eastAsia="宋体" w:hint="default"/>
                <w:sz w:val="21"/>
                <w:szCs w:val="21"/>
              </w:rPr>
            </w:pPr>
            <w:r>
              <w:rPr>
                <w:rFonts w:ascii="宋体" w:hAnsi="宋体" w:cs="宋体" w:eastAsia="宋体" w:hint="default"/>
                <w:sz w:val="21"/>
                <w:szCs w:val="21"/>
              </w:rPr>
              <w:t>杨颖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Times New Roman" w:hAnsi="Times New Roman" w:cs="Times New Roman" w:eastAsia="Times New Roman" w:hint="default"/>
                <w:sz w:val="21"/>
                <w:szCs w:val="21"/>
              </w:rPr>
            </w:pPr>
            <w:r>
              <w:rPr>
                <w:rFonts w:ascii="Times New Roman"/>
                <w:spacing w:val="-1"/>
                <w:sz w:val="21"/>
              </w:rPr>
              <w:t>1,193,404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Times New Roman" w:hAnsi="Times New Roman" w:cs="Times New Roman" w:eastAsia="Times New Roman" w:hint="default"/>
                <w:sz w:val="21"/>
                <w:szCs w:val="21"/>
              </w:rPr>
            </w:pPr>
            <w:r>
              <w:rPr>
                <w:rFonts w:ascii="Times New Roman"/>
                <w:spacing w:val="-1"/>
                <w:sz w:val="21"/>
              </w:rPr>
              <w:t>260,627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Times New Roman" w:hAnsi="Times New Roman" w:cs="Times New Roman" w:eastAsia="Times New Roman" w:hint="default"/>
                <w:sz w:val="21"/>
                <w:szCs w:val="21"/>
              </w:rPr>
            </w:pPr>
            <w:r>
              <w:rPr>
                <w:rFonts w:ascii="Times New Roman"/>
                <w:spacing w:val="-1"/>
                <w:sz w:val="21"/>
              </w:rPr>
              <w:t>746,222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Times New Roman" w:hAnsi="Times New Roman" w:cs="Times New Roman" w:eastAsia="Times New Roman" w:hint="default"/>
                <w:sz w:val="21"/>
                <w:szCs w:val="21"/>
              </w:rPr>
            </w:pPr>
            <w:r>
              <w:rPr>
                <w:rFonts w:ascii="Times New Roman"/>
                <w:spacing w:val="-1"/>
                <w:sz w:val="21"/>
              </w:rPr>
              <w:t>1,678,999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76"/>
              <w:jc w:val="right"/>
              <w:rPr>
                <w:rFonts w:ascii="宋体" w:hAnsi="宋体" w:cs="宋体" w:eastAsia="宋体" w:hint="default"/>
                <w:sz w:val="21"/>
                <w:szCs w:val="21"/>
              </w:rPr>
            </w:pPr>
            <w:r>
              <w:rPr>
                <w:rFonts w:ascii="宋体" w:hAnsi="宋体" w:cs="宋体" w:eastAsia="宋体" w:hint="default"/>
                <w:spacing w:val="-1"/>
                <w:sz w:val="21"/>
                <w:szCs w:val="21"/>
              </w:rPr>
              <w:t>高管锁定股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21"/>
                <w:szCs w:val="21"/>
              </w:rPr>
            </w:pPr>
            <w:r>
              <w:rPr>
                <w:rFonts w:ascii="Times New Roman"/>
                <w:sz w:val="21"/>
              </w:rPr>
              <w:t>2014-01-02</w:t>
            </w:r>
          </w:p>
        </w:tc>
      </w:tr>
      <w:tr>
        <w:trPr>
          <w:trHeight w:val="379"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4"/>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Times New Roman" w:hAnsi="Times New Roman" w:cs="Times New Roman" w:eastAsia="Times New Roman" w:hint="default"/>
                <w:sz w:val="21"/>
                <w:szCs w:val="21"/>
              </w:rPr>
            </w:pPr>
            <w:r>
              <w:rPr>
                <w:rFonts w:ascii="Times New Roman"/>
                <w:spacing w:val="-1"/>
                <w:sz w:val="21"/>
              </w:rPr>
              <w:t>51,335,950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Times New Roman" w:hAnsi="Times New Roman" w:cs="Times New Roman" w:eastAsia="Times New Roman" w:hint="default"/>
                <w:sz w:val="21"/>
                <w:szCs w:val="21"/>
              </w:rPr>
            </w:pPr>
            <w:r>
              <w:rPr>
                <w:rFonts w:ascii="Times New Roman"/>
                <w:spacing w:val="-1"/>
                <w:sz w:val="21"/>
              </w:rPr>
              <w:t>12,667,773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Times New Roman" w:hAnsi="Times New Roman" w:cs="Times New Roman" w:eastAsia="Times New Roman" w:hint="default"/>
                <w:sz w:val="21"/>
                <w:szCs w:val="21"/>
              </w:rPr>
            </w:pPr>
            <w:r>
              <w:rPr>
                <w:rFonts w:ascii="Times New Roman"/>
                <w:spacing w:val="-1"/>
                <w:sz w:val="21"/>
              </w:rPr>
              <w:t>30,934,542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Times New Roman" w:hAnsi="Times New Roman" w:cs="Times New Roman" w:eastAsia="Times New Roman" w:hint="default"/>
                <w:sz w:val="21"/>
                <w:szCs w:val="21"/>
              </w:rPr>
            </w:pPr>
            <w:r>
              <w:rPr>
                <w:rFonts w:ascii="Times New Roman"/>
                <w:spacing w:val="-1"/>
                <w:sz w:val="21"/>
              </w:rPr>
              <w:t>69,602,719</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left="2" w:right="0"/>
              <w:jc w:val="center"/>
              <w:rPr>
                <w:rFonts w:ascii="Times New Roman" w:hAnsi="Times New Roman" w:cs="Times New Roman" w:eastAsia="Times New Roman" w:hint="default"/>
                <w:sz w:val="21"/>
                <w:szCs w:val="21"/>
              </w:rPr>
            </w:pPr>
            <w:r>
              <w:rPr>
                <w:rFonts w:ascii="Times New Roman"/>
                <w:sz w:val="21"/>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8"/>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1"/>
        <w:rPr>
          <w:rFonts w:ascii="宋体" w:hAnsi="宋体" w:cs="宋体" w:eastAsia="宋体" w:hint="default"/>
          <w:sz w:val="18"/>
          <w:szCs w:val="18"/>
        </w:rPr>
      </w:pPr>
    </w:p>
    <w:p>
      <w:pPr>
        <w:pStyle w:val="Heading4"/>
        <w:spacing w:line="240" w:lineRule="auto" w:before="26"/>
        <w:ind w:right="106"/>
        <w:jc w:val="left"/>
        <w:rPr>
          <w:b w:val="0"/>
          <w:bCs w:val="0"/>
        </w:rPr>
      </w:pPr>
      <w:bookmarkStart w:name="二、证券发行与上市情况" w:id="78"/>
      <w:bookmarkEnd w:id="78"/>
      <w:r>
        <w:rPr>
          <w:b w:val="0"/>
          <w:bCs w:val="0"/>
        </w:rPr>
      </w:r>
      <w:r>
        <w:rPr/>
        <w:t>二、证券发行与上市情况</w:t>
      </w:r>
      <w:r>
        <w:rPr>
          <w:b w:val="0"/>
          <w:bCs w:val="0"/>
        </w:rPr>
      </w:r>
    </w:p>
    <w:p>
      <w:pPr>
        <w:spacing w:line="240" w:lineRule="auto" w:before="0"/>
        <w:rPr>
          <w:rFonts w:ascii="宋体" w:hAnsi="宋体" w:cs="宋体" w:eastAsia="宋体" w:hint="default"/>
          <w:b/>
          <w:bCs/>
          <w:sz w:val="24"/>
          <w:szCs w:val="24"/>
        </w:rPr>
      </w:pPr>
    </w:p>
    <w:p>
      <w:pPr>
        <w:spacing w:line="240" w:lineRule="auto" w:before="11"/>
        <w:rPr>
          <w:rFonts w:ascii="宋体" w:hAnsi="宋体" w:cs="宋体" w:eastAsia="宋体" w:hint="default"/>
          <w:b/>
          <w:bCs/>
          <w:sz w:val="23"/>
          <w:szCs w:val="23"/>
        </w:rPr>
      </w:pPr>
    </w:p>
    <w:p>
      <w:pPr>
        <w:pStyle w:val="Heading5"/>
        <w:spacing w:line="240" w:lineRule="auto"/>
        <w:ind w:right="106"/>
        <w:jc w:val="left"/>
        <w:rPr>
          <w:b w:val="0"/>
          <w:bCs w:val="0"/>
        </w:rPr>
      </w:pPr>
      <w:bookmarkStart w:name="1、报告期内证券发行情况" w:id="79"/>
      <w:bookmarkEnd w:id="79"/>
      <w:r>
        <w:rPr>
          <w:b w:val="0"/>
          <w:bCs w:val="0"/>
        </w:rPr>
      </w:r>
      <w:r>
        <w:rPr>
          <w:rFonts w:ascii="Times New Roman" w:hAnsi="Times New Roman" w:cs="Times New Roman" w:eastAsia="Times New Roman" w:hint="default"/>
        </w:rPr>
        <w:t>1</w:t>
      </w:r>
      <w:r>
        <w:rPr/>
        <w:t>、报告期内证券发行情况</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right="10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7"/>
        <w:rPr>
          <w:rFonts w:ascii="宋体" w:hAnsi="宋体" w:cs="宋体" w:eastAsia="宋体" w:hint="default"/>
          <w:sz w:val="24"/>
          <w:szCs w:val="24"/>
        </w:rPr>
      </w:pPr>
    </w:p>
    <w:p>
      <w:pPr>
        <w:pStyle w:val="Heading5"/>
        <w:spacing w:line="240" w:lineRule="auto"/>
        <w:ind w:right="106"/>
        <w:jc w:val="left"/>
        <w:rPr>
          <w:b w:val="0"/>
          <w:bCs w:val="0"/>
        </w:rPr>
      </w:pPr>
      <w:bookmarkStart w:name="2、公司股份总数及股东结构的变动、公司资产和负债结构的变动情况说明" w:id="80"/>
      <w:bookmarkEnd w:id="80"/>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right="10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45"/>
        <w:ind w:left="572" w:right="106"/>
        <w:jc w:val="left"/>
      </w:pPr>
      <w:r>
        <w:rPr/>
        <w:t>公司于</w:t>
      </w:r>
      <w:r>
        <w:rPr>
          <w:spacing w:val="-54"/>
        </w:rPr>
        <w:t> </w:t>
      </w:r>
      <w:r>
        <w:rPr>
          <w:rFonts w:ascii="宋体" w:hAnsi="宋体" w:cs="宋体" w:eastAsia="宋体" w:hint="default"/>
        </w:rPr>
        <w:t>2014</w:t>
      </w:r>
      <w:r>
        <w:rPr>
          <w:rFonts w:ascii="宋体" w:hAnsi="宋体" w:cs="宋体" w:eastAsia="宋体" w:hint="default"/>
          <w:spacing w:val="-54"/>
        </w:rPr>
        <w:t> </w:t>
      </w:r>
      <w:r>
        <w:rPr/>
        <w:t>年</w:t>
      </w:r>
      <w:r>
        <w:rPr>
          <w:spacing w:val="-56"/>
        </w:rPr>
        <w:t> </w:t>
      </w:r>
      <w:r>
        <w:rPr>
          <w:rFonts w:ascii="宋体" w:hAnsi="宋体" w:cs="宋体" w:eastAsia="宋体" w:hint="default"/>
        </w:rPr>
        <w:t>4</w:t>
      </w:r>
      <w:r>
        <w:rPr>
          <w:rFonts w:ascii="宋体" w:hAnsi="宋体" w:cs="宋体" w:eastAsia="宋体" w:hint="default"/>
          <w:spacing w:val="-54"/>
        </w:rPr>
        <w:t> </w:t>
      </w:r>
      <w:r>
        <w:rPr/>
        <w:t>月</w:t>
      </w:r>
      <w:r>
        <w:rPr>
          <w:spacing w:val="-56"/>
        </w:rPr>
        <w:t> </w:t>
      </w:r>
      <w:r>
        <w:rPr>
          <w:rFonts w:ascii="宋体" w:hAnsi="宋体" w:cs="宋体" w:eastAsia="宋体" w:hint="default"/>
        </w:rPr>
        <w:t>11</w:t>
      </w:r>
      <w:r>
        <w:rPr>
          <w:rFonts w:ascii="宋体" w:hAnsi="宋体" w:cs="宋体" w:eastAsia="宋体" w:hint="default"/>
          <w:spacing w:val="-54"/>
        </w:rPr>
        <w:t> </w:t>
      </w:r>
      <w:r>
        <w:rPr/>
        <w:t>日召开第二届董事会第十一次会议，审议通过了“关于公司</w:t>
      </w:r>
      <w:r>
        <w:rPr>
          <w:spacing w:val="-55"/>
        </w:rPr>
        <w:t> </w:t>
      </w:r>
      <w:r>
        <w:rPr>
          <w:rFonts w:ascii="宋体" w:hAnsi="宋体" w:cs="宋体" w:eastAsia="宋体" w:hint="default"/>
        </w:rPr>
        <w:t>2013</w:t>
      </w:r>
      <w:r>
        <w:rPr>
          <w:rFonts w:ascii="宋体" w:hAnsi="宋体" w:cs="宋体" w:eastAsia="宋体" w:hint="default"/>
          <w:spacing w:val="-54"/>
        </w:rPr>
        <w:t> </w:t>
      </w:r>
      <w:r>
        <w:rPr/>
        <w:t>年度利润分</w:t>
      </w:r>
    </w:p>
    <w:p>
      <w:pPr>
        <w:pStyle w:val="BodyText"/>
        <w:spacing w:line="240" w:lineRule="auto" w:before="82"/>
        <w:ind w:left="153" w:right="106"/>
        <w:jc w:val="left"/>
      </w:pPr>
      <w:r>
        <w:rPr>
          <w:spacing w:val="-3"/>
        </w:rPr>
        <w:t>配及资本公积金转增股本的议案”以</w:t>
      </w:r>
      <w:r>
        <w:rPr>
          <w:spacing w:val="-51"/>
        </w:rPr>
        <w:t> </w:t>
      </w:r>
      <w:r>
        <w:rPr>
          <w:rFonts w:ascii="宋体" w:hAnsi="宋体" w:cs="宋体" w:eastAsia="宋体" w:hint="default"/>
        </w:rPr>
        <w:t>2013</w:t>
      </w:r>
      <w:r>
        <w:rPr>
          <w:rFonts w:ascii="宋体" w:hAnsi="宋体" w:cs="宋体" w:eastAsia="宋体" w:hint="default"/>
          <w:spacing w:val="-51"/>
        </w:rPr>
        <w:t> </w:t>
      </w:r>
      <w:r>
        <w:rPr/>
        <w:t>年</w:t>
      </w:r>
      <w:r>
        <w:rPr>
          <w:spacing w:val="-53"/>
        </w:rPr>
        <w:t> </w:t>
      </w:r>
      <w:r>
        <w:rPr>
          <w:rFonts w:ascii="宋体" w:hAnsi="宋体" w:cs="宋体" w:eastAsia="宋体" w:hint="default"/>
        </w:rPr>
        <w:t>12</w:t>
      </w:r>
      <w:r>
        <w:rPr>
          <w:rFonts w:ascii="宋体" w:hAnsi="宋体" w:cs="宋体" w:eastAsia="宋体" w:hint="default"/>
          <w:spacing w:val="-53"/>
        </w:rPr>
        <w:t> </w:t>
      </w:r>
      <w:r>
        <w:rPr/>
        <w:t>月</w:t>
      </w:r>
      <w:r>
        <w:rPr>
          <w:spacing w:val="-51"/>
        </w:rPr>
        <w:t> </w:t>
      </w:r>
      <w:r>
        <w:rPr>
          <w:rFonts w:ascii="宋体" w:hAnsi="宋体" w:cs="宋体" w:eastAsia="宋体" w:hint="default"/>
        </w:rPr>
        <w:t>31</w:t>
      </w:r>
      <w:r>
        <w:rPr>
          <w:rFonts w:ascii="宋体" w:hAnsi="宋体" w:cs="宋体" w:eastAsia="宋体" w:hint="default"/>
          <w:spacing w:val="-51"/>
        </w:rPr>
        <w:t> </w:t>
      </w:r>
      <w:r>
        <w:rPr/>
        <w:t>日公司总股本</w:t>
      </w:r>
      <w:r>
        <w:rPr>
          <w:spacing w:val="-53"/>
        </w:rPr>
        <w:t> </w:t>
      </w:r>
      <w:r>
        <w:rPr>
          <w:rFonts w:ascii="宋体" w:hAnsi="宋体" w:cs="宋体" w:eastAsia="宋体" w:hint="default"/>
        </w:rPr>
        <w:t>8,800</w:t>
      </w:r>
      <w:r>
        <w:rPr>
          <w:rFonts w:ascii="宋体" w:hAnsi="宋体" w:cs="宋体" w:eastAsia="宋体" w:hint="default"/>
          <w:spacing w:val="-51"/>
        </w:rPr>
        <w:t> </w:t>
      </w:r>
      <w:r>
        <w:rPr/>
        <w:t>万股为基数向全体股东每</w:t>
      </w:r>
      <w:r>
        <w:rPr>
          <w:spacing w:val="-51"/>
        </w:rPr>
        <w:t> </w:t>
      </w:r>
      <w:r>
        <w:rPr>
          <w:rFonts w:ascii="宋体" w:hAnsi="宋体" w:cs="宋体" w:eastAsia="宋体" w:hint="default"/>
        </w:rPr>
        <w:t>10</w:t>
      </w:r>
      <w:r>
        <w:rPr>
          <w:rFonts w:ascii="宋体" w:hAnsi="宋体" w:cs="宋体" w:eastAsia="宋体" w:hint="default"/>
          <w:spacing w:val="-53"/>
        </w:rPr>
        <w:t> </w:t>
      </w:r>
      <w:r>
        <w:rPr/>
        <w:t>股</w:t>
      </w:r>
    </w:p>
    <w:p>
      <w:pPr>
        <w:pStyle w:val="BodyText"/>
        <w:spacing w:line="240" w:lineRule="auto" w:before="85"/>
        <w:ind w:left="153" w:right="106"/>
        <w:jc w:val="left"/>
      </w:pPr>
      <w:r>
        <w:rPr/>
        <w:t>派发现金股利</w:t>
      </w:r>
      <w:r>
        <w:rPr>
          <w:spacing w:val="-5"/>
        </w:rPr>
        <w:t> </w:t>
      </w:r>
      <w:r>
        <w:rPr>
          <w:rFonts w:ascii="宋体" w:hAnsi="宋体" w:cs="宋体" w:eastAsia="宋体" w:hint="default"/>
        </w:rPr>
        <w:t>0.6</w:t>
      </w:r>
      <w:r>
        <w:rPr>
          <w:rFonts w:ascii="宋体" w:hAnsi="宋体" w:cs="宋体" w:eastAsia="宋体" w:hint="default"/>
          <w:spacing w:val="-7"/>
        </w:rPr>
        <w:t> </w:t>
      </w:r>
      <w:r>
        <w:rPr/>
        <w:t>元人民币（含税），同时进行资本公积金转增股本，以</w:t>
      </w:r>
      <w:r>
        <w:rPr>
          <w:spacing w:val="-57"/>
        </w:rPr>
        <w:t> </w:t>
      </w:r>
      <w:r>
        <w:rPr>
          <w:rFonts w:ascii="宋体" w:hAnsi="宋体" w:cs="宋体" w:eastAsia="宋体" w:hint="default"/>
        </w:rPr>
        <w:t>8,800</w:t>
      </w:r>
      <w:r>
        <w:rPr>
          <w:rFonts w:ascii="宋体" w:hAnsi="宋体" w:cs="宋体" w:eastAsia="宋体" w:hint="default"/>
          <w:spacing w:val="-56"/>
        </w:rPr>
        <w:t> </w:t>
      </w:r>
      <w:r>
        <w:rPr/>
        <w:t>万股为基数向全体股东</w:t>
      </w:r>
    </w:p>
    <w:p>
      <w:pPr>
        <w:pStyle w:val="BodyText"/>
        <w:spacing w:line="240" w:lineRule="auto" w:before="82"/>
        <w:ind w:left="153" w:right="106"/>
        <w:jc w:val="left"/>
      </w:pPr>
      <w:r>
        <w:rPr/>
        <w:t>每</w:t>
      </w:r>
      <w:r>
        <w:rPr>
          <w:spacing w:val="-53"/>
        </w:rPr>
        <w:t> </w:t>
      </w:r>
      <w:r>
        <w:rPr>
          <w:rFonts w:ascii="宋体" w:hAnsi="宋体" w:cs="宋体" w:eastAsia="宋体" w:hint="default"/>
        </w:rPr>
        <w:t>10</w:t>
      </w:r>
      <w:r>
        <w:rPr>
          <w:rFonts w:ascii="宋体" w:hAnsi="宋体" w:cs="宋体" w:eastAsia="宋体" w:hint="default"/>
          <w:spacing w:val="-55"/>
        </w:rPr>
        <w:t> </w:t>
      </w:r>
      <w:r>
        <w:rPr/>
        <w:t>股转增</w:t>
      </w:r>
      <w:r>
        <w:rPr>
          <w:spacing w:val="-53"/>
        </w:rPr>
        <w:t> </w:t>
      </w:r>
      <w:r>
        <w:rPr>
          <w:rFonts w:ascii="宋体" w:hAnsi="宋体" w:cs="宋体" w:eastAsia="宋体" w:hint="default"/>
        </w:rPr>
        <w:t>8</w:t>
      </w:r>
      <w:r>
        <w:rPr>
          <w:rFonts w:ascii="宋体" w:hAnsi="宋体" w:cs="宋体" w:eastAsia="宋体" w:hint="default"/>
          <w:spacing w:val="-55"/>
        </w:rPr>
        <w:t> </w:t>
      </w:r>
      <w:r>
        <w:rPr/>
        <w:t>股，共计转增</w:t>
      </w:r>
      <w:r>
        <w:rPr>
          <w:spacing w:val="-53"/>
        </w:rPr>
        <w:t> </w:t>
      </w:r>
      <w:r>
        <w:rPr>
          <w:rFonts w:ascii="宋体" w:hAnsi="宋体" w:cs="宋体" w:eastAsia="宋体" w:hint="default"/>
        </w:rPr>
        <w:t>7,040</w:t>
      </w:r>
      <w:r>
        <w:rPr>
          <w:rFonts w:ascii="宋体" w:hAnsi="宋体" w:cs="宋体" w:eastAsia="宋体" w:hint="default"/>
          <w:spacing w:val="-53"/>
        </w:rPr>
        <w:t> </w:t>
      </w:r>
      <w:r>
        <w:rPr/>
        <w:t>万股，转增后公司总股本将增加至</w:t>
      </w:r>
      <w:r>
        <w:rPr>
          <w:spacing w:val="-53"/>
        </w:rPr>
        <w:t> </w:t>
      </w:r>
      <w:r>
        <w:rPr>
          <w:rFonts w:ascii="宋体" w:hAnsi="宋体" w:cs="宋体" w:eastAsia="宋体" w:hint="default"/>
        </w:rPr>
        <w:t>15,840</w:t>
      </w:r>
      <w:r>
        <w:rPr>
          <w:rFonts w:ascii="宋体" w:hAnsi="宋体" w:cs="宋体" w:eastAsia="宋体" w:hint="default"/>
          <w:spacing w:val="-55"/>
        </w:rPr>
        <w:t> </w:t>
      </w:r>
      <w:r>
        <w:rPr/>
        <w:t>万股。</w:t>
      </w:r>
      <w:r>
        <w:rPr>
          <w:spacing w:val="-2"/>
        </w:rPr>
        <w:t> </w:t>
      </w:r>
      <w:r>
        <w:rPr>
          <w:rFonts w:ascii="宋体" w:hAnsi="宋体" w:cs="宋体" w:eastAsia="宋体" w:hint="default"/>
        </w:rPr>
        <w:t>2014</w:t>
      </w:r>
      <w:r>
        <w:rPr>
          <w:rFonts w:ascii="宋体" w:hAnsi="宋体" w:cs="宋体" w:eastAsia="宋体" w:hint="default"/>
          <w:spacing w:val="-53"/>
        </w:rPr>
        <w:t> </w:t>
      </w:r>
      <w:r>
        <w:rPr/>
        <w:t>年</w:t>
      </w:r>
      <w:r>
        <w:rPr>
          <w:spacing w:val="-55"/>
        </w:rPr>
        <w:t> </w:t>
      </w:r>
      <w:r>
        <w:rPr>
          <w:rFonts w:ascii="宋体" w:hAnsi="宋体" w:cs="宋体" w:eastAsia="宋体" w:hint="default"/>
        </w:rPr>
        <w:t>6</w:t>
      </w:r>
      <w:r>
        <w:rPr>
          <w:rFonts w:ascii="宋体" w:hAnsi="宋体" w:cs="宋体" w:eastAsia="宋体" w:hint="default"/>
          <w:spacing w:val="-53"/>
        </w:rPr>
        <w:t> </w:t>
      </w:r>
      <w:r>
        <w:rPr/>
        <w:t>月</w:t>
      </w:r>
      <w:r>
        <w:rPr>
          <w:spacing w:val="-55"/>
        </w:rPr>
        <w:t> </w:t>
      </w:r>
      <w:r>
        <w:rPr>
          <w:rFonts w:ascii="宋体" w:hAnsi="宋体" w:cs="宋体" w:eastAsia="宋体" w:hint="default"/>
        </w:rPr>
        <w:t>6</w:t>
      </w:r>
      <w:r>
        <w:rPr>
          <w:rFonts w:ascii="宋体" w:hAnsi="宋体" w:cs="宋体" w:eastAsia="宋体" w:hint="default"/>
          <w:spacing w:val="-53"/>
        </w:rPr>
        <w:t> </w:t>
      </w:r>
      <w:r>
        <w:rPr>
          <w:spacing w:val="-3"/>
        </w:rPr>
        <w:t>日，</w:t>
      </w:r>
      <w:r>
        <w:rPr/>
      </w:r>
    </w:p>
    <w:p>
      <w:pPr>
        <w:pStyle w:val="BodyText"/>
        <w:spacing w:line="240" w:lineRule="auto" w:before="85"/>
        <w:ind w:left="154" w:right="0"/>
        <w:jc w:val="left"/>
      </w:pPr>
      <w:r>
        <w:rPr/>
        <w:t>公司召开</w:t>
      </w:r>
      <w:r>
        <w:rPr>
          <w:spacing w:val="-37"/>
        </w:rPr>
        <w:t> </w:t>
      </w:r>
      <w:r>
        <w:rPr>
          <w:rFonts w:ascii="宋体" w:hAnsi="宋体" w:cs="宋体" w:eastAsia="宋体" w:hint="default"/>
        </w:rPr>
        <w:t>2013</w:t>
      </w:r>
      <w:r>
        <w:rPr>
          <w:rFonts w:ascii="宋体" w:hAnsi="宋体" w:cs="宋体" w:eastAsia="宋体" w:hint="default"/>
          <w:spacing w:val="-40"/>
        </w:rPr>
        <w:t> </w:t>
      </w:r>
      <w:r>
        <w:rPr>
          <w:spacing w:val="-7"/>
        </w:rPr>
        <w:t>年度股东大会，审议通过了“关于公司</w:t>
      </w:r>
      <w:r>
        <w:rPr>
          <w:spacing w:val="-37"/>
        </w:rPr>
        <w:t> </w:t>
      </w:r>
      <w:r>
        <w:rPr>
          <w:rFonts w:ascii="宋体" w:hAnsi="宋体" w:cs="宋体" w:eastAsia="宋体" w:hint="default"/>
        </w:rPr>
        <w:t>2013</w:t>
      </w:r>
      <w:r>
        <w:rPr>
          <w:rFonts w:ascii="宋体" w:hAnsi="宋体" w:cs="宋体" w:eastAsia="宋体" w:hint="default"/>
          <w:spacing w:val="-37"/>
        </w:rPr>
        <w:t> </w:t>
      </w:r>
      <w:r>
        <w:rPr>
          <w:spacing w:val="-4"/>
        </w:rPr>
        <w:t>年度利润分配及资本公积金转增股本的议案”。</w:t>
      </w:r>
    </w:p>
    <w:p>
      <w:pPr>
        <w:pStyle w:val="BodyText"/>
        <w:spacing w:line="240" w:lineRule="auto" w:before="82"/>
        <w:ind w:left="154" w:right="106"/>
        <w:jc w:val="left"/>
      </w:pPr>
      <w:r>
        <w:rPr>
          <w:rFonts w:ascii="宋体" w:hAnsi="宋体" w:cs="宋体" w:eastAsia="宋体" w:hint="default"/>
        </w:rPr>
        <w:t>2014</w:t>
      </w:r>
      <w:r>
        <w:rPr>
          <w:rFonts w:ascii="宋体" w:hAnsi="宋体" w:cs="宋体" w:eastAsia="宋体" w:hint="default"/>
          <w:spacing w:val="-55"/>
        </w:rPr>
        <w:t> </w:t>
      </w:r>
      <w:r>
        <w:rPr/>
        <w:t>年</w:t>
      </w:r>
      <w:r>
        <w:rPr>
          <w:spacing w:val="-53"/>
        </w:rPr>
        <w:t> </w:t>
      </w:r>
      <w:r>
        <w:rPr>
          <w:rFonts w:ascii="宋体" w:hAnsi="宋体" w:cs="宋体" w:eastAsia="宋体" w:hint="default"/>
        </w:rPr>
        <w:t>7</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5"/>
        </w:rPr>
        <w:t> </w:t>
      </w:r>
      <w:r>
        <w:rPr>
          <w:spacing w:val="-3"/>
        </w:rPr>
        <w:t>日，公司发布</w:t>
      </w:r>
      <w:r>
        <w:rPr>
          <w:spacing w:val="-53"/>
        </w:rPr>
        <w:t> </w:t>
      </w:r>
      <w:r>
        <w:rPr>
          <w:rFonts w:ascii="宋体" w:hAnsi="宋体" w:cs="宋体" w:eastAsia="宋体" w:hint="default"/>
        </w:rPr>
        <w:t>2013</w:t>
      </w:r>
      <w:r>
        <w:rPr>
          <w:rFonts w:ascii="宋体" w:hAnsi="宋体" w:cs="宋体" w:eastAsia="宋体" w:hint="default"/>
          <w:spacing w:val="-53"/>
        </w:rPr>
        <w:t> </w:t>
      </w:r>
      <w:r>
        <w:rPr/>
        <w:t>年度权益分派实施公告，拟定股权登记日为：</w:t>
      </w:r>
      <w:r>
        <w:rPr>
          <w:rFonts w:ascii="宋体" w:hAnsi="宋体" w:cs="宋体" w:eastAsia="宋体" w:hint="default"/>
        </w:rPr>
        <w:t>2014</w:t>
      </w:r>
      <w:r>
        <w:rPr>
          <w:rFonts w:ascii="宋体" w:hAnsi="宋体" w:cs="宋体" w:eastAsia="宋体" w:hint="default"/>
          <w:spacing w:val="-55"/>
        </w:rPr>
        <w:t> </w:t>
      </w:r>
      <w:r>
        <w:rPr/>
        <w:t>年</w:t>
      </w:r>
      <w:r>
        <w:rPr>
          <w:spacing w:val="-53"/>
        </w:rPr>
        <w:t> </w:t>
      </w:r>
      <w:r>
        <w:rPr>
          <w:rFonts w:ascii="宋体" w:hAnsi="宋体" w:cs="宋体" w:eastAsia="宋体" w:hint="default"/>
        </w:rPr>
        <w:t>7</w:t>
      </w:r>
      <w:r>
        <w:rPr>
          <w:rFonts w:ascii="宋体" w:hAnsi="宋体" w:cs="宋体" w:eastAsia="宋体" w:hint="default"/>
          <w:spacing w:val="-53"/>
        </w:rPr>
        <w:t> </w:t>
      </w:r>
      <w:r>
        <w:rPr/>
        <w:t>月</w:t>
      </w:r>
      <w:r>
        <w:rPr>
          <w:spacing w:val="-55"/>
        </w:rPr>
        <w:t> </w:t>
      </w:r>
      <w:r>
        <w:rPr>
          <w:rFonts w:ascii="宋体" w:hAnsi="宋体" w:cs="宋体" w:eastAsia="宋体" w:hint="default"/>
        </w:rPr>
        <w:t>7</w:t>
      </w:r>
      <w:r>
        <w:rPr>
          <w:rFonts w:ascii="宋体" w:hAnsi="宋体" w:cs="宋体" w:eastAsia="宋体" w:hint="default"/>
          <w:spacing w:val="-53"/>
        </w:rPr>
        <w:t> </w:t>
      </w:r>
      <w:r>
        <w:rPr>
          <w:spacing w:val="-4"/>
        </w:rPr>
        <w:t>日，除权除</w:t>
      </w:r>
      <w:r>
        <w:rPr/>
      </w:r>
    </w:p>
    <w:p>
      <w:pPr>
        <w:pStyle w:val="BodyText"/>
        <w:spacing w:line="312" w:lineRule="auto" w:before="85"/>
        <w:ind w:left="154" w:right="106" w:hanging="1"/>
        <w:jc w:val="left"/>
      </w:pPr>
      <w:r>
        <w:rPr>
          <w:spacing w:val="-4"/>
        </w:rPr>
        <w:t>息日为：</w:t>
      </w:r>
      <w:r>
        <w:rPr>
          <w:rFonts w:ascii="宋体" w:hAnsi="宋体" w:cs="宋体" w:eastAsia="宋体" w:hint="default"/>
          <w:spacing w:val="-4"/>
        </w:rPr>
        <w:t>2014</w:t>
      </w:r>
      <w:r>
        <w:rPr>
          <w:rFonts w:ascii="宋体" w:hAnsi="宋体" w:cs="宋体" w:eastAsia="宋体" w:hint="default"/>
          <w:spacing w:val="-54"/>
        </w:rPr>
        <w:t> </w:t>
      </w:r>
      <w:r>
        <w:rPr/>
        <w:t>年</w:t>
      </w:r>
      <w:r>
        <w:rPr>
          <w:spacing w:val="-52"/>
        </w:rPr>
        <w:t> </w:t>
      </w:r>
      <w:r>
        <w:rPr>
          <w:rFonts w:ascii="宋体" w:hAnsi="宋体" w:cs="宋体" w:eastAsia="宋体" w:hint="default"/>
        </w:rPr>
        <w:t>7</w:t>
      </w:r>
      <w:r>
        <w:rPr>
          <w:rFonts w:ascii="宋体" w:hAnsi="宋体" w:cs="宋体" w:eastAsia="宋体" w:hint="default"/>
          <w:spacing w:val="-54"/>
        </w:rPr>
        <w:t> </w:t>
      </w:r>
      <w:r>
        <w:rPr/>
        <w:t>月</w:t>
      </w:r>
      <w:r>
        <w:rPr>
          <w:spacing w:val="-52"/>
        </w:rPr>
        <w:t> </w:t>
      </w:r>
      <w:r>
        <w:rPr>
          <w:rFonts w:ascii="宋体" w:hAnsi="宋体" w:cs="宋体" w:eastAsia="宋体" w:hint="default"/>
        </w:rPr>
        <w:t>8</w:t>
      </w:r>
      <w:r>
        <w:rPr>
          <w:rFonts w:ascii="宋体" w:hAnsi="宋体" w:cs="宋体" w:eastAsia="宋体" w:hint="default"/>
          <w:spacing w:val="-54"/>
        </w:rPr>
        <w:t> </w:t>
      </w:r>
      <w:r>
        <w:rPr>
          <w:spacing w:val="-8"/>
        </w:rPr>
        <w:t>日。截至</w:t>
      </w:r>
      <w:r>
        <w:rPr>
          <w:spacing w:val="-52"/>
        </w:rPr>
        <w:t> </w:t>
      </w:r>
      <w:r>
        <w:rPr>
          <w:rFonts w:ascii="宋体" w:hAnsi="宋体" w:cs="宋体" w:eastAsia="宋体" w:hint="default"/>
        </w:rPr>
        <w:t>2014</w:t>
      </w:r>
      <w:r>
        <w:rPr>
          <w:rFonts w:ascii="宋体" w:hAnsi="宋体" w:cs="宋体" w:eastAsia="宋体" w:hint="default"/>
          <w:spacing w:val="-54"/>
        </w:rPr>
        <w:t> </w:t>
      </w:r>
      <w:r>
        <w:rPr/>
        <w:t>年</w:t>
      </w:r>
      <w:r>
        <w:rPr>
          <w:spacing w:val="-52"/>
        </w:rPr>
        <w:t> </w:t>
      </w:r>
      <w:r>
        <w:rPr>
          <w:rFonts w:ascii="宋体" w:hAnsi="宋体" w:cs="宋体" w:eastAsia="宋体" w:hint="default"/>
        </w:rPr>
        <w:t>7</w:t>
      </w:r>
      <w:r>
        <w:rPr>
          <w:rFonts w:ascii="宋体" w:hAnsi="宋体" w:cs="宋体" w:eastAsia="宋体" w:hint="default"/>
          <w:spacing w:val="-54"/>
        </w:rPr>
        <w:t> </w:t>
      </w:r>
      <w:r>
        <w:rPr/>
        <w:t>月</w:t>
      </w:r>
      <w:r>
        <w:rPr>
          <w:spacing w:val="-52"/>
        </w:rPr>
        <w:t> </w:t>
      </w:r>
      <w:r>
        <w:rPr>
          <w:rFonts w:ascii="宋体" w:hAnsi="宋体" w:cs="宋体" w:eastAsia="宋体" w:hint="default"/>
        </w:rPr>
        <w:t>8</w:t>
      </w:r>
      <w:r>
        <w:rPr>
          <w:rFonts w:ascii="宋体" w:hAnsi="宋体" w:cs="宋体" w:eastAsia="宋体" w:hint="default"/>
          <w:spacing w:val="-54"/>
        </w:rPr>
        <w:t> </w:t>
      </w:r>
      <w:r>
        <w:rPr>
          <w:spacing w:val="-5"/>
        </w:rPr>
        <w:t>日，公司关于</w:t>
      </w:r>
      <w:r>
        <w:rPr>
          <w:spacing w:val="-52"/>
        </w:rPr>
        <w:t> </w:t>
      </w:r>
      <w:r>
        <w:rPr>
          <w:rFonts w:ascii="宋体" w:hAnsi="宋体" w:cs="宋体" w:eastAsia="宋体" w:hint="default"/>
        </w:rPr>
        <w:t>2013</w:t>
      </w:r>
      <w:r>
        <w:rPr>
          <w:rFonts w:ascii="宋体" w:hAnsi="宋体" w:cs="宋体" w:eastAsia="宋体" w:hint="default"/>
          <w:spacing w:val="-54"/>
        </w:rPr>
        <w:t> </w:t>
      </w:r>
      <w:r>
        <w:rPr/>
        <w:t>年度利润分配及资本公积金转增股本的</w:t>
      </w:r>
      <w:r>
        <w:rPr>
          <w:spacing w:val="-3"/>
          <w:w w:val="100"/>
        </w:rPr>
        <w:t> </w:t>
      </w:r>
      <w:r>
        <w:rPr/>
        <w:t>方案实施完毕。</w:t>
      </w:r>
    </w:p>
    <w:p>
      <w:pPr>
        <w:spacing w:after="0" w:line="312" w:lineRule="auto"/>
        <w:jc w:val="left"/>
        <w:sectPr>
          <w:pgSz w:w="11910" w:h="16840"/>
          <w:pgMar w:header="748" w:footer="982" w:top="1060" w:bottom="1180" w:left="980" w:right="920"/>
        </w:sectPr>
      </w:pPr>
    </w:p>
    <w:p>
      <w:pPr>
        <w:spacing w:line="240" w:lineRule="auto" w:before="6"/>
        <w:rPr>
          <w:rFonts w:ascii="宋体" w:hAnsi="宋体" w:cs="宋体" w:eastAsia="宋体" w:hint="default"/>
          <w:sz w:val="23"/>
          <w:szCs w:val="23"/>
        </w:rPr>
      </w:pPr>
    </w:p>
    <w:p>
      <w:pPr>
        <w:pStyle w:val="Heading4"/>
        <w:spacing w:line="240" w:lineRule="auto" w:before="26"/>
        <w:ind w:right="0"/>
        <w:jc w:val="left"/>
        <w:rPr>
          <w:b w:val="0"/>
          <w:bCs w:val="0"/>
        </w:rPr>
      </w:pPr>
      <w:r>
        <w:rPr/>
        <w:t>三、股东和实际控制人情况</w:t>
      </w:r>
      <w:r>
        <w:rPr>
          <w:b w:val="0"/>
          <w:bCs w:val="0"/>
        </w:rPr>
      </w:r>
    </w:p>
    <w:p>
      <w:pPr>
        <w:spacing w:line="240" w:lineRule="auto" w:before="0"/>
        <w:rPr>
          <w:rFonts w:ascii="宋体" w:hAnsi="宋体" w:cs="宋体" w:eastAsia="宋体" w:hint="default"/>
          <w:b/>
          <w:bCs/>
          <w:sz w:val="24"/>
          <w:szCs w:val="24"/>
        </w:rPr>
      </w:pPr>
    </w:p>
    <w:p>
      <w:pPr>
        <w:spacing w:line="240" w:lineRule="auto" w:before="11"/>
        <w:rPr>
          <w:rFonts w:ascii="宋体" w:hAnsi="宋体" w:cs="宋体" w:eastAsia="宋体" w:hint="default"/>
          <w:b/>
          <w:bCs/>
          <w:sz w:val="23"/>
          <w:szCs w:val="23"/>
        </w:rPr>
      </w:pPr>
    </w:p>
    <w:p>
      <w:pPr>
        <w:pStyle w:val="Heading5"/>
        <w:spacing w:line="240" w:lineRule="auto"/>
        <w:ind w:right="0"/>
        <w:jc w:val="left"/>
        <w:rPr>
          <w:b w:val="0"/>
          <w:bCs w:val="0"/>
        </w:rPr>
      </w:pPr>
      <w:bookmarkStart w:name="三、股东和实际控制人情况" w:id="81"/>
      <w:bookmarkEnd w:id="81"/>
      <w:r>
        <w:rPr>
          <w:b w:val="0"/>
          <w:bCs w:val="0"/>
        </w:rPr>
      </w:r>
      <w:bookmarkStart w:name="1、公司股东数量及持股情况" w:id="82"/>
      <w:bookmarkEnd w:id="82"/>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36"/>
        <w:ind w:left="0" w:right="150"/>
        <w:jc w:val="right"/>
      </w:pPr>
      <w:r>
        <w:rPr>
          <w:spacing w:val="-1"/>
        </w:rPr>
        <w:t>单位：股</w:t>
      </w:r>
    </w:p>
    <w:p>
      <w:pPr>
        <w:spacing w:line="240" w:lineRule="auto" w:before="10"/>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1248"/>
        <w:gridCol w:w="1385"/>
        <w:gridCol w:w="876"/>
        <w:gridCol w:w="815"/>
        <w:gridCol w:w="803"/>
        <w:gridCol w:w="809"/>
        <w:gridCol w:w="862"/>
        <w:gridCol w:w="1148"/>
        <w:gridCol w:w="239"/>
        <w:gridCol w:w="1385"/>
      </w:tblGrid>
      <w:tr>
        <w:trPr>
          <w:trHeight w:val="142" w:hRule="exact"/>
        </w:trPr>
        <w:tc>
          <w:tcPr>
            <w:tcW w:w="2633" w:type="dxa"/>
            <w:gridSpan w:val="2"/>
            <w:tcBorders>
              <w:top w:val="single" w:sz="4" w:space="0" w:color="000000"/>
              <w:left w:val="single" w:sz="4" w:space="0" w:color="000000"/>
              <w:bottom w:val="nil" w:sz="6" w:space="0" w:color="auto"/>
              <w:right w:val="single" w:sz="4" w:space="0" w:color="000000"/>
            </w:tcBorders>
            <w:shd w:val="clear" w:color="auto" w:fill="D4D4D4"/>
          </w:tcPr>
          <w:p>
            <w:pPr/>
          </w:p>
        </w:tc>
        <w:tc>
          <w:tcPr>
            <w:tcW w:w="1691" w:type="dxa"/>
            <w:gridSpan w:val="2"/>
            <w:vMerge w:val="restart"/>
            <w:tcBorders>
              <w:top w:val="single" w:sz="4" w:space="0" w:color="000000"/>
              <w:left w:val="single" w:sz="9" w:space="0" w:color="D4D4D4"/>
              <w:right w:val="single" w:sz="10" w:space="0" w:color="D4D4D4"/>
            </w:tcBorders>
          </w:tcPr>
          <w:p>
            <w:pPr>
              <w:pStyle w:val="TableParagraph"/>
              <w:spacing w:line="240" w:lineRule="auto" w:before="147"/>
              <w:ind w:left="1066" w:right="0"/>
              <w:jc w:val="left"/>
              <w:rPr>
                <w:rFonts w:ascii="Times New Roman" w:hAnsi="Times New Roman" w:cs="Times New Roman" w:eastAsia="Times New Roman" w:hint="default"/>
                <w:sz w:val="21"/>
                <w:szCs w:val="21"/>
              </w:rPr>
            </w:pPr>
            <w:r>
              <w:rPr>
                <w:rFonts w:ascii="Times New Roman"/>
                <w:sz w:val="21"/>
              </w:rPr>
              <w:t>14,830</w:t>
            </w:r>
          </w:p>
        </w:tc>
        <w:tc>
          <w:tcPr>
            <w:tcW w:w="3622" w:type="dxa"/>
            <w:gridSpan w:val="4"/>
            <w:vMerge w:val="restart"/>
            <w:tcBorders>
              <w:top w:val="single" w:sz="4" w:space="0" w:color="000000"/>
              <w:left w:val="single" w:sz="4" w:space="0" w:color="000000"/>
              <w:right w:val="single" w:sz="4" w:space="0" w:color="000000"/>
            </w:tcBorders>
            <w:shd w:val="clear" w:color="auto" w:fill="D4D4D4"/>
          </w:tcPr>
          <w:p>
            <w:pPr>
              <w:pStyle w:val="TableParagraph"/>
              <w:spacing w:line="248" w:lineRule="exact"/>
              <w:ind w:left="17" w:right="0"/>
              <w:jc w:val="left"/>
              <w:rPr>
                <w:rFonts w:ascii="宋体" w:hAnsi="宋体" w:cs="宋体" w:eastAsia="宋体" w:hint="default"/>
                <w:sz w:val="21"/>
                <w:szCs w:val="21"/>
              </w:rPr>
            </w:pPr>
            <w:r>
              <w:rPr>
                <w:rFonts w:ascii="宋体" w:hAnsi="宋体" w:cs="宋体" w:eastAsia="宋体" w:hint="default"/>
                <w:sz w:val="21"/>
                <w:szCs w:val="21"/>
              </w:rPr>
              <w:t>年度报告披露日前第</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个交易日末股东</w:t>
            </w:r>
          </w:p>
          <w:p>
            <w:pPr>
              <w:pStyle w:val="TableParagraph"/>
              <w:spacing w:line="266" w:lineRule="exact"/>
              <w:ind w:left="17" w:right="0"/>
              <w:jc w:val="left"/>
              <w:rPr>
                <w:rFonts w:ascii="宋体" w:hAnsi="宋体" w:cs="宋体" w:eastAsia="宋体" w:hint="default"/>
                <w:sz w:val="21"/>
                <w:szCs w:val="21"/>
              </w:rPr>
            </w:pPr>
            <w:r>
              <w:rPr>
                <w:rFonts w:ascii="宋体" w:hAnsi="宋体" w:cs="宋体" w:eastAsia="宋体" w:hint="default"/>
                <w:sz w:val="21"/>
                <w:szCs w:val="21"/>
              </w:rPr>
              <w:t>总数</w:t>
            </w:r>
          </w:p>
        </w:tc>
        <w:tc>
          <w:tcPr>
            <w:tcW w:w="1624" w:type="dxa"/>
            <w:gridSpan w:val="2"/>
            <w:vMerge w:val="restart"/>
            <w:tcBorders>
              <w:top w:val="single" w:sz="4" w:space="0" w:color="000000"/>
              <w:left w:val="single" w:sz="12" w:space="0" w:color="D4D4D4"/>
              <w:right w:val="single" w:sz="4" w:space="0" w:color="000000"/>
            </w:tcBorders>
          </w:tcPr>
          <w:p>
            <w:pPr>
              <w:pStyle w:val="TableParagraph"/>
              <w:spacing w:line="240" w:lineRule="auto" w:before="147"/>
              <w:ind w:left="1000" w:right="0"/>
              <w:jc w:val="left"/>
              <w:rPr>
                <w:rFonts w:ascii="Times New Roman" w:hAnsi="Times New Roman" w:cs="Times New Roman" w:eastAsia="Times New Roman" w:hint="default"/>
                <w:sz w:val="21"/>
                <w:szCs w:val="21"/>
              </w:rPr>
            </w:pPr>
            <w:r>
              <w:rPr>
                <w:rFonts w:ascii="Times New Roman"/>
                <w:sz w:val="21"/>
              </w:rPr>
              <w:t>19,238</w:t>
            </w:r>
          </w:p>
        </w:tc>
      </w:tr>
      <w:tr>
        <w:trPr>
          <w:trHeight w:val="274" w:hRule="exact"/>
        </w:trPr>
        <w:tc>
          <w:tcPr>
            <w:tcW w:w="2633" w:type="dxa"/>
            <w:gridSpan w:val="2"/>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报告期末股东总数</w:t>
            </w:r>
          </w:p>
        </w:tc>
        <w:tc>
          <w:tcPr>
            <w:tcW w:w="1691" w:type="dxa"/>
            <w:gridSpan w:val="2"/>
            <w:vMerge/>
            <w:tcBorders>
              <w:left w:val="single" w:sz="9" w:space="0" w:color="D4D4D4"/>
              <w:right w:val="single" w:sz="10" w:space="0" w:color="D4D4D4"/>
            </w:tcBorders>
          </w:tcPr>
          <w:p>
            <w:pPr/>
          </w:p>
        </w:tc>
        <w:tc>
          <w:tcPr>
            <w:tcW w:w="3622" w:type="dxa"/>
            <w:gridSpan w:val="4"/>
            <w:vMerge/>
            <w:tcBorders>
              <w:left w:val="single" w:sz="4" w:space="0" w:color="000000"/>
              <w:right w:val="single" w:sz="4" w:space="0" w:color="000000"/>
            </w:tcBorders>
            <w:shd w:val="clear" w:color="auto" w:fill="D4D4D4"/>
          </w:tcPr>
          <w:p>
            <w:pPr/>
          </w:p>
        </w:tc>
        <w:tc>
          <w:tcPr>
            <w:tcW w:w="1624" w:type="dxa"/>
            <w:gridSpan w:val="2"/>
            <w:vMerge/>
            <w:tcBorders>
              <w:left w:val="single" w:sz="12" w:space="0" w:color="D4D4D4"/>
              <w:right w:val="single" w:sz="4" w:space="0" w:color="000000"/>
            </w:tcBorders>
          </w:tcPr>
          <w:p>
            <w:pPr/>
          </w:p>
        </w:tc>
      </w:tr>
      <w:tr>
        <w:trPr>
          <w:trHeight w:val="170" w:hRule="exact"/>
        </w:trPr>
        <w:tc>
          <w:tcPr>
            <w:tcW w:w="2633" w:type="dxa"/>
            <w:gridSpan w:val="2"/>
            <w:tcBorders>
              <w:top w:val="nil" w:sz="6" w:space="0" w:color="auto"/>
              <w:left w:val="single" w:sz="4" w:space="0" w:color="000000"/>
              <w:bottom w:val="single" w:sz="4" w:space="0" w:color="000000"/>
              <w:right w:val="single" w:sz="4" w:space="0" w:color="000000"/>
            </w:tcBorders>
            <w:shd w:val="clear" w:color="auto" w:fill="D4D4D4"/>
          </w:tcPr>
          <w:p>
            <w:pPr/>
          </w:p>
        </w:tc>
        <w:tc>
          <w:tcPr>
            <w:tcW w:w="1691" w:type="dxa"/>
            <w:gridSpan w:val="2"/>
            <w:vMerge/>
            <w:tcBorders>
              <w:left w:val="single" w:sz="9" w:space="0" w:color="D4D4D4"/>
              <w:bottom w:val="single" w:sz="19" w:space="0" w:color="D4D4D4"/>
              <w:right w:val="single" w:sz="10" w:space="0" w:color="D4D4D4"/>
            </w:tcBorders>
          </w:tcPr>
          <w:p>
            <w:pPr/>
          </w:p>
        </w:tc>
        <w:tc>
          <w:tcPr>
            <w:tcW w:w="3622" w:type="dxa"/>
            <w:gridSpan w:val="4"/>
            <w:vMerge/>
            <w:tcBorders>
              <w:left w:val="single" w:sz="4" w:space="0" w:color="000000"/>
              <w:bottom w:val="single" w:sz="4" w:space="0" w:color="000000"/>
              <w:right w:val="single" w:sz="4" w:space="0" w:color="000000"/>
            </w:tcBorders>
            <w:shd w:val="clear" w:color="auto" w:fill="D4D4D4"/>
          </w:tcPr>
          <w:p>
            <w:pPr/>
          </w:p>
        </w:tc>
        <w:tc>
          <w:tcPr>
            <w:tcW w:w="1624" w:type="dxa"/>
            <w:gridSpan w:val="2"/>
            <w:vMerge/>
            <w:tcBorders>
              <w:left w:val="single" w:sz="12" w:space="0" w:color="D4D4D4"/>
              <w:bottom w:val="single" w:sz="19" w:space="0" w:color="D4D4D4"/>
              <w:right w:val="single" w:sz="4" w:space="0" w:color="000000"/>
            </w:tcBorders>
          </w:tcPr>
          <w:p>
            <w:pPr/>
          </w:p>
        </w:tc>
      </w:tr>
      <w:tr>
        <w:trPr>
          <w:trHeight w:val="322" w:hRule="exact"/>
        </w:trPr>
        <w:tc>
          <w:tcPr>
            <w:tcW w:w="9569" w:type="dxa"/>
            <w:gridSpan w:val="10"/>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76" w:lineRule="exact"/>
              <w:ind w:right="2"/>
              <w:jc w:val="center"/>
              <w:rPr>
                <w:rFonts w:ascii="宋体" w:hAnsi="宋体" w:cs="宋体" w:eastAsia="宋体" w:hint="default"/>
                <w:sz w:val="21"/>
                <w:szCs w:val="21"/>
              </w:rPr>
            </w:pPr>
            <w:r>
              <w:rPr>
                <w:rFonts w:ascii="宋体" w:hAnsi="宋体" w:cs="宋体" w:eastAsia="宋体" w:hint="default"/>
                <w:sz w:val="21"/>
                <w:szCs w:val="21"/>
              </w:rPr>
              <w:t>持股</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以上的股东持股情况</w:t>
            </w:r>
          </w:p>
        </w:tc>
      </w:tr>
      <w:tr>
        <w:trPr>
          <w:trHeight w:val="170" w:hRule="exact"/>
        </w:trPr>
        <w:tc>
          <w:tcPr>
            <w:tcW w:w="1248" w:type="dxa"/>
            <w:vMerge w:val="restart"/>
            <w:tcBorders>
              <w:top w:val="single" w:sz="4" w:space="0" w:color="000000"/>
              <w:left w:val="single" w:sz="4" w:space="0" w:color="000000"/>
              <w:right w:val="single" w:sz="4" w:space="0" w:color="000000"/>
            </w:tcBorders>
            <w:shd w:val="clear" w:color="auto" w:fill="D4D4D4"/>
          </w:tcPr>
          <w:p>
            <w:pPr/>
          </w:p>
        </w:tc>
        <w:tc>
          <w:tcPr>
            <w:tcW w:w="1385" w:type="dxa"/>
            <w:vMerge w:val="restart"/>
            <w:tcBorders>
              <w:top w:val="single" w:sz="4" w:space="0" w:color="000000"/>
              <w:left w:val="single" w:sz="4" w:space="0" w:color="000000"/>
              <w:right w:val="single" w:sz="4" w:space="0" w:color="000000"/>
            </w:tcBorders>
            <w:shd w:val="clear" w:color="auto" w:fill="D4D4D4"/>
          </w:tcPr>
          <w:p>
            <w:pPr/>
          </w:p>
        </w:tc>
        <w:tc>
          <w:tcPr>
            <w:tcW w:w="876" w:type="dxa"/>
            <w:vMerge w:val="restart"/>
            <w:tcBorders>
              <w:top w:val="single" w:sz="4" w:space="0" w:color="000000"/>
              <w:left w:val="single" w:sz="4" w:space="0" w:color="000000"/>
              <w:right w:val="single" w:sz="4" w:space="0" w:color="000000"/>
            </w:tcBorders>
            <w:shd w:val="clear" w:color="auto" w:fill="D4D4D4"/>
          </w:tcPr>
          <w:p>
            <w:pPr/>
          </w:p>
        </w:tc>
        <w:tc>
          <w:tcPr>
            <w:tcW w:w="815" w:type="dxa"/>
            <w:tcBorders>
              <w:top w:val="single" w:sz="4" w:space="0" w:color="000000"/>
              <w:left w:val="single" w:sz="4" w:space="0" w:color="000000"/>
              <w:bottom w:val="nil" w:sz="6" w:space="0" w:color="auto"/>
              <w:right w:val="single" w:sz="4" w:space="0" w:color="000000"/>
            </w:tcBorders>
            <w:shd w:val="clear" w:color="auto" w:fill="D4D4D4"/>
          </w:tcPr>
          <w:p>
            <w:pPr/>
          </w:p>
        </w:tc>
        <w:tc>
          <w:tcPr>
            <w:tcW w:w="803" w:type="dxa"/>
            <w:vMerge w:val="restart"/>
            <w:tcBorders>
              <w:top w:val="single" w:sz="4" w:space="0" w:color="000000"/>
              <w:left w:val="single" w:sz="4" w:space="0" w:color="000000"/>
              <w:right w:val="single" w:sz="4" w:space="0" w:color="000000"/>
            </w:tcBorders>
            <w:shd w:val="clear" w:color="auto" w:fill="D4D4D4"/>
          </w:tcPr>
          <w:p>
            <w:pPr>
              <w:pStyle w:val="TableParagraph"/>
              <w:spacing w:line="237" w:lineRule="auto"/>
              <w:ind w:left="77" w:right="79"/>
              <w:jc w:val="center"/>
              <w:rPr>
                <w:rFonts w:ascii="宋体" w:hAnsi="宋体" w:cs="宋体" w:eastAsia="宋体" w:hint="default"/>
                <w:sz w:val="21"/>
                <w:szCs w:val="21"/>
              </w:rPr>
            </w:pPr>
            <w:r>
              <w:rPr>
                <w:rFonts w:ascii="宋体" w:hAnsi="宋体" w:cs="宋体" w:eastAsia="宋体" w:hint="default"/>
                <w:sz w:val="21"/>
                <w:szCs w:val="21"/>
              </w:rPr>
              <w:t>报告期</w:t>
            </w:r>
            <w:r>
              <w:rPr>
                <w:rFonts w:ascii="宋体" w:hAnsi="宋体" w:cs="宋体" w:eastAsia="宋体" w:hint="default"/>
                <w:w w:val="100"/>
                <w:sz w:val="21"/>
                <w:szCs w:val="21"/>
              </w:rPr>
              <w:t> </w:t>
            </w:r>
            <w:r>
              <w:rPr>
                <w:rFonts w:ascii="宋体" w:hAnsi="宋体" w:cs="宋体" w:eastAsia="宋体" w:hint="default"/>
                <w:sz w:val="21"/>
                <w:szCs w:val="21"/>
              </w:rPr>
              <w:t>内增减</w:t>
            </w:r>
            <w:r>
              <w:rPr>
                <w:rFonts w:ascii="宋体" w:hAnsi="宋体" w:cs="宋体" w:eastAsia="宋体" w:hint="default"/>
                <w:w w:val="100"/>
                <w:sz w:val="21"/>
                <w:szCs w:val="21"/>
              </w:rPr>
              <w:t> </w:t>
            </w:r>
            <w:r>
              <w:rPr>
                <w:rFonts w:ascii="宋体" w:hAnsi="宋体" w:cs="宋体" w:eastAsia="宋体" w:hint="default"/>
                <w:sz w:val="21"/>
                <w:szCs w:val="21"/>
              </w:rPr>
              <w:t>变动情</w:t>
            </w:r>
            <w:r>
              <w:rPr>
                <w:rFonts w:ascii="宋体" w:hAnsi="宋体" w:cs="宋体" w:eastAsia="宋体" w:hint="default"/>
                <w:w w:val="100"/>
                <w:sz w:val="21"/>
                <w:szCs w:val="21"/>
              </w:rPr>
              <w:t> </w:t>
            </w:r>
            <w:r>
              <w:rPr>
                <w:rFonts w:ascii="宋体" w:hAnsi="宋体" w:cs="宋体" w:eastAsia="宋体" w:hint="default"/>
                <w:sz w:val="21"/>
                <w:szCs w:val="21"/>
              </w:rPr>
              <w:t>况</w:t>
            </w:r>
          </w:p>
        </w:tc>
        <w:tc>
          <w:tcPr>
            <w:tcW w:w="809" w:type="dxa"/>
            <w:vMerge w:val="restart"/>
            <w:tcBorders>
              <w:top w:val="single" w:sz="4" w:space="0" w:color="000000"/>
              <w:left w:val="single" w:sz="4" w:space="0" w:color="000000"/>
              <w:right w:val="single" w:sz="4" w:space="0" w:color="000000"/>
            </w:tcBorders>
            <w:shd w:val="clear" w:color="auto" w:fill="D4D4D4"/>
          </w:tcPr>
          <w:p>
            <w:pPr>
              <w:pStyle w:val="TableParagraph"/>
              <w:spacing w:line="237" w:lineRule="auto"/>
              <w:ind w:left="83" w:right="79"/>
              <w:jc w:val="both"/>
              <w:rPr>
                <w:rFonts w:ascii="宋体" w:hAnsi="宋体" w:cs="宋体" w:eastAsia="宋体" w:hint="default"/>
                <w:sz w:val="21"/>
                <w:szCs w:val="21"/>
              </w:rPr>
            </w:pPr>
            <w:r>
              <w:rPr>
                <w:rFonts w:ascii="宋体" w:hAnsi="宋体" w:cs="宋体" w:eastAsia="宋体" w:hint="default"/>
                <w:sz w:val="21"/>
                <w:szCs w:val="21"/>
              </w:rPr>
              <w:t>持有有</w:t>
            </w:r>
            <w:r>
              <w:rPr>
                <w:rFonts w:ascii="宋体" w:hAnsi="宋体" w:cs="宋体" w:eastAsia="宋体" w:hint="default"/>
                <w:spacing w:val="-102"/>
                <w:sz w:val="21"/>
                <w:szCs w:val="21"/>
              </w:rPr>
              <w:t> </w:t>
            </w:r>
            <w:r>
              <w:rPr>
                <w:rFonts w:ascii="宋体" w:hAnsi="宋体" w:cs="宋体" w:eastAsia="宋体" w:hint="default"/>
                <w:sz w:val="21"/>
                <w:szCs w:val="21"/>
              </w:rPr>
              <w:t>限售条</w:t>
            </w:r>
            <w:r>
              <w:rPr>
                <w:rFonts w:ascii="宋体" w:hAnsi="宋体" w:cs="宋体" w:eastAsia="宋体" w:hint="default"/>
                <w:spacing w:val="-102"/>
                <w:sz w:val="21"/>
                <w:szCs w:val="21"/>
              </w:rPr>
              <w:t> </w:t>
            </w:r>
            <w:r>
              <w:rPr>
                <w:rFonts w:ascii="宋体" w:hAnsi="宋体" w:cs="宋体" w:eastAsia="宋体" w:hint="default"/>
                <w:sz w:val="21"/>
                <w:szCs w:val="21"/>
              </w:rPr>
              <w:t>件的股</w:t>
            </w:r>
            <w:r>
              <w:rPr>
                <w:rFonts w:ascii="宋体" w:hAnsi="宋体" w:cs="宋体" w:eastAsia="宋体" w:hint="default"/>
                <w:spacing w:val="-102"/>
                <w:sz w:val="21"/>
                <w:szCs w:val="21"/>
              </w:rPr>
              <w:t> </w:t>
            </w:r>
            <w:r>
              <w:rPr>
                <w:rFonts w:ascii="宋体" w:hAnsi="宋体" w:cs="宋体" w:eastAsia="宋体" w:hint="default"/>
                <w:sz w:val="21"/>
                <w:szCs w:val="21"/>
              </w:rPr>
              <w:t>份数量</w:t>
            </w:r>
          </w:p>
        </w:tc>
        <w:tc>
          <w:tcPr>
            <w:tcW w:w="862" w:type="dxa"/>
            <w:vMerge w:val="restart"/>
            <w:tcBorders>
              <w:top w:val="single" w:sz="4" w:space="0" w:color="000000"/>
              <w:left w:val="single" w:sz="4" w:space="0" w:color="000000"/>
              <w:right w:val="single" w:sz="4" w:space="0" w:color="FFFFFF"/>
            </w:tcBorders>
            <w:shd w:val="clear" w:color="auto" w:fill="D4D4D4"/>
          </w:tcPr>
          <w:p>
            <w:pPr>
              <w:pStyle w:val="TableParagraph"/>
              <w:spacing w:line="237" w:lineRule="auto"/>
              <w:ind w:left="110" w:right="107"/>
              <w:jc w:val="both"/>
              <w:rPr>
                <w:rFonts w:ascii="宋体" w:hAnsi="宋体" w:cs="宋体" w:eastAsia="宋体" w:hint="default"/>
                <w:sz w:val="21"/>
                <w:szCs w:val="21"/>
              </w:rPr>
            </w:pPr>
            <w:r>
              <w:rPr>
                <w:rFonts w:ascii="宋体" w:hAnsi="宋体" w:cs="宋体" w:eastAsia="宋体" w:hint="default"/>
                <w:sz w:val="21"/>
                <w:szCs w:val="21"/>
              </w:rPr>
              <w:t>持有无</w:t>
            </w:r>
            <w:r>
              <w:rPr>
                <w:rFonts w:ascii="宋体" w:hAnsi="宋体" w:cs="宋体" w:eastAsia="宋体" w:hint="default"/>
                <w:spacing w:val="-102"/>
                <w:sz w:val="21"/>
                <w:szCs w:val="21"/>
              </w:rPr>
              <w:t> </w:t>
            </w:r>
            <w:r>
              <w:rPr>
                <w:rFonts w:ascii="宋体" w:hAnsi="宋体" w:cs="宋体" w:eastAsia="宋体" w:hint="default"/>
                <w:sz w:val="21"/>
                <w:szCs w:val="21"/>
              </w:rPr>
              <w:t>限售条</w:t>
            </w:r>
            <w:r>
              <w:rPr>
                <w:rFonts w:ascii="宋体" w:hAnsi="宋体" w:cs="宋体" w:eastAsia="宋体" w:hint="default"/>
                <w:spacing w:val="-102"/>
                <w:sz w:val="21"/>
                <w:szCs w:val="21"/>
              </w:rPr>
              <w:t> </w:t>
            </w:r>
            <w:r>
              <w:rPr>
                <w:rFonts w:ascii="宋体" w:hAnsi="宋体" w:cs="宋体" w:eastAsia="宋体" w:hint="default"/>
                <w:sz w:val="21"/>
                <w:szCs w:val="21"/>
              </w:rPr>
              <w:t>件的股</w:t>
            </w:r>
            <w:r>
              <w:rPr>
                <w:rFonts w:ascii="宋体" w:hAnsi="宋体" w:cs="宋体" w:eastAsia="宋体" w:hint="default"/>
                <w:spacing w:val="-102"/>
                <w:sz w:val="21"/>
                <w:szCs w:val="21"/>
              </w:rPr>
              <w:t> </w:t>
            </w:r>
            <w:r>
              <w:rPr>
                <w:rFonts w:ascii="宋体" w:hAnsi="宋体" w:cs="宋体" w:eastAsia="宋体" w:hint="default"/>
                <w:sz w:val="21"/>
                <w:szCs w:val="21"/>
              </w:rPr>
              <w:t>份数量</w:t>
            </w:r>
          </w:p>
        </w:tc>
        <w:tc>
          <w:tcPr>
            <w:tcW w:w="2772" w:type="dxa"/>
            <w:gridSpan w:val="3"/>
            <w:vMerge w:val="restart"/>
            <w:tcBorders>
              <w:top w:val="single" w:sz="4" w:space="0" w:color="000000"/>
              <w:left w:val="single" w:sz="4" w:space="0" w:color="FFFFFF"/>
              <w:right w:val="single" w:sz="4" w:space="0" w:color="000000"/>
            </w:tcBorders>
            <w:shd w:val="clear" w:color="auto" w:fill="D4D4D4"/>
          </w:tcPr>
          <w:p>
            <w:pPr>
              <w:pStyle w:val="TableParagraph"/>
              <w:spacing w:line="240" w:lineRule="auto" w:before="42"/>
              <w:ind w:left="645" w:right="0"/>
              <w:jc w:val="left"/>
              <w:rPr>
                <w:rFonts w:ascii="宋体" w:hAnsi="宋体" w:cs="宋体" w:eastAsia="宋体" w:hint="default"/>
                <w:sz w:val="21"/>
                <w:szCs w:val="21"/>
              </w:rPr>
            </w:pPr>
            <w:r>
              <w:rPr>
                <w:rFonts w:ascii="宋体" w:hAnsi="宋体" w:cs="宋体" w:eastAsia="宋体" w:hint="default"/>
                <w:sz w:val="21"/>
                <w:szCs w:val="21"/>
              </w:rPr>
              <w:t>质押或冻结情况</w:t>
            </w:r>
          </w:p>
        </w:tc>
      </w:tr>
      <w:tr>
        <w:trPr>
          <w:trHeight w:val="175" w:hRule="exact"/>
        </w:trPr>
        <w:tc>
          <w:tcPr>
            <w:tcW w:w="1248" w:type="dxa"/>
            <w:vMerge/>
            <w:tcBorders>
              <w:left w:val="single" w:sz="4" w:space="0" w:color="000000"/>
              <w:right w:val="single" w:sz="4" w:space="0" w:color="000000"/>
            </w:tcBorders>
            <w:shd w:val="clear" w:color="auto" w:fill="D4D4D4"/>
          </w:tcPr>
          <w:p>
            <w:pPr/>
          </w:p>
        </w:tc>
        <w:tc>
          <w:tcPr>
            <w:tcW w:w="1385" w:type="dxa"/>
            <w:vMerge/>
            <w:tcBorders>
              <w:left w:val="single" w:sz="4" w:space="0" w:color="000000"/>
              <w:right w:val="single" w:sz="4" w:space="0" w:color="000000"/>
            </w:tcBorders>
            <w:shd w:val="clear" w:color="auto" w:fill="D4D4D4"/>
          </w:tcPr>
          <w:p>
            <w:pPr/>
          </w:p>
        </w:tc>
        <w:tc>
          <w:tcPr>
            <w:tcW w:w="876" w:type="dxa"/>
            <w:vMerge/>
            <w:tcBorders>
              <w:left w:val="single" w:sz="4" w:space="0" w:color="000000"/>
              <w:bottom w:val="nil" w:sz="6" w:space="0" w:color="auto"/>
              <w:right w:val="single" w:sz="4" w:space="0" w:color="000000"/>
            </w:tcBorders>
            <w:shd w:val="clear" w:color="auto" w:fill="D4D4D4"/>
          </w:tcPr>
          <w:p>
            <w:pPr/>
          </w:p>
        </w:tc>
        <w:tc>
          <w:tcPr>
            <w:tcW w:w="815" w:type="dxa"/>
            <w:vMerge w:val="restart"/>
            <w:tcBorders>
              <w:top w:val="nil" w:sz="6" w:space="0" w:color="auto"/>
              <w:left w:val="single" w:sz="4" w:space="0" w:color="000000"/>
              <w:right w:val="single" w:sz="4" w:space="0" w:color="000000"/>
            </w:tcBorders>
            <w:shd w:val="clear" w:color="auto" w:fill="D4D4D4"/>
          </w:tcPr>
          <w:p>
            <w:pPr>
              <w:pStyle w:val="TableParagraph"/>
              <w:spacing w:line="239" w:lineRule="exact"/>
              <w:ind w:left="84" w:right="0"/>
              <w:jc w:val="left"/>
              <w:rPr>
                <w:rFonts w:ascii="宋体" w:hAnsi="宋体" w:cs="宋体" w:eastAsia="宋体" w:hint="default"/>
                <w:sz w:val="21"/>
                <w:szCs w:val="21"/>
              </w:rPr>
            </w:pPr>
            <w:r>
              <w:rPr>
                <w:rFonts w:ascii="宋体" w:hAnsi="宋体" w:cs="宋体" w:eastAsia="宋体" w:hint="default"/>
                <w:sz w:val="21"/>
                <w:szCs w:val="21"/>
              </w:rPr>
              <w:t>报告期</w:t>
            </w:r>
          </w:p>
          <w:p>
            <w:pPr>
              <w:pStyle w:val="TableParagraph"/>
              <w:spacing w:line="240" w:lineRule="auto"/>
              <w:ind w:left="189" w:right="85" w:hanging="106"/>
              <w:jc w:val="left"/>
              <w:rPr>
                <w:rFonts w:ascii="宋体" w:hAnsi="宋体" w:cs="宋体" w:eastAsia="宋体" w:hint="default"/>
                <w:sz w:val="21"/>
                <w:szCs w:val="21"/>
              </w:rPr>
            </w:pPr>
            <w:r>
              <w:rPr>
                <w:rFonts w:ascii="宋体" w:hAnsi="宋体" w:cs="宋体" w:eastAsia="宋体" w:hint="default"/>
                <w:sz w:val="21"/>
                <w:szCs w:val="21"/>
              </w:rPr>
              <w:t>末持股</w:t>
            </w:r>
            <w:r>
              <w:rPr>
                <w:rFonts w:ascii="宋体" w:hAnsi="宋体" w:cs="宋体" w:eastAsia="宋体" w:hint="default"/>
                <w:spacing w:val="-102"/>
                <w:sz w:val="21"/>
                <w:szCs w:val="21"/>
              </w:rPr>
              <w:t> </w:t>
            </w:r>
            <w:r>
              <w:rPr>
                <w:rFonts w:ascii="宋体" w:hAnsi="宋体" w:cs="宋体" w:eastAsia="宋体" w:hint="default"/>
                <w:sz w:val="21"/>
                <w:szCs w:val="21"/>
              </w:rPr>
              <w:t>数量</w:t>
            </w:r>
          </w:p>
        </w:tc>
        <w:tc>
          <w:tcPr>
            <w:tcW w:w="803" w:type="dxa"/>
            <w:vMerge/>
            <w:tcBorders>
              <w:left w:val="single" w:sz="4" w:space="0" w:color="000000"/>
              <w:right w:val="single" w:sz="4" w:space="0" w:color="000000"/>
            </w:tcBorders>
            <w:shd w:val="clear" w:color="auto" w:fill="D4D4D4"/>
          </w:tcPr>
          <w:p>
            <w:pPr/>
          </w:p>
        </w:tc>
        <w:tc>
          <w:tcPr>
            <w:tcW w:w="809" w:type="dxa"/>
            <w:vMerge/>
            <w:tcBorders>
              <w:left w:val="single" w:sz="4" w:space="0" w:color="000000"/>
              <w:right w:val="single" w:sz="4" w:space="0" w:color="000000"/>
            </w:tcBorders>
            <w:shd w:val="clear" w:color="auto" w:fill="D4D4D4"/>
          </w:tcPr>
          <w:p>
            <w:pPr/>
          </w:p>
        </w:tc>
        <w:tc>
          <w:tcPr>
            <w:tcW w:w="862" w:type="dxa"/>
            <w:vMerge/>
            <w:tcBorders>
              <w:left w:val="single" w:sz="4" w:space="0" w:color="000000"/>
              <w:right w:val="single" w:sz="4" w:space="0" w:color="FFFFFF"/>
            </w:tcBorders>
            <w:shd w:val="clear" w:color="auto" w:fill="D4D4D4"/>
          </w:tcPr>
          <w:p>
            <w:pPr/>
          </w:p>
        </w:tc>
        <w:tc>
          <w:tcPr>
            <w:tcW w:w="2772" w:type="dxa"/>
            <w:gridSpan w:val="3"/>
            <w:vMerge/>
            <w:tcBorders>
              <w:left w:val="single" w:sz="4" w:space="0" w:color="FFFFFF"/>
              <w:bottom w:val="single" w:sz="4" w:space="0" w:color="000000"/>
              <w:right w:val="single" w:sz="4" w:space="0" w:color="000000"/>
            </w:tcBorders>
            <w:shd w:val="clear" w:color="auto" w:fill="D4D4D4"/>
          </w:tcPr>
          <w:p>
            <w:pPr/>
          </w:p>
        </w:tc>
      </w:tr>
      <w:tr>
        <w:trPr>
          <w:trHeight w:val="96" w:hRule="exact"/>
        </w:trPr>
        <w:tc>
          <w:tcPr>
            <w:tcW w:w="1248" w:type="dxa"/>
            <w:vMerge/>
            <w:tcBorders>
              <w:left w:val="single" w:sz="4" w:space="0" w:color="000000"/>
              <w:bottom w:val="nil" w:sz="6" w:space="0" w:color="auto"/>
              <w:right w:val="single" w:sz="4" w:space="0" w:color="000000"/>
            </w:tcBorders>
            <w:shd w:val="clear" w:color="auto" w:fill="D4D4D4"/>
          </w:tcPr>
          <w:p>
            <w:pPr/>
          </w:p>
        </w:tc>
        <w:tc>
          <w:tcPr>
            <w:tcW w:w="1385" w:type="dxa"/>
            <w:vMerge/>
            <w:tcBorders>
              <w:left w:val="single" w:sz="4" w:space="0" w:color="000000"/>
              <w:bottom w:val="nil" w:sz="6" w:space="0" w:color="auto"/>
              <w:right w:val="single" w:sz="4" w:space="0" w:color="000000"/>
            </w:tcBorders>
            <w:shd w:val="clear" w:color="auto" w:fill="D4D4D4"/>
          </w:tcPr>
          <w:p>
            <w:pPr/>
          </w:p>
        </w:tc>
        <w:tc>
          <w:tcPr>
            <w:tcW w:w="876" w:type="dxa"/>
            <w:vMerge w:val="restart"/>
            <w:tcBorders>
              <w:top w:val="nil" w:sz="6" w:space="0" w:color="auto"/>
              <w:left w:val="single" w:sz="4" w:space="0" w:color="000000"/>
              <w:right w:val="single" w:sz="4" w:space="0" w:color="000000"/>
            </w:tcBorders>
            <w:shd w:val="clear" w:color="auto" w:fill="D4D4D4"/>
          </w:tcPr>
          <w:p>
            <w:pPr>
              <w:pStyle w:val="TableParagraph"/>
              <w:spacing w:line="201" w:lineRule="exact"/>
              <w:ind w:left="2" w:right="0"/>
              <w:jc w:val="center"/>
              <w:rPr>
                <w:rFonts w:ascii="宋体" w:hAnsi="宋体" w:cs="宋体" w:eastAsia="宋体" w:hint="default"/>
                <w:sz w:val="21"/>
                <w:szCs w:val="21"/>
              </w:rPr>
            </w:pPr>
            <w:r>
              <w:rPr>
                <w:rFonts w:ascii="宋体" w:hAnsi="宋体" w:cs="宋体" w:eastAsia="宋体" w:hint="default"/>
                <w:sz w:val="21"/>
                <w:szCs w:val="21"/>
              </w:rPr>
              <w:t>持股比</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例</w:t>
            </w:r>
          </w:p>
        </w:tc>
        <w:tc>
          <w:tcPr>
            <w:tcW w:w="815" w:type="dxa"/>
            <w:vMerge/>
            <w:tcBorders>
              <w:left w:val="single" w:sz="4" w:space="0" w:color="000000"/>
              <w:right w:val="single" w:sz="4" w:space="0" w:color="000000"/>
            </w:tcBorders>
            <w:shd w:val="clear" w:color="auto" w:fill="D4D4D4"/>
          </w:tcPr>
          <w:p>
            <w:pPr/>
          </w:p>
        </w:tc>
        <w:tc>
          <w:tcPr>
            <w:tcW w:w="803" w:type="dxa"/>
            <w:vMerge/>
            <w:tcBorders>
              <w:left w:val="single" w:sz="4" w:space="0" w:color="000000"/>
              <w:right w:val="single" w:sz="4" w:space="0" w:color="000000"/>
            </w:tcBorders>
            <w:shd w:val="clear" w:color="auto" w:fill="D4D4D4"/>
          </w:tcPr>
          <w:p>
            <w:pPr/>
          </w:p>
        </w:tc>
        <w:tc>
          <w:tcPr>
            <w:tcW w:w="809" w:type="dxa"/>
            <w:vMerge/>
            <w:tcBorders>
              <w:left w:val="single" w:sz="4" w:space="0" w:color="000000"/>
              <w:right w:val="single" w:sz="4" w:space="0" w:color="000000"/>
            </w:tcBorders>
            <w:shd w:val="clear" w:color="auto" w:fill="D4D4D4"/>
          </w:tcPr>
          <w:p>
            <w:pPr/>
          </w:p>
        </w:tc>
        <w:tc>
          <w:tcPr>
            <w:tcW w:w="862" w:type="dxa"/>
            <w:vMerge/>
            <w:tcBorders>
              <w:left w:val="single" w:sz="4" w:space="0" w:color="000000"/>
              <w:right w:val="single" w:sz="4" w:space="0" w:color="FFFFFF"/>
            </w:tcBorders>
            <w:shd w:val="clear" w:color="auto" w:fill="D4D4D4"/>
          </w:tcPr>
          <w:p>
            <w:pPr/>
          </w:p>
        </w:tc>
        <w:tc>
          <w:tcPr>
            <w:tcW w:w="1387" w:type="dxa"/>
            <w:gridSpan w:val="2"/>
            <w:vMerge w:val="restart"/>
            <w:tcBorders>
              <w:top w:val="single" w:sz="4" w:space="0" w:color="000000"/>
              <w:left w:val="single" w:sz="4" w:space="0" w:color="FFFFFF"/>
              <w:right w:val="single" w:sz="4" w:space="0" w:color="000000"/>
            </w:tcBorders>
            <w:shd w:val="clear" w:color="auto" w:fill="D4D4D4"/>
          </w:tcPr>
          <w:p>
            <w:pPr/>
          </w:p>
        </w:tc>
        <w:tc>
          <w:tcPr>
            <w:tcW w:w="1385" w:type="dxa"/>
            <w:vMerge w:val="restart"/>
            <w:tcBorders>
              <w:top w:val="single" w:sz="4" w:space="0" w:color="000000"/>
              <w:left w:val="single" w:sz="4" w:space="0" w:color="000000"/>
              <w:right w:val="single" w:sz="4" w:space="0" w:color="000000"/>
            </w:tcBorders>
            <w:shd w:val="clear" w:color="auto" w:fill="D4D4D4"/>
          </w:tcPr>
          <w:p>
            <w:pPr/>
          </w:p>
        </w:tc>
      </w:tr>
      <w:tr>
        <w:trPr>
          <w:trHeight w:val="232" w:hRule="exact"/>
        </w:trPr>
        <w:tc>
          <w:tcPr>
            <w:tcW w:w="124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1" w:lineRule="exact"/>
              <w:ind w:left="199"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38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1" w:lineRule="exact"/>
              <w:ind w:left="268" w:right="0"/>
              <w:jc w:val="left"/>
              <w:rPr>
                <w:rFonts w:ascii="宋体" w:hAnsi="宋体" w:cs="宋体" w:eastAsia="宋体" w:hint="default"/>
                <w:sz w:val="21"/>
                <w:szCs w:val="21"/>
              </w:rPr>
            </w:pPr>
            <w:r>
              <w:rPr>
                <w:rFonts w:ascii="宋体" w:hAnsi="宋体" w:cs="宋体" w:eastAsia="宋体" w:hint="default"/>
                <w:sz w:val="21"/>
                <w:szCs w:val="21"/>
              </w:rPr>
              <w:t>股东性质</w:t>
            </w:r>
          </w:p>
        </w:tc>
        <w:tc>
          <w:tcPr>
            <w:tcW w:w="876" w:type="dxa"/>
            <w:vMerge/>
            <w:tcBorders>
              <w:left w:val="single" w:sz="4" w:space="0" w:color="000000"/>
              <w:right w:val="single" w:sz="4" w:space="0" w:color="000000"/>
            </w:tcBorders>
            <w:shd w:val="clear" w:color="auto" w:fill="D4D4D4"/>
          </w:tcPr>
          <w:p>
            <w:pPr/>
          </w:p>
        </w:tc>
        <w:tc>
          <w:tcPr>
            <w:tcW w:w="815" w:type="dxa"/>
            <w:vMerge/>
            <w:tcBorders>
              <w:left w:val="single" w:sz="4" w:space="0" w:color="000000"/>
              <w:right w:val="single" w:sz="4" w:space="0" w:color="000000"/>
            </w:tcBorders>
            <w:shd w:val="clear" w:color="auto" w:fill="D4D4D4"/>
          </w:tcPr>
          <w:p>
            <w:pPr/>
          </w:p>
        </w:tc>
        <w:tc>
          <w:tcPr>
            <w:tcW w:w="803" w:type="dxa"/>
            <w:vMerge/>
            <w:tcBorders>
              <w:left w:val="single" w:sz="4" w:space="0" w:color="000000"/>
              <w:right w:val="single" w:sz="4" w:space="0" w:color="000000"/>
            </w:tcBorders>
            <w:shd w:val="clear" w:color="auto" w:fill="D4D4D4"/>
          </w:tcPr>
          <w:p>
            <w:pPr/>
          </w:p>
        </w:tc>
        <w:tc>
          <w:tcPr>
            <w:tcW w:w="809" w:type="dxa"/>
            <w:vMerge/>
            <w:tcBorders>
              <w:left w:val="single" w:sz="4" w:space="0" w:color="000000"/>
              <w:right w:val="single" w:sz="4" w:space="0" w:color="000000"/>
            </w:tcBorders>
            <w:shd w:val="clear" w:color="auto" w:fill="D4D4D4"/>
          </w:tcPr>
          <w:p>
            <w:pPr/>
          </w:p>
        </w:tc>
        <w:tc>
          <w:tcPr>
            <w:tcW w:w="862" w:type="dxa"/>
            <w:vMerge/>
            <w:tcBorders>
              <w:left w:val="single" w:sz="4" w:space="0" w:color="000000"/>
              <w:right w:val="single" w:sz="4" w:space="0" w:color="FFFFFF"/>
            </w:tcBorders>
            <w:shd w:val="clear" w:color="auto" w:fill="D4D4D4"/>
          </w:tcPr>
          <w:p>
            <w:pPr/>
          </w:p>
        </w:tc>
        <w:tc>
          <w:tcPr>
            <w:tcW w:w="1387" w:type="dxa"/>
            <w:gridSpan w:val="2"/>
            <w:vMerge/>
            <w:tcBorders>
              <w:left w:val="single" w:sz="4" w:space="0" w:color="FFFFFF"/>
              <w:bottom w:val="nil" w:sz="6" w:space="0" w:color="auto"/>
              <w:right w:val="single" w:sz="4" w:space="0" w:color="000000"/>
            </w:tcBorders>
            <w:shd w:val="clear" w:color="auto" w:fill="D4D4D4"/>
          </w:tcPr>
          <w:p>
            <w:pPr/>
          </w:p>
        </w:tc>
        <w:tc>
          <w:tcPr>
            <w:tcW w:w="1385" w:type="dxa"/>
            <w:vMerge/>
            <w:tcBorders>
              <w:left w:val="single" w:sz="4" w:space="0" w:color="000000"/>
              <w:bottom w:val="nil" w:sz="6" w:space="0" w:color="auto"/>
              <w:right w:val="single" w:sz="4" w:space="0" w:color="000000"/>
            </w:tcBorders>
            <w:shd w:val="clear" w:color="auto" w:fill="D4D4D4"/>
          </w:tcPr>
          <w:p>
            <w:pPr/>
          </w:p>
        </w:tc>
      </w:tr>
      <w:tr>
        <w:trPr>
          <w:trHeight w:val="205" w:hRule="exact"/>
        </w:trPr>
        <w:tc>
          <w:tcPr>
            <w:tcW w:w="1248" w:type="dxa"/>
            <w:vMerge w:val="restart"/>
            <w:tcBorders>
              <w:top w:val="nil" w:sz="6" w:space="0" w:color="auto"/>
              <w:left w:val="single" w:sz="4" w:space="0" w:color="000000"/>
              <w:right w:val="single" w:sz="4" w:space="0" w:color="000000"/>
            </w:tcBorders>
            <w:shd w:val="clear" w:color="auto" w:fill="D4D4D4"/>
          </w:tcPr>
          <w:p>
            <w:pPr/>
          </w:p>
        </w:tc>
        <w:tc>
          <w:tcPr>
            <w:tcW w:w="1385" w:type="dxa"/>
            <w:vMerge w:val="restart"/>
            <w:tcBorders>
              <w:top w:val="nil" w:sz="6" w:space="0" w:color="auto"/>
              <w:left w:val="single" w:sz="4" w:space="0" w:color="000000"/>
              <w:right w:val="single" w:sz="4" w:space="0" w:color="000000"/>
            </w:tcBorders>
            <w:shd w:val="clear" w:color="auto" w:fill="D4D4D4"/>
          </w:tcPr>
          <w:p>
            <w:pPr/>
          </w:p>
        </w:tc>
        <w:tc>
          <w:tcPr>
            <w:tcW w:w="876" w:type="dxa"/>
            <w:vMerge/>
            <w:tcBorders>
              <w:left w:val="single" w:sz="4" w:space="0" w:color="000000"/>
              <w:bottom w:val="nil" w:sz="6" w:space="0" w:color="auto"/>
              <w:right w:val="single" w:sz="4" w:space="0" w:color="000000"/>
            </w:tcBorders>
            <w:shd w:val="clear" w:color="auto" w:fill="D4D4D4"/>
          </w:tcPr>
          <w:p>
            <w:pPr/>
          </w:p>
        </w:tc>
        <w:tc>
          <w:tcPr>
            <w:tcW w:w="815" w:type="dxa"/>
            <w:vMerge/>
            <w:tcBorders>
              <w:left w:val="single" w:sz="4" w:space="0" w:color="000000"/>
              <w:right w:val="single" w:sz="4" w:space="0" w:color="000000"/>
            </w:tcBorders>
            <w:shd w:val="clear" w:color="auto" w:fill="D4D4D4"/>
          </w:tcPr>
          <w:p>
            <w:pPr/>
          </w:p>
        </w:tc>
        <w:tc>
          <w:tcPr>
            <w:tcW w:w="803" w:type="dxa"/>
            <w:vMerge/>
            <w:tcBorders>
              <w:left w:val="single" w:sz="4" w:space="0" w:color="000000"/>
              <w:right w:val="single" w:sz="4" w:space="0" w:color="000000"/>
            </w:tcBorders>
            <w:shd w:val="clear" w:color="auto" w:fill="D4D4D4"/>
          </w:tcPr>
          <w:p>
            <w:pPr/>
          </w:p>
        </w:tc>
        <w:tc>
          <w:tcPr>
            <w:tcW w:w="809" w:type="dxa"/>
            <w:vMerge/>
            <w:tcBorders>
              <w:left w:val="single" w:sz="4" w:space="0" w:color="000000"/>
              <w:right w:val="single" w:sz="4" w:space="0" w:color="000000"/>
            </w:tcBorders>
            <w:shd w:val="clear" w:color="auto" w:fill="D4D4D4"/>
          </w:tcPr>
          <w:p>
            <w:pPr/>
          </w:p>
        </w:tc>
        <w:tc>
          <w:tcPr>
            <w:tcW w:w="862" w:type="dxa"/>
            <w:vMerge/>
            <w:tcBorders>
              <w:left w:val="single" w:sz="4" w:space="0" w:color="000000"/>
              <w:right w:val="single" w:sz="4" w:space="0" w:color="FFFFFF"/>
            </w:tcBorders>
            <w:shd w:val="clear" w:color="auto" w:fill="D4D4D4"/>
          </w:tcPr>
          <w:p>
            <w:pPr/>
          </w:p>
        </w:tc>
        <w:tc>
          <w:tcPr>
            <w:tcW w:w="1387" w:type="dxa"/>
            <w:gridSpan w:val="2"/>
            <w:tcBorders>
              <w:top w:val="nil" w:sz="6" w:space="0" w:color="auto"/>
              <w:left w:val="single" w:sz="4" w:space="0" w:color="FFFFFF"/>
              <w:bottom w:val="nil" w:sz="6" w:space="0" w:color="auto"/>
              <w:right w:val="single" w:sz="4" w:space="0" w:color="000000"/>
            </w:tcBorders>
            <w:shd w:val="clear" w:color="auto" w:fill="D4D4D4"/>
          </w:tcPr>
          <w:p>
            <w:pPr>
              <w:pStyle w:val="TableParagraph"/>
              <w:spacing w:line="199" w:lineRule="exact"/>
              <w:ind w:left="268" w:right="0"/>
              <w:jc w:val="left"/>
              <w:rPr>
                <w:rFonts w:ascii="宋体" w:hAnsi="宋体" w:cs="宋体" w:eastAsia="宋体" w:hint="default"/>
                <w:sz w:val="21"/>
                <w:szCs w:val="21"/>
              </w:rPr>
            </w:pPr>
            <w:r>
              <w:rPr>
                <w:rFonts w:ascii="宋体" w:hAnsi="宋体" w:cs="宋体" w:eastAsia="宋体" w:hint="default"/>
                <w:sz w:val="21"/>
                <w:szCs w:val="21"/>
              </w:rPr>
              <w:t>股份状态</w:t>
            </w:r>
          </w:p>
        </w:tc>
        <w:tc>
          <w:tcPr>
            <w:tcW w:w="138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199" w:lineRule="exact"/>
              <w:ind w:left="477" w:right="0"/>
              <w:jc w:val="left"/>
              <w:rPr>
                <w:rFonts w:ascii="宋体" w:hAnsi="宋体" w:cs="宋体" w:eastAsia="宋体" w:hint="default"/>
                <w:sz w:val="21"/>
                <w:szCs w:val="21"/>
              </w:rPr>
            </w:pPr>
            <w:r>
              <w:rPr>
                <w:rFonts w:ascii="宋体" w:hAnsi="宋体" w:cs="宋体" w:eastAsia="宋体" w:hint="default"/>
                <w:sz w:val="21"/>
                <w:szCs w:val="21"/>
              </w:rPr>
              <w:t>数量</w:t>
            </w:r>
          </w:p>
        </w:tc>
      </w:tr>
      <w:tr>
        <w:trPr>
          <w:trHeight w:val="110" w:hRule="exact"/>
        </w:trPr>
        <w:tc>
          <w:tcPr>
            <w:tcW w:w="1248" w:type="dxa"/>
            <w:vMerge/>
            <w:tcBorders>
              <w:left w:val="single" w:sz="4" w:space="0" w:color="000000"/>
              <w:right w:val="single" w:sz="4" w:space="0" w:color="000000"/>
            </w:tcBorders>
            <w:shd w:val="clear" w:color="auto" w:fill="D4D4D4"/>
          </w:tcPr>
          <w:p>
            <w:pPr/>
          </w:p>
        </w:tc>
        <w:tc>
          <w:tcPr>
            <w:tcW w:w="1385" w:type="dxa"/>
            <w:vMerge/>
            <w:tcBorders>
              <w:left w:val="single" w:sz="4" w:space="0" w:color="000000"/>
              <w:right w:val="single" w:sz="4" w:space="0" w:color="000000"/>
            </w:tcBorders>
            <w:shd w:val="clear" w:color="auto" w:fill="D4D4D4"/>
          </w:tcPr>
          <w:p>
            <w:pPr/>
          </w:p>
        </w:tc>
        <w:tc>
          <w:tcPr>
            <w:tcW w:w="876" w:type="dxa"/>
            <w:vMerge w:val="restart"/>
            <w:tcBorders>
              <w:top w:val="nil" w:sz="6" w:space="0" w:color="auto"/>
              <w:left w:val="single" w:sz="4" w:space="0" w:color="000000"/>
              <w:right w:val="single" w:sz="4" w:space="0" w:color="000000"/>
            </w:tcBorders>
            <w:shd w:val="clear" w:color="auto" w:fill="D4D4D4"/>
          </w:tcPr>
          <w:p>
            <w:pPr/>
          </w:p>
        </w:tc>
        <w:tc>
          <w:tcPr>
            <w:tcW w:w="815" w:type="dxa"/>
            <w:vMerge/>
            <w:tcBorders>
              <w:left w:val="single" w:sz="4" w:space="0" w:color="000000"/>
              <w:bottom w:val="nil" w:sz="6" w:space="0" w:color="auto"/>
              <w:right w:val="single" w:sz="4" w:space="0" w:color="000000"/>
            </w:tcBorders>
            <w:shd w:val="clear" w:color="auto" w:fill="D4D4D4"/>
          </w:tcPr>
          <w:p>
            <w:pPr/>
          </w:p>
        </w:tc>
        <w:tc>
          <w:tcPr>
            <w:tcW w:w="803" w:type="dxa"/>
            <w:vMerge/>
            <w:tcBorders>
              <w:left w:val="single" w:sz="4" w:space="0" w:color="000000"/>
              <w:right w:val="single" w:sz="4" w:space="0" w:color="000000"/>
            </w:tcBorders>
            <w:shd w:val="clear" w:color="auto" w:fill="D4D4D4"/>
          </w:tcPr>
          <w:p>
            <w:pPr/>
          </w:p>
        </w:tc>
        <w:tc>
          <w:tcPr>
            <w:tcW w:w="809" w:type="dxa"/>
            <w:vMerge/>
            <w:tcBorders>
              <w:left w:val="single" w:sz="4" w:space="0" w:color="000000"/>
              <w:right w:val="single" w:sz="4" w:space="0" w:color="000000"/>
            </w:tcBorders>
            <w:shd w:val="clear" w:color="auto" w:fill="D4D4D4"/>
          </w:tcPr>
          <w:p>
            <w:pPr/>
          </w:p>
        </w:tc>
        <w:tc>
          <w:tcPr>
            <w:tcW w:w="862" w:type="dxa"/>
            <w:vMerge/>
            <w:tcBorders>
              <w:left w:val="single" w:sz="4" w:space="0" w:color="000000"/>
              <w:right w:val="single" w:sz="4" w:space="0" w:color="FFFFFF"/>
            </w:tcBorders>
            <w:shd w:val="clear" w:color="auto" w:fill="D4D4D4"/>
          </w:tcPr>
          <w:p>
            <w:pPr/>
          </w:p>
        </w:tc>
        <w:tc>
          <w:tcPr>
            <w:tcW w:w="1387" w:type="dxa"/>
            <w:gridSpan w:val="2"/>
            <w:vMerge w:val="restart"/>
            <w:tcBorders>
              <w:top w:val="nil" w:sz="6" w:space="0" w:color="auto"/>
              <w:left w:val="single" w:sz="4" w:space="0" w:color="FFFFFF"/>
              <w:right w:val="single" w:sz="4" w:space="0" w:color="000000"/>
            </w:tcBorders>
            <w:shd w:val="clear" w:color="auto" w:fill="D4D4D4"/>
          </w:tcPr>
          <w:p>
            <w:pPr/>
          </w:p>
        </w:tc>
        <w:tc>
          <w:tcPr>
            <w:tcW w:w="1385" w:type="dxa"/>
            <w:vMerge w:val="restart"/>
            <w:tcBorders>
              <w:top w:val="nil" w:sz="6" w:space="0" w:color="auto"/>
              <w:left w:val="single" w:sz="4" w:space="0" w:color="000000"/>
              <w:right w:val="single" w:sz="4" w:space="0" w:color="000000"/>
            </w:tcBorders>
            <w:shd w:val="clear" w:color="auto" w:fill="D4D4D4"/>
          </w:tcPr>
          <w:p>
            <w:pPr/>
          </w:p>
        </w:tc>
      </w:tr>
      <w:tr>
        <w:trPr>
          <w:trHeight w:val="142" w:hRule="exact"/>
        </w:trPr>
        <w:tc>
          <w:tcPr>
            <w:tcW w:w="1248" w:type="dxa"/>
            <w:vMerge/>
            <w:tcBorders>
              <w:left w:val="single" w:sz="4" w:space="0" w:color="000000"/>
              <w:bottom w:val="single" w:sz="4" w:space="0" w:color="000000"/>
              <w:right w:val="single" w:sz="4" w:space="0" w:color="000000"/>
            </w:tcBorders>
            <w:shd w:val="clear" w:color="auto" w:fill="D4D4D4"/>
          </w:tcPr>
          <w:p>
            <w:pPr/>
          </w:p>
        </w:tc>
        <w:tc>
          <w:tcPr>
            <w:tcW w:w="1385" w:type="dxa"/>
            <w:vMerge/>
            <w:tcBorders>
              <w:left w:val="single" w:sz="4" w:space="0" w:color="000000"/>
              <w:bottom w:val="single" w:sz="4" w:space="0" w:color="000000"/>
              <w:right w:val="single" w:sz="4" w:space="0" w:color="000000"/>
            </w:tcBorders>
            <w:shd w:val="clear" w:color="auto" w:fill="D4D4D4"/>
          </w:tcPr>
          <w:p>
            <w:pPr/>
          </w:p>
        </w:tc>
        <w:tc>
          <w:tcPr>
            <w:tcW w:w="876" w:type="dxa"/>
            <w:vMerge/>
            <w:tcBorders>
              <w:left w:val="single" w:sz="4" w:space="0" w:color="000000"/>
              <w:bottom w:val="single" w:sz="4" w:space="0" w:color="000000"/>
              <w:right w:val="single" w:sz="4" w:space="0" w:color="000000"/>
            </w:tcBorders>
            <w:shd w:val="clear" w:color="auto" w:fill="D4D4D4"/>
          </w:tcPr>
          <w:p>
            <w:pPr/>
          </w:p>
        </w:tc>
        <w:tc>
          <w:tcPr>
            <w:tcW w:w="815" w:type="dxa"/>
            <w:tcBorders>
              <w:top w:val="nil" w:sz="6" w:space="0" w:color="auto"/>
              <w:left w:val="single" w:sz="4" w:space="0" w:color="000000"/>
              <w:bottom w:val="single" w:sz="4" w:space="0" w:color="000000"/>
              <w:right w:val="single" w:sz="4" w:space="0" w:color="000000"/>
            </w:tcBorders>
            <w:shd w:val="clear" w:color="auto" w:fill="D4D4D4"/>
          </w:tcPr>
          <w:p>
            <w:pPr/>
          </w:p>
        </w:tc>
        <w:tc>
          <w:tcPr>
            <w:tcW w:w="803" w:type="dxa"/>
            <w:vMerge/>
            <w:tcBorders>
              <w:left w:val="single" w:sz="4" w:space="0" w:color="000000"/>
              <w:bottom w:val="single" w:sz="4" w:space="0" w:color="000000"/>
              <w:right w:val="single" w:sz="4" w:space="0" w:color="000000"/>
            </w:tcBorders>
            <w:shd w:val="clear" w:color="auto" w:fill="D4D4D4"/>
          </w:tcPr>
          <w:p>
            <w:pPr/>
          </w:p>
        </w:tc>
        <w:tc>
          <w:tcPr>
            <w:tcW w:w="809" w:type="dxa"/>
            <w:vMerge/>
            <w:tcBorders>
              <w:left w:val="single" w:sz="4" w:space="0" w:color="000000"/>
              <w:bottom w:val="single" w:sz="4" w:space="0" w:color="000000"/>
              <w:right w:val="single" w:sz="4" w:space="0" w:color="000000"/>
            </w:tcBorders>
            <w:shd w:val="clear" w:color="auto" w:fill="D4D4D4"/>
          </w:tcPr>
          <w:p>
            <w:pPr/>
          </w:p>
        </w:tc>
        <w:tc>
          <w:tcPr>
            <w:tcW w:w="862" w:type="dxa"/>
            <w:vMerge/>
            <w:tcBorders>
              <w:left w:val="single" w:sz="4" w:space="0" w:color="000000"/>
              <w:bottom w:val="single" w:sz="4" w:space="0" w:color="000000"/>
              <w:right w:val="single" w:sz="4" w:space="0" w:color="FFFFFF"/>
            </w:tcBorders>
            <w:shd w:val="clear" w:color="auto" w:fill="D4D4D4"/>
          </w:tcPr>
          <w:p>
            <w:pPr/>
          </w:p>
        </w:tc>
        <w:tc>
          <w:tcPr>
            <w:tcW w:w="1387" w:type="dxa"/>
            <w:gridSpan w:val="2"/>
            <w:vMerge/>
            <w:tcBorders>
              <w:left w:val="single" w:sz="4" w:space="0" w:color="FFFFFF"/>
              <w:bottom w:val="single" w:sz="4" w:space="0" w:color="000000"/>
              <w:right w:val="single" w:sz="4" w:space="0" w:color="000000"/>
            </w:tcBorders>
            <w:shd w:val="clear" w:color="auto" w:fill="D4D4D4"/>
          </w:tcPr>
          <w:p>
            <w:pPr/>
          </w:p>
        </w:tc>
        <w:tc>
          <w:tcPr>
            <w:tcW w:w="1385" w:type="dxa"/>
            <w:vMerge/>
            <w:tcBorders>
              <w:left w:val="single" w:sz="4" w:space="0" w:color="000000"/>
              <w:bottom w:val="single" w:sz="4" w:space="0" w:color="000000"/>
              <w:right w:val="single" w:sz="4" w:space="0" w:color="000000"/>
            </w:tcBorders>
            <w:shd w:val="clear" w:color="auto" w:fill="D4D4D4"/>
          </w:tcPr>
          <w:p>
            <w:pPr/>
          </w:p>
        </w:tc>
      </w:tr>
      <w:tr>
        <w:trPr>
          <w:trHeight w:val="492"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4" w:right="0"/>
              <w:jc w:val="left"/>
              <w:rPr>
                <w:rFonts w:ascii="宋体" w:hAnsi="宋体" w:cs="宋体" w:eastAsia="宋体" w:hint="default"/>
                <w:sz w:val="21"/>
                <w:szCs w:val="21"/>
              </w:rPr>
            </w:pPr>
            <w:r>
              <w:rPr>
                <w:rFonts w:ascii="宋体" w:hAnsi="宋体" w:cs="宋体" w:eastAsia="宋体" w:hint="default"/>
                <w:sz w:val="21"/>
                <w:szCs w:val="21"/>
              </w:rPr>
              <w:t>黄元忠</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6"/>
              <w:jc w:val="right"/>
              <w:rPr>
                <w:rFonts w:ascii="Times New Roman" w:hAnsi="Times New Roman" w:cs="Times New Roman" w:eastAsia="Times New Roman" w:hint="default"/>
                <w:sz w:val="21"/>
                <w:szCs w:val="21"/>
              </w:rPr>
            </w:pPr>
            <w:r>
              <w:rPr>
                <w:rFonts w:ascii="Times New Roman"/>
                <w:sz w:val="21"/>
              </w:rPr>
              <w:t>22.65%</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5"/>
              <w:jc w:val="right"/>
              <w:rPr>
                <w:rFonts w:ascii="Times New Roman" w:hAnsi="Times New Roman" w:cs="Times New Roman" w:eastAsia="Times New Roman" w:hint="default"/>
                <w:sz w:val="21"/>
                <w:szCs w:val="21"/>
              </w:rPr>
            </w:pPr>
            <w:r>
              <w:rPr>
                <w:rFonts w:ascii="Times New Roman"/>
                <w:spacing w:val="-1"/>
                <w:sz w:val="21"/>
              </w:rPr>
              <w:t>35,875,1</w:t>
            </w:r>
          </w:p>
          <w:p>
            <w:pPr>
              <w:pStyle w:val="TableParagraph"/>
              <w:spacing w:line="240" w:lineRule="auto" w:before="1"/>
              <w:ind w:right="29"/>
              <w:jc w:val="right"/>
              <w:rPr>
                <w:rFonts w:ascii="Times New Roman" w:hAnsi="Times New Roman" w:cs="Times New Roman" w:eastAsia="Times New Roman" w:hint="default"/>
                <w:sz w:val="21"/>
                <w:szCs w:val="21"/>
              </w:rPr>
            </w:pPr>
            <w:r>
              <w:rPr>
                <w:rFonts w:ascii="Times New Roman"/>
                <w:sz w:val="21"/>
              </w:rPr>
              <w:t>88</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7" w:right="0"/>
              <w:jc w:val="left"/>
              <w:rPr>
                <w:rFonts w:ascii="Times New Roman" w:hAnsi="Times New Roman" w:cs="Times New Roman" w:eastAsia="Times New Roman" w:hint="default"/>
                <w:sz w:val="21"/>
                <w:szCs w:val="21"/>
              </w:rPr>
            </w:pPr>
            <w:r>
              <w:rPr>
                <w:rFonts w:ascii="Times New Roman"/>
                <w:w w:val="100"/>
                <w:sz w:val="21"/>
              </w:rPr>
              <w:t>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26,906,3</w:t>
            </w:r>
          </w:p>
          <w:p>
            <w:pPr>
              <w:pStyle w:val="TableParagraph"/>
              <w:spacing w:line="240" w:lineRule="auto" w:before="1"/>
              <w:ind w:right="23"/>
              <w:jc w:val="right"/>
              <w:rPr>
                <w:rFonts w:ascii="Times New Roman" w:hAnsi="Times New Roman" w:cs="Times New Roman" w:eastAsia="Times New Roman" w:hint="default"/>
                <w:sz w:val="21"/>
                <w:szCs w:val="21"/>
              </w:rPr>
            </w:pPr>
            <w:r>
              <w:rPr>
                <w:rFonts w:ascii="Times New Roman"/>
                <w:sz w:val="21"/>
              </w:rPr>
              <w:t>91</w:t>
            </w:r>
          </w:p>
        </w:tc>
        <w:tc>
          <w:tcPr>
            <w:tcW w:w="862" w:type="dxa"/>
            <w:tcBorders>
              <w:top w:val="single" w:sz="4" w:space="0" w:color="000000"/>
              <w:left w:val="single" w:sz="4" w:space="0" w:color="000000"/>
              <w:bottom w:val="single" w:sz="4" w:space="0" w:color="000000"/>
              <w:right w:val="single" w:sz="4" w:space="0" w:color="FFFFFF"/>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8,968,79</w:t>
            </w:r>
            <w:r>
              <w:rPr>
                <w:rFonts w:ascii="Times New Roman"/>
                <w:sz w:val="21"/>
              </w:rPr>
            </w:r>
          </w:p>
          <w:p>
            <w:pPr>
              <w:pStyle w:val="TableParagraph"/>
              <w:spacing w:line="240" w:lineRule="auto" w:before="1"/>
              <w:ind w:right="19"/>
              <w:jc w:val="right"/>
              <w:rPr>
                <w:rFonts w:ascii="Times New Roman" w:hAnsi="Times New Roman" w:cs="Times New Roman" w:eastAsia="Times New Roman" w:hint="default"/>
                <w:sz w:val="21"/>
                <w:szCs w:val="21"/>
              </w:rPr>
            </w:pPr>
            <w:r>
              <w:rPr>
                <w:rFonts w:ascii="Times New Roman"/>
                <w:w w:val="100"/>
                <w:sz w:val="21"/>
              </w:rPr>
              <w:t>7</w:t>
            </w:r>
          </w:p>
        </w:tc>
        <w:tc>
          <w:tcPr>
            <w:tcW w:w="1387" w:type="dxa"/>
            <w:gridSpan w:val="2"/>
            <w:tcBorders>
              <w:top w:val="single" w:sz="4" w:space="0" w:color="000000"/>
              <w:left w:val="single" w:sz="4" w:space="0" w:color="FFFFFF"/>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21"/>
                <w:szCs w:val="21"/>
              </w:rPr>
            </w:pPr>
            <w:r>
              <w:rPr>
                <w:rFonts w:ascii="宋体" w:hAnsi="宋体" w:cs="宋体" w:eastAsia="宋体" w:hint="default"/>
                <w:sz w:val="21"/>
                <w:szCs w:val="21"/>
              </w:rPr>
              <w:t>质押</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407" w:right="0"/>
              <w:jc w:val="left"/>
              <w:rPr>
                <w:rFonts w:ascii="Times New Roman" w:hAnsi="Times New Roman" w:cs="Times New Roman" w:eastAsia="Times New Roman" w:hint="default"/>
                <w:sz w:val="21"/>
                <w:szCs w:val="21"/>
              </w:rPr>
            </w:pPr>
            <w:r>
              <w:rPr>
                <w:rFonts w:ascii="Times New Roman"/>
                <w:sz w:val="21"/>
              </w:rPr>
              <w:t>12,330,000</w:t>
            </w:r>
          </w:p>
        </w:tc>
      </w:tr>
      <w:tr>
        <w:trPr>
          <w:trHeight w:val="492"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4" w:right="0"/>
              <w:jc w:val="left"/>
              <w:rPr>
                <w:rFonts w:ascii="宋体" w:hAnsi="宋体" w:cs="宋体" w:eastAsia="宋体" w:hint="default"/>
                <w:sz w:val="21"/>
                <w:szCs w:val="21"/>
              </w:rPr>
            </w:pPr>
            <w:r>
              <w:rPr>
                <w:rFonts w:ascii="宋体" w:hAnsi="宋体" w:cs="宋体" w:eastAsia="宋体" w:hint="default"/>
                <w:sz w:val="21"/>
                <w:szCs w:val="21"/>
              </w:rPr>
              <w:t>黄晓峰</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6"/>
              <w:jc w:val="right"/>
              <w:rPr>
                <w:rFonts w:ascii="Times New Roman" w:hAnsi="Times New Roman" w:cs="Times New Roman" w:eastAsia="Times New Roman" w:hint="default"/>
                <w:sz w:val="21"/>
                <w:szCs w:val="21"/>
              </w:rPr>
            </w:pPr>
            <w:r>
              <w:rPr>
                <w:rFonts w:ascii="Times New Roman"/>
                <w:sz w:val="21"/>
              </w:rPr>
              <w:t>16.31%</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5"/>
              <w:jc w:val="right"/>
              <w:rPr>
                <w:rFonts w:ascii="Times New Roman" w:hAnsi="Times New Roman" w:cs="Times New Roman" w:eastAsia="Times New Roman" w:hint="default"/>
                <w:sz w:val="21"/>
                <w:szCs w:val="21"/>
              </w:rPr>
            </w:pPr>
            <w:r>
              <w:rPr>
                <w:rFonts w:ascii="Times New Roman"/>
                <w:spacing w:val="-1"/>
                <w:sz w:val="21"/>
              </w:rPr>
              <w:t>25,838,4</w:t>
            </w:r>
          </w:p>
          <w:p>
            <w:pPr>
              <w:pStyle w:val="TableParagraph"/>
              <w:spacing w:line="240" w:lineRule="auto" w:before="1"/>
              <w:ind w:right="29"/>
              <w:jc w:val="right"/>
              <w:rPr>
                <w:rFonts w:ascii="Times New Roman" w:hAnsi="Times New Roman" w:cs="Times New Roman" w:eastAsia="Times New Roman" w:hint="default"/>
                <w:sz w:val="21"/>
                <w:szCs w:val="21"/>
              </w:rPr>
            </w:pPr>
            <w:r>
              <w:rPr>
                <w:rFonts w:ascii="Times New Roman"/>
                <w:sz w:val="21"/>
              </w:rPr>
              <w:t>77</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7" w:right="0"/>
              <w:jc w:val="left"/>
              <w:rPr>
                <w:rFonts w:ascii="Times New Roman" w:hAnsi="Times New Roman" w:cs="Times New Roman" w:eastAsia="Times New Roman" w:hint="default"/>
                <w:sz w:val="21"/>
                <w:szCs w:val="21"/>
              </w:rPr>
            </w:pPr>
            <w:r>
              <w:rPr>
                <w:rFonts w:ascii="Times New Roman"/>
                <w:w w:val="100"/>
                <w:sz w:val="21"/>
              </w:rPr>
              <w:t>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19,378,8</w:t>
            </w:r>
          </w:p>
          <w:p>
            <w:pPr>
              <w:pStyle w:val="TableParagraph"/>
              <w:spacing w:line="240" w:lineRule="auto" w:before="1"/>
              <w:ind w:right="23"/>
              <w:jc w:val="right"/>
              <w:rPr>
                <w:rFonts w:ascii="Times New Roman" w:hAnsi="Times New Roman" w:cs="Times New Roman" w:eastAsia="Times New Roman" w:hint="default"/>
                <w:sz w:val="21"/>
                <w:szCs w:val="21"/>
              </w:rPr>
            </w:pPr>
            <w:r>
              <w:rPr>
                <w:rFonts w:ascii="Times New Roman"/>
                <w:sz w:val="21"/>
              </w:rPr>
              <w:t>57</w:t>
            </w:r>
          </w:p>
        </w:tc>
        <w:tc>
          <w:tcPr>
            <w:tcW w:w="862" w:type="dxa"/>
            <w:tcBorders>
              <w:top w:val="single" w:sz="4" w:space="0" w:color="000000"/>
              <w:left w:val="single" w:sz="4" w:space="0" w:color="000000"/>
              <w:bottom w:val="single" w:sz="4" w:space="0" w:color="000000"/>
              <w:right w:val="single" w:sz="4" w:space="0" w:color="FFFFFF"/>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6,459,62</w:t>
            </w:r>
          </w:p>
          <w:p>
            <w:pPr>
              <w:pStyle w:val="TableParagraph"/>
              <w:spacing w:line="240" w:lineRule="auto" w:before="1"/>
              <w:ind w:right="19"/>
              <w:jc w:val="right"/>
              <w:rPr>
                <w:rFonts w:ascii="Times New Roman" w:hAnsi="Times New Roman" w:cs="Times New Roman" w:eastAsia="Times New Roman" w:hint="default"/>
                <w:sz w:val="21"/>
                <w:szCs w:val="21"/>
              </w:rPr>
            </w:pPr>
            <w:r>
              <w:rPr>
                <w:rFonts w:ascii="Times New Roman"/>
                <w:w w:val="100"/>
                <w:sz w:val="21"/>
              </w:rPr>
              <w:t>0</w:t>
            </w:r>
          </w:p>
        </w:tc>
        <w:tc>
          <w:tcPr>
            <w:tcW w:w="1387" w:type="dxa"/>
            <w:gridSpan w:val="2"/>
            <w:tcBorders>
              <w:top w:val="single" w:sz="4" w:space="0" w:color="000000"/>
              <w:left w:val="single" w:sz="4" w:space="0" w:color="FFFFFF"/>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21"/>
                <w:szCs w:val="21"/>
              </w:rPr>
            </w:pPr>
            <w:r>
              <w:rPr>
                <w:rFonts w:ascii="宋体" w:hAnsi="宋体" w:cs="宋体" w:eastAsia="宋体" w:hint="default"/>
                <w:sz w:val="21"/>
                <w:szCs w:val="21"/>
              </w:rPr>
              <w:t>质押</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513" w:right="0"/>
              <w:jc w:val="left"/>
              <w:rPr>
                <w:rFonts w:ascii="Times New Roman" w:hAnsi="Times New Roman" w:cs="Times New Roman" w:eastAsia="Times New Roman" w:hint="default"/>
                <w:sz w:val="21"/>
                <w:szCs w:val="21"/>
              </w:rPr>
            </w:pPr>
            <w:r>
              <w:rPr>
                <w:rFonts w:ascii="Times New Roman"/>
                <w:sz w:val="21"/>
              </w:rPr>
              <w:t>4,000,000</w:t>
            </w:r>
          </w:p>
        </w:tc>
      </w:tr>
      <w:tr>
        <w:trPr>
          <w:trHeight w:val="494"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4" w:right="0"/>
              <w:jc w:val="left"/>
              <w:rPr>
                <w:rFonts w:ascii="宋体" w:hAnsi="宋体" w:cs="宋体" w:eastAsia="宋体" w:hint="default"/>
                <w:sz w:val="21"/>
                <w:szCs w:val="21"/>
              </w:rPr>
            </w:pPr>
            <w:r>
              <w:rPr>
                <w:rFonts w:ascii="宋体" w:hAnsi="宋体" w:cs="宋体" w:eastAsia="宋体" w:hint="default"/>
                <w:sz w:val="21"/>
                <w:szCs w:val="21"/>
              </w:rPr>
              <w:t>陈克让</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6"/>
              <w:jc w:val="right"/>
              <w:rPr>
                <w:rFonts w:ascii="Times New Roman" w:hAnsi="Times New Roman" w:cs="Times New Roman" w:eastAsia="Times New Roman" w:hint="default"/>
                <w:sz w:val="21"/>
                <w:szCs w:val="21"/>
              </w:rPr>
            </w:pPr>
            <w:r>
              <w:rPr>
                <w:rFonts w:ascii="Times New Roman"/>
                <w:sz w:val="21"/>
              </w:rPr>
              <w:t>14.73%</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5"/>
              <w:jc w:val="right"/>
              <w:rPr>
                <w:rFonts w:ascii="Times New Roman" w:hAnsi="Times New Roman" w:cs="Times New Roman" w:eastAsia="Times New Roman" w:hint="default"/>
                <w:sz w:val="21"/>
                <w:szCs w:val="21"/>
              </w:rPr>
            </w:pPr>
            <w:r>
              <w:rPr>
                <w:rFonts w:ascii="Times New Roman"/>
                <w:spacing w:val="-1"/>
                <w:sz w:val="21"/>
              </w:rPr>
              <w:t>23,338,4</w:t>
            </w:r>
          </w:p>
          <w:p>
            <w:pPr>
              <w:pStyle w:val="TableParagraph"/>
              <w:spacing w:line="240" w:lineRule="auto" w:before="1"/>
              <w:ind w:right="29"/>
              <w:jc w:val="right"/>
              <w:rPr>
                <w:rFonts w:ascii="Times New Roman" w:hAnsi="Times New Roman" w:cs="Times New Roman" w:eastAsia="Times New Roman" w:hint="default"/>
                <w:sz w:val="21"/>
                <w:szCs w:val="21"/>
              </w:rPr>
            </w:pPr>
            <w:r>
              <w:rPr>
                <w:rFonts w:ascii="Times New Roman"/>
                <w:sz w:val="21"/>
              </w:rPr>
              <w:t>78</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7" w:right="0"/>
              <w:jc w:val="left"/>
              <w:rPr>
                <w:rFonts w:ascii="Times New Roman" w:hAnsi="Times New Roman" w:cs="Times New Roman" w:eastAsia="Times New Roman" w:hint="default"/>
                <w:sz w:val="21"/>
                <w:szCs w:val="21"/>
              </w:rPr>
            </w:pPr>
            <w:r>
              <w:rPr>
                <w:rFonts w:ascii="Times New Roman"/>
                <w:sz w:val="21"/>
              </w:rPr>
              <w:t>-250000</w:t>
            </w:r>
          </w:p>
          <w:p>
            <w:pPr>
              <w:pStyle w:val="TableParagraph"/>
              <w:spacing w:line="240" w:lineRule="auto" w:before="1"/>
              <w:ind w:left="17" w:right="0"/>
              <w:jc w:val="left"/>
              <w:rPr>
                <w:rFonts w:ascii="Times New Roman" w:hAnsi="Times New Roman" w:cs="Times New Roman" w:eastAsia="Times New Roman" w:hint="default"/>
                <w:sz w:val="21"/>
                <w:szCs w:val="21"/>
              </w:rPr>
            </w:pPr>
            <w:r>
              <w:rPr>
                <w:rFonts w:ascii="Times New Roman"/>
                <w:w w:val="100"/>
                <w:sz w:val="21"/>
              </w:rPr>
              <w:t>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19,378,8</w:t>
            </w:r>
          </w:p>
          <w:p>
            <w:pPr>
              <w:pStyle w:val="TableParagraph"/>
              <w:spacing w:line="240" w:lineRule="auto" w:before="1"/>
              <w:ind w:right="23"/>
              <w:jc w:val="right"/>
              <w:rPr>
                <w:rFonts w:ascii="Times New Roman" w:hAnsi="Times New Roman" w:cs="Times New Roman" w:eastAsia="Times New Roman" w:hint="default"/>
                <w:sz w:val="21"/>
                <w:szCs w:val="21"/>
              </w:rPr>
            </w:pPr>
            <w:r>
              <w:rPr>
                <w:rFonts w:ascii="Times New Roman"/>
                <w:sz w:val="21"/>
              </w:rPr>
              <w:t>58</w:t>
            </w:r>
          </w:p>
        </w:tc>
        <w:tc>
          <w:tcPr>
            <w:tcW w:w="862" w:type="dxa"/>
            <w:tcBorders>
              <w:top w:val="single" w:sz="4" w:space="0" w:color="000000"/>
              <w:left w:val="single" w:sz="4" w:space="0" w:color="000000"/>
              <w:bottom w:val="single" w:sz="4" w:space="0" w:color="000000"/>
              <w:right w:val="single" w:sz="4" w:space="0" w:color="FFFFFF"/>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3,959,62</w:t>
            </w:r>
          </w:p>
          <w:p>
            <w:pPr>
              <w:pStyle w:val="TableParagraph"/>
              <w:spacing w:line="240" w:lineRule="auto" w:before="1"/>
              <w:ind w:right="19"/>
              <w:jc w:val="right"/>
              <w:rPr>
                <w:rFonts w:ascii="Times New Roman" w:hAnsi="Times New Roman" w:cs="Times New Roman" w:eastAsia="Times New Roman" w:hint="default"/>
                <w:sz w:val="21"/>
                <w:szCs w:val="21"/>
              </w:rPr>
            </w:pPr>
            <w:r>
              <w:rPr>
                <w:rFonts w:ascii="Times New Roman"/>
                <w:w w:val="100"/>
                <w:sz w:val="21"/>
              </w:rPr>
              <w:t>0</w:t>
            </w:r>
          </w:p>
        </w:tc>
        <w:tc>
          <w:tcPr>
            <w:tcW w:w="1387" w:type="dxa"/>
            <w:gridSpan w:val="2"/>
            <w:tcBorders>
              <w:top w:val="single" w:sz="4" w:space="0" w:color="000000"/>
              <w:left w:val="single" w:sz="4" w:space="0" w:color="FFFFFF"/>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21"/>
                <w:szCs w:val="21"/>
              </w:rPr>
            </w:pPr>
            <w:r>
              <w:rPr>
                <w:rFonts w:ascii="宋体" w:hAnsi="宋体" w:cs="宋体" w:eastAsia="宋体" w:hint="default"/>
                <w:sz w:val="21"/>
                <w:szCs w:val="21"/>
              </w:rPr>
              <w:t>质押</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513" w:right="0"/>
              <w:jc w:val="left"/>
              <w:rPr>
                <w:rFonts w:ascii="Times New Roman" w:hAnsi="Times New Roman" w:cs="Times New Roman" w:eastAsia="Times New Roman" w:hint="default"/>
                <w:sz w:val="21"/>
                <w:szCs w:val="21"/>
              </w:rPr>
            </w:pPr>
            <w:r>
              <w:rPr>
                <w:rFonts w:ascii="Times New Roman"/>
                <w:sz w:val="21"/>
              </w:rPr>
              <w:t>5,418,000</w:t>
            </w:r>
          </w:p>
        </w:tc>
      </w:tr>
      <w:tr>
        <w:trPr>
          <w:trHeight w:val="492"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24" w:right="0"/>
              <w:jc w:val="left"/>
              <w:rPr>
                <w:rFonts w:ascii="宋体" w:hAnsi="宋体" w:cs="宋体" w:eastAsia="宋体" w:hint="default"/>
                <w:sz w:val="21"/>
                <w:szCs w:val="21"/>
              </w:rPr>
            </w:pPr>
            <w:r>
              <w:rPr>
                <w:rFonts w:ascii="宋体" w:hAnsi="宋体" w:cs="宋体" w:eastAsia="宋体" w:hint="default"/>
                <w:sz w:val="21"/>
                <w:szCs w:val="21"/>
              </w:rPr>
              <w:t>孙晓玲</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23"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6"/>
              <w:jc w:val="right"/>
              <w:rPr>
                <w:rFonts w:ascii="Times New Roman" w:hAnsi="Times New Roman" w:cs="Times New Roman" w:eastAsia="Times New Roman" w:hint="default"/>
                <w:sz w:val="21"/>
                <w:szCs w:val="21"/>
              </w:rPr>
            </w:pPr>
            <w:r>
              <w:rPr>
                <w:rFonts w:ascii="Times New Roman"/>
                <w:sz w:val="21"/>
              </w:rPr>
              <w:t>1.43%</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5"/>
              <w:jc w:val="right"/>
              <w:rPr>
                <w:rFonts w:ascii="Times New Roman" w:hAnsi="Times New Roman" w:cs="Times New Roman" w:eastAsia="Times New Roman" w:hint="default"/>
                <w:sz w:val="21"/>
                <w:szCs w:val="21"/>
              </w:rPr>
            </w:pPr>
            <w:r>
              <w:rPr>
                <w:rFonts w:ascii="Times New Roman"/>
                <w:spacing w:val="-1"/>
                <w:sz w:val="21"/>
              </w:rPr>
              <w:t>2,259,61</w:t>
            </w:r>
          </w:p>
          <w:p>
            <w:pPr>
              <w:pStyle w:val="TableParagraph"/>
              <w:spacing w:line="241" w:lineRule="exact"/>
              <w:ind w:right="29"/>
              <w:jc w:val="right"/>
              <w:rPr>
                <w:rFonts w:ascii="Times New Roman" w:hAnsi="Times New Roman" w:cs="Times New Roman" w:eastAsia="Times New Roman" w:hint="default"/>
                <w:sz w:val="21"/>
                <w:szCs w:val="21"/>
              </w:rPr>
            </w:pPr>
            <w:r>
              <w:rPr>
                <w:rFonts w:ascii="Times New Roman"/>
                <w:w w:val="100"/>
                <w:sz w:val="21"/>
              </w:rPr>
              <w:t>4</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7" w:right="0"/>
              <w:jc w:val="left"/>
              <w:rPr>
                <w:rFonts w:ascii="Times New Roman" w:hAnsi="Times New Roman" w:cs="Times New Roman" w:eastAsia="Times New Roman" w:hint="default"/>
                <w:sz w:val="21"/>
                <w:szCs w:val="21"/>
              </w:rPr>
            </w:pPr>
            <w:r>
              <w:rPr>
                <w:rFonts w:ascii="Times New Roman"/>
                <w:sz w:val="21"/>
              </w:rPr>
              <w:t>-550804</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9"/>
              <w:jc w:val="right"/>
              <w:rPr>
                <w:rFonts w:ascii="Times New Roman" w:hAnsi="Times New Roman" w:cs="Times New Roman" w:eastAsia="Times New Roman" w:hint="default"/>
                <w:sz w:val="21"/>
                <w:szCs w:val="21"/>
              </w:rPr>
            </w:pPr>
            <w:r>
              <w:rPr>
                <w:rFonts w:ascii="Times New Roman"/>
                <w:spacing w:val="-1"/>
                <w:sz w:val="21"/>
              </w:rPr>
              <w:t>2,259,61</w:t>
            </w:r>
          </w:p>
          <w:p>
            <w:pPr>
              <w:pStyle w:val="TableParagraph"/>
              <w:spacing w:line="241" w:lineRule="exact"/>
              <w:ind w:right="23"/>
              <w:jc w:val="right"/>
              <w:rPr>
                <w:rFonts w:ascii="Times New Roman" w:hAnsi="Times New Roman" w:cs="Times New Roman" w:eastAsia="Times New Roman" w:hint="default"/>
                <w:sz w:val="21"/>
                <w:szCs w:val="21"/>
              </w:rPr>
            </w:pPr>
            <w:r>
              <w:rPr>
                <w:rFonts w:ascii="Times New Roman"/>
                <w:w w:val="100"/>
                <w:sz w:val="21"/>
              </w:rPr>
              <w:t>4</w:t>
            </w:r>
          </w:p>
        </w:tc>
        <w:tc>
          <w:tcPr>
            <w:tcW w:w="862"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13"/>
              <w:ind w:right="19"/>
              <w:jc w:val="right"/>
              <w:rPr>
                <w:rFonts w:ascii="Times New Roman" w:hAnsi="Times New Roman" w:cs="Times New Roman" w:eastAsia="Times New Roman" w:hint="default"/>
                <w:sz w:val="21"/>
                <w:szCs w:val="21"/>
              </w:rPr>
            </w:pPr>
            <w:r>
              <w:rPr>
                <w:rFonts w:ascii="Times New Roman"/>
                <w:w w:val="100"/>
                <w:sz w:val="21"/>
              </w:rPr>
              <w:t>0</w:t>
            </w:r>
          </w:p>
        </w:tc>
        <w:tc>
          <w:tcPr>
            <w:tcW w:w="1387" w:type="dxa"/>
            <w:gridSpan w:val="2"/>
            <w:tcBorders>
              <w:top w:val="single" w:sz="4" w:space="0" w:color="000000"/>
              <w:left w:val="single" w:sz="4" w:space="0" w:color="FFFFFF"/>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492"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4" w:right="0"/>
              <w:jc w:val="left"/>
              <w:rPr>
                <w:rFonts w:ascii="宋体" w:hAnsi="宋体" w:cs="宋体" w:eastAsia="宋体" w:hint="default"/>
                <w:sz w:val="21"/>
                <w:szCs w:val="21"/>
              </w:rPr>
            </w:pPr>
            <w:r>
              <w:rPr>
                <w:rFonts w:ascii="宋体" w:hAnsi="宋体" w:cs="宋体" w:eastAsia="宋体" w:hint="default"/>
                <w:sz w:val="21"/>
                <w:szCs w:val="21"/>
              </w:rPr>
              <w:t>杨颖</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6"/>
              <w:jc w:val="right"/>
              <w:rPr>
                <w:rFonts w:ascii="Times New Roman" w:hAnsi="Times New Roman" w:cs="Times New Roman" w:eastAsia="Times New Roman" w:hint="default"/>
                <w:sz w:val="21"/>
                <w:szCs w:val="21"/>
              </w:rPr>
            </w:pPr>
            <w:r>
              <w:rPr>
                <w:rFonts w:ascii="Times New Roman"/>
                <w:sz w:val="21"/>
              </w:rPr>
              <w:t>1.21%</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5"/>
              <w:jc w:val="right"/>
              <w:rPr>
                <w:rFonts w:ascii="Times New Roman" w:hAnsi="Times New Roman" w:cs="Times New Roman" w:eastAsia="Times New Roman" w:hint="default"/>
                <w:sz w:val="21"/>
                <w:szCs w:val="21"/>
              </w:rPr>
            </w:pPr>
            <w:r>
              <w:rPr>
                <w:rFonts w:ascii="Times New Roman"/>
                <w:spacing w:val="-1"/>
                <w:sz w:val="21"/>
              </w:rPr>
              <w:t>1,919,83</w:t>
            </w:r>
          </w:p>
          <w:p>
            <w:pPr>
              <w:pStyle w:val="TableParagraph"/>
              <w:spacing w:line="241" w:lineRule="exact"/>
              <w:ind w:right="29"/>
              <w:jc w:val="right"/>
              <w:rPr>
                <w:rFonts w:ascii="Times New Roman" w:hAnsi="Times New Roman" w:cs="Times New Roman" w:eastAsia="Times New Roman" w:hint="default"/>
                <w:sz w:val="21"/>
                <w:szCs w:val="21"/>
              </w:rPr>
            </w:pPr>
            <w:r>
              <w:rPr>
                <w:rFonts w:ascii="Times New Roman"/>
                <w:w w:val="100"/>
                <w:sz w:val="21"/>
              </w:rPr>
              <w:t>7</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7" w:right="0"/>
              <w:jc w:val="left"/>
              <w:rPr>
                <w:rFonts w:ascii="Times New Roman" w:hAnsi="Times New Roman" w:cs="Times New Roman" w:eastAsia="Times New Roman" w:hint="default"/>
                <w:sz w:val="21"/>
                <w:szCs w:val="21"/>
              </w:rPr>
            </w:pPr>
            <w:r>
              <w:rPr>
                <w:rFonts w:ascii="Times New Roman"/>
                <w:sz w:val="21"/>
              </w:rPr>
              <w:t>-188327</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9"/>
              <w:jc w:val="right"/>
              <w:rPr>
                <w:rFonts w:ascii="Times New Roman" w:hAnsi="Times New Roman" w:cs="Times New Roman" w:eastAsia="Times New Roman" w:hint="default"/>
                <w:sz w:val="21"/>
                <w:szCs w:val="21"/>
              </w:rPr>
            </w:pPr>
            <w:r>
              <w:rPr>
                <w:rFonts w:ascii="Times New Roman"/>
                <w:spacing w:val="-1"/>
                <w:sz w:val="21"/>
              </w:rPr>
              <w:t>1,678,99</w:t>
            </w:r>
          </w:p>
          <w:p>
            <w:pPr>
              <w:pStyle w:val="TableParagraph"/>
              <w:spacing w:line="241" w:lineRule="exact"/>
              <w:ind w:right="23"/>
              <w:jc w:val="right"/>
              <w:rPr>
                <w:rFonts w:ascii="Times New Roman" w:hAnsi="Times New Roman" w:cs="Times New Roman" w:eastAsia="Times New Roman" w:hint="default"/>
                <w:sz w:val="21"/>
                <w:szCs w:val="21"/>
              </w:rPr>
            </w:pPr>
            <w:r>
              <w:rPr>
                <w:rFonts w:ascii="Times New Roman"/>
                <w:w w:val="100"/>
                <w:sz w:val="21"/>
              </w:rPr>
              <w:t>9</w:t>
            </w:r>
          </w:p>
        </w:tc>
        <w:tc>
          <w:tcPr>
            <w:tcW w:w="862"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13"/>
              <w:ind w:right="17"/>
              <w:jc w:val="right"/>
              <w:rPr>
                <w:rFonts w:ascii="Times New Roman" w:hAnsi="Times New Roman" w:cs="Times New Roman" w:eastAsia="Times New Roman" w:hint="default"/>
                <w:sz w:val="21"/>
                <w:szCs w:val="21"/>
              </w:rPr>
            </w:pPr>
            <w:r>
              <w:rPr>
                <w:rFonts w:ascii="Times New Roman"/>
                <w:spacing w:val="-1"/>
                <w:sz w:val="21"/>
              </w:rPr>
              <w:t>240,838</w:t>
            </w:r>
          </w:p>
        </w:tc>
        <w:tc>
          <w:tcPr>
            <w:tcW w:w="1387" w:type="dxa"/>
            <w:gridSpan w:val="2"/>
            <w:tcBorders>
              <w:top w:val="single" w:sz="4" w:space="0" w:color="000000"/>
              <w:left w:val="single" w:sz="4" w:space="0" w:color="FFFFFF"/>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1375"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both"/>
              <w:rPr>
                <w:rFonts w:ascii="宋体" w:hAnsi="宋体" w:cs="宋体" w:eastAsia="宋体" w:hint="default"/>
                <w:sz w:val="21"/>
                <w:szCs w:val="21"/>
              </w:rPr>
            </w:pPr>
            <w:r>
              <w:rPr>
                <w:rFonts w:ascii="宋体" w:hAnsi="宋体" w:cs="宋体" w:eastAsia="宋体" w:hint="default"/>
                <w:sz w:val="21"/>
                <w:szCs w:val="21"/>
              </w:rPr>
              <w:t>中国工商银</w:t>
            </w:r>
          </w:p>
          <w:p>
            <w:pPr>
              <w:pStyle w:val="TableParagraph"/>
              <w:spacing w:line="237" w:lineRule="auto" w:before="2"/>
              <w:ind w:left="24" w:right="158"/>
              <w:jc w:val="both"/>
              <w:rPr>
                <w:rFonts w:ascii="宋体" w:hAnsi="宋体" w:cs="宋体" w:eastAsia="宋体" w:hint="default"/>
                <w:sz w:val="21"/>
                <w:szCs w:val="21"/>
              </w:rPr>
            </w:pPr>
            <w:r>
              <w:rPr>
                <w:rFonts w:ascii="宋体" w:hAnsi="宋体" w:cs="宋体" w:eastAsia="宋体" w:hint="default"/>
                <w:sz w:val="21"/>
                <w:szCs w:val="21"/>
              </w:rPr>
              <w:t>行－浦银安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盛价值成长</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股票型证券</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投资基金</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0.87%</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3"/>
              <w:ind w:right="25"/>
              <w:jc w:val="right"/>
              <w:rPr>
                <w:rFonts w:ascii="Times New Roman" w:hAnsi="Times New Roman" w:cs="Times New Roman" w:eastAsia="Times New Roman" w:hint="default"/>
                <w:sz w:val="21"/>
                <w:szCs w:val="21"/>
              </w:rPr>
            </w:pPr>
            <w:r>
              <w:rPr>
                <w:rFonts w:ascii="Times New Roman"/>
                <w:spacing w:val="-1"/>
                <w:sz w:val="21"/>
              </w:rPr>
              <w:t>1,379,81</w:t>
            </w:r>
          </w:p>
          <w:p>
            <w:pPr>
              <w:pStyle w:val="TableParagraph"/>
              <w:spacing w:line="240" w:lineRule="auto" w:before="1"/>
              <w:ind w:right="28"/>
              <w:jc w:val="right"/>
              <w:rPr>
                <w:rFonts w:ascii="Times New Roman" w:hAnsi="Times New Roman" w:cs="Times New Roman" w:eastAsia="Times New Roman" w:hint="default"/>
                <w:sz w:val="21"/>
                <w:szCs w:val="21"/>
              </w:rPr>
            </w:pPr>
            <w:r>
              <w:rPr>
                <w:rFonts w:ascii="Times New Roman"/>
                <w:w w:val="100"/>
                <w:sz w:val="21"/>
              </w:rPr>
              <w:t>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17" w:right="0"/>
              <w:jc w:val="left"/>
              <w:rPr>
                <w:rFonts w:ascii="Times New Roman" w:hAnsi="Times New Roman" w:cs="Times New Roman" w:eastAsia="Times New Roman" w:hint="default"/>
                <w:sz w:val="21"/>
                <w:szCs w:val="21"/>
              </w:rPr>
            </w:pPr>
            <w:r>
              <w:rPr>
                <w:rFonts w:ascii="Times New Roman"/>
                <w:w w:val="100"/>
                <w:sz w:val="21"/>
              </w:rPr>
              <w:t>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862"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3"/>
              <w:ind w:right="17"/>
              <w:jc w:val="right"/>
              <w:rPr>
                <w:rFonts w:ascii="Times New Roman" w:hAnsi="Times New Roman" w:cs="Times New Roman" w:eastAsia="Times New Roman" w:hint="default"/>
                <w:sz w:val="21"/>
                <w:szCs w:val="21"/>
              </w:rPr>
            </w:pPr>
            <w:r>
              <w:rPr>
                <w:rFonts w:ascii="Times New Roman"/>
                <w:spacing w:val="-1"/>
                <w:sz w:val="21"/>
              </w:rPr>
              <w:t>1,379,81</w:t>
            </w:r>
          </w:p>
          <w:p>
            <w:pPr>
              <w:pStyle w:val="TableParagraph"/>
              <w:spacing w:line="240" w:lineRule="auto" w:before="1"/>
              <w:ind w:right="19"/>
              <w:jc w:val="right"/>
              <w:rPr>
                <w:rFonts w:ascii="Times New Roman" w:hAnsi="Times New Roman" w:cs="Times New Roman" w:eastAsia="Times New Roman" w:hint="default"/>
                <w:sz w:val="21"/>
                <w:szCs w:val="21"/>
              </w:rPr>
            </w:pPr>
            <w:r>
              <w:rPr>
                <w:rFonts w:ascii="Times New Roman"/>
                <w:w w:val="100"/>
                <w:sz w:val="21"/>
              </w:rPr>
              <w:t>0</w:t>
            </w:r>
          </w:p>
        </w:tc>
        <w:tc>
          <w:tcPr>
            <w:tcW w:w="1387" w:type="dxa"/>
            <w:gridSpan w:val="2"/>
            <w:tcBorders>
              <w:top w:val="single" w:sz="4" w:space="0" w:color="000000"/>
              <w:left w:val="single" w:sz="4" w:space="0" w:color="FFFFFF"/>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492"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4" w:right="0"/>
              <w:jc w:val="left"/>
              <w:rPr>
                <w:rFonts w:ascii="宋体" w:hAnsi="宋体" w:cs="宋体" w:eastAsia="宋体" w:hint="default"/>
                <w:sz w:val="21"/>
                <w:szCs w:val="21"/>
              </w:rPr>
            </w:pPr>
            <w:r>
              <w:rPr>
                <w:rFonts w:ascii="宋体" w:hAnsi="宋体" w:cs="宋体" w:eastAsia="宋体" w:hint="default"/>
                <w:sz w:val="21"/>
                <w:szCs w:val="21"/>
              </w:rPr>
              <w:t>常鑫民</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6"/>
              <w:jc w:val="right"/>
              <w:rPr>
                <w:rFonts w:ascii="Times New Roman" w:hAnsi="Times New Roman" w:cs="Times New Roman" w:eastAsia="Times New Roman" w:hint="default"/>
                <w:sz w:val="21"/>
                <w:szCs w:val="21"/>
              </w:rPr>
            </w:pPr>
            <w:r>
              <w:rPr>
                <w:rFonts w:ascii="Times New Roman"/>
                <w:sz w:val="21"/>
              </w:rPr>
              <w:t>0.72%</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5"/>
              <w:jc w:val="right"/>
              <w:rPr>
                <w:rFonts w:ascii="Times New Roman" w:hAnsi="Times New Roman" w:cs="Times New Roman" w:eastAsia="Times New Roman" w:hint="default"/>
                <w:sz w:val="21"/>
                <w:szCs w:val="21"/>
              </w:rPr>
            </w:pPr>
            <w:r>
              <w:rPr>
                <w:rFonts w:ascii="Times New Roman"/>
                <w:spacing w:val="-1"/>
                <w:sz w:val="21"/>
              </w:rPr>
              <w:t>1,147,67</w:t>
            </w:r>
          </w:p>
          <w:p>
            <w:pPr>
              <w:pStyle w:val="TableParagraph"/>
              <w:spacing w:line="240" w:lineRule="auto" w:before="1"/>
              <w:ind w:right="29"/>
              <w:jc w:val="right"/>
              <w:rPr>
                <w:rFonts w:ascii="Times New Roman" w:hAnsi="Times New Roman" w:cs="Times New Roman" w:eastAsia="Times New Roman" w:hint="default"/>
                <w:sz w:val="21"/>
                <w:szCs w:val="21"/>
              </w:rPr>
            </w:pPr>
            <w:r>
              <w:rPr>
                <w:rFonts w:ascii="Times New Roman"/>
                <w:w w:val="100"/>
                <w:sz w:val="21"/>
              </w:rPr>
              <w:t>8</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7" w:right="0"/>
              <w:jc w:val="left"/>
              <w:rPr>
                <w:rFonts w:ascii="Times New Roman" w:hAnsi="Times New Roman" w:cs="Times New Roman" w:eastAsia="Times New Roman" w:hint="default"/>
                <w:sz w:val="21"/>
                <w:szCs w:val="21"/>
              </w:rPr>
            </w:pPr>
            <w:r>
              <w:rPr>
                <w:rFonts w:ascii="Times New Roman"/>
                <w:w w:val="100"/>
                <w:sz w:val="21"/>
              </w:rPr>
              <w:t>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3"/>
              <w:jc w:val="right"/>
              <w:rPr>
                <w:rFonts w:ascii="Times New Roman" w:hAnsi="Times New Roman" w:cs="Times New Roman" w:eastAsia="Times New Roman" w:hint="default"/>
                <w:sz w:val="21"/>
                <w:szCs w:val="21"/>
              </w:rPr>
            </w:pPr>
            <w:r>
              <w:rPr>
                <w:rFonts w:ascii="Times New Roman"/>
                <w:w w:val="100"/>
                <w:sz w:val="21"/>
              </w:rPr>
              <w:t>0</w:t>
            </w:r>
          </w:p>
        </w:tc>
        <w:tc>
          <w:tcPr>
            <w:tcW w:w="862" w:type="dxa"/>
            <w:tcBorders>
              <w:top w:val="single" w:sz="4" w:space="0" w:color="000000"/>
              <w:left w:val="single" w:sz="4" w:space="0" w:color="000000"/>
              <w:bottom w:val="single" w:sz="4" w:space="0" w:color="000000"/>
              <w:right w:val="single" w:sz="4" w:space="0" w:color="FFFFFF"/>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1,147,67</w:t>
            </w:r>
          </w:p>
          <w:p>
            <w:pPr>
              <w:pStyle w:val="TableParagraph"/>
              <w:spacing w:line="240" w:lineRule="auto" w:before="1"/>
              <w:ind w:right="19"/>
              <w:jc w:val="right"/>
              <w:rPr>
                <w:rFonts w:ascii="Times New Roman" w:hAnsi="Times New Roman" w:cs="Times New Roman" w:eastAsia="Times New Roman" w:hint="default"/>
                <w:sz w:val="21"/>
                <w:szCs w:val="21"/>
              </w:rPr>
            </w:pPr>
            <w:r>
              <w:rPr>
                <w:rFonts w:ascii="Times New Roman"/>
                <w:w w:val="100"/>
                <w:sz w:val="21"/>
              </w:rPr>
              <w:t>8</w:t>
            </w:r>
          </w:p>
        </w:tc>
        <w:tc>
          <w:tcPr>
            <w:tcW w:w="1387" w:type="dxa"/>
            <w:gridSpan w:val="2"/>
            <w:tcBorders>
              <w:top w:val="single" w:sz="4" w:space="0" w:color="000000"/>
              <w:left w:val="single" w:sz="4" w:space="0" w:color="FFFFFF"/>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4" w:right="0"/>
              <w:jc w:val="left"/>
              <w:rPr>
                <w:rFonts w:ascii="宋体" w:hAnsi="宋体" w:cs="宋体" w:eastAsia="宋体" w:hint="default"/>
                <w:sz w:val="21"/>
                <w:szCs w:val="21"/>
              </w:rPr>
            </w:pPr>
            <w:r>
              <w:rPr>
                <w:rFonts w:ascii="宋体" w:hAnsi="宋体" w:cs="宋体" w:eastAsia="宋体" w:hint="default"/>
                <w:sz w:val="21"/>
                <w:szCs w:val="21"/>
              </w:rPr>
              <w:t>张文凯</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3"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6"/>
              <w:jc w:val="right"/>
              <w:rPr>
                <w:rFonts w:ascii="Times New Roman" w:hAnsi="Times New Roman" w:cs="Times New Roman" w:eastAsia="Times New Roman" w:hint="default"/>
                <w:sz w:val="21"/>
                <w:szCs w:val="21"/>
              </w:rPr>
            </w:pPr>
            <w:r>
              <w:rPr>
                <w:rFonts w:ascii="Times New Roman"/>
                <w:sz w:val="21"/>
              </w:rPr>
              <w:t>0.58%</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5"/>
              <w:jc w:val="right"/>
              <w:rPr>
                <w:rFonts w:ascii="Times New Roman" w:hAnsi="Times New Roman" w:cs="Times New Roman" w:eastAsia="Times New Roman" w:hint="default"/>
                <w:sz w:val="21"/>
                <w:szCs w:val="21"/>
              </w:rPr>
            </w:pPr>
            <w:r>
              <w:rPr>
                <w:rFonts w:ascii="Times New Roman"/>
                <w:spacing w:val="-1"/>
                <w:sz w:val="21"/>
              </w:rPr>
              <w:t>923,871</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7" w:right="0"/>
              <w:jc w:val="left"/>
              <w:rPr>
                <w:rFonts w:ascii="Times New Roman" w:hAnsi="Times New Roman" w:cs="Times New Roman" w:eastAsia="Times New Roman" w:hint="default"/>
                <w:sz w:val="21"/>
                <w:szCs w:val="21"/>
              </w:rPr>
            </w:pPr>
            <w:r>
              <w:rPr>
                <w:rFonts w:ascii="Times New Roman"/>
                <w:w w:val="100"/>
                <w:sz w:val="21"/>
              </w:rPr>
              <w:t>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1"/>
                <w:szCs w:val="21"/>
              </w:rPr>
            </w:pPr>
            <w:r>
              <w:rPr>
                <w:rFonts w:ascii="Times New Roman"/>
                <w:w w:val="100"/>
                <w:sz w:val="21"/>
              </w:rPr>
              <w:t>0</w:t>
            </w:r>
          </w:p>
        </w:tc>
        <w:tc>
          <w:tcPr>
            <w:tcW w:w="862"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58"/>
              <w:ind w:right="17"/>
              <w:jc w:val="right"/>
              <w:rPr>
                <w:rFonts w:ascii="Times New Roman" w:hAnsi="Times New Roman" w:cs="Times New Roman" w:eastAsia="Times New Roman" w:hint="default"/>
                <w:sz w:val="21"/>
                <w:szCs w:val="21"/>
              </w:rPr>
            </w:pPr>
            <w:r>
              <w:rPr>
                <w:rFonts w:ascii="Times New Roman"/>
                <w:spacing w:val="-1"/>
                <w:sz w:val="21"/>
              </w:rPr>
              <w:t>923,871</w:t>
            </w:r>
          </w:p>
        </w:tc>
        <w:tc>
          <w:tcPr>
            <w:tcW w:w="1387" w:type="dxa"/>
            <w:gridSpan w:val="2"/>
            <w:tcBorders>
              <w:top w:val="single" w:sz="4" w:space="0" w:color="000000"/>
              <w:left w:val="single" w:sz="4" w:space="0" w:color="FFFFFF"/>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拉萨戈尔登</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投资</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境内非国有法</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人</w:t>
            </w:r>
          </w:p>
        </w:tc>
        <w:tc>
          <w:tcPr>
            <w:tcW w:w="876"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5"/>
              <w:jc w:val="right"/>
              <w:rPr>
                <w:rFonts w:ascii="Times New Roman" w:hAnsi="Times New Roman" w:cs="Times New Roman" w:eastAsia="Times New Roman" w:hint="default"/>
                <w:sz w:val="21"/>
                <w:szCs w:val="21"/>
              </w:rPr>
            </w:pPr>
            <w:r>
              <w:rPr>
                <w:rFonts w:ascii="Times New Roman"/>
                <w:spacing w:val="-1"/>
                <w:sz w:val="21"/>
              </w:rPr>
              <w:t>866,653</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7" w:right="0"/>
              <w:jc w:val="left"/>
              <w:rPr>
                <w:rFonts w:ascii="Times New Roman" w:hAnsi="Times New Roman" w:cs="Times New Roman" w:eastAsia="Times New Roman" w:hint="default"/>
                <w:sz w:val="21"/>
                <w:szCs w:val="21"/>
              </w:rPr>
            </w:pPr>
            <w:r>
              <w:rPr>
                <w:rFonts w:ascii="Times New Roman"/>
                <w:w w:val="100"/>
                <w:sz w:val="21"/>
              </w:rPr>
              <w:t>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3"/>
              <w:jc w:val="right"/>
              <w:rPr>
                <w:rFonts w:ascii="Times New Roman" w:hAnsi="Times New Roman" w:cs="Times New Roman" w:eastAsia="Times New Roman" w:hint="default"/>
                <w:sz w:val="21"/>
                <w:szCs w:val="21"/>
              </w:rPr>
            </w:pPr>
            <w:r>
              <w:rPr>
                <w:rFonts w:ascii="Times New Roman"/>
                <w:w w:val="100"/>
                <w:sz w:val="21"/>
              </w:rPr>
              <w:t>0</w:t>
            </w:r>
          </w:p>
        </w:tc>
        <w:tc>
          <w:tcPr>
            <w:tcW w:w="862"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1"/>
                <w:sz w:val="21"/>
              </w:rPr>
              <w:t>866,653</w:t>
            </w:r>
          </w:p>
        </w:tc>
        <w:tc>
          <w:tcPr>
            <w:tcW w:w="1387" w:type="dxa"/>
            <w:gridSpan w:val="2"/>
            <w:tcBorders>
              <w:top w:val="single" w:sz="4" w:space="0" w:color="000000"/>
              <w:left w:val="single" w:sz="4" w:space="0" w:color="FFFFFF"/>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1646"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both"/>
              <w:rPr>
                <w:rFonts w:ascii="宋体" w:hAnsi="宋体" w:cs="宋体" w:eastAsia="宋体" w:hint="default"/>
                <w:sz w:val="21"/>
                <w:szCs w:val="21"/>
              </w:rPr>
            </w:pPr>
            <w:r>
              <w:rPr>
                <w:rFonts w:ascii="宋体" w:hAnsi="宋体" w:cs="宋体" w:eastAsia="宋体" w:hint="default"/>
                <w:sz w:val="21"/>
                <w:szCs w:val="21"/>
              </w:rPr>
              <w:t>厦门国际信</w:t>
            </w:r>
          </w:p>
          <w:p>
            <w:pPr>
              <w:pStyle w:val="TableParagraph"/>
              <w:spacing w:line="272" w:lineRule="exact"/>
              <w:ind w:left="24" w:right="0"/>
              <w:jc w:val="both"/>
              <w:rPr>
                <w:rFonts w:ascii="宋体" w:hAnsi="宋体" w:cs="宋体" w:eastAsia="宋体" w:hint="default"/>
                <w:sz w:val="21"/>
                <w:szCs w:val="21"/>
              </w:rPr>
            </w:pPr>
            <w:r>
              <w:rPr>
                <w:rFonts w:ascii="宋体" w:hAnsi="宋体" w:cs="宋体" w:eastAsia="宋体" w:hint="default"/>
                <w:sz w:val="21"/>
                <w:szCs w:val="21"/>
              </w:rPr>
              <w:t>托有限公司</w:t>
            </w:r>
          </w:p>
          <w:p>
            <w:pPr>
              <w:pStyle w:val="TableParagraph"/>
              <w:spacing w:line="240" w:lineRule="auto"/>
              <w:ind w:left="24" w:right="158"/>
              <w:jc w:val="both"/>
              <w:rPr>
                <w:rFonts w:ascii="宋体" w:hAnsi="宋体" w:cs="宋体" w:eastAsia="宋体" w:hint="default"/>
                <w:sz w:val="21"/>
                <w:szCs w:val="21"/>
              </w:rPr>
            </w:pPr>
            <w:r>
              <w:rPr>
                <w:rFonts w:ascii="宋体" w:hAnsi="宋体" w:cs="宋体" w:eastAsia="宋体" w:hint="default"/>
                <w:sz w:val="21"/>
                <w:szCs w:val="21"/>
              </w:rPr>
              <w:t>－卧龙一期</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证券投资分</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级受益权集</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合资金信托</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8"/>
              <w:ind w:right="16"/>
              <w:jc w:val="right"/>
              <w:rPr>
                <w:rFonts w:ascii="Times New Roman" w:hAnsi="Times New Roman" w:cs="Times New Roman" w:eastAsia="Times New Roman" w:hint="default"/>
                <w:sz w:val="21"/>
                <w:szCs w:val="21"/>
              </w:rPr>
            </w:pPr>
            <w:r>
              <w:rPr>
                <w:rFonts w:ascii="Times New Roman"/>
                <w:sz w:val="21"/>
              </w:rPr>
              <w:t>0.42%</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8"/>
              <w:ind w:right="25"/>
              <w:jc w:val="right"/>
              <w:rPr>
                <w:rFonts w:ascii="Times New Roman" w:hAnsi="Times New Roman" w:cs="Times New Roman" w:eastAsia="Times New Roman" w:hint="default"/>
                <w:sz w:val="21"/>
                <w:szCs w:val="21"/>
              </w:rPr>
            </w:pPr>
            <w:r>
              <w:rPr>
                <w:rFonts w:ascii="Times New Roman"/>
                <w:spacing w:val="-1"/>
                <w:sz w:val="21"/>
              </w:rPr>
              <w:t>668,000</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8"/>
              <w:ind w:left="17" w:right="0"/>
              <w:jc w:val="left"/>
              <w:rPr>
                <w:rFonts w:ascii="Times New Roman" w:hAnsi="Times New Roman" w:cs="Times New Roman" w:eastAsia="Times New Roman" w:hint="default"/>
                <w:sz w:val="21"/>
                <w:szCs w:val="21"/>
              </w:rPr>
            </w:pPr>
            <w:r>
              <w:rPr>
                <w:rFonts w:ascii="Times New Roman"/>
                <w:w w:val="100"/>
                <w:sz w:val="21"/>
              </w:rPr>
              <w:t>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8"/>
              <w:ind w:right="23"/>
              <w:jc w:val="right"/>
              <w:rPr>
                <w:rFonts w:ascii="Times New Roman" w:hAnsi="Times New Roman" w:cs="Times New Roman" w:eastAsia="Times New Roman" w:hint="default"/>
                <w:sz w:val="21"/>
                <w:szCs w:val="21"/>
              </w:rPr>
            </w:pPr>
            <w:r>
              <w:rPr>
                <w:rFonts w:ascii="Times New Roman"/>
                <w:w w:val="100"/>
                <w:sz w:val="21"/>
              </w:rPr>
              <w:t>0</w:t>
            </w:r>
          </w:p>
        </w:tc>
        <w:tc>
          <w:tcPr>
            <w:tcW w:w="862"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8"/>
              <w:ind w:right="17"/>
              <w:jc w:val="right"/>
              <w:rPr>
                <w:rFonts w:ascii="Times New Roman" w:hAnsi="Times New Roman" w:cs="Times New Roman" w:eastAsia="Times New Roman" w:hint="default"/>
                <w:sz w:val="21"/>
                <w:szCs w:val="21"/>
              </w:rPr>
            </w:pPr>
            <w:r>
              <w:rPr>
                <w:rFonts w:ascii="Times New Roman"/>
                <w:spacing w:val="-1"/>
                <w:sz w:val="21"/>
              </w:rPr>
              <w:t>668,000</w:t>
            </w:r>
          </w:p>
        </w:tc>
        <w:tc>
          <w:tcPr>
            <w:tcW w:w="1387" w:type="dxa"/>
            <w:gridSpan w:val="2"/>
            <w:tcBorders>
              <w:top w:val="single" w:sz="4" w:space="0" w:color="000000"/>
              <w:left w:val="single" w:sz="4" w:space="0" w:color="FFFFFF"/>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830" w:hRule="exact"/>
        </w:trPr>
        <w:tc>
          <w:tcPr>
            <w:tcW w:w="2633"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战略投资者或一般法人因配</w:t>
            </w:r>
          </w:p>
          <w:p>
            <w:pPr>
              <w:pStyle w:val="TableParagraph"/>
              <w:spacing w:line="274" w:lineRule="exact" w:before="24"/>
              <w:ind w:left="24" w:right="21"/>
              <w:jc w:val="left"/>
              <w:rPr>
                <w:rFonts w:ascii="宋体" w:hAnsi="宋体" w:cs="宋体" w:eastAsia="宋体" w:hint="default"/>
                <w:sz w:val="21"/>
                <w:szCs w:val="21"/>
              </w:rPr>
            </w:pPr>
            <w:r>
              <w:rPr>
                <w:rFonts w:ascii="宋体" w:hAnsi="宋体" w:cs="宋体" w:eastAsia="宋体" w:hint="default"/>
                <w:sz w:val="21"/>
                <w:szCs w:val="21"/>
              </w:rPr>
              <w:t>售新股成为前</w:t>
            </w:r>
            <w:r>
              <w:rPr>
                <w:rFonts w:ascii="宋体" w:hAnsi="宋体" w:cs="宋体" w:eastAsia="宋体" w:hint="default"/>
                <w:spacing w:val="-7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1"/>
                <w:sz w:val="21"/>
                <w:szCs w:val="21"/>
              </w:rPr>
              <w:t> </w:t>
            </w:r>
            <w:r>
              <w:rPr>
                <w:rFonts w:ascii="宋体" w:hAnsi="宋体" w:cs="宋体" w:eastAsia="宋体" w:hint="default"/>
                <w:spacing w:val="-3"/>
                <w:sz w:val="21"/>
                <w:szCs w:val="21"/>
              </w:rPr>
              <w:t>名股东的情</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3"/>
                <w:w w:val="100"/>
                <w:sz w:val="21"/>
                <w:szCs w:val="21"/>
              </w:rPr>
              <w:t>况（如有）（参见注</w:t>
            </w:r>
            <w:r>
              <w:rPr>
                <w:rFonts w:ascii="宋体" w:hAnsi="宋体" w:cs="宋体" w:eastAsia="宋体" w:hint="default"/>
                <w:spacing w:val="-53"/>
                <w:w w:val="100"/>
                <w:sz w:val="21"/>
                <w:szCs w:val="21"/>
              </w:rPr>
              <w:t> </w:t>
            </w:r>
            <w:r>
              <w:rPr>
                <w:rFonts w:ascii="Times New Roman" w:hAnsi="Times New Roman" w:cs="Times New Roman" w:eastAsia="Times New Roman" w:hint="default"/>
                <w:w w:val="100"/>
                <w:sz w:val="21"/>
                <w:szCs w:val="21"/>
              </w:rPr>
              <w:t>3</w:t>
            </w:r>
            <w:r>
              <w:rPr>
                <w:rFonts w:ascii="宋体" w:hAnsi="宋体" w:cs="宋体" w:eastAsia="宋体" w:hint="default"/>
                <w:w w:val="100"/>
                <w:sz w:val="21"/>
                <w:szCs w:val="21"/>
              </w:rPr>
              <w:t>）</w:t>
            </w:r>
          </w:p>
        </w:tc>
        <w:tc>
          <w:tcPr>
            <w:tcW w:w="6936" w:type="dxa"/>
            <w:gridSpan w:val="8"/>
            <w:tcBorders>
              <w:top w:val="single" w:sz="4" w:space="0" w:color="000000"/>
              <w:left w:val="single" w:sz="9" w:space="0" w:color="D4D4D4"/>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7"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581" w:hRule="exact"/>
        </w:trPr>
        <w:tc>
          <w:tcPr>
            <w:tcW w:w="2633"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动的说明</w:t>
            </w:r>
          </w:p>
        </w:tc>
        <w:tc>
          <w:tcPr>
            <w:tcW w:w="6936" w:type="dxa"/>
            <w:gridSpan w:val="8"/>
            <w:tcBorders>
              <w:top w:val="single" w:sz="4" w:space="0" w:color="000000"/>
              <w:left w:val="single" w:sz="9" w:space="0" w:color="D4D4D4"/>
              <w:bottom w:val="single" w:sz="23" w:space="0" w:color="D4D4D4"/>
              <w:right w:val="single" w:sz="4" w:space="0" w:color="000000"/>
            </w:tcBorders>
          </w:tcPr>
          <w:p>
            <w:pPr>
              <w:pStyle w:val="TableParagraph"/>
              <w:spacing w:line="240" w:lineRule="auto" w:before="102"/>
              <w:ind w:left="17" w:right="0"/>
              <w:jc w:val="left"/>
              <w:rPr>
                <w:rFonts w:ascii="宋体" w:hAnsi="宋体" w:cs="宋体" w:eastAsia="宋体" w:hint="default"/>
                <w:sz w:val="21"/>
                <w:szCs w:val="21"/>
              </w:rPr>
            </w:pPr>
            <w:r>
              <w:rPr>
                <w:rFonts w:ascii="宋体" w:hAnsi="宋体" w:cs="宋体" w:eastAsia="宋体" w:hint="default"/>
                <w:sz w:val="21"/>
                <w:szCs w:val="21"/>
              </w:rPr>
              <w:t>公司实际控制人黄元忠先生同黄晓峰先生、陈克让先生为一致行动人。</w:t>
            </w:r>
          </w:p>
        </w:tc>
      </w:tr>
      <w:tr>
        <w:trPr>
          <w:trHeight w:val="330" w:hRule="exact"/>
        </w:trPr>
        <w:tc>
          <w:tcPr>
            <w:tcW w:w="9569" w:type="dxa"/>
            <w:gridSpan w:val="10"/>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81" w:lineRule="exact"/>
              <w:ind w:left="2" w:right="0"/>
              <w:jc w:val="center"/>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名无限售条件股东持股情况</w:t>
            </w:r>
          </w:p>
        </w:tc>
      </w:tr>
      <w:tr>
        <w:trPr>
          <w:trHeight w:val="268" w:hRule="exact"/>
        </w:trPr>
        <w:tc>
          <w:tcPr>
            <w:tcW w:w="2633" w:type="dxa"/>
            <w:gridSpan w:val="2"/>
            <w:tcBorders>
              <w:top w:val="single" w:sz="4" w:space="0" w:color="000000"/>
              <w:left w:val="single" w:sz="4" w:space="0" w:color="000000"/>
              <w:bottom w:val="nil" w:sz="6" w:space="0" w:color="auto"/>
              <w:right w:val="single" w:sz="4" w:space="0" w:color="000000"/>
            </w:tcBorders>
            <w:shd w:val="clear" w:color="auto" w:fill="D4D4D4"/>
          </w:tcPr>
          <w:p>
            <w:pPr/>
          </w:p>
        </w:tc>
        <w:tc>
          <w:tcPr>
            <w:tcW w:w="4164" w:type="dxa"/>
            <w:gridSpan w:val="5"/>
            <w:tcBorders>
              <w:top w:val="single" w:sz="4" w:space="0" w:color="000000"/>
              <w:left w:val="single" w:sz="4" w:space="0" w:color="000000"/>
              <w:bottom w:val="nil" w:sz="6" w:space="0" w:color="auto"/>
              <w:right w:val="single" w:sz="4" w:space="0" w:color="000000"/>
            </w:tcBorders>
            <w:shd w:val="clear" w:color="auto" w:fill="D4D4D4"/>
          </w:tcPr>
          <w:p>
            <w:pPr/>
          </w:p>
        </w:tc>
        <w:tc>
          <w:tcPr>
            <w:tcW w:w="2772"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39"/>
              <w:ind w:left="4" w:right="0"/>
              <w:jc w:val="center"/>
              <w:rPr>
                <w:rFonts w:ascii="宋体" w:hAnsi="宋体" w:cs="宋体" w:eastAsia="宋体" w:hint="default"/>
                <w:sz w:val="21"/>
                <w:szCs w:val="21"/>
              </w:rPr>
            </w:pPr>
            <w:r>
              <w:rPr>
                <w:rFonts w:ascii="宋体" w:hAnsi="宋体" w:cs="宋体" w:eastAsia="宋体" w:hint="default"/>
                <w:sz w:val="21"/>
                <w:szCs w:val="21"/>
              </w:rPr>
              <w:t>股份种类</w:t>
            </w:r>
          </w:p>
        </w:tc>
      </w:tr>
      <w:tr>
        <w:trPr>
          <w:trHeight w:val="136" w:hRule="exact"/>
        </w:trPr>
        <w:tc>
          <w:tcPr>
            <w:tcW w:w="2633" w:type="dxa"/>
            <w:gridSpan w:val="2"/>
            <w:vMerge w:val="restart"/>
            <w:tcBorders>
              <w:top w:val="nil" w:sz="6" w:space="0" w:color="auto"/>
              <w:left w:val="single" w:sz="4" w:space="0" w:color="000000"/>
              <w:right w:val="single" w:sz="4" w:space="0" w:color="000000"/>
            </w:tcBorders>
            <w:shd w:val="clear" w:color="auto" w:fill="D4D4D4"/>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4164" w:type="dxa"/>
            <w:gridSpan w:val="5"/>
            <w:vMerge w:val="restart"/>
            <w:tcBorders>
              <w:top w:val="nil" w:sz="6" w:space="0" w:color="auto"/>
              <w:left w:val="single" w:sz="4" w:space="0" w:color="000000"/>
              <w:right w:val="single" w:sz="4" w:space="0" w:color="000000"/>
            </w:tcBorders>
            <w:shd w:val="clear" w:color="auto" w:fill="D4D4D4"/>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报告期末持有无限售条件股份数量</w:t>
            </w:r>
          </w:p>
        </w:tc>
        <w:tc>
          <w:tcPr>
            <w:tcW w:w="2772" w:type="dxa"/>
            <w:gridSpan w:val="3"/>
            <w:vMerge/>
            <w:tcBorders>
              <w:left w:val="single" w:sz="4" w:space="0" w:color="000000"/>
              <w:bottom w:val="single" w:sz="4" w:space="0" w:color="000000"/>
              <w:right w:val="single" w:sz="4" w:space="0" w:color="000000"/>
            </w:tcBorders>
            <w:shd w:val="clear" w:color="auto" w:fill="D4D4D4"/>
          </w:tcPr>
          <w:p>
            <w:pPr/>
          </w:p>
        </w:tc>
      </w:tr>
      <w:tr>
        <w:trPr>
          <w:trHeight w:val="136" w:hRule="exact"/>
        </w:trPr>
        <w:tc>
          <w:tcPr>
            <w:tcW w:w="2633" w:type="dxa"/>
            <w:gridSpan w:val="2"/>
            <w:vMerge/>
            <w:tcBorders>
              <w:left w:val="single" w:sz="4" w:space="0" w:color="000000"/>
              <w:bottom w:val="nil" w:sz="6" w:space="0" w:color="auto"/>
              <w:right w:val="single" w:sz="4" w:space="0" w:color="000000"/>
            </w:tcBorders>
            <w:shd w:val="clear" w:color="auto" w:fill="D4D4D4"/>
          </w:tcPr>
          <w:p>
            <w:pPr/>
          </w:p>
        </w:tc>
        <w:tc>
          <w:tcPr>
            <w:tcW w:w="4164" w:type="dxa"/>
            <w:gridSpan w:val="5"/>
            <w:vMerge/>
            <w:tcBorders>
              <w:left w:val="single" w:sz="4" w:space="0" w:color="000000"/>
              <w:bottom w:val="nil" w:sz="6" w:space="0" w:color="auto"/>
              <w:right w:val="single" w:sz="4" w:space="0" w:color="000000"/>
            </w:tcBorders>
            <w:shd w:val="clear" w:color="auto" w:fill="D4D4D4"/>
          </w:tcPr>
          <w:p>
            <w:pPr/>
          </w:p>
        </w:tc>
        <w:tc>
          <w:tcPr>
            <w:tcW w:w="1387"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5"/>
              <w:ind w:left="268" w:right="0"/>
              <w:jc w:val="left"/>
              <w:rPr>
                <w:rFonts w:ascii="宋体" w:hAnsi="宋体" w:cs="宋体" w:eastAsia="宋体" w:hint="default"/>
                <w:sz w:val="21"/>
                <w:szCs w:val="21"/>
              </w:rPr>
            </w:pPr>
            <w:r>
              <w:rPr>
                <w:rFonts w:ascii="宋体" w:hAnsi="宋体" w:cs="宋体" w:eastAsia="宋体" w:hint="default"/>
                <w:sz w:val="21"/>
                <w:szCs w:val="21"/>
              </w:rPr>
              <w:t>股份种类</w:t>
            </w:r>
          </w:p>
        </w:tc>
        <w:tc>
          <w:tcPr>
            <w:tcW w:w="138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5"/>
              <w:ind w:left="2" w:right="0"/>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242" w:hRule="exact"/>
        </w:trPr>
        <w:tc>
          <w:tcPr>
            <w:tcW w:w="2633" w:type="dxa"/>
            <w:gridSpan w:val="2"/>
            <w:tcBorders>
              <w:top w:val="nil" w:sz="6" w:space="0" w:color="auto"/>
              <w:left w:val="single" w:sz="4" w:space="0" w:color="000000"/>
              <w:bottom w:val="single" w:sz="4" w:space="0" w:color="000000"/>
              <w:right w:val="single" w:sz="4" w:space="0" w:color="000000"/>
            </w:tcBorders>
            <w:shd w:val="clear" w:color="auto" w:fill="D4D4D4"/>
          </w:tcPr>
          <w:p>
            <w:pPr/>
          </w:p>
        </w:tc>
        <w:tc>
          <w:tcPr>
            <w:tcW w:w="4164" w:type="dxa"/>
            <w:gridSpan w:val="5"/>
            <w:tcBorders>
              <w:top w:val="nil" w:sz="6" w:space="0" w:color="auto"/>
              <w:left w:val="single" w:sz="4" w:space="0" w:color="000000"/>
              <w:bottom w:val="single" w:sz="4" w:space="0" w:color="000000"/>
              <w:right w:val="single" w:sz="4" w:space="0" w:color="000000"/>
            </w:tcBorders>
            <w:shd w:val="clear" w:color="auto" w:fill="D4D4D4"/>
          </w:tcPr>
          <w:p>
            <w:pPr/>
          </w:p>
        </w:tc>
        <w:tc>
          <w:tcPr>
            <w:tcW w:w="1387" w:type="dxa"/>
            <w:gridSpan w:val="2"/>
            <w:vMerge/>
            <w:tcBorders>
              <w:left w:val="single" w:sz="4" w:space="0" w:color="000000"/>
              <w:bottom w:val="single" w:sz="4" w:space="0" w:color="000000"/>
              <w:right w:val="single" w:sz="4" w:space="0" w:color="000000"/>
            </w:tcBorders>
            <w:shd w:val="clear" w:color="auto" w:fill="D4D4D4"/>
          </w:tcPr>
          <w:p>
            <w:pPr/>
          </w:p>
        </w:tc>
        <w:tc>
          <w:tcPr>
            <w:tcW w:w="1385" w:type="dxa"/>
            <w:vMerge/>
            <w:tcBorders>
              <w:left w:val="single" w:sz="4" w:space="0" w:color="000000"/>
              <w:bottom w:val="single" w:sz="4" w:space="0" w:color="000000"/>
              <w:right w:val="single" w:sz="4" w:space="0" w:color="000000"/>
            </w:tcBorders>
            <w:shd w:val="clear" w:color="auto" w:fill="D4D4D4"/>
          </w:tcPr>
          <w:p>
            <w:pPr/>
          </w:p>
        </w:tc>
      </w:tr>
      <w:tr>
        <w:trPr>
          <w:trHeight w:val="379" w:hRule="exact"/>
        </w:trPr>
        <w:tc>
          <w:tcPr>
            <w:tcW w:w="26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4" w:right="0"/>
              <w:jc w:val="left"/>
              <w:rPr>
                <w:rFonts w:ascii="宋体" w:hAnsi="宋体" w:cs="宋体" w:eastAsia="宋体" w:hint="default"/>
                <w:sz w:val="21"/>
                <w:szCs w:val="21"/>
              </w:rPr>
            </w:pPr>
            <w:r>
              <w:rPr>
                <w:rFonts w:ascii="宋体" w:hAnsi="宋体" w:cs="宋体" w:eastAsia="宋体" w:hint="default"/>
                <w:sz w:val="21"/>
                <w:szCs w:val="21"/>
              </w:rPr>
              <w:t>黄元忠</w:t>
            </w:r>
          </w:p>
        </w:tc>
        <w:tc>
          <w:tcPr>
            <w:tcW w:w="416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Times New Roman" w:hAnsi="Times New Roman" w:cs="Times New Roman" w:eastAsia="Times New Roman" w:hint="default"/>
                <w:sz w:val="21"/>
                <w:szCs w:val="21"/>
              </w:rPr>
            </w:pPr>
            <w:r>
              <w:rPr>
                <w:rFonts w:ascii="Times New Roman"/>
                <w:spacing w:val="-1"/>
                <w:sz w:val="21"/>
              </w:rPr>
              <w:t>8,968,797</w:t>
            </w:r>
          </w:p>
        </w:tc>
        <w:tc>
          <w:tcPr>
            <w:tcW w:w="1387" w:type="dxa"/>
            <w:gridSpan w:val="2"/>
            <w:tcBorders>
              <w:top w:val="single" w:sz="23" w:space="0" w:color="D4D4D4"/>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85" w:type="dxa"/>
            <w:tcBorders>
              <w:top w:val="single" w:sz="23" w:space="0" w:color="D4D4D4"/>
              <w:left w:val="single" w:sz="4" w:space="0" w:color="000000"/>
              <w:bottom w:val="single" w:sz="4" w:space="0" w:color="000000"/>
              <w:right w:val="single" w:sz="4" w:space="0" w:color="000000"/>
            </w:tcBorders>
          </w:tcPr>
          <w:p>
            <w:pPr>
              <w:pStyle w:val="TableParagraph"/>
              <w:spacing w:line="240" w:lineRule="auto" w:before="34"/>
              <w:ind w:left="513" w:right="0"/>
              <w:jc w:val="left"/>
              <w:rPr>
                <w:rFonts w:ascii="Times New Roman" w:hAnsi="Times New Roman" w:cs="Times New Roman" w:eastAsia="Times New Roman" w:hint="default"/>
                <w:sz w:val="21"/>
                <w:szCs w:val="21"/>
              </w:rPr>
            </w:pPr>
            <w:r>
              <w:rPr>
                <w:rFonts w:ascii="Times New Roman"/>
                <w:sz w:val="21"/>
              </w:rPr>
              <w:t>8,968,797</w:t>
            </w:r>
          </w:p>
        </w:tc>
      </w:tr>
    </w:tbl>
    <w:p>
      <w:pPr>
        <w:spacing w:after="0" w:line="240" w:lineRule="auto"/>
        <w:jc w:val="left"/>
        <w:rPr>
          <w:rFonts w:ascii="Times New Roman" w:hAnsi="Times New Roman" w:cs="Times New Roman" w:eastAsia="Times New Roman" w:hint="default"/>
          <w:sz w:val="21"/>
          <w:szCs w:val="21"/>
        </w:rPr>
        <w:sectPr>
          <w:pgSz w:w="11910" w:h="16840"/>
          <w:pgMar w:header="748" w:footer="982" w:top="1060" w:bottom="1180" w:left="980" w:right="98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633"/>
        <w:gridCol w:w="4164"/>
        <w:gridCol w:w="1387"/>
        <w:gridCol w:w="1385"/>
      </w:tblGrid>
      <w:tr>
        <w:trPr>
          <w:trHeight w:val="379" w:hRule="exact"/>
        </w:trPr>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4" w:right="0"/>
              <w:jc w:val="left"/>
              <w:rPr>
                <w:rFonts w:ascii="宋体" w:hAnsi="宋体" w:cs="宋体" w:eastAsia="宋体" w:hint="default"/>
                <w:sz w:val="21"/>
                <w:szCs w:val="21"/>
              </w:rPr>
            </w:pPr>
            <w:r>
              <w:rPr>
                <w:rFonts w:ascii="宋体" w:hAnsi="宋体" w:cs="宋体" w:eastAsia="宋体" w:hint="default"/>
                <w:sz w:val="21"/>
                <w:szCs w:val="21"/>
              </w:rPr>
              <w:t>黄晓峰</w:t>
            </w:r>
          </w:p>
        </w:tc>
        <w:tc>
          <w:tcPr>
            <w:tcW w:w="4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Times New Roman" w:hAnsi="Times New Roman" w:cs="Times New Roman" w:eastAsia="Times New Roman" w:hint="default"/>
                <w:sz w:val="21"/>
                <w:szCs w:val="21"/>
              </w:rPr>
            </w:pPr>
            <w:r>
              <w:rPr>
                <w:rFonts w:ascii="Times New Roman"/>
                <w:spacing w:val="-1"/>
                <w:sz w:val="21"/>
              </w:rPr>
              <w:t>6,459,620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Times New Roman" w:hAnsi="Times New Roman" w:cs="Times New Roman" w:eastAsia="Times New Roman" w:hint="default"/>
                <w:sz w:val="21"/>
                <w:szCs w:val="21"/>
              </w:rPr>
            </w:pPr>
            <w:r>
              <w:rPr>
                <w:rFonts w:ascii="Times New Roman"/>
                <w:spacing w:val="-1"/>
                <w:sz w:val="21"/>
              </w:rPr>
              <w:t>6,459,620</w:t>
            </w:r>
          </w:p>
        </w:tc>
      </w:tr>
      <w:tr>
        <w:trPr>
          <w:trHeight w:val="379" w:hRule="exact"/>
        </w:trPr>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4" w:right="0"/>
              <w:jc w:val="left"/>
              <w:rPr>
                <w:rFonts w:ascii="宋体" w:hAnsi="宋体" w:cs="宋体" w:eastAsia="宋体" w:hint="default"/>
                <w:sz w:val="21"/>
                <w:szCs w:val="21"/>
              </w:rPr>
            </w:pPr>
            <w:r>
              <w:rPr>
                <w:rFonts w:ascii="宋体" w:hAnsi="宋体" w:cs="宋体" w:eastAsia="宋体" w:hint="default"/>
                <w:sz w:val="21"/>
                <w:szCs w:val="21"/>
              </w:rPr>
              <w:t>陈克让</w:t>
            </w:r>
          </w:p>
        </w:tc>
        <w:tc>
          <w:tcPr>
            <w:tcW w:w="4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Times New Roman" w:hAnsi="Times New Roman" w:cs="Times New Roman" w:eastAsia="Times New Roman" w:hint="default"/>
                <w:sz w:val="21"/>
                <w:szCs w:val="21"/>
              </w:rPr>
            </w:pPr>
            <w:r>
              <w:rPr>
                <w:rFonts w:ascii="Times New Roman"/>
                <w:spacing w:val="-1"/>
                <w:sz w:val="21"/>
              </w:rPr>
              <w:t>3,959,620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Times New Roman" w:hAnsi="Times New Roman" w:cs="Times New Roman" w:eastAsia="Times New Roman" w:hint="default"/>
                <w:sz w:val="21"/>
                <w:szCs w:val="21"/>
              </w:rPr>
            </w:pPr>
            <w:r>
              <w:rPr>
                <w:rFonts w:ascii="Times New Roman"/>
                <w:spacing w:val="-1"/>
                <w:sz w:val="21"/>
              </w:rPr>
              <w:t>3,959,620</w:t>
            </w:r>
          </w:p>
        </w:tc>
      </w:tr>
      <w:tr>
        <w:trPr>
          <w:trHeight w:val="554" w:hRule="exact"/>
        </w:trPr>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中国工商银行－浦银安盛价</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值成长股票型证券投资基金</w:t>
            </w:r>
          </w:p>
        </w:tc>
        <w:tc>
          <w:tcPr>
            <w:tcW w:w="4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1,379,810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1,379,810</w:t>
            </w:r>
          </w:p>
        </w:tc>
      </w:tr>
      <w:tr>
        <w:trPr>
          <w:trHeight w:val="379" w:hRule="exact"/>
        </w:trPr>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4" w:right="0"/>
              <w:jc w:val="left"/>
              <w:rPr>
                <w:rFonts w:ascii="宋体" w:hAnsi="宋体" w:cs="宋体" w:eastAsia="宋体" w:hint="default"/>
                <w:sz w:val="21"/>
                <w:szCs w:val="21"/>
              </w:rPr>
            </w:pPr>
            <w:r>
              <w:rPr>
                <w:rFonts w:ascii="宋体" w:hAnsi="宋体" w:cs="宋体" w:eastAsia="宋体" w:hint="default"/>
                <w:sz w:val="21"/>
                <w:szCs w:val="21"/>
              </w:rPr>
              <w:t>常鑫民</w:t>
            </w:r>
          </w:p>
        </w:tc>
        <w:tc>
          <w:tcPr>
            <w:tcW w:w="4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Times New Roman" w:hAnsi="Times New Roman" w:cs="Times New Roman" w:eastAsia="Times New Roman" w:hint="default"/>
                <w:sz w:val="21"/>
                <w:szCs w:val="21"/>
              </w:rPr>
            </w:pPr>
            <w:r>
              <w:rPr>
                <w:rFonts w:ascii="Times New Roman"/>
                <w:spacing w:val="-1"/>
                <w:sz w:val="21"/>
              </w:rPr>
              <w:t>1,147,678</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Times New Roman" w:hAnsi="Times New Roman" w:cs="Times New Roman" w:eastAsia="Times New Roman" w:hint="default"/>
                <w:sz w:val="21"/>
                <w:szCs w:val="21"/>
              </w:rPr>
            </w:pPr>
            <w:r>
              <w:rPr>
                <w:rFonts w:ascii="Times New Roman"/>
                <w:spacing w:val="-1"/>
                <w:sz w:val="21"/>
              </w:rPr>
              <w:t>1,147,678</w:t>
            </w:r>
          </w:p>
        </w:tc>
      </w:tr>
      <w:tr>
        <w:trPr>
          <w:trHeight w:val="379" w:hRule="exact"/>
        </w:trPr>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4" w:right="0"/>
              <w:jc w:val="left"/>
              <w:rPr>
                <w:rFonts w:ascii="宋体" w:hAnsi="宋体" w:cs="宋体" w:eastAsia="宋体" w:hint="default"/>
                <w:sz w:val="21"/>
                <w:szCs w:val="21"/>
              </w:rPr>
            </w:pPr>
            <w:r>
              <w:rPr>
                <w:rFonts w:ascii="宋体" w:hAnsi="宋体" w:cs="宋体" w:eastAsia="宋体" w:hint="default"/>
                <w:sz w:val="21"/>
                <w:szCs w:val="21"/>
              </w:rPr>
              <w:t>张文凯</w:t>
            </w:r>
          </w:p>
        </w:tc>
        <w:tc>
          <w:tcPr>
            <w:tcW w:w="4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Times New Roman" w:hAnsi="Times New Roman" w:cs="Times New Roman" w:eastAsia="Times New Roman" w:hint="default"/>
                <w:sz w:val="21"/>
                <w:szCs w:val="21"/>
              </w:rPr>
            </w:pPr>
            <w:r>
              <w:rPr>
                <w:rFonts w:ascii="Times New Roman"/>
                <w:spacing w:val="-1"/>
                <w:sz w:val="21"/>
              </w:rPr>
              <w:t>923,871</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Times New Roman" w:hAnsi="Times New Roman" w:cs="Times New Roman" w:eastAsia="Times New Roman" w:hint="default"/>
                <w:sz w:val="21"/>
                <w:szCs w:val="21"/>
              </w:rPr>
            </w:pPr>
            <w:r>
              <w:rPr>
                <w:rFonts w:ascii="Times New Roman"/>
                <w:spacing w:val="-1"/>
                <w:sz w:val="21"/>
              </w:rPr>
              <w:t>923,871</w:t>
            </w:r>
          </w:p>
        </w:tc>
      </w:tr>
      <w:tr>
        <w:trPr>
          <w:trHeight w:val="379" w:hRule="exact"/>
        </w:trPr>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4" w:right="0"/>
              <w:jc w:val="left"/>
              <w:rPr>
                <w:rFonts w:ascii="宋体" w:hAnsi="宋体" w:cs="宋体" w:eastAsia="宋体" w:hint="default"/>
                <w:sz w:val="21"/>
                <w:szCs w:val="21"/>
              </w:rPr>
            </w:pPr>
            <w:r>
              <w:rPr>
                <w:rFonts w:ascii="宋体" w:hAnsi="宋体" w:cs="宋体" w:eastAsia="宋体" w:hint="default"/>
                <w:sz w:val="21"/>
                <w:szCs w:val="21"/>
              </w:rPr>
              <w:t>拉萨戈尔登投资有限公司</w:t>
            </w:r>
          </w:p>
        </w:tc>
        <w:tc>
          <w:tcPr>
            <w:tcW w:w="4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Times New Roman" w:hAnsi="Times New Roman" w:cs="Times New Roman" w:eastAsia="Times New Roman" w:hint="default"/>
                <w:sz w:val="21"/>
                <w:szCs w:val="21"/>
              </w:rPr>
            </w:pPr>
            <w:r>
              <w:rPr>
                <w:rFonts w:ascii="Times New Roman"/>
                <w:spacing w:val="-1"/>
                <w:sz w:val="21"/>
              </w:rPr>
              <w:t>866,653</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Times New Roman" w:hAnsi="Times New Roman" w:cs="Times New Roman" w:eastAsia="Times New Roman" w:hint="default"/>
                <w:sz w:val="21"/>
                <w:szCs w:val="21"/>
              </w:rPr>
            </w:pPr>
            <w:r>
              <w:rPr>
                <w:rFonts w:ascii="Times New Roman"/>
                <w:spacing w:val="-1"/>
                <w:sz w:val="21"/>
              </w:rPr>
              <w:t>866,653</w:t>
            </w:r>
          </w:p>
        </w:tc>
      </w:tr>
      <w:tr>
        <w:trPr>
          <w:trHeight w:val="830" w:hRule="exact"/>
        </w:trPr>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厦门国际信托有限公司－卧</w:t>
            </w:r>
          </w:p>
          <w:p>
            <w:pPr>
              <w:pStyle w:val="TableParagraph"/>
              <w:spacing w:line="240" w:lineRule="auto"/>
              <w:ind w:left="24" w:right="74"/>
              <w:jc w:val="left"/>
              <w:rPr>
                <w:rFonts w:ascii="宋体" w:hAnsi="宋体" w:cs="宋体" w:eastAsia="宋体" w:hint="default"/>
                <w:sz w:val="21"/>
                <w:szCs w:val="21"/>
              </w:rPr>
            </w:pPr>
            <w:r>
              <w:rPr>
                <w:rFonts w:ascii="宋体" w:hAnsi="宋体" w:cs="宋体" w:eastAsia="宋体" w:hint="default"/>
                <w:spacing w:val="-2"/>
                <w:sz w:val="21"/>
                <w:szCs w:val="21"/>
              </w:rPr>
              <w:t>龙一期证券投资分级受益权</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集合资金信托</w:t>
            </w:r>
          </w:p>
        </w:tc>
        <w:tc>
          <w:tcPr>
            <w:tcW w:w="4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668,000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668,000</w:t>
            </w:r>
          </w:p>
        </w:tc>
      </w:tr>
      <w:tr>
        <w:trPr>
          <w:trHeight w:val="379" w:hRule="exact"/>
        </w:trPr>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4" w:right="0"/>
              <w:jc w:val="left"/>
              <w:rPr>
                <w:rFonts w:ascii="宋体" w:hAnsi="宋体" w:cs="宋体" w:eastAsia="宋体" w:hint="default"/>
                <w:sz w:val="21"/>
                <w:szCs w:val="21"/>
              </w:rPr>
            </w:pPr>
            <w:r>
              <w:rPr>
                <w:rFonts w:ascii="宋体" w:hAnsi="宋体" w:cs="宋体" w:eastAsia="宋体" w:hint="default"/>
                <w:sz w:val="21"/>
                <w:szCs w:val="21"/>
              </w:rPr>
              <w:t>杨纬</w:t>
            </w:r>
          </w:p>
        </w:tc>
        <w:tc>
          <w:tcPr>
            <w:tcW w:w="4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9"/>
              <w:jc w:val="right"/>
              <w:rPr>
                <w:rFonts w:ascii="Times New Roman" w:hAnsi="Times New Roman" w:cs="Times New Roman" w:eastAsia="Times New Roman" w:hint="default"/>
                <w:sz w:val="21"/>
                <w:szCs w:val="21"/>
              </w:rPr>
            </w:pPr>
            <w:r>
              <w:rPr>
                <w:rFonts w:ascii="Times New Roman"/>
                <w:spacing w:val="-1"/>
                <w:sz w:val="21"/>
              </w:rPr>
              <w:t>548,000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7"/>
              <w:jc w:val="right"/>
              <w:rPr>
                <w:rFonts w:ascii="Times New Roman" w:hAnsi="Times New Roman" w:cs="Times New Roman" w:eastAsia="Times New Roman" w:hint="default"/>
                <w:sz w:val="21"/>
                <w:szCs w:val="21"/>
              </w:rPr>
            </w:pPr>
            <w:r>
              <w:rPr>
                <w:rFonts w:ascii="Times New Roman"/>
                <w:spacing w:val="-1"/>
                <w:sz w:val="21"/>
              </w:rPr>
              <w:t>548,000</w:t>
            </w:r>
          </w:p>
        </w:tc>
      </w:tr>
      <w:tr>
        <w:trPr>
          <w:trHeight w:val="828" w:hRule="exact"/>
        </w:trPr>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中信信托有限责任公司－中</w:t>
            </w:r>
          </w:p>
          <w:p>
            <w:pPr>
              <w:pStyle w:val="TableParagraph"/>
              <w:spacing w:line="274" w:lineRule="exact" w:before="24"/>
              <w:ind w:left="23" w:right="213"/>
              <w:jc w:val="left"/>
              <w:rPr>
                <w:rFonts w:ascii="宋体" w:hAnsi="宋体" w:cs="宋体" w:eastAsia="宋体" w:hint="default"/>
                <w:sz w:val="21"/>
                <w:szCs w:val="21"/>
              </w:rPr>
            </w:pPr>
            <w:r>
              <w:rPr>
                <w:rFonts w:ascii="宋体" w:hAnsi="宋体" w:cs="宋体" w:eastAsia="宋体" w:hint="default"/>
                <w:spacing w:val="-2"/>
                <w:sz w:val="21"/>
                <w:szCs w:val="21"/>
              </w:rPr>
              <w:t>信</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稳健分层型证券投资集</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合资金信托计划</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1303F</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期</w:t>
            </w:r>
          </w:p>
        </w:tc>
        <w:tc>
          <w:tcPr>
            <w:tcW w:w="4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398,000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398,000</w:t>
            </w:r>
          </w:p>
        </w:tc>
      </w:tr>
      <w:tr>
        <w:trPr>
          <w:trHeight w:val="1102" w:hRule="exact"/>
        </w:trPr>
        <w:tc>
          <w:tcPr>
            <w:tcW w:w="263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8" w:lineRule="exact"/>
              <w:ind w:left="24"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79"/>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9"/>
                <w:sz w:val="21"/>
                <w:szCs w:val="21"/>
              </w:rPr>
              <w:t> </w:t>
            </w:r>
            <w:r>
              <w:rPr>
                <w:rFonts w:ascii="宋体" w:hAnsi="宋体" w:cs="宋体" w:eastAsia="宋体" w:hint="default"/>
                <w:sz w:val="21"/>
                <w:szCs w:val="21"/>
              </w:rPr>
              <w:t>名无限售流通股股东之</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pacing w:val="-11"/>
                <w:sz w:val="21"/>
                <w:szCs w:val="21"/>
              </w:rPr>
              <w:t>间，以及前</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名无限售流通</w:t>
            </w:r>
          </w:p>
          <w:p>
            <w:pPr>
              <w:pStyle w:val="TableParagraph"/>
              <w:spacing w:line="272" w:lineRule="exact" w:before="19"/>
              <w:ind w:left="24" w:right="21"/>
              <w:jc w:val="left"/>
              <w:rPr>
                <w:rFonts w:ascii="宋体" w:hAnsi="宋体" w:cs="宋体" w:eastAsia="宋体" w:hint="default"/>
                <w:sz w:val="21"/>
                <w:szCs w:val="21"/>
              </w:rPr>
            </w:pPr>
            <w:r>
              <w:rPr>
                <w:rFonts w:ascii="宋体" w:hAnsi="宋体" w:cs="宋体" w:eastAsia="宋体" w:hint="default"/>
                <w:sz w:val="21"/>
                <w:szCs w:val="21"/>
              </w:rPr>
              <w:t>股股东和前</w:t>
            </w:r>
            <w:r>
              <w:rPr>
                <w:rFonts w:ascii="宋体" w:hAnsi="宋体" w:cs="宋体" w:eastAsia="宋体" w:hint="default"/>
                <w:spacing w:val="-79"/>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9"/>
                <w:sz w:val="21"/>
                <w:szCs w:val="21"/>
              </w:rPr>
              <w:t> </w:t>
            </w:r>
            <w:r>
              <w:rPr>
                <w:rFonts w:ascii="宋体" w:hAnsi="宋体" w:cs="宋体" w:eastAsia="宋体" w:hint="default"/>
                <w:sz w:val="21"/>
                <w:szCs w:val="21"/>
              </w:rPr>
              <w:t>名股东之间关</w:t>
            </w:r>
            <w:r>
              <w:rPr>
                <w:rFonts w:ascii="宋体" w:hAnsi="宋体" w:cs="宋体" w:eastAsia="宋体" w:hint="default"/>
                <w:spacing w:val="-3"/>
                <w:w w:val="100"/>
                <w:sz w:val="21"/>
                <w:szCs w:val="21"/>
              </w:rPr>
              <w:t> </w:t>
            </w:r>
            <w:r>
              <w:rPr>
                <w:rFonts w:ascii="宋体" w:hAnsi="宋体" w:cs="宋体" w:eastAsia="宋体" w:hint="default"/>
                <w:sz w:val="21"/>
                <w:szCs w:val="21"/>
              </w:rPr>
              <w:t>联关系或一致行动的说明</w:t>
            </w:r>
          </w:p>
        </w:tc>
        <w:tc>
          <w:tcPr>
            <w:tcW w:w="693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16"/>
              <w:jc w:val="both"/>
              <w:rPr>
                <w:rFonts w:ascii="宋体" w:hAnsi="宋体" w:cs="宋体" w:eastAsia="宋体" w:hint="default"/>
                <w:sz w:val="21"/>
                <w:szCs w:val="21"/>
              </w:rPr>
            </w:pPr>
            <w:r>
              <w:rPr>
                <w:rFonts w:ascii="宋体" w:hAnsi="宋体" w:cs="宋体" w:eastAsia="宋体" w:hint="default"/>
                <w:spacing w:val="-3"/>
                <w:sz w:val="21"/>
                <w:szCs w:val="21"/>
              </w:rPr>
              <w:t>公司实际控制人黄元忠先生同黄晓峰先生、陈克让先生为一致行动人。公司</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3"/>
                <w:sz w:val="21"/>
                <w:szCs w:val="21"/>
              </w:rPr>
              <w:t>未知上述其他无限售条件股东间是否存在关联关系或属于《上市公司股东持</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股变动信息披露管理办法》中规定的一致行动人。</w:t>
            </w:r>
          </w:p>
        </w:tc>
      </w:tr>
      <w:tr>
        <w:trPr>
          <w:trHeight w:val="557" w:hRule="exact"/>
        </w:trPr>
        <w:tc>
          <w:tcPr>
            <w:tcW w:w="263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参与融资融券业务股东情况</w:t>
            </w:r>
          </w:p>
          <w:p>
            <w:pPr>
              <w:pStyle w:val="TableParagraph"/>
              <w:spacing w:line="290"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说明</w:t>
            </w:r>
            <w:r>
              <w:rPr>
                <w:rFonts w:ascii="宋体" w:hAnsi="宋体" w:cs="宋体" w:eastAsia="宋体" w:hint="default"/>
                <w:spacing w:val="-3"/>
                <w:w w:val="100"/>
                <w:sz w:val="21"/>
                <w:szCs w:val="21"/>
              </w:rPr>
              <w:t>（</w:t>
            </w:r>
            <w:r>
              <w:rPr>
                <w:rFonts w:ascii="宋体" w:hAnsi="宋体" w:cs="宋体" w:eastAsia="宋体" w:hint="default"/>
                <w:w w:val="100"/>
                <w:sz w:val="21"/>
                <w:szCs w:val="21"/>
              </w:rPr>
              <w:t>如</w:t>
            </w:r>
            <w:r>
              <w:rPr>
                <w:rFonts w:ascii="宋体" w:hAnsi="宋体" w:cs="宋体" w:eastAsia="宋体" w:hint="default"/>
                <w:spacing w:val="-3"/>
                <w:w w:val="100"/>
                <w:sz w:val="21"/>
                <w:szCs w:val="21"/>
              </w:rPr>
              <w:t>有</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参</w:t>
            </w:r>
            <w:r>
              <w:rPr>
                <w:rFonts w:ascii="宋体" w:hAnsi="宋体" w:cs="宋体" w:eastAsia="宋体" w:hint="default"/>
                <w:spacing w:val="-3"/>
                <w:w w:val="100"/>
                <w:sz w:val="21"/>
                <w:szCs w:val="21"/>
              </w:rPr>
              <w:t>见</w:t>
            </w:r>
            <w:r>
              <w:rPr>
                <w:rFonts w:ascii="宋体" w:hAnsi="宋体" w:cs="宋体" w:eastAsia="宋体" w:hint="default"/>
                <w:w w:val="100"/>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pacing w:val="-3"/>
                <w:w w:val="100"/>
                <w:sz w:val="21"/>
                <w:szCs w:val="21"/>
              </w:rPr>
              <w:t>4</w:t>
            </w:r>
            <w:r>
              <w:rPr>
                <w:rFonts w:ascii="宋体" w:hAnsi="宋体" w:cs="宋体" w:eastAsia="宋体" w:hint="default"/>
                <w:w w:val="100"/>
                <w:sz w:val="21"/>
                <w:szCs w:val="21"/>
              </w:rPr>
              <w:t>）</w:t>
            </w:r>
          </w:p>
        </w:tc>
        <w:tc>
          <w:tcPr>
            <w:tcW w:w="693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pStyle w:val="BodyText"/>
        <w:spacing w:line="262" w:lineRule="exact"/>
        <w:ind w:right="0"/>
        <w:jc w:val="left"/>
      </w:pPr>
      <w:r>
        <w:rPr/>
        <w:t>公司股东在报告期内是否进行约定购回交易</w:t>
      </w:r>
    </w:p>
    <w:p>
      <w:pPr>
        <w:pStyle w:val="BodyText"/>
        <w:spacing w:line="256" w:lineRule="auto" w:before="37"/>
        <w:ind w:right="56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否</w:t>
      </w:r>
      <w:r>
        <w:rPr>
          <w:spacing w:val="-102"/>
        </w:rPr>
        <w:t> </w:t>
      </w:r>
      <w:r>
        <w:rPr>
          <w:spacing w:val="-2"/>
        </w:rPr>
        <w:t>公司股东在报告期内未进行约定购回交易。</w:t>
      </w:r>
    </w:p>
    <w:p>
      <w:pPr>
        <w:spacing w:line="240" w:lineRule="auto" w:before="9"/>
        <w:rPr>
          <w:rFonts w:ascii="宋体" w:hAnsi="宋体" w:cs="宋体" w:eastAsia="宋体" w:hint="default"/>
          <w:sz w:val="24"/>
          <w:szCs w:val="24"/>
        </w:rPr>
      </w:pPr>
    </w:p>
    <w:p>
      <w:pPr>
        <w:spacing w:line="506" w:lineRule="auto" w:before="0"/>
        <w:ind w:left="152" w:right="7782" w:firstLine="0"/>
        <w:jc w:val="left"/>
        <w:rPr>
          <w:rFonts w:ascii="宋体" w:hAnsi="宋体" w:cs="宋体" w:eastAsia="宋体" w:hint="default"/>
          <w:sz w:val="21"/>
          <w:szCs w:val="21"/>
        </w:rPr>
      </w:pPr>
      <w:r>
        <w:rPr/>
        <w:pict>
          <v:shape style="position:absolute;margin-left:56.400002pt;margin-top:46.943665pt;width:479.2pt;height:85.1pt;mso-position-horizontal-relative:page;mso-position-vertical-relative:paragraph;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36"/>
                    <w:gridCol w:w="2057"/>
                    <w:gridCol w:w="4176"/>
                  </w:tblGrid>
                  <w:tr>
                    <w:trPr>
                      <w:trHeight w:val="377" w:hRule="exact"/>
                    </w:trPr>
                    <w:tc>
                      <w:tcPr>
                        <w:tcW w:w="33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4"/>
                          <w:ind w:left="1032" w:right="0"/>
                          <w:jc w:val="left"/>
                          <w:rPr>
                            <w:rFonts w:ascii="宋体" w:hAnsi="宋体" w:cs="宋体" w:eastAsia="宋体" w:hint="default"/>
                            <w:sz w:val="21"/>
                            <w:szCs w:val="21"/>
                          </w:rPr>
                        </w:pPr>
                        <w:r>
                          <w:rPr>
                            <w:rFonts w:ascii="宋体" w:hAnsi="宋体" w:cs="宋体" w:eastAsia="宋体" w:hint="default"/>
                            <w:sz w:val="21"/>
                            <w:szCs w:val="21"/>
                          </w:rPr>
                          <w:t>控股股东姓名</w:t>
                        </w:r>
                      </w:p>
                    </w:tc>
                    <w:tc>
                      <w:tcPr>
                        <w:tcW w:w="20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4"/>
                          <w:ind w:left="2" w:right="0"/>
                          <w:jc w:val="center"/>
                          <w:rPr>
                            <w:rFonts w:ascii="宋体" w:hAnsi="宋体" w:cs="宋体" w:eastAsia="宋体" w:hint="default"/>
                            <w:sz w:val="21"/>
                            <w:szCs w:val="21"/>
                          </w:rPr>
                        </w:pPr>
                        <w:r>
                          <w:rPr>
                            <w:rFonts w:ascii="宋体" w:hAnsi="宋体" w:cs="宋体" w:eastAsia="宋体" w:hint="default"/>
                            <w:sz w:val="21"/>
                            <w:szCs w:val="21"/>
                          </w:rPr>
                          <w:t>国籍</w:t>
                        </w:r>
                      </w:p>
                    </w:tc>
                    <w:tc>
                      <w:tcPr>
                        <w:tcW w:w="41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4"/>
                          <w:ind w:left="611" w:right="0"/>
                          <w:jc w:val="left"/>
                          <w:rPr>
                            <w:rFonts w:ascii="宋体" w:hAnsi="宋体" w:cs="宋体" w:eastAsia="宋体" w:hint="default"/>
                            <w:sz w:val="21"/>
                            <w:szCs w:val="21"/>
                          </w:rPr>
                        </w:pPr>
                        <w:r>
                          <w:rPr>
                            <w:rFonts w:ascii="宋体" w:hAnsi="宋体" w:cs="宋体" w:eastAsia="宋体" w:hint="default"/>
                            <w:sz w:val="21"/>
                            <w:szCs w:val="21"/>
                          </w:rPr>
                          <w:t>是否取得其他国家或地区居留权</w:t>
                        </w:r>
                      </w:p>
                    </w:tc>
                  </w:tr>
                  <w:tr>
                    <w:trPr>
                      <w:trHeight w:val="379" w:hRule="exact"/>
                    </w:trPr>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4" w:right="0"/>
                          <w:jc w:val="left"/>
                          <w:rPr>
                            <w:rFonts w:ascii="宋体" w:hAnsi="宋体" w:cs="宋体" w:eastAsia="宋体" w:hint="default"/>
                            <w:sz w:val="21"/>
                            <w:szCs w:val="21"/>
                          </w:rPr>
                        </w:pPr>
                        <w:r>
                          <w:rPr>
                            <w:rFonts w:ascii="宋体" w:hAnsi="宋体" w:cs="宋体" w:eastAsia="宋体" w:hint="default"/>
                            <w:sz w:val="21"/>
                            <w:szCs w:val="21"/>
                          </w:rPr>
                          <w:t>黄元忠</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3" w:right="0"/>
                          <w:jc w:val="left"/>
                          <w:rPr>
                            <w:rFonts w:ascii="宋体" w:hAnsi="宋体" w:cs="宋体" w:eastAsia="宋体" w:hint="default"/>
                            <w:sz w:val="21"/>
                            <w:szCs w:val="21"/>
                          </w:rPr>
                        </w:pPr>
                        <w:r>
                          <w:rPr>
                            <w:rFonts w:ascii="宋体" w:hAnsi="宋体" w:cs="宋体" w:eastAsia="宋体" w:hint="default"/>
                            <w:sz w:val="21"/>
                            <w:szCs w:val="21"/>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79" w:hRule="exact"/>
                    </w:trPr>
                    <w:tc>
                      <w:tcPr>
                        <w:tcW w:w="33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6"/>
                          <w:ind w:left="24" w:right="0"/>
                          <w:jc w:val="left"/>
                          <w:rPr>
                            <w:rFonts w:ascii="宋体" w:hAnsi="宋体" w:cs="宋体" w:eastAsia="宋体" w:hint="default"/>
                            <w:sz w:val="21"/>
                            <w:szCs w:val="21"/>
                          </w:rPr>
                        </w:pPr>
                        <w:r>
                          <w:rPr>
                            <w:rFonts w:ascii="宋体" w:hAnsi="宋体" w:cs="宋体" w:eastAsia="宋体" w:hint="default"/>
                            <w:sz w:val="21"/>
                            <w:szCs w:val="21"/>
                          </w:rPr>
                          <w:t>最近</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年内的职业及职务</w:t>
                        </w:r>
                      </w:p>
                    </w:tc>
                    <w:tc>
                      <w:tcPr>
                        <w:tcW w:w="62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3" w:right="0"/>
                          <w:jc w:val="left"/>
                          <w:rPr>
                            <w:rFonts w:ascii="宋体" w:hAnsi="宋体" w:cs="宋体" w:eastAsia="宋体" w:hint="default"/>
                            <w:sz w:val="21"/>
                            <w:szCs w:val="21"/>
                          </w:rPr>
                        </w:pPr>
                        <w:r>
                          <w:rPr>
                            <w:rFonts w:ascii="宋体" w:hAnsi="宋体" w:cs="宋体" w:eastAsia="宋体" w:hint="default"/>
                            <w:sz w:val="21"/>
                            <w:szCs w:val="21"/>
                          </w:rPr>
                          <w:t>黄元忠先生担任本公司董事长兼总经理</w:t>
                        </w:r>
                      </w:p>
                    </w:tc>
                  </w:tr>
                  <w:tr>
                    <w:trPr>
                      <w:trHeight w:val="557" w:hRule="exact"/>
                    </w:trPr>
                    <w:tc>
                      <w:tcPr>
                        <w:tcW w:w="33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8" w:lineRule="exact"/>
                          <w:ind w:left="24" w:right="0"/>
                          <w:jc w:val="left"/>
                          <w:rPr>
                            <w:rFonts w:ascii="宋体" w:hAnsi="宋体" w:cs="宋体" w:eastAsia="宋体" w:hint="default"/>
                            <w:sz w:val="21"/>
                            <w:szCs w:val="21"/>
                          </w:rPr>
                        </w:pPr>
                        <w:r>
                          <w:rPr>
                            <w:rFonts w:ascii="宋体" w:hAnsi="宋体" w:cs="宋体" w:eastAsia="宋体" w:hint="default"/>
                            <w:sz w:val="21"/>
                            <w:szCs w:val="21"/>
                          </w:rPr>
                          <w:t>过去</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年曾控股的境内外上市公司</w:t>
                        </w:r>
                      </w:p>
                      <w:p>
                        <w:pPr>
                          <w:pStyle w:val="TableParagraph"/>
                          <w:spacing w:line="266" w:lineRule="exact"/>
                          <w:ind w:left="24" w:right="0"/>
                          <w:jc w:val="left"/>
                          <w:rPr>
                            <w:rFonts w:ascii="宋体" w:hAnsi="宋体" w:cs="宋体" w:eastAsia="宋体" w:hint="default"/>
                            <w:sz w:val="21"/>
                            <w:szCs w:val="21"/>
                          </w:rPr>
                        </w:pPr>
                        <w:r>
                          <w:rPr>
                            <w:rFonts w:ascii="宋体" w:hAnsi="宋体" w:cs="宋体" w:eastAsia="宋体" w:hint="default"/>
                            <w:sz w:val="21"/>
                            <w:szCs w:val="21"/>
                          </w:rPr>
                          <w:t>情况</w:t>
                        </w:r>
                      </w:p>
                    </w:tc>
                    <w:tc>
                      <w:tcPr>
                        <w:tcW w:w="62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实际控制人未控股其他境内外上市公司</w:t>
                        </w:r>
                      </w:p>
                    </w:tc>
                  </w:tr>
                </w:tbl>
                <w:p>
                  <w:pPr/>
                </w:p>
              </w:txbxContent>
            </v:textbox>
            <w10:wrap type="none"/>
          </v:shape>
        </w:pict>
      </w:r>
      <w:bookmarkStart w:name="2、公司控股股东情况" w:id="83"/>
      <w:bookmarkEnd w:id="83"/>
      <w:r>
        <w:rPr/>
      </w:r>
      <w:r>
        <w:rPr>
          <w:rFonts w:ascii="Times New Roman" w:hAnsi="Times New Roman" w:cs="Times New Roman" w:eastAsia="Times New Roman" w:hint="default"/>
          <w:b/>
          <w:bCs/>
          <w:spacing w:val="-1"/>
          <w:sz w:val="21"/>
          <w:szCs w:val="21"/>
        </w:rPr>
        <w:t>2</w:t>
      </w:r>
      <w:r>
        <w:rPr>
          <w:rFonts w:ascii="宋体" w:hAnsi="宋体" w:cs="宋体" w:eastAsia="宋体" w:hint="default"/>
          <w:b/>
          <w:bCs/>
          <w:spacing w:val="-1"/>
          <w:sz w:val="21"/>
          <w:szCs w:val="21"/>
        </w:rPr>
        <w:t>、公司控股股东情况</w:t>
      </w:r>
      <w:r>
        <w:rPr>
          <w:rFonts w:ascii="宋体" w:hAnsi="宋体" w:cs="宋体" w:eastAsia="宋体" w:hint="default"/>
          <w:b/>
          <w:bCs/>
          <w:spacing w:val="-101"/>
          <w:sz w:val="21"/>
          <w:szCs w:val="21"/>
        </w:rPr>
        <w:t> </w:t>
      </w:r>
      <w:r>
        <w:rPr>
          <w:rFonts w:ascii="宋体" w:hAnsi="宋体" w:cs="宋体" w:eastAsia="宋体" w:hint="default"/>
          <w:b/>
          <w:bCs/>
          <w:spacing w:val="-101"/>
          <w:sz w:val="21"/>
          <w:szCs w:val="21"/>
        </w:rPr>
      </w:r>
      <w:r>
        <w:rPr>
          <w:rFonts w:ascii="宋体" w:hAnsi="宋体" w:cs="宋体" w:eastAsia="宋体" w:hint="default"/>
          <w:sz w:val="21"/>
          <w:szCs w:val="21"/>
        </w:rPr>
        <w:t>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ind w:right="0"/>
        <w:jc w:val="left"/>
      </w:pPr>
      <w:r>
        <w:rPr/>
        <w:t>控股股东报告期内变更</w:t>
      </w:r>
    </w:p>
    <w:p>
      <w:pPr>
        <w:pStyle w:val="BodyText"/>
        <w:spacing w:line="256" w:lineRule="auto" w:before="37"/>
        <w:ind w:right="5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公司报告期控股股东未发生变更。</w:t>
      </w:r>
    </w:p>
    <w:p>
      <w:pPr>
        <w:spacing w:line="240" w:lineRule="auto" w:before="9"/>
        <w:rPr>
          <w:rFonts w:ascii="宋体" w:hAnsi="宋体" w:cs="宋体" w:eastAsia="宋体" w:hint="default"/>
          <w:sz w:val="24"/>
          <w:szCs w:val="24"/>
        </w:rPr>
      </w:pPr>
    </w:p>
    <w:p>
      <w:pPr>
        <w:pStyle w:val="Heading5"/>
        <w:spacing w:line="506" w:lineRule="auto"/>
        <w:ind w:right="7572"/>
        <w:jc w:val="left"/>
        <w:rPr>
          <w:rFonts w:ascii="宋体" w:hAnsi="宋体" w:cs="宋体" w:eastAsia="宋体" w:hint="default"/>
          <w:b w:val="0"/>
          <w:bCs w:val="0"/>
        </w:rPr>
      </w:pPr>
      <w:r>
        <w:rPr/>
        <w:pict>
          <v:shape style="position:absolute;margin-left:56.400002pt;margin-top:46.942669pt;width:479.05pt;height:85.1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18"/>
                    <w:gridCol w:w="2030"/>
                    <w:gridCol w:w="4118"/>
                  </w:tblGrid>
                  <w:tr>
                    <w:trPr>
                      <w:trHeight w:val="379" w:hRule="exact"/>
                    </w:trPr>
                    <w:tc>
                      <w:tcPr>
                        <w:tcW w:w="34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4"/>
                          <w:ind w:left="967" w:right="0"/>
                          <w:jc w:val="left"/>
                          <w:rPr>
                            <w:rFonts w:ascii="宋体" w:hAnsi="宋体" w:cs="宋体" w:eastAsia="宋体" w:hint="default"/>
                            <w:sz w:val="21"/>
                            <w:szCs w:val="21"/>
                          </w:rPr>
                        </w:pPr>
                        <w:r>
                          <w:rPr>
                            <w:rFonts w:ascii="宋体" w:hAnsi="宋体" w:cs="宋体" w:eastAsia="宋体" w:hint="default"/>
                            <w:sz w:val="21"/>
                            <w:szCs w:val="21"/>
                          </w:rPr>
                          <w:t>实际控制人姓名</w:t>
                        </w:r>
                      </w:p>
                    </w:tc>
                    <w:tc>
                      <w:tcPr>
                        <w:tcW w:w="20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国籍</w:t>
                        </w:r>
                      </w:p>
                    </w:tc>
                    <w:tc>
                      <w:tcPr>
                        <w:tcW w:w="41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4"/>
                          <w:ind w:left="583" w:right="0"/>
                          <w:jc w:val="left"/>
                          <w:rPr>
                            <w:rFonts w:ascii="宋体" w:hAnsi="宋体" w:cs="宋体" w:eastAsia="宋体" w:hint="default"/>
                            <w:sz w:val="21"/>
                            <w:szCs w:val="21"/>
                          </w:rPr>
                        </w:pPr>
                        <w:r>
                          <w:rPr>
                            <w:rFonts w:ascii="宋体" w:hAnsi="宋体" w:cs="宋体" w:eastAsia="宋体" w:hint="default"/>
                            <w:sz w:val="21"/>
                            <w:szCs w:val="21"/>
                          </w:rPr>
                          <w:t>是否取得其他国家或地区居留权</w:t>
                        </w:r>
                      </w:p>
                    </w:tc>
                  </w:tr>
                  <w:tr>
                    <w:trPr>
                      <w:trHeight w:val="377"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4" w:right="0"/>
                          <w:jc w:val="left"/>
                          <w:rPr>
                            <w:rFonts w:ascii="宋体" w:hAnsi="宋体" w:cs="宋体" w:eastAsia="宋体" w:hint="default"/>
                            <w:sz w:val="21"/>
                            <w:szCs w:val="21"/>
                          </w:rPr>
                        </w:pPr>
                        <w:r>
                          <w:rPr>
                            <w:rFonts w:ascii="宋体" w:hAnsi="宋体" w:cs="宋体" w:eastAsia="宋体" w:hint="default"/>
                            <w:sz w:val="21"/>
                            <w:szCs w:val="21"/>
                          </w:rPr>
                          <w:t>黄元忠</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3" w:right="0"/>
                          <w:jc w:val="left"/>
                          <w:rPr>
                            <w:rFonts w:ascii="宋体" w:hAnsi="宋体" w:cs="宋体" w:eastAsia="宋体" w:hint="default"/>
                            <w:sz w:val="21"/>
                            <w:szCs w:val="21"/>
                          </w:rPr>
                        </w:pPr>
                        <w:r>
                          <w:rPr>
                            <w:rFonts w:ascii="宋体" w:hAnsi="宋体" w:cs="宋体" w:eastAsia="宋体" w:hint="default"/>
                            <w:sz w:val="21"/>
                            <w:szCs w:val="21"/>
                          </w:rPr>
                          <w:t>中国</w:t>
                        </w:r>
                      </w:p>
                    </w:tc>
                    <w:tc>
                      <w:tcPr>
                        <w:tcW w:w="4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79" w:hRule="exact"/>
                    </w:trPr>
                    <w:tc>
                      <w:tcPr>
                        <w:tcW w:w="34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6"/>
                          <w:ind w:left="24" w:right="0"/>
                          <w:jc w:val="left"/>
                          <w:rPr>
                            <w:rFonts w:ascii="宋体" w:hAnsi="宋体" w:cs="宋体" w:eastAsia="宋体" w:hint="default"/>
                            <w:sz w:val="21"/>
                            <w:szCs w:val="21"/>
                          </w:rPr>
                        </w:pPr>
                        <w:r>
                          <w:rPr>
                            <w:rFonts w:ascii="宋体" w:hAnsi="宋体" w:cs="宋体" w:eastAsia="宋体" w:hint="default"/>
                            <w:sz w:val="21"/>
                            <w:szCs w:val="21"/>
                          </w:rPr>
                          <w:t>最近</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年内的职业及职务</w:t>
                        </w:r>
                      </w:p>
                    </w:tc>
                    <w:tc>
                      <w:tcPr>
                        <w:tcW w:w="61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3" w:right="0"/>
                          <w:jc w:val="left"/>
                          <w:rPr>
                            <w:rFonts w:ascii="宋体" w:hAnsi="宋体" w:cs="宋体" w:eastAsia="宋体" w:hint="default"/>
                            <w:sz w:val="21"/>
                            <w:szCs w:val="21"/>
                          </w:rPr>
                        </w:pPr>
                        <w:r>
                          <w:rPr>
                            <w:rFonts w:ascii="宋体" w:hAnsi="宋体" w:cs="宋体" w:eastAsia="宋体" w:hint="default"/>
                            <w:sz w:val="21"/>
                            <w:szCs w:val="21"/>
                          </w:rPr>
                          <w:t>黄元忠先生担任本公司董事长兼总经理</w:t>
                        </w:r>
                      </w:p>
                    </w:tc>
                  </w:tr>
                  <w:tr>
                    <w:trPr>
                      <w:trHeight w:val="557" w:hRule="exact"/>
                    </w:trPr>
                    <w:tc>
                      <w:tcPr>
                        <w:tcW w:w="34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9" w:lineRule="exact"/>
                          <w:ind w:left="24" w:right="0"/>
                          <w:jc w:val="left"/>
                          <w:rPr>
                            <w:rFonts w:ascii="宋体" w:hAnsi="宋体" w:cs="宋体" w:eastAsia="宋体" w:hint="default"/>
                            <w:sz w:val="21"/>
                            <w:szCs w:val="21"/>
                          </w:rPr>
                        </w:pPr>
                        <w:r>
                          <w:rPr>
                            <w:rFonts w:ascii="宋体" w:hAnsi="宋体" w:cs="宋体" w:eastAsia="宋体" w:hint="default"/>
                            <w:sz w:val="21"/>
                            <w:szCs w:val="21"/>
                          </w:rPr>
                          <w:t>过去</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年曾控股的境内外上市公司</w:t>
                        </w:r>
                      </w:p>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情况</w:t>
                        </w:r>
                      </w:p>
                    </w:tc>
                    <w:tc>
                      <w:tcPr>
                        <w:tcW w:w="61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实际控制人未控股其他境内外上市公司</w:t>
                        </w:r>
                      </w:p>
                    </w:tc>
                  </w:tr>
                </w:tbl>
                <w:p>
                  <w:pPr/>
                </w:p>
              </w:txbxContent>
            </v:textbox>
            <w10:wrap type="none"/>
          </v:shape>
        </w:pict>
      </w:r>
      <w:bookmarkStart w:name="3、公司实际控制人情况" w:id="84"/>
      <w:bookmarkEnd w:id="84"/>
      <w:r>
        <w:rPr>
          <w:b w:val="0"/>
          <w:bCs w:val="0"/>
        </w:rPr>
      </w:r>
      <w:r>
        <w:rPr>
          <w:rFonts w:ascii="Times New Roman" w:hAnsi="Times New Roman" w:cs="Times New Roman" w:eastAsia="Times New Roman" w:hint="default"/>
          <w:spacing w:val="-1"/>
        </w:rPr>
        <w:t>3</w:t>
      </w:r>
      <w:r>
        <w:rPr>
          <w:spacing w:val="-1"/>
        </w:rPr>
        <w:t>、公司实际控制人情况</w:t>
      </w:r>
      <w:r>
        <w:rPr>
          <w:spacing w:val="-100"/>
        </w:rPr>
        <w:t> </w:t>
      </w:r>
      <w:r>
        <w:rPr>
          <w:spacing w:val="-100"/>
        </w:rPr>
      </w:r>
      <w:r>
        <w:rPr>
          <w:rFonts w:ascii="宋体" w:hAnsi="宋体" w:cs="宋体" w:eastAsia="宋体" w:hint="default"/>
          <w:b w:val="0"/>
          <w:bCs w:val="0"/>
        </w:rPr>
        <w:t>自然人</w:t>
      </w:r>
    </w:p>
    <w:p>
      <w:pPr>
        <w:spacing w:after="0" w:line="506" w:lineRule="auto"/>
        <w:jc w:val="left"/>
        <w:rPr>
          <w:rFonts w:ascii="宋体" w:hAnsi="宋体" w:cs="宋体" w:eastAsia="宋体" w:hint="default"/>
        </w:rPr>
        <w:sectPr>
          <w:pgSz w:w="11910" w:h="16840"/>
          <w:pgMar w:header="748" w:footer="982" w:top="1060" w:bottom="1180" w:left="980" w:right="980"/>
        </w:sectPr>
      </w:pPr>
    </w:p>
    <w:p>
      <w:pPr>
        <w:spacing w:line="240" w:lineRule="auto" w:before="8"/>
        <w:rPr>
          <w:rFonts w:ascii="宋体" w:hAnsi="宋体" w:cs="宋体" w:eastAsia="宋体" w:hint="default"/>
          <w:sz w:val="24"/>
          <w:szCs w:val="24"/>
        </w:rPr>
      </w:pPr>
    </w:p>
    <w:p>
      <w:pPr>
        <w:pStyle w:val="BodyText"/>
        <w:spacing w:line="240" w:lineRule="auto" w:before="36"/>
        <w:ind w:right="0"/>
        <w:jc w:val="left"/>
      </w:pPr>
      <w:r>
        <w:rPr/>
        <w:t>实际控制人报告期内变更</w:t>
      </w:r>
    </w:p>
    <w:p>
      <w:pPr>
        <w:pStyle w:val="BodyText"/>
        <w:spacing w:line="264" w:lineRule="auto" w:before="37"/>
        <w:ind w:right="49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t>公司报告期实际控制人未发生变更。</w:t>
      </w:r>
      <w:r>
        <w:rPr>
          <w:w w:val="100"/>
        </w:rPr>
        <w:t> </w:t>
      </w:r>
      <w:r>
        <w:rPr>
          <w:spacing w:val="-2"/>
        </w:rPr>
        <w:t>公司与实际控制人之间的产权及控制关系的方框图</w:t>
      </w:r>
    </w:p>
    <w:p>
      <w:pPr>
        <w:spacing w:line="240" w:lineRule="auto" w:before="7"/>
        <w:rPr>
          <w:rFonts w:ascii="宋体" w:hAnsi="宋体" w:cs="宋体" w:eastAsia="宋体" w:hint="default"/>
          <w:sz w:val="25"/>
          <w:szCs w:val="25"/>
        </w:rPr>
      </w:pPr>
    </w:p>
    <w:p>
      <w:pPr>
        <w:spacing w:line="2608" w:lineRule="exact"/>
        <w:ind w:left="2479" w:right="0" w:firstLine="0"/>
        <w:rPr>
          <w:rFonts w:ascii="宋体" w:hAnsi="宋体" w:cs="宋体" w:eastAsia="宋体" w:hint="default"/>
          <w:sz w:val="20"/>
          <w:szCs w:val="20"/>
        </w:rPr>
      </w:pPr>
      <w:r>
        <w:rPr>
          <w:rFonts w:ascii="宋体" w:hAnsi="宋体" w:cs="宋体" w:eastAsia="宋体" w:hint="default"/>
          <w:position w:val="-51"/>
          <w:sz w:val="20"/>
          <w:szCs w:val="20"/>
        </w:rPr>
        <w:drawing>
          <wp:inline distT="0" distB="0" distL="0" distR="0">
            <wp:extent cx="3167790" cy="1656206"/>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5" cstate="print"/>
                    <a:stretch>
                      <a:fillRect/>
                    </a:stretch>
                  </pic:blipFill>
                  <pic:spPr>
                    <a:xfrm>
                      <a:off x="0" y="0"/>
                      <a:ext cx="3167790" cy="1656206"/>
                    </a:xfrm>
                    <a:prstGeom prst="rect">
                      <a:avLst/>
                    </a:prstGeom>
                  </pic:spPr>
                </pic:pic>
              </a:graphicData>
            </a:graphic>
          </wp:inline>
        </w:drawing>
      </w:r>
      <w:r>
        <w:rPr>
          <w:rFonts w:ascii="宋体" w:hAnsi="宋体" w:cs="宋体" w:eastAsia="宋体" w:hint="default"/>
          <w:position w:val="-51"/>
          <w:sz w:val="20"/>
          <w:szCs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spacing w:before="0"/>
        <w:ind w:left="152" w:right="0"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0"/>
        <w:rPr>
          <w:rFonts w:ascii="宋体" w:hAnsi="宋体" w:cs="宋体" w:eastAsia="宋体" w:hint="default"/>
          <w:sz w:val="17"/>
          <w:szCs w:val="17"/>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7"/>
        <w:rPr>
          <w:rFonts w:ascii="宋体" w:hAnsi="宋体" w:cs="宋体" w:eastAsia="宋体" w:hint="default"/>
          <w:sz w:val="24"/>
          <w:szCs w:val="24"/>
        </w:rPr>
      </w:pPr>
    </w:p>
    <w:p>
      <w:pPr>
        <w:pStyle w:val="Heading5"/>
        <w:spacing w:line="240" w:lineRule="auto"/>
        <w:ind w:right="0"/>
        <w:jc w:val="left"/>
        <w:rPr>
          <w:b w:val="0"/>
          <w:bCs w:val="0"/>
        </w:rPr>
      </w:pPr>
      <w:bookmarkStart w:name="4、其他持股在10%以上的法人股东" w:id="85"/>
      <w:bookmarkEnd w:id="85"/>
      <w:r>
        <w:rPr>
          <w:b w:val="0"/>
          <w:bCs w:val="0"/>
        </w:rPr>
      </w:r>
      <w:r>
        <w:rPr>
          <w:rFonts w:ascii="Times New Roman" w:hAnsi="Times New Roman" w:cs="Times New Roman" w:eastAsia="Times New Roman" w:hint="default"/>
        </w:rPr>
        <w:t>4</w:t>
      </w:r>
      <w:r>
        <w:rPr/>
        <w:t>、其他持股在</w:t>
      </w:r>
      <w:r>
        <w:rPr>
          <w:spacing w:val="-64"/>
        </w:rPr>
        <w:t> </w:t>
      </w:r>
      <w:r>
        <w:rPr>
          <w:rFonts w:ascii="Times New Roman" w:hAnsi="Times New Roman" w:cs="Times New Roman" w:eastAsia="Times New Roman" w:hint="default"/>
        </w:rPr>
        <w:t>10%</w:t>
      </w:r>
      <w:r>
        <w:rPr/>
        <w:t>以上的法人股东</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7"/>
        <w:rPr>
          <w:rFonts w:ascii="宋体" w:hAnsi="宋体" w:cs="宋体" w:eastAsia="宋体" w:hint="default"/>
          <w:sz w:val="24"/>
          <w:szCs w:val="24"/>
        </w:rPr>
      </w:pPr>
    </w:p>
    <w:p>
      <w:pPr>
        <w:pStyle w:val="Heading5"/>
        <w:spacing w:line="240" w:lineRule="auto"/>
        <w:ind w:right="0"/>
        <w:jc w:val="left"/>
        <w:rPr>
          <w:b w:val="0"/>
          <w:bCs w:val="0"/>
        </w:rPr>
      </w:pPr>
      <w:bookmarkStart w:name="5、前10名限售条件股东持股数量及限售条件" w:id="86"/>
      <w:bookmarkEnd w:id="86"/>
      <w:r>
        <w:rPr>
          <w:b w:val="0"/>
          <w:bCs w:val="0"/>
        </w:rPr>
      </w:r>
      <w:r>
        <w:rPr>
          <w:rFonts w:ascii="Times New Roman" w:hAnsi="Times New Roman" w:cs="Times New Roman" w:eastAsia="Times New Roman" w:hint="default"/>
        </w:rPr>
        <w:t>5</w:t>
      </w:r>
      <w:r>
        <w:rPr/>
        <w:t>、前</w:t>
      </w:r>
      <w:r>
        <w:rPr>
          <w:spacing w:val="-60"/>
        </w:rPr>
        <w:t> </w:t>
      </w:r>
      <w:r>
        <w:rPr>
          <w:rFonts w:ascii="Times New Roman" w:hAnsi="Times New Roman" w:cs="Times New Roman" w:eastAsia="Times New Roman" w:hint="default"/>
        </w:rPr>
        <w:t>10</w:t>
      </w:r>
      <w:r>
        <w:rPr>
          <w:rFonts w:ascii="Times New Roman" w:hAnsi="Times New Roman" w:cs="Times New Roman" w:eastAsia="Times New Roman" w:hint="default"/>
          <w:spacing w:val="-11"/>
        </w:rPr>
        <w:t> </w:t>
      </w:r>
      <w:r>
        <w:rPr/>
        <w:t>名限售条件股东持股数量及限售条件</w:t>
      </w:r>
      <w:r>
        <w:rPr>
          <w:b w:val="0"/>
          <w:bCs w:val="0"/>
        </w:rPr>
      </w:r>
    </w:p>
    <w:p>
      <w:pPr>
        <w:spacing w:line="240" w:lineRule="auto" w:before="8"/>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5"/>
        <w:gridCol w:w="1913"/>
        <w:gridCol w:w="1915"/>
        <w:gridCol w:w="1913"/>
        <w:gridCol w:w="1915"/>
      </w:tblGrid>
      <w:tr>
        <w:trPr>
          <w:trHeight w:val="637"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3"/>
              <w:ind w:left="112" w:right="0"/>
              <w:jc w:val="left"/>
              <w:rPr>
                <w:rFonts w:ascii="宋体" w:hAnsi="宋体" w:cs="宋体" w:eastAsia="宋体" w:hint="default"/>
                <w:sz w:val="21"/>
                <w:szCs w:val="21"/>
              </w:rPr>
            </w:pPr>
            <w:r>
              <w:rPr>
                <w:rFonts w:ascii="宋体" w:hAnsi="宋体" w:cs="宋体" w:eastAsia="宋体" w:hint="default"/>
                <w:sz w:val="21"/>
                <w:szCs w:val="21"/>
              </w:rPr>
              <w:t>限售条件股东名称</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2" w:lineRule="exact"/>
              <w:ind w:left="5" w:right="0"/>
              <w:jc w:val="center"/>
              <w:rPr>
                <w:rFonts w:ascii="宋体" w:hAnsi="宋体" w:cs="宋体" w:eastAsia="宋体" w:hint="default"/>
                <w:sz w:val="21"/>
                <w:szCs w:val="21"/>
              </w:rPr>
            </w:pPr>
            <w:r>
              <w:rPr>
                <w:rFonts w:ascii="宋体" w:hAnsi="宋体" w:cs="宋体" w:eastAsia="宋体" w:hint="default"/>
                <w:sz w:val="21"/>
                <w:szCs w:val="21"/>
              </w:rPr>
              <w:t>持有的限售条件股</w:t>
            </w:r>
          </w:p>
          <w:p>
            <w:pPr>
              <w:pStyle w:val="TableParagraph"/>
              <w:spacing w:line="240" w:lineRule="auto" w:before="37"/>
              <w:ind w:left="2" w:right="0"/>
              <w:jc w:val="center"/>
              <w:rPr>
                <w:rFonts w:ascii="宋体" w:hAnsi="宋体" w:cs="宋体" w:eastAsia="宋体" w:hint="default"/>
                <w:sz w:val="21"/>
                <w:szCs w:val="21"/>
              </w:rPr>
            </w:pPr>
            <w:r>
              <w:rPr>
                <w:rFonts w:ascii="宋体" w:hAnsi="宋体" w:cs="宋体" w:eastAsia="宋体" w:hint="default"/>
                <w:sz w:val="21"/>
                <w:szCs w:val="21"/>
              </w:rPr>
              <w:t>份数量（股）</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3"/>
              <w:ind w:right="0"/>
              <w:jc w:val="center"/>
              <w:rPr>
                <w:rFonts w:ascii="宋体" w:hAnsi="宋体" w:cs="宋体" w:eastAsia="宋体" w:hint="default"/>
                <w:sz w:val="21"/>
                <w:szCs w:val="21"/>
              </w:rPr>
            </w:pPr>
            <w:r>
              <w:rPr>
                <w:rFonts w:ascii="宋体" w:hAnsi="宋体" w:cs="宋体" w:eastAsia="宋体" w:hint="default"/>
                <w:sz w:val="21"/>
                <w:szCs w:val="21"/>
              </w:rPr>
              <w:t>可上市交易时间</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2" w:lineRule="exact"/>
              <w:ind w:left="5" w:right="0"/>
              <w:jc w:val="center"/>
              <w:rPr>
                <w:rFonts w:ascii="宋体" w:hAnsi="宋体" w:cs="宋体" w:eastAsia="宋体" w:hint="default"/>
                <w:sz w:val="21"/>
                <w:szCs w:val="21"/>
              </w:rPr>
            </w:pPr>
            <w:r>
              <w:rPr>
                <w:rFonts w:ascii="宋体" w:hAnsi="宋体" w:cs="宋体" w:eastAsia="宋体" w:hint="default"/>
                <w:sz w:val="21"/>
                <w:szCs w:val="21"/>
              </w:rPr>
              <w:t>新增可上市交易股</w:t>
            </w:r>
          </w:p>
          <w:p>
            <w:pPr>
              <w:pStyle w:val="TableParagraph"/>
              <w:spacing w:line="240" w:lineRule="auto" w:before="37"/>
              <w:ind w:left="2" w:right="0"/>
              <w:jc w:val="center"/>
              <w:rPr>
                <w:rFonts w:ascii="宋体" w:hAnsi="宋体" w:cs="宋体" w:eastAsia="宋体" w:hint="default"/>
                <w:sz w:val="21"/>
                <w:szCs w:val="21"/>
              </w:rPr>
            </w:pPr>
            <w:r>
              <w:rPr>
                <w:rFonts w:ascii="宋体" w:hAnsi="宋体" w:cs="宋体" w:eastAsia="宋体" w:hint="default"/>
                <w:sz w:val="21"/>
                <w:szCs w:val="21"/>
              </w:rPr>
              <w:t>份数量（股）</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3"/>
              <w:ind w:left="532" w:right="0"/>
              <w:jc w:val="left"/>
              <w:rPr>
                <w:rFonts w:ascii="宋体" w:hAnsi="宋体" w:cs="宋体" w:eastAsia="宋体" w:hint="default"/>
                <w:sz w:val="21"/>
                <w:szCs w:val="21"/>
              </w:rPr>
            </w:pPr>
            <w:r>
              <w:rPr>
                <w:rFonts w:ascii="宋体" w:hAnsi="宋体" w:cs="宋体" w:eastAsia="宋体" w:hint="default"/>
                <w:sz w:val="21"/>
                <w:szCs w:val="21"/>
              </w:rPr>
              <w:t>限售条件</w:t>
            </w:r>
          </w:p>
        </w:tc>
      </w:tr>
      <w:tr>
        <w:trPr>
          <w:trHeight w:val="379"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4" w:right="0"/>
              <w:jc w:val="left"/>
              <w:rPr>
                <w:rFonts w:ascii="宋体" w:hAnsi="宋体" w:cs="宋体" w:eastAsia="宋体" w:hint="default"/>
                <w:sz w:val="21"/>
                <w:szCs w:val="21"/>
              </w:rPr>
            </w:pPr>
            <w:r>
              <w:rPr>
                <w:rFonts w:ascii="宋体" w:hAnsi="宋体" w:cs="宋体" w:eastAsia="宋体" w:hint="default"/>
                <w:sz w:val="21"/>
                <w:szCs w:val="21"/>
              </w:rPr>
              <w:t>黄元忠</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Times New Roman" w:hAnsi="Times New Roman" w:cs="Times New Roman" w:eastAsia="Times New Roman" w:hint="default"/>
                <w:sz w:val="21"/>
                <w:szCs w:val="21"/>
              </w:rPr>
            </w:pPr>
            <w:r>
              <w:rPr>
                <w:rFonts w:ascii="Times New Roman"/>
                <w:spacing w:val="-1"/>
                <w:sz w:val="21"/>
              </w:rPr>
              <w:t>26,906,391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right="12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Times New Roman" w:hAnsi="Times New Roman" w:cs="Times New Roman" w:eastAsia="Times New Roman" w:hint="default"/>
                <w:sz w:val="21"/>
                <w:szCs w:val="21"/>
              </w:rPr>
            </w:pPr>
            <w:r>
              <w:rPr>
                <w:rFonts w:ascii="Times New Roman"/>
                <w:spacing w:val="-1"/>
                <w:sz w:val="21"/>
              </w:rPr>
              <w:t>8,968,797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3" w:right="0"/>
              <w:jc w:val="left"/>
              <w:rPr>
                <w:rFonts w:ascii="宋体" w:hAnsi="宋体" w:cs="宋体" w:eastAsia="宋体" w:hint="default"/>
                <w:sz w:val="21"/>
                <w:szCs w:val="21"/>
              </w:rPr>
            </w:pPr>
            <w:r>
              <w:rPr>
                <w:rFonts w:ascii="宋体" w:hAnsi="宋体" w:cs="宋体" w:eastAsia="宋体" w:hint="default"/>
                <w:sz w:val="21"/>
                <w:szCs w:val="21"/>
              </w:rPr>
              <w:t>高管锁定股</w:t>
            </w:r>
          </w:p>
        </w:tc>
      </w:tr>
      <w:tr>
        <w:trPr>
          <w:trHeight w:val="379"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4" w:right="0"/>
              <w:jc w:val="left"/>
              <w:rPr>
                <w:rFonts w:ascii="宋体" w:hAnsi="宋体" w:cs="宋体" w:eastAsia="宋体" w:hint="default"/>
                <w:sz w:val="21"/>
                <w:szCs w:val="21"/>
              </w:rPr>
            </w:pPr>
            <w:r>
              <w:rPr>
                <w:rFonts w:ascii="宋体" w:hAnsi="宋体" w:cs="宋体" w:eastAsia="宋体" w:hint="default"/>
                <w:sz w:val="21"/>
                <w:szCs w:val="21"/>
              </w:rPr>
              <w:t>黄晓峰</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Times New Roman" w:hAnsi="Times New Roman" w:cs="Times New Roman" w:eastAsia="Times New Roman" w:hint="default"/>
                <w:sz w:val="21"/>
                <w:szCs w:val="21"/>
              </w:rPr>
            </w:pPr>
            <w:r>
              <w:rPr>
                <w:rFonts w:ascii="Times New Roman"/>
                <w:spacing w:val="-1"/>
                <w:sz w:val="21"/>
              </w:rPr>
              <w:t>19,378,857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right="12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Times New Roman" w:hAnsi="Times New Roman" w:cs="Times New Roman" w:eastAsia="Times New Roman" w:hint="default"/>
                <w:sz w:val="21"/>
                <w:szCs w:val="21"/>
              </w:rPr>
            </w:pPr>
            <w:r>
              <w:rPr>
                <w:rFonts w:ascii="Times New Roman"/>
                <w:spacing w:val="-1"/>
                <w:sz w:val="21"/>
              </w:rPr>
              <w:t>6,459,620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3" w:right="0"/>
              <w:jc w:val="left"/>
              <w:rPr>
                <w:rFonts w:ascii="宋体" w:hAnsi="宋体" w:cs="宋体" w:eastAsia="宋体" w:hint="default"/>
                <w:sz w:val="21"/>
                <w:szCs w:val="21"/>
              </w:rPr>
            </w:pPr>
            <w:r>
              <w:rPr>
                <w:rFonts w:ascii="宋体" w:hAnsi="宋体" w:cs="宋体" w:eastAsia="宋体" w:hint="default"/>
                <w:sz w:val="21"/>
                <w:szCs w:val="21"/>
              </w:rPr>
              <w:t>高管锁定股</w:t>
            </w:r>
          </w:p>
        </w:tc>
      </w:tr>
      <w:tr>
        <w:trPr>
          <w:trHeight w:val="379"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4" w:right="0"/>
              <w:jc w:val="left"/>
              <w:rPr>
                <w:rFonts w:ascii="宋体" w:hAnsi="宋体" w:cs="宋体" w:eastAsia="宋体" w:hint="default"/>
                <w:sz w:val="21"/>
                <w:szCs w:val="21"/>
              </w:rPr>
            </w:pPr>
            <w:r>
              <w:rPr>
                <w:rFonts w:ascii="宋体" w:hAnsi="宋体" w:cs="宋体" w:eastAsia="宋体" w:hint="default"/>
                <w:sz w:val="21"/>
                <w:szCs w:val="21"/>
              </w:rPr>
              <w:t>陈克让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Times New Roman" w:hAnsi="Times New Roman" w:cs="Times New Roman" w:eastAsia="Times New Roman" w:hint="default"/>
                <w:sz w:val="21"/>
                <w:szCs w:val="21"/>
              </w:rPr>
            </w:pPr>
            <w:r>
              <w:rPr>
                <w:rFonts w:ascii="Times New Roman"/>
                <w:spacing w:val="-1"/>
                <w:sz w:val="21"/>
              </w:rPr>
              <w:t>19,378,858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right="12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Times New Roman" w:hAnsi="Times New Roman" w:cs="Times New Roman" w:eastAsia="Times New Roman" w:hint="default"/>
                <w:sz w:val="21"/>
                <w:szCs w:val="21"/>
              </w:rPr>
            </w:pPr>
            <w:r>
              <w:rPr>
                <w:rFonts w:ascii="Times New Roman"/>
                <w:spacing w:val="-1"/>
                <w:sz w:val="21"/>
              </w:rPr>
              <w:t>6,459,620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3" w:right="0"/>
              <w:jc w:val="left"/>
              <w:rPr>
                <w:rFonts w:ascii="宋体" w:hAnsi="宋体" w:cs="宋体" w:eastAsia="宋体" w:hint="default"/>
                <w:sz w:val="21"/>
                <w:szCs w:val="21"/>
              </w:rPr>
            </w:pPr>
            <w:r>
              <w:rPr>
                <w:rFonts w:ascii="宋体" w:hAnsi="宋体" w:cs="宋体" w:eastAsia="宋体" w:hint="default"/>
                <w:sz w:val="21"/>
                <w:szCs w:val="21"/>
              </w:rPr>
              <w:t>高管锁定股</w:t>
            </w:r>
          </w:p>
        </w:tc>
      </w:tr>
      <w:tr>
        <w:trPr>
          <w:trHeight w:val="379"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4" w:right="0"/>
              <w:jc w:val="left"/>
              <w:rPr>
                <w:rFonts w:ascii="宋体" w:hAnsi="宋体" w:cs="宋体" w:eastAsia="宋体" w:hint="default"/>
                <w:sz w:val="21"/>
                <w:szCs w:val="21"/>
              </w:rPr>
            </w:pPr>
            <w:r>
              <w:rPr>
                <w:rFonts w:ascii="宋体" w:hAnsi="宋体" w:cs="宋体" w:eastAsia="宋体" w:hint="default"/>
                <w:sz w:val="21"/>
                <w:szCs w:val="21"/>
              </w:rPr>
              <w:t>孙晓玲</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Times New Roman" w:hAnsi="Times New Roman" w:cs="Times New Roman" w:eastAsia="Times New Roman" w:hint="default"/>
                <w:sz w:val="21"/>
                <w:szCs w:val="21"/>
              </w:rPr>
            </w:pPr>
            <w:r>
              <w:rPr>
                <w:rFonts w:ascii="Times New Roman"/>
                <w:spacing w:val="-1"/>
                <w:sz w:val="21"/>
              </w:rPr>
              <w:t>2,259,614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right="12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Times New Roman" w:hAnsi="Times New Roman" w:cs="Times New Roman" w:eastAsia="Times New Roman" w:hint="default"/>
                <w:sz w:val="21"/>
                <w:szCs w:val="21"/>
              </w:rPr>
            </w:pPr>
            <w:r>
              <w:rPr>
                <w:rFonts w:ascii="Times New Roman"/>
                <w:spacing w:val="-1"/>
                <w:sz w:val="21"/>
              </w:rPr>
              <w:t>550,804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3" w:right="0"/>
              <w:jc w:val="left"/>
              <w:rPr>
                <w:rFonts w:ascii="宋体" w:hAnsi="宋体" w:cs="宋体" w:eastAsia="宋体" w:hint="default"/>
                <w:sz w:val="21"/>
                <w:szCs w:val="21"/>
              </w:rPr>
            </w:pPr>
            <w:r>
              <w:rPr>
                <w:rFonts w:ascii="宋体" w:hAnsi="宋体" w:cs="宋体" w:eastAsia="宋体" w:hint="default"/>
                <w:sz w:val="21"/>
                <w:szCs w:val="21"/>
              </w:rPr>
              <w:t>高管锁定股</w:t>
            </w:r>
          </w:p>
        </w:tc>
      </w:tr>
      <w:tr>
        <w:trPr>
          <w:trHeight w:val="379"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24" w:right="0"/>
              <w:jc w:val="left"/>
              <w:rPr>
                <w:rFonts w:ascii="宋体" w:hAnsi="宋体" w:cs="宋体" w:eastAsia="宋体" w:hint="default"/>
                <w:sz w:val="21"/>
                <w:szCs w:val="21"/>
              </w:rPr>
            </w:pPr>
            <w:r>
              <w:rPr>
                <w:rFonts w:ascii="宋体" w:hAnsi="宋体" w:cs="宋体" w:eastAsia="宋体" w:hint="default"/>
                <w:sz w:val="21"/>
                <w:szCs w:val="21"/>
              </w:rPr>
              <w:t>杨颖</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Times New Roman" w:hAnsi="Times New Roman" w:cs="Times New Roman" w:eastAsia="Times New Roman" w:hint="default"/>
                <w:sz w:val="21"/>
                <w:szCs w:val="21"/>
              </w:rPr>
            </w:pPr>
            <w:r>
              <w:rPr>
                <w:rFonts w:ascii="Times New Roman"/>
                <w:spacing w:val="-1"/>
                <w:sz w:val="21"/>
              </w:rPr>
              <w:t>1,678,999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2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Times New Roman" w:hAnsi="Times New Roman" w:cs="Times New Roman" w:eastAsia="Times New Roman" w:hint="default"/>
                <w:sz w:val="21"/>
                <w:szCs w:val="21"/>
              </w:rPr>
            </w:pPr>
            <w:r>
              <w:rPr>
                <w:rFonts w:ascii="Times New Roman"/>
                <w:spacing w:val="-1"/>
                <w:sz w:val="21"/>
              </w:rPr>
              <w:t>429,165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23" w:right="0"/>
              <w:jc w:val="left"/>
              <w:rPr>
                <w:rFonts w:ascii="宋体" w:hAnsi="宋体" w:cs="宋体" w:eastAsia="宋体" w:hint="default"/>
                <w:sz w:val="21"/>
                <w:szCs w:val="21"/>
              </w:rPr>
            </w:pPr>
            <w:r>
              <w:rPr>
                <w:rFonts w:ascii="宋体" w:hAnsi="宋体" w:cs="宋体" w:eastAsia="宋体" w:hint="default"/>
                <w:sz w:val="21"/>
                <w:szCs w:val="21"/>
              </w:rPr>
              <w:t>高管锁定股</w:t>
            </w:r>
          </w:p>
        </w:tc>
      </w:tr>
    </w:tbl>
    <w:p>
      <w:pPr>
        <w:spacing w:after="0" w:line="267" w:lineRule="exact"/>
        <w:jc w:val="left"/>
        <w:rPr>
          <w:rFonts w:ascii="宋体" w:hAnsi="宋体" w:cs="宋体" w:eastAsia="宋体" w:hint="default"/>
          <w:sz w:val="21"/>
          <w:szCs w:val="21"/>
        </w:rPr>
        <w:sectPr>
          <w:pgSz w:w="11910" w:h="16840"/>
          <w:pgMar w:header="748" w:footer="982" w:top="1060" w:bottom="118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1"/>
        <w:spacing w:line="240" w:lineRule="auto" w:before="138"/>
        <w:ind w:left="1688" w:right="0"/>
        <w:jc w:val="left"/>
        <w:rPr>
          <w:b w:val="0"/>
          <w:bCs w:val="0"/>
        </w:rPr>
      </w:pPr>
      <w:bookmarkStart w:name="第七节 董事、监事、高级管理人员和员工情况" w:id="87"/>
      <w:bookmarkEnd w:id="87"/>
      <w:r>
        <w:rPr>
          <w:b w:val="0"/>
          <w:bCs w:val="0"/>
        </w:rPr>
      </w:r>
      <w:bookmarkStart w:name="_bookmark6" w:id="88"/>
      <w:bookmarkEnd w:id="88"/>
      <w:r>
        <w:rPr>
          <w:b w:val="0"/>
          <w:bCs w:val="0"/>
        </w:rPr>
      </w:r>
      <w:r>
        <w:rPr/>
        <w:t>第七节</w:t>
      </w:r>
      <w:r>
        <w:rPr>
          <w:spacing w:val="-24"/>
        </w:rPr>
        <w:t> </w:t>
      </w:r>
      <w:r>
        <w:rPr/>
        <w:t>董事、监事、高级管理人员和员工情况</w:t>
      </w:r>
      <w:r>
        <w:rPr>
          <w:b w:val="0"/>
          <w:bCs w:val="0"/>
        </w:rPr>
      </w:r>
    </w:p>
    <w:p>
      <w:pPr>
        <w:spacing w:line="240" w:lineRule="auto" w:before="5"/>
        <w:rPr>
          <w:rFonts w:ascii="宋体" w:hAnsi="宋体" w:cs="宋体" w:eastAsia="宋体" w:hint="default"/>
          <w:b/>
          <w:bCs/>
          <w:sz w:val="36"/>
          <w:szCs w:val="36"/>
        </w:rPr>
      </w:pPr>
    </w:p>
    <w:p>
      <w:pPr>
        <w:pStyle w:val="Heading4"/>
        <w:spacing w:line="240" w:lineRule="auto"/>
        <w:ind w:right="0"/>
        <w:jc w:val="left"/>
        <w:rPr>
          <w:b w:val="0"/>
          <w:bCs w:val="0"/>
        </w:rPr>
      </w:pPr>
      <w:bookmarkStart w:name="一、董事、监事和高级管理人员持股变动" w:id="89"/>
      <w:bookmarkEnd w:id="89"/>
      <w:r>
        <w:rPr>
          <w:b w:val="0"/>
          <w:bCs w:val="0"/>
        </w:rPr>
      </w:r>
      <w:r>
        <w:rPr/>
        <w:t>一、董事、监事和高级管理人员持股变动</w:t>
      </w:r>
      <w:r>
        <w:rPr>
          <w:b w:val="0"/>
          <w:bCs w:val="0"/>
        </w:rPr>
      </w:r>
    </w:p>
    <w:p>
      <w:pPr>
        <w:spacing w:line="240" w:lineRule="auto" w:before="0"/>
        <w:rPr>
          <w:rFonts w:ascii="宋体" w:hAnsi="宋体" w:cs="宋体" w:eastAsia="宋体" w:hint="default"/>
          <w:b/>
          <w:bCs/>
          <w:sz w:val="24"/>
          <w:szCs w:val="24"/>
        </w:rPr>
      </w:pPr>
    </w:p>
    <w:p>
      <w:pPr>
        <w:spacing w:line="240" w:lineRule="auto" w:before="11"/>
        <w:rPr>
          <w:rFonts w:ascii="宋体" w:hAnsi="宋体" w:cs="宋体" w:eastAsia="宋体" w:hint="default"/>
          <w:b/>
          <w:bCs/>
          <w:sz w:val="23"/>
          <w:szCs w:val="23"/>
        </w:rPr>
      </w:pPr>
    </w:p>
    <w:p>
      <w:pPr>
        <w:pStyle w:val="Heading5"/>
        <w:spacing w:line="240" w:lineRule="auto"/>
        <w:ind w:right="0"/>
        <w:jc w:val="left"/>
        <w:rPr>
          <w:b w:val="0"/>
          <w:bCs w:val="0"/>
        </w:rPr>
      </w:pPr>
      <w:bookmarkStart w:name="1、持股情况" w:id="90"/>
      <w:bookmarkEnd w:id="90"/>
      <w:r>
        <w:rPr>
          <w:b w:val="0"/>
          <w:bCs w:val="0"/>
        </w:rPr>
      </w:r>
      <w:r>
        <w:rPr>
          <w:rFonts w:ascii="Times New Roman" w:hAnsi="Times New Roman" w:cs="Times New Roman" w:eastAsia="Times New Roman" w:hint="default"/>
        </w:rPr>
        <w:t>1</w:t>
      </w:r>
      <w:r>
        <w:rPr/>
        <w:t>、持股情况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36"/>
        <w:ind w:left="0" w:right="150"/>
        <w:jc w:val="right"/>
      </w:pPr>
      <w:r>
        <w:rPr>
          <w:spacing w:val="-1"/>
        </w:rPr>
        <w:t>单位：股</w:t>
      </w:r>
    </w:p>
    <w:p>
      <w:pPr>
        <w:spacing w:line="240" w:lineRule="auto" w:before="10"/>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708"/>
        <w:gridCol w:w="994"/>
        <w:gridCol w:w="566"/>
        <w:gridCol w:w="566"/>
        <w:gridCol w:w="576"/>
        <w:gridCol w:w="682"/>
        <w:gridCol w:w="684"/>
        <w:gridCol w:w="684"/>
        <w:gridCol w:w="684"/>
        <w:gridCol w:w="684"/>
        <w:gridCol w:w="684"/>
        <w:gridCol w:w="684"/>
        <w:gridCol w:w="684"/>
        <w:gridCol w:w="684"/>
      </w:tblGrid>
      <w:tr>
        <w:trPr>
          <w:trHeight w:val="2741" w:hRule="exact"/>
        </w:trPr>
        <w:tc>
          <w:tcPr>
            <w:tcW w:w="7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8"/>
              <w:ind w:left="139"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9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8"/>
              <w:ind w:left="283" w:right="0"/>
              <w:jc w:val="left"/>
              <w:rPr>
                <w:rFonts w:ascii="宋体" w:hAnsi="宋体" w:cs="宋体" w:eastAsia="宋体" w:hint="default"/>
                <w:sz w:val="21"/>
                <w:szCs w:val="21"/>
              </w:rPr>
            </w:pPr>
            <w:r>
              <w:rPr>
                <w:rFonts w:ascii="宋体" w:hAnsi="宋体" w:cs="宋体" w:eastAsia="宋体" w:hint="default"/>
                <w:sz w:val="21"/>
                <w:szCs w:val="21"/>
              </w:rPr>
              <w:t>职务</w:t>
            </w:r>
          </w:p>
        </w:tc>
        <w:tc>
          <w:tcPr>
            <w:tcW w:w="5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8"/>
              <w:ind w:left="4" w:right="0"/>
              <w:jc w:val="center"/>
              <w:rPr>
                <w:rFonts w:ascii="宋体" w:hAnsi="宋体" w:cs="宋体" w:eastAsia="宋体" w:hint="default"/>
                <w:sz w:val="21"/>
                <w:szCs w:val="21"/>
              </w:rPr>
            </w:pPr>
            <w:r>
              <w:rPr>
                <w:rFonts w:ascii="宋体" w:hAnsi="宋体" w:cs="宋体" w:eastAsia="宋体" w:hint="default"/>
                <w:sz w:val="21"/>
                <w:szCs w:val="21"/>
              </w:rPr>
              <w:t>性别</w:t>
            </w:r>
          </w:p>
        </w:tc>
        <w:tc>
          <w:tcPr>
            <w:tcW w:w="5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8"/>
              <w:ind w:left="4" w:right="0"/>
              <w:jc w:val="center"/>
              <w:rPr>
                <w:rFonts w:ascii="宋体" w:hAnsi="宋体" w:cs="宋体" w:eastAsia="宋体" w:hint="default"/>
                <w:sz w:val="21"/>
                <w:szCs w:val="21"/>
              </w:rPr>
            </w:pPr>
            <w:r>
              <w:rPr>
                <w:rFonts w:ascii="宋体" w:hAnsi="宋体" w:cs="宋体" w:eastAsia="宋体" w:hint="default"/>
                <w:sz w:val="21"/>
                <w:szCs w:val="21"/>
              </w:rPr>
              <w:t>年龄</w:t>
            </w:r>
          </w:p>
        </w:tc>
        <w:tc>
          <w:tcPr>
            <w:tcW w:w="5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71" w:right="71"/>
              <w:jc w:val="left"/>
              <w:rPr>
                <w:rFonts w:ascii="宋体" w:hAnsi="宋体" w:cs="宋体" w:eastAsia="宋体" w:hint="default"/>
                <w:sz w:val="21"/>
                <w:szCs w:val="21"/>
              </w:rPr>
            </w:pPr>
            <w:r>
              <w:rPr>
                <w:rFonts w:ascii="宋体" w:hAnsi="宋体" w:cs="宋体" w:eastAsia="宋体" w:hint="default"/>
                <w:sz w:val="21"/>
                <w:szCs w:val="21"/>
              </w:rPr>
              <w:t>任职</w:t>
            </w:r>
            <w:r>
              <w:rPr>
                <w:rFonts w:ascii="宋体" w:hAnsi="宋体" w:cs="宋体" w:eastAsia="宋体" w:hint="default"/>
                <w:spacing w:val="-103"/>
                <w:sz w:val="21"/>
                <w:szCs w:val="21"/>
              </w:rPr>
              <w:t> </w:t>
            </w:r>
            <w:r>
              <w:rPr>
                <w:rFonts w:ascii="宋体" w:hAnsi="宋体" w:cs="宋体" w:eastAsia="宋体" w:hint="default"/>
                <w:sz w:val="21"/>
                <w:szCs w:val="21"/>
              </w:rPr>
              <w:t>状态</w:t>
            </w:r>
          </w:p>
        </w:tc>
        <w:tc>
          <w:tcPr>
            <w:tcW w:w="6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left="127" w:right="120"/>
              <w:jc w:val="both"/>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spacing w:val="-103"/>
                <w:sz w:val="21"/>
                <w:szCs w:val="21"/>
              </w:rPr>
              <w:t> </w:t>
            </w:r>
            <w:r>
              <w:rPr>
                <w:rFonts w:ascii="宋体" w:hAnsi="宋体" w:cs="宋体" w:eastAsia="宋体" w:hint="default"/>
                <w:sz w:val="21"/>
                <w:szCs w:val="21"/>
              </w:rPr>
              <w:t>持股</w:t>
            </w:r>
            <w:r>
              <w:rPr>
                <w:rFonts w:ascii="宋体" w:hAnsi="宋体" w:cs="宋体" w:eastAsia="宋体" w:hint="default"/>
                <w:spacing w:val="-103"/>
                <w:sz w:val="21"/>
                <w:szCs w:val="21"/>
              </w:rPr>
              <w:t> </w:t>
            </w:r>
            <w:r>
              <w:rPr>
                <w:rFonts w:ascii="宋体" w:hAnsi="宋体" w:cs="宋体" w:eastAsia="宋体" w:hint="default"/>
                <w:sz w:val="21"/>
                <w:szCs w:val="21"/>
              </w:rPr>
              <w:t>数</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29" w:right="120"/>
              <w:jc w:val="both"/>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增持</w:t>
            </w:r>
            <w:r>
              <w:rPr>
                <w:rFonts w:ascii="宋体" w:hAnsi="宋体" w:cs="宋体" w:eastAsia="宋体" w:hint="default"/>
                <w:spacing w:val="-103"/>
                <w:sz w:val="21"/>
                <w:szCs w:val="21"/>
              </w:rPr>
              <w:t> </w:t>
            </w:r>
            <w:r>
              <w:rPr>
                <w:rFonts w:ascii="宋体" w:hAnsi="宋体" w:cs="宋体" w:eastAsia="宋体" w:hint="default"/>
                <w:sz w:val="21"/>
                <w:szCs w:val="21"/>
              </w:rPr>
              <w:t>股份</w:t>
            </w:r>
            <w:r>
              <w:rPr>
                <w:rFonts w:ascii="宋体" w:hAnsi="宋体" w:cs="宋体" w:eastAsia="宋体" w:hint="default"/>
                <w:spacing w:val="-103"/>
                <w:sz w:val="21"/>
                <w:szCs w:val="21"/>
              </w:rPr>
              <w:t> </w:t>
            </w:r>
            <w:r>
              <w:rPr>
                <w:rFonts w:ascii="宋体" w:hAnsi="宋体" w:cs="宋体" w:eastAsia="宋体" w:hint="default"/>
                <w:sz w:val="21"/>
                <w:szCs w:val="21"/>
              </w:rPr>
              <w:t>数量</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29" w:right="120"/>
              <w:jc w:val="both"/>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减持</w:t>
            </w:r>
            <w:r>
              <w:rPr>
                <w:rFonts w:ascii="宋体" w:hAnsi="宋体" w:cs="宋体" w:eastAsia="宋体" w:hint="default"/>
                <w:spacing w:val="-103"/>
                <w:sz w:val="21"/>
                <w:szCs w:val="21"/>
              </w:rPr>
              <w:t> </w:t>
            </w:r>
            <w:r>
              <w:rPr>
                <w:rFonts w:ascii="宋体" w:hAnsi="宋体" w:cs="宋体" w:eastAsia="宋体" w:hint="default"/>
                <w:sz w:val="21"/>
                <w:szCs w:val="21"/>
              </w:rPr>
              <w:t>股份</w:t>
            </w:r>
            <w:r>
              <w:rPr>
                <w:rFonts w:ascii="宋体" w:hAnsi="宋体" w:cs="宋体" w:eastAsia="宋体" w:hint="default"/>
                <w:spacing w:val="-103"/>
                <w:sz w:val="21"/>
                <w:szCs w:val="21"/>
              </w:rPr>
              <w:t> </w:t>
            </w:r>
            <w:r>
              <w:rPr>
                <w:rFonts w:ascii="宋体" w:hAnsi="宋体" w:cs="宋体" w:eastAsia="宋体" w:hint="default"/>
                <w:sz w:val="21"/>
                <w:szCs w:val="21"/>
              </w:rPr>
              <w:t>数量</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left="127" w:right="122"/>
              <w:jc w:val="both"/>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持股</w:t>
            </w:r>
            <w:r>
              <w:rPr>
                <w:rFonts w:ascii="宋体" w:hAnsi="宋体" w:cs="宋体" w:eastAsia="宋体" w:hint="default"/>
                <w:spacing w:val="-103"/>
                <w:sz w:val="21"/>
                <w:szCs w:val="21"/>
              </w:rPr>
              <w:t> </w:t>
            </w:r>
            <w:r>
              <w:rPr>
                <w:rFonts w:ascii="宋体" w:hAnsi="宋体" w:cs="宋体" w:eastAsia="宋体" w:hint="default"/>
                <w:sz w:val="21"/>
                <w:szCs w:val="21"/>
              </w:rPr>
              <w:t>数</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exact"/>
              <w:ind w:left="127" w:right="0"/>
              <w:jc w:val="both"/>
              <w:rPr>
                <w:rFonts w:ascii="宋体" w:hAnsi="宋体" w:cs="宋体" w:eastAsia="宋体" w:hint="default"/>
                <w:sz w:val="21"/>
                <w:szCs w:val="21"/>
              </w:rPr>
            </w:pPr>
            <w:r>
              <w:rPr>
                <w:rFonts w:ascii="宋体" w:hAnsi="宋体" w:cs="宋体" w:eastAsia="宋体" w:hint="default"/>
                <w:sz w:val="21"/>
                <w:szCs w:val="21"/>
              </w:rPr>
              <w:t>期初</w:t>
            </w:r>
          </w:p>
          <w:p>
            <w:pPr>
              <w:pStyle w:val="TableParagraph"/>
              <w:spacing w:line="237" w:lineRule="auto" w:before="2"/>
              <w:ind w:left="127" w:right="122"/>
              <w:jc w:val="both"/>
              <w:rPr>
                <w:rFonts w:ascii="宋体" w:hAnsi="宋体" w:cs="宋体" w:eastAsia="宋体" w:hint="default"/>
                <w:sz w:val="21"/>
                <w:szCs w:val="21"/>
              </w:rPr>
            </w:pPr>
            <w:r>
              <w:rPr>
                <w:rFonts w:ascii="宋体" w:hAnsi="宋体" w:cs="宋体" w:eastAsia="宋体" w:hint="default"/>
                <w:sz w:val="21"/>
                <w:szCs w:val="21"/>
              </w:rPr>
              <w:t>持有</w:t>
            </w:r>
            <w:r>
              <w:rPr>
                <w:rFonts w:ascii="宋体" w:hAnsi="宋体" w:cs="宋体" w:eastAsia="宋体" w:hint="default"/>
                <w:spacing w:val="-103"/>
                <w:sz w:val="21"/>
                <w:szCs w:val="21"/>
              </w:rPr>
              <w:t> </w:t>
            </w:r>
            <w:r>
              <w:rPr>
                <w:rFonts w:ascii="宋体" w:hAnsi="宋体" w:cs="宋体" w:eastAsia="宋体" w:hint="default"/>
                <w:sz w:val="21"/>
                <w:szCs w:val="21"/>
              </w:rPr>
              <w:t>的股</w:t>
            </w:r>
            <w:r>
              <w:rPr>
                <w:rFonts w:ascii="宋体" w:hAnsi="宋体" w:cs="宋体" w:eastAsia="宋体" w:hint="default"/>
                <w:spacing w:val="-103"/>
                <w:sz w:val="21"/>
                <w:szCs w:val="21"/>
              </w:rPr>
              <w:t> </w:t>
            </w:r>
            <w:r>
              <w:rPr>
                <w:rFonts w:ascii="宋体" w:hAnsi="宋体" w:cs="宋体" w:eastAsia="宋体" w:hint="default"/>
                <w:sz w:val="21"/>
                <w:szCs w:val="21"/>
              </w:rPr>
              <w:t>权激</w:t>
            </w:r>
            <w:r>
              <w:rPr>
                <w:rFonts w:ascii="宋体" w:hAnsi="宋体" w:cs="宋体" w:eastAsia="宋体" w:hint="default"/>
                <w:spacing w:val="-103"/>
                <w:sz w:val="21"/>
                <w:szCs w:val="21"/>
              </w:rPr>
              <w:t> </w:t>
            </w:r>
            <w:r>
              <w:rPr>
                <w:rFonts w:ascii="宋体" w:hAnsi="宋体" w:cs="宋体" w:eastAsia="宋体" w:hint="default"/>
                <w:sz w:val="21"/>
                <w:szCs w:val="21"/>
              </w:rPr>
              <w:t>励获</w:t>
            </w:r>
            <w:r>
              <w:rPr>
                <w:rFonts w:ascii="宋体" w:hAnsi="宋体" w:cs="宋体" w:eastAsia="宋体" w:hint="default"/>
                <w:spacing w:val="-103"/>
                <w:sz w:val="21"/>
                <w:szCs w:val="21"/>
              </w:rPr>
              <w:t> </w:t>
            </w:r>
            <w:r>
              <w:rPr>
                <w:rFonts w:ascii="宋体" w:hAnsi="宋体" w:cs="宋体" w:eastAsia="宋体" w:hint="default"/>
                <w:sz w:val="21"/>
                <w:szCs w:val="21"/>
              </w:rPr>
              <w:t>授予</w:t>
            </w:r>
            <w:r>
              <w:rPr>
                <w:rFonts w:ascii="宋体" w:hAnsi="宋体" w:cs="宋体" w:eastAsia="宋体" w:hint="default"/>
                <w:spacing w:val="-103"/>
                <w:sz w:val="21"/>
                <w:szCs w:val="21"/>
              </w:rPr>
              <w:t> </w:t>
            </w:r>
            <w:r>
              <w:rPr>
                <w:rFonts w:ascii="宋体" w:hAnsi="宋体" w:cs="宋体" w:eastAsia="宋体" w:hint="default"/>
                <w:sz w:val="21"/>
                <w:szCs w:val="21"/>
              </w:rPr>
              <w:t>限制</w:t>
            </w:r>
            <w:r>
              <w:rPr>
                <w:rFonts w:ascii="宋体" w:hAnsi="宋体" w:cs="宋体" w:eastAsia="宋体" w:hint="default"/>
                <w:spacing w:val="-103"/>
                <w:sz w:val="21"/>
                <w:szCs w:val="21"/>
              </w:rPr>
              <w:t> </w:t>
            </w:r>
            <w:r>
              <w:rPr>
                <w:rFonts w:ascii="宋体" w:hAnsi="宋体" w:cs="宋体" w:eastAsia="宋体" w:hint="default"/>
                <w:sz w:val="21"/>
                <w:szCs w:val="21"/>
              </w:rPr>
              <w:t>性股</w:t>
            </w:r>
            <w:r>
              <w:rPr>
                <w:rFonts w:ascii="宋体" w:hAnsi="宋体" w:cs="宋体" w:eastAsia="宋体" w:hint="default"/>
                <w:spacing w:val="-103"/>
                <w:sz w:val="21"/>
                <w:szCs w:val="21"/>
              </w:rPr>
              <w:t> </w:t>
            </w:r>
            <w:r>
              <w:rPr>
                <w:rFonts w:ascii="宋体" w:hAnsi="宋体" w:cs="宋体" w:eastAsia="宋体" w:hint="default"/>
                <w:sz w:val="21"/>
                <w:szCs w:val="21"/>
              </w:rPr>
              <w:t>票数</w:t>
            </w:r>
            <w:r>
              <w:rPr>
                <w:rFonts w:ascii="宋体" w:hAnsi="宋体" w:cs="宋体" w:eastAsia="宋体" w:hint="default"/>
                <w:spacing w:val="-103"/>
                <w:sz w:val="21"/>
                <w:szCs w:val="21"/>
              </w:rPr>
              <w:t> </w:t>
            </w:r>
            <w:r>
              <w:rPr>
                <w:rFonts w:ascii="宋体" w:hAnsi="宋体" w:cs="宋体" w:eastAsia="宋体" w:hint="default"/>
                <w:sz w:val="21"/>
                <w:szCs w:val="21"/>
              </w:rPr>
              <w:t>量</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7" w:lineRule="auto" w:before="105"/>
              <w:ind w:left="127" w:right="122"/>
              <w:jc w:val="both"/>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获授</w:t>
            </w:r>
            <w:r>
              <w:rPr>
                <w:rFonts w:ascii="宋体" w:hAnsi="宋体" w:cs="宋体" w:eastAsia="宋体" w:hint="default"/>
                <w:spacing w:val="-103"/>
                <w:sz w:val="21"/>
                <w:szCs w:val="21"/>
              </w:rPr>
              <w:t> </w:t>
            </w:r>
            <w:r>
              <w:rPr>
                <w:rFonts w:ascii="宋体" w:hAnsi="宋体" w:cs="宋体" w:eastAsia="宋体" w:hint="default"/>
                <w:sz w:val="21"/>
                <w:szCs w:val="21"/>
              </w:rPr>
              <w:t>予的</w:t>
            </w:r>
            <w:r>
              <w:rPr>
                <w:rFonts w:ascii="宋体" w:hAnsi="宋体" w:cs="宋体" w:eastAsia="宋体" w:hint="default"/>
                <w:spacing w:val="-103"/>
                <w:sz w:val="21"/>
                <w:szCs w:val="21"/>
              </w:rPr>
              <w:t> </w:t>
            </w:r>
            <w:r>
              <w:rPr>
                <w:rFonts w:ascii="宋体" w:hAnsi="宋体" w:cs="宋体" w:eastAsia="宋体" w:hint="default"/>
                <w:sz w:val="21"/>
                <w:szCs w:val="21"/>
              </w:rPr>
              <w:t>股权</w:t>
            </w:r>
            <w:r>
              <w:rPr>
                <w:rFonts w:ascii="宋体" w:hAnsi="宋体" w:cs="宋体" w:eastAsia="宋体" w:hint="default"/>
                <w:spacing w:val="-103"/>
                <w:sz w:val="21"/>
                <w:szCs w:val="21"/>
              </w:rPr>
              <w:t> </w:t>
            </w:r>
            <w:r>
              <w:rPr>
                <w:rFonts w:ascii="宋体" w:hAnsi="宋体" w:cs="宋体" w:eastAsia="宋体" w:hint="default"/>
                <w:sz w:val="21"/>
                <w:szCs w:val="21"/>
              </w:rPr>
              <w:t>激励</w:t>
            </w:r>
            <w:r>
              <w:rPr>
                <w:rFonts w:ascii="宋体" w:hAnsi="宋体" w:cs="宋体" w:eastAsia="宋体" w:hint="default"/>
                <w:spacing w:val="-103"/>
                <w:sz w:val="21"/>
                <w:szCs w:val="21"/>
              </w:rPr>
              <w:t> </w:t>
            </w:r>
            <w:r>
              <w:rPr>
                <w:rFonts w:ascii="宋体" w:hAnsi="宋体" w:cs="宋体" w:eastAsia="宋体" w:hint="default"/>
                <w:sz w:val="21"/>
                <w:szCs w:val="21"/>
              </w:rPr>
              <w:t>限制</w:t>
            </w:r>
            <w:r>
              <w:rPr>
                <w:rFonts w:ascii="宋体" w:hAnsi="宋体" w:cs="宋体" w:eastAsia="宋体" w:hint="default"/>
                <w:spacing w:val="-103"/>
                <w:sz w:val="21"/>
                <w:szCs w:val="21"/>
              </w:rPr>
              <w:t> </w:t>
            </w:r>
            <w:r>
              <w:rPr>
                <w:rFonts w:ascii="宋体" w:hAnsi="宋体" w:cs="宋体" w:eastAsia="宋体" w:hint="default"/>
                <w:sz w:val="21"/>
                <w:szCs w:val="21"/>
              </w:rPr>
              <w:t>性股</w:t>
            </w:r>
            <w:r>
              <w:rPr>
                <w:rFonts w:ascii="宋体" w:hAnsi="宋体" w:cs="宋体" w:eastAsia="宋体" w:hint="default"/>
                <w:spacing w:val="-103"/>
                <w:sz w:val="21"/>
                <w:szCs w:val="21"/>
              </w:rPr>
              <w:t> </w:t>
            </w:r>
            <w:r>
              <w:rPr>
                <w:rFonts w:ascii="宋体" w:hAnsi="宋体" w:cs="宋体" w:eastAsia="宋体" w:hint="default"/>
                <w:sz w:val="21"/>
                <w:szCs w:val="21"/>
              </w:rPr>
              <w:t>票数</w:t>
            </w:r>
            <w:r>
              <w:rPr>
                <w:rFonts w:ascii="宋体" w:hAnsi="宋体" w:cs="宋体" w:eastAsia="宋体" w:hint="default"/>
                <w:spacing w:val="-103"/>
                <w:sz w:val="21"/>
                <w:szCs w:val="21"/>
              </w:rPr>
              <w:t> </w:t>
            </w:r>
            <w:r>
              <w:rPr>
                <w:rFonts w:ascii="宋体" w:hAnsi="宋体" w:cs="宋体" w:eastAsia="宋体" w:hint="default"/>
                <w:sz w:val="21"/>
                <w:szCs w:val="21"/>
              </w:rPr>
              <w:t>量</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7" w:lineRule="auto" w:before="105"/>
              <w:ind w:left="127" w:right="122"/>
              <w:jc w:val="both"/>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被注</w:t>
            </w:r>
            <w:r>
              <w:rPr>
                <w:rFonts w:ascii="宋体" w:hAnsi="宋体" w:cs="宋体" w:eastAsia="宋体" w:hint="default"/>
                <w:spacing w:val="-103"/>
                <w:sz w:val="21"/>
                <w:szCs w:val="21"/>
              </w:rPr>
              <w:t> </w:t>
            </w:r>
            <w:r>
              <w:rPr>
                <w:rFonts w:ascii="宋体" w:hAnsi="宋体" w:cs="宋体" w:eastAsia="宋体" w:hint="default"/>
                <w:sz w:val="21"/>
                <w:szCs w:val="21"/>
              </w:rPr>
              <w:t>销的</w:t>
            </w:r>
            <w:r>
              <w:rPr>
                <w:rFonts w:ascii="宋体" w:hAnsi="宋体" w:cs="宋体" w:eastAsia="宋体" w:hint="default"/>
                <w:spacing w:val="-103"/>
                <w:sz w:val="21"/>
                <w:szCs w:val="21"/>
              </w:rPr>
              <w:t> </w:t>
            </w:r>
            <w:r>
              <w:rPr>
                <w:rFonts w:ascii="宋体" w:hAnsi="宋体" w:cs="宋体" w:eastAsia="宋体" w:hint="default"/>
                <w:sz w:val="21"/>
                <w:szCs w:val="21"/>
              </w:rPr>
              <w:t>股权</w:t>
            </w:r>
            <w:r>
              <w:rPr>
                <w:rFonts w:ascii="宋体" w:hAnsi="宋体" w:cs="宋体" w:eastAsia="宋体" w:hint="default"/>
                <w:spacing w:val="-103"/>
                <w:sz w:val="21"/>
                <w:szCs w:val="21"/>
              </w:rPr>
              <w:t> </w:t>
            </w:r>
            <w:r>
              <w:rPr>
                <w:rFonts w:ascii="宋体" w:hAnsi="宋体" w:cs="宋体" w:eastAsia="宋体" w:hint="default"/>
                <w:sz w:val="21"/>
                <w:szCs w:val="21"/>
              </w:rPr>
              <w:t>激励</w:t>
            </w:r>
            <w:r>
              <w:rPr>
                <w:rFonts w:ascii="宋体" w:hAnsi="宋体" w:cs="宋体" w:eastAsia="宋体" w:hint="default"/>
                <w:spacing w:val="-103"/>
                <w:sz w:val="21"/>
                <w:szCs w:val="21"/>
              </w:rPr>
              <w:t> </w:t>
            </w:r>
            <w:r>
              <w:rPr>
                <w:rFonts w:ascii="宋体" w:hAnsi="宋体" w:cs="宋体" w:eastAsia="宋体" w:hint="default"/>
                <w:sz w:val="21"/>
                <w:szCs w:val="21"/>
              </w:rPr>
              <w:t>限制</w:t>
            </w:r>
            <w:r>
              <w:rPr>
                <w:rFonts w:ascii="宋体" w:hAnsi="宋体" w:cs="宋体" w:eastAsia="宋体" w:hint="default"/>
                <w:spacing w:val="-103"/>
                <w:sz w:val="21"/>
                <w:szCs w:val="21"/>
              </w:rPr>
              <w:t> </w:t>
            </w:r>
            <w:r>
              <w:rPr>
                <w:rFonts w:ascii="宋体" w:hAnsi="宋体" w:cs="宋体" w:eastAsia="宋体" w:hint="default"/>
                <w:sz w:val="21"/>
                <w:szCs w:val="21"/>
              </w:rPr>
              <w:t>性股</w:t>
            </w:r>
            <w:r>
              <w:rPr>
                <w:rFonts w:ascii="宋体" w:hAnsi="宋体" w:cs="宋体" w:eastAsia="宋体" w:hint="default"/>
                <w:spacing w:val="-103"/>
                <w:sz w:val="21"/>
                <w:szCs w:val="21"/>
              </w:rPr>
              <w:t> </w:t>
            </w:r>
            <w:r>
              <w:rPr>
                <w:rFonts w:ascii="宋体" w:hAnsi="宋体" w:cs="宋体" w:eastAsia="宋体" w:hint="default"/>
                <w:sz w:val="21"/>
                <w:szCs w:val="21"/>
              </w:rPr>
              <w:t>票数</w:t>
            </w:r>
            <w:r>
              <w:rPr>
                <w:rFonts w:ascii="宋体" w:hAnsi="宋体" w:cs="宋体" w:eastAsia="宋体" w:hint="default"/>
                <w:spacing w:val="-103"/>
                <w:sz w:val="21"/>
                <w:szCs w:val="21"/>
              </w:rPr>
              <w:t> </w:t>
            </w:r>
            <w:r>
              <w:rPr>
                <w:rFonts w:ascii="宋体" w:hAnsi="宋体" w:cs="宋体" w:eastAsia="宋体" w:hint="default"/>
                <w:sz w:val="21"/>
                <w:szCs w:val="21"/>
              </w:rPr>
              <w:t>量</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exact"/>
              <w:ind w:left="127" w:right="0"/>
              <w:jc w:val="both"/>
              <w:rPr>
                <w:rFonts w:ascii="宋体" w:hAnsi="宋体" w:cs="宋体" w:eastAsia="宋体" w:hint="default"/>
                <w:sz w:val="21"/>
                <w:szCs w:val="21"/>
              </w:rPr>
            </w:pPr>
            <w:r>
              <w:rPr>
                <w:rFonts w:ascii="宋体" w:hAnsi="宋体" w:cs="宋体" w:eastAsia="宋体" w:hint="default"/>
                <w:sz w:val="21"/>
                <w:szCs w:val="21"/>
              </w:rPr>
              <w:t>期末</w:t>
            </w:r>
          </w:p>
          <w:p>
            <w:pPr>
              <w:pStyle w:val="TableParagraph"/>
              <w:spacing w:line="237" w:lineRule="auto" w:before="2"/>
              <w:ind w:left="127" w:right="122"/>
              <w:jc w:val="both"/>
              <w:rPr>
                <w:rFonts w:ascii="宋体" w:hAnsi="宋体" w:cs="宋体" w:eastAsia="宋体" w:hint="default"/>
                <w:sz w:val="21"/>
                <w:szCs w:val="21"/>
              </w:rPr>
            </w:pPr>
            <w:r>
              <w:rPr>
                <w:rFonts w:ascii="宋体" w:hAnsi="宋体" w:cs="宋体" w:eastAsia="宋体" w:hint="default"/>
                <w:sz w:val="21"/>
                <w:szCs w:val="21"/>
              </w:rPr>
              <w:t>持有</w:t>
            </w:r>
            <w:r>
              <w:rPr>
                <w:rFonts w:ascii="宋体" w:hAnsi="宋体" w:cs="宋体" w:eastAsia="宋体" w:hint="default"/>
                <w:spacing w:val="-103"/>
                <w:sz w:val="21"/>
                <w:szCs w:val="21"/>
              </w:rPr>
              <w:t> </w:t>
            </w:r>
            <w:r>
              <w:rPr>
                <w:rFonts w:ascii="宋体" w:hAnsi="宋体" w:cs="宋体" w:eastAsia="宋体" w:hint="default"/>
                <w:sz w:val="21"/>
                <w:szCs w:val="21"/>
              </w:rPr>
              <w:t>的股</w:t>
            </w:r>
            <w:r>
              <w:rPr>
                <w:rFonts w:ascii="宋体" w:hAnsi="宋体" w:cs="宋体" w:eastAsia="宋体" w:hint="default"/>
                <w:spacing w:val="-103"/>
                <w:sz w:val="21"/>
                <w:szCs w:val="21"/>
              </w:rPr>
              <w:t> </w:t>
            </w:r>
            <w:r>
              <w:rPr>
                <w:rFonts w:ascii="宋体" w:hAnsi="宋体" w:cs="宋体" w:eastAsia="宋体" w:hint="default"/>
                <w:sz w:val="21"/>
                <w:szCs w:val="21"/>
              </w:rPr>
              <w:t>权激</w:t>
            </w:r>
            <w:r>
              <w:rPr>
                <w:rFonts w:ascii="宋体" w:hAnsi="宋体" w:cs="宋体" w:eastAsia="宋体" w:hint="default"/>
                <w:spacing w:val="-103"/>
                <w:sz w:val="21"/>
                <w:szCs w:val="21"/>
              </w:rPr>
              <w:t> </w:t>
            </w:r>
            <w:r>
              <w:rPr>
                <w:rFonts w:ascii="宋体" w:hAnsi="宋体" w:cs="宋体" w:eastAsia="宋体" w:hint="default"/>
                <w:sz w:val="21"/>
                <w:szCs w:val="21"/>
              </w:rPr>
              <w:t>励获</w:t>
            </w:r>
            <w:r>
              <w:rPr>
                <w:rFonts w:ascii="宋体" w:hAnsi="宋体" w:cs="宋体" w:eastAsia="宋体" w:hint="default"/>
                <w:spacing w:val="-103"/>
                <w:sz w:val="21"/>
                <w:szCs w:val="21"/>
              </w:rPr>
              <w:t> </w:t>
            </w:r>
            <w:r>
              <w:rPr>
                <w:rFonts w:ascii="宋体" w:hAnsi="宋体" w:cs="宋体" w:eastAsia="宋体" w:hint="default"/>
                <w:sz w:val="21"/>
                <w:szCs w:val="21"/>
              </w:rPr>
              <w:t>授予</w:t>
            </w:r>
            <w:r>
              <w:rPr>
                <w:rFonts w:ascii="宋体" w:hAnsi="宋体" w:cs="宋体" w:eastAsia="宋体" w:hint="default"/>
                <w:spacing w:val="-103"/>
                <w:sz w:val="21"/>
                <w:szCs w:val="21"/>
              </w:rPr>
              <w:t> </w:t>
            </w:r>
            <w:r>
              <w:rPr>
                <w:rFonts w:ascii="宋体" w:hAnsi="宋体" w:cs="宋体" w:eastAsia="宋体" w:hint="default"/>
                <w:sz w:val="21"/>
                <w:szCs w:val="21"/>
              </w:rPr>
              <w:t>限制</w:t>
            </w:r>
            <w:r>
              <w:rPr>
                <w:rFonts w:ascii="宋体" w:hAnsi="宋体" w:cs="宋体" w:eastAsia="宋体" w:hint="default"/>
                <w:spacing w:val="-103"/>
                <w:sz w:val="21"/>
                <w:szCs w:val="21"/>
              </w:rPr>
              <w:t> </w:t>
            </w:r>
            <w:r>
              <w:rPr>
                <w:rFonts w:ascii="宋体" w:hAnsi="宋体" w:cs="宋体" w:eastAsia="宋体" w:hint="default"/>
                <w:sz w:val="21"/>
                <w:szCs w:val="21"/>
              </w:rPr>
              <w:t>性股</w:t>
            </w:r>
            <w:r>
              <w:rPr>
                <w:rFonts w:ascii="宋体" w:hAnsi="宋体" w:cs="宋体" w:eastAsia="宋体" w:hint="default"/>
                <w:spacing w:val="-103"/>
                <w:sz w:val="21"/>
                <w:szCs w:val="21"/>
              </w:rPr>
              <w:t> </w:t>
            </w:r>
            <w:r>
              <w:rPr>
                <w:rFonts w:ascii="宋体" w:hAnsi="宋体" w:cs="宋体" w:eastAsia="宋体" w:hint="default"/>
                <w:sz w:val="21"/>
                <w:szCs w:val="21"/>
              </w:rPr>
              <w:t>票数</w:t>
            </w:r>
            <w:r>
              <w:rPr>
                <w:rFonts w:ascii="宋体" w:hAnsi="宋体" w:cs="宋体" w:eastAsia="宋体" w:hint="default"/>
                <w:spacing w:val="-103"/>
                <w:sz w:val="21"/>
                <w:szCs w:val="21"/>
              </w:rPr>
              <w:t> </w:t>
            </w:r>
            <w:r>
              <w:rPr>
                <w:rFonts w:ascii="宋体" w:hAnsi="宋体" w:cs="宋体" w:eastAsia="宋体" w:hint="default"/>
                <w:sz w:val="21"/>
                <w:szCs w:val="21"/>
              </w:rPr>
              <w:t>量</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left="127" w:right="122"/>
              <w:jc w:val="both"/>
              <w:rPr>
                <w:rFonts w:ascii="宋体" w:hAnsi="宋体" w:cs="宋体" w:eastAsia="宋体" w:hint="default"/>
                <w:sz w:val="21"/>
                <w:szCs w:val="21"/>
              </w:rPr>
            </w:pPr>
            <w:r>
              <w:rPr>
                <w:rFonts w:ascii="宋体" w:hAnsi="宋体" w:cs="宋体" w:eastAsia="宋体" w:hint="default"/>
                <w:sz w:val="21"/>
                <w:szCs w:val="21"/>
              </w:rPr>
              <w:t>增减</w:t>
            </w:r>
            <w:r>
              <w:rPr>
                <w:rFonts w:ascii="宋体" w:hAnsi="宋体" w:cs="宋体" w:eastAsia="宋体" w:hint="default"/>
                <w:spacing w:val="-103"/>
                <w:sz w:val="21"/>
                <w:szCs w:val="21"/>
              </w:rPr>
              <w:t> </w:t>
            </w:r>
            <w:r>
              <w:rPr>
                <w:rFonts w:ascii="宋体" w:hAnsi="宋体" w:cs="宋体" w:eastAsia="宋体" w:hint="default"/>
                <w:sz w:val="21"/>
                <w:szCs w:val="21"/>
              </w:rPr>
              <w:t>变动</w:t>
            </w:r>
            <w:r>
              <w:rPr>
                <w:rFonts w:ascii="宋体" w:hAnsi="宋体" w:cs="宋体" w:eastAsia="宋体" w:hint="default"/>
                <w:spacing w:val="-103"/>
                <w:sz w:val="21"/>
                <w:szCs w:val="21"/>
              </w:rPr>
              <w:t> </w:t>
            </w:r>
            <w:r>
              <w:rPr>
                <w:rFonts w:ascii="宋体" w:hAnsi="宋体" w:cs="宋体" w:eastAsia="宋体" w:hint="default"/>
                <w:sz w:val="21"/>
                <w:szCs w:val="21"/>
              </w:rPr>
              <w:t>原因</w:t>
            </w:r>
          </w:p>
        </w:tc>
      </w:tr>
      <w:tr>
        <w:trPr>
          <w:trHeight w:val="55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黄元忠</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董事长兼</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51</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4"/>
              <w:jc w:val="center"/>
              <w:rPr>
                <w:rFonts w:ascii="宋体" w:hAnsi="宋体" w:cs="宋体" w:eastAsia="宋体" w:hint="default"/>
                <w:sz w:val="21"/>
                <w:szCs w:val="21"/>
              </w:rPr>
            </w:pPr>
            <w:r>
              <w:rPr>
                <w:rFonts w:ascii="宋体" w:hAnsi="宋体" w:cs="宋体" w:eastAsia="宋体" w:hint="default"/>
                <w:sz w:val="21"/>
                <w:szCs w:val="21"/>
              </w:rPr>
              <w:t>现任</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71" w:right="0"/>
              <w:jc w:val="left"/>
              <w:rPr>
                <w:rFonts w:ascii="Times New Roman" w:hAnsi="Times New Roman" w:cs="Times New Roman" w:eastAsia="Times New Roman" w:hint="default"/>
                <w:sz w:val="21"/>
                <w:szCs w:val="21"/>
              </w:rPr>
            </w:pPr>
            <w:r>
              <w:rPr>
                <w:rFonts w:ascii="Times New Roman"/>
                <w:sz w:val="21"/>
              </w:rPr>
              <w:t>19,930</w:t>
            </w:r>
          </w:p>
          <w:p>
            <w:pPr>
              <w:pStyle w:val="TableParagraph"/>
              <w:spacing w:line="240" w:lineRule="auto" w:before="1"/>
              <w:ind w:left="283" w:right="0"/>
              <w:jc w:val="left"/>
              <w:rPr>
                <w:rFonts w:ascii="Times New Roman" w:hAnsi="Times New Roman" w:cs="Times New Roman" w:eastAsia="Times New Roman" w:hint="default"/>
                <w:sz w:val="21"/>
                <w:szCs w:val="21"/>
              </w:rPr>
            </w:pPr>
            <w:r>
              <w:rPr>
                <w:rFonts w:ascii="Times New Roman"/>
                <w:sz w:val="21"/>
              </w:rPr>
              <w:t>,660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w w:val="100"/>
                <w:sz w:val="21"/>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w w:val="100"/>
                <w:sz w:val="21"/>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74" w:right="0"/>
              <w:jc w:val="left"/>
              <w:rPr>
                <w:rFonts w:ascii="Times New Roman" w:hAnsi="Times New Roman" w:cs="Times New Roman" w:eastAsia="Times New Roman" w:hint="default"/>
                <w:sz w:val="21"/>
                <w:szCs w:val="21"/>
              </w:rPr>
            </w:pPr>
            <w:r>
              <w:rPr>
                <w:rFonts w:ascii="Times New Roman"/>
                <w:sz w:val="21"/>
              </w:rPr>
              <w:t>35,875</w:t>
            </w:r>
          </w:p>
          <w:p>
            <w:pPr>
              <w:pStyle w:val="TableParagraph"/>
              <w:spacing w:line="240" w:lineRule="auto" w:before="1"/>
              <w:ind w:left="285" w:right="0"/>
              <w:jc w:val="left"/>
              <w:rPr>
                <w:rFonts w:ascii="Times New Roman" w:hAnsi="Times New Roman" w:cs="Times New Roman" w:eastAsia="Times New Roman" w:hint="default"/>
                <w:sz w:val="21"/>
                <w:szCs w:val="21"/>
              </w:rPr>
            </w:pPr>
            <w:r>
              <w:rPr>
                <w:rFonts w:ascii="Times New Roman"/>
                <w:sz w:val="21"/>
              </w:rPr>
              <w:t>,188</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w w:val="100"/>
                <w:sz w:val="21"/>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w w:val="100"/>
                <w:sz w:val="21"/>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w w:val="100"/>
                <w:sz w:val="21"/>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w w:val="100"/>
                <w:sz w:val="21"/>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不适</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用</w:t>
            </w:r>
          </w:p>
        </w:tc>
      </w:tr>
      <w:tr>
        <w:trPr>
          <w:trHeight w:val="110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陈克让</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both"/>
              <w:rPr>
                <w:rFonts w:ascii="宋体" w:hAnsi="宋体" w:cs="宋体" w:eastAsia="宋体" w:hint="default"/>
                <w:sz w:val="21"/>
                <w:szCs w:val="21"/>
              </w:rPr>
            </w:pPr>
            <w:r>
              <w:rPr>
                <w:rFonts w:ascii="宋体" w:hAnsi="宋体" w:cs="宋体" w:eastAsia="宋体" w:hint="default"/>
                <w:sz w:val="21"/>
                <w:szCs w:val="21"/>
              </w:rPr>
              <w:t>董事、</w:t>
            </w:r>
          </w:p>
          <w:p>
            <w:pPr>
              <w:pStyle w:val="TableParagraph"/>
              <w:spacing w:line="240" w:lineRule="auto"/>
              <w:ind w:left="26" w:right="113"/>
              <w:jc w:val="both"/>
              <w:rPr>
                <w:rFonts w:ascii="宋体" w:hAnsi="宋体" w:cs="宋体" w:eastAsia="宋体" w:hint="default"/>
                <w:sz w:val="21"/>
                <w:szCs w:val="21"/>
              </w:rPr>
            </w:pPr>
            <w:r>
              <w:rPr>
                <w:rFonts w:ascii="宋体" w:hAnsi="宋体" w:cs="宋体" w:eastAsia="宋体" w:hint="default"/>
                <w:sz w:val="21"/>
                <w:szCs w:val="21"/>
              </w:rPr>
              <w:t>副总经理</w:t>
            </w:r>
            <w:r>
              <w:rPr>
                <w:rFonts w:ascii="宋体" w:hAnsi="宋体" w:cs="宋体" w:eastAsia="宋体" w:hint="default"/>
                <w:w w:val="100"/>
                <w:sz w:val="21"/>
                <w:szCs w:val="21"/>
              </w:rPr>
              <w:t> </w:t>
            </w:r>
            <w:r>
              <w:rPr>
                <w:rFonts w:ascii="宋体" w:hAnsi="宋体" w:cs="宋体" w:eastAsia="宋体" w:hint="default"/>
                <w:sz w:val="21"/>
                <w:szCs w:val="21"/>
              </w:rPr>
              <w:t>兼董事会</w:t>
            </w:r>
            <w:r>
              <w:rPr>
                <w:rFonts w:ascii="宋体" w:hAnsi="宋体" w:cs="宋体" w:eastAsia="宋体" w:hint="default"/>
                <w:w w:val="100"/>
                <w:sz w:val="21"/>
                <w:szCs w:val="21"/>
              </w:rPr>
              <w:t> </w:t>
            </w:r>
            <w:r>
              <w:rPr>
                <w:rFonts w:ascii="宋体" w:hAnsi="宋体" w:cs="宋体" w:eastAsia="宋体" w:hint="default"/>
                <w:sz w:val="21"/>
                <w:szCs w:val="21"/>
              </w:rPr>
              <w:t>秘书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9"/>
              <w:ind w:right="0"/>
              <w:jc w:val="center"/>
              <w:rPr>
                <w:rFonts w:ascii="Times New Roman" w:hAnsi="Times New Roman" w:cs="Times New Roman" w:eastAsia="Times New Roman" w:hint="default"/>
                <w:sz w:val="21"/>
                <w:szCs w:val="21"/>
              </w:rPr>
            </w:pPr>
            <w:r>
              <w:rPr>
                <w:rFonts w:ascii="Times New Roman"/>
                <w:sz w:val="21"/>
              </w:rPr>
              <w:t>50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94"/>
              <w:jc w:val="center"/>
              <w:rPr>
                <w:rFonts w:ascii="宋体" w:hAnsi="宋体" w:cs="宋体" w:eastAsia="宋体" w:hint="default"/>
                <w:sz w:val="21"/>
                <w:szCs w:val="21"/>
              </w:rPr>
            </w:pPr>
            <w:r>
              <w:rPr>
                <w:rFonts w:ascii="宋体" w:hAnsi="宋体" w:cs="宋体" w:eastAsia="宋体" w:hint="default"/>
                <w:sz w:val="21"/>
                <w:szCs w:val="21"/>
              </w:rPr>
              <w:t>现任</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1" w:lineRule="exact"/>
              <w:ind w:left="71" w:right="0"/>
              <w:jc w:val="left"/>
              <w:rPr>
                <w:rFonts w:ascii="Times New Roman" w:hAnsi="Times New Roman" w:cs="Times New Roman" w:eastAsia="Times New Roman" w:hint="default"/>
                <w:sz w:val="21"/>
                <w:szCs w:val="21"/>
              </w:rPr>
            </w:pPr>
            <w:r>
              <w:rPr>
                <w:rFonts w:ascii="Times New Roman"/>
                <w:sz w:val="21"/>
              </w:rPr>
              <w:t>14,354</w:t>
            </w:r>
          </w:p>
          <w:p>
            <w:pPr>
              <w:pStyle w:val="TableParagraph"/>
              <w:spacing w:line="241" w:lineRule="exact"/>
              <w:ind w:left="283" w:right="0"/>
              <w:jc w:val="left"/>
              <w:rPr>
                <w:rFonts w:ascii="Times New Roman" w:hAnsi="Times New Roman" w:cs="Times New Roman" w:eastAsia="Times New Roman" w:hint="default"/>
                <w:sz w:val="21"/>
                <w:szCs w:val="21"/>
              </w:rPr>
            </w:pPr>
            <w:r>
              <w:rPr>
                <w:rFonts w:ascii="Times New Roman"/>
                <w:sz w:val="21"/>
              </w:rPr>
              <w:t>,710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9"/>
              <w:ind w:right="17"/>
              <w:jc w:val="right"/>
              <w:rPr>
                <w:rFonts w:ascii="Times New Roman" w:hAnsi="Times New Roman" w:cs="Times New Roman" w:eastAsia="Times New Roman" w:hint="default"/>
                <w:sz w:val="21"/>
                <w:szCs w:val="21"/>
              </w:rPr>
            </w:pPr>
            <w:r>
              <w:rPr>
                <w:rFonts w:ascii="Times New Roman"/>
                <w:w w:val="100"/>
                <w:sz w:val="21"/>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1" w:lineRule="exact"/>
              <w:ind w:left="127" w:right="0"/>
              <w:jc w:val="left"/>
              <w:rPr>
                <w:rFonts w:ascii="Times New Roman" w:hAnsi="Times New Roman" w:cs="Times New Roman" w:eastAsia="Times New Roman" w:hint="default"/>
                <w:sz w:val="21"/>
                <w:szCs w:val="21"/>
              </w:rPr>
            </w:pPr>
            <w:r>
              <w:rPr>
                <w:rFonts w:ascii="Times New Roman"/>
                <w:sz w:val="21"/>
              </w:rPr>
              <w:t>2,500,</w:t>
            </w:r>
          </w:p>
          <w:p>
            <w:pPr>
              <w:pStyle w:val="TableParagraph"/>
              <w:spacing w:line="241" w:lineRule="exact"/>
              <w:ind w:left="338" w:right="0"/>
              <w:jc w:val="left"/>
              <w:rPr>
                <w:rFonts w:ascii="Times New Roman" w:hAnsi="Times New Roman" w:cs="Times New Roman" w:eastAsia="Times New Roman" w:hint="default"/>
                <w:sz w:val="21"/>
                <w:szCs w:val="21"/>
              </w:rPr>
            </w:pPr>
            <w:r>
              <w:rPr>
                <w:rFonts w:ascii="Times New Roman"/>
                <w:sz w:val="21"/>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1" w:lineRule="exact"/>
              <w:ind w:left="74" w:right="0"/>
              <w:jc w:val="left"/>
              <w:rPr>
                <w:rFonts w:ascii="Times New Roman" w:hAnsi="Times New Roman" w:cs="Times New Roman" w:eastAsia="Times New Roman" w:hint="default"/>
                <w:sz w:val="21"/>
                <w:szCs w:val="21"/>
              </w:rPr>
            </w:pPr>
            <w:r>
              <w:rPr>
                <w:rFonts w:ascii="Times New Roman"/>
                <w:sz w:val="21"/>
              </w:rPr>
              <w:t>23,338</w:t>
            </w:r>
          </w:p>
          <w:p>
            <w:pPr>
              <w:pStyle w:val="TableParagraph"/>
              <w:spacing w:line="241" w:lineRule="exact"/>
              <w:ind w:left="285" w:right="0"/>
              <w:jc w:val="left"/>
              <w:rPr>
                <w:rFonts w:ascii="Times New Roman" w:hAnsi="Times New Roman" w:cs="Times New Roman" w:eastAsia="Times New Roman" w:hint="default"/>
                <w:sz w:val="21"/>
                <w:szCs w:val="21"/>
              </w:rPr>
            </w:pPr>
            <w:r>
              <w:rPr>
                <w:rFonts w:ascii="Times New Roman"/>
                <w:sz w:val="21"/>
              </w:rPr>
              <w:t>,478</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9"/>
              <w:ind w:right="19"/>
              <w:jc w:val="right"/>
              <w:rPr>
                <w:rFonts w:ascii="Times New Roman" w:hAnsi="Times New Roman" w:cs="Times New Roman" w:eastAsia="Times New Roman" w:hint="default"/>
                <w:sz w:val="21"/>
                <w:szCs w:val="21"/>
              </w:rPr>
            </w:pPr>
            <w:r>
              <w:rPr>
                <w:rFonts w:ascii="Times New Roman"/>
                <w:w w:val="100"/>
                <w:sz w:val="21"/>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9"/>
              <w:ind w:right="19"/>
              <w:jc w:val="right"/>
              <w:rPr>
                <w:rFonts w:ascii="Times New Roman" w:hAnsi="Times New Roman" w:cs="Times New Roman" w:eastAsia="Times New Roman" w:hint="default"/>
                <w:sz w:val="21"/>
                <w:szCs w:val="21"/>
              </w:rPr>
            </w:pPr>
            <w:r>
              <w:rPr>
                <w:rFonts w:ascii="Times New Roman"/>
                <w:w w:val="100"/>
                <w:sz w:val="21"/>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9"/>
              <w:ind w:right="19"/>
              <w:jc w:val="right"/>
              <w:rPr>
                <w:rFonts w:ascii="Times New Roman" w:hAnsi="Times New Roman" w:cs="Times New Roman" w:eastAsia="Times New Roman" w:hint="default"/>
                <w:sz w:val="21"/>
                <w:szCs w:val="21"/>
              </w:rPr>
            </w:pPr>
            <w:r>
              <w:rPr>
                <w:rFonts w:ascii="Times New Roman"/>
                <w:w w:val="100"/>
                <w:sz w:val="21"/>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9"/>
              <w:ind w:right="19"/>
              <w:jc w:val="right"/>
              <w:rPr>
                <w:rFonts w:ascii="Times New Roman" w:hAnsi="Times New Roman" w:cs="Times New Roman" w:eastAsia="Times New Roman" w:hint="default"/>
                <w:sz w:val="21"/>
                <w:szCs w:val="21"/>
              </w:rPr>
            </w:pPr>
            <w:r>
              <w:rPr>
                <w:rFonts w:ascii="Times New Roman"/>
                <w:w w:val="100"/>
                <w:sz w:val="21"/>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 w:right="227"/>
              <w:jc w:val="left"/>
              <w:rPr>
                <w:rFonts w:ascii="宋体" w:hAnsi="宋体" w:cs="宋体" w:eastAsia="宋体" w:hint="default"/>
                <w:sz w:val="21"/>
                <w:szCs w:val="21"/>
              </w:rPr>
            </w:pPr>
            <w:r>
              <w:rPr>
                <w:rFonts w:ascii="宋体" w:hAnsi="宋体" w:cs="宋体" w:eastAsia="宋体" w:hint="default"/>
                <w:sz w:val="21"/>
                <w:szCs w:val="21"/>
              </w:rPr>
              <w:t>减持</w:t>
            </w:r>
            <w:r>
              <w:rPr>
                <w:rFonts w:ascii="宋体" w:hAnsi="宋体" w:cs="宋体" w:eastAsia="宋体" w:hint="default"/>
                <w:spacing w:val="-103"/>
                <w:sz w:val="21"/>
                <w:szCs w:val="21"/>
              </w:rPr>
              <w:t> </w:t>
            </w:r>
            <w:r>
              <w:rPr>
                <w:rFonts w:ascii="宋体" w:hAnsi="宋体" w:cs="宋体" w:eastAsia="宋体" w:hint="default"/>
                <w:sz w:val="21"/>
                <w:szCs w:val="21"/>
              </w:rPr>
              <w:t>股份</w:t>
            </w:r>
          </w:p>
        </w:tc>
      </w:tr>
      <w:tr>
        <w:trPr>
          <w:trHeight w:val="55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黄晓峰</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董事、</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47</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4"/>
              <w:jc w:val="center"/>
              <w:rPr>
                <w:rFonts w:ascii="宋体" w:hAnsi="宋体" w:cs="宋体" w:eastAsia="宋体" w:hint="default"/>
                <w:sz w:val="21"/>
                <w:szCs w:val="21"/>
              </w:rPr>
            </w:pPr>
            <w:r>
              <w:rPr>
                <w:rFonts w:ascii="宋体" w:hAnsi="宋体" w:cs="宋体" w:eastAsia="宋体" w:hint="default"/>
                <w:sz w:val="21"/>
                <w:szCs w:val="21"/>
              </w:rPr>
              <w:t>现任</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4"/>
              <w:ind w:left="71" w:right="0"/>
              <w:jc w:val="left"/>
              <w:rPr>
                <w:rFonts w:ascii="Times New Roman" w:hAnsi="Times New Roman" w:cs="Times New Roman" w:eastAsia="Times New Roman" w:hint="default"/>
                <w:sz w:val="21"/>
                <w:szCs w:val="21"/>
              </w:rPr>
            </w:pPr>
            <w:r>
              <w:rPr>
                <w:rFonts w:ascii="Times New Roman"/>
                <w:sz w:val="21"/>
              </w:rPr>
              <w:t>14,354</w:t>
            </w:r>
          </w:p>
          <w:p>
            <w:pPr>
              <w:pStyle w:val="TableParagraph"/>
              <w:spacing w:line="241" w:lineRule="exact"/>
              <w:ind w:left="283" w:right="0"/>
              <w:jc w:val="left"/>
              <w:rPr>
                <w:rFonts w:ascii="Times New Roman" w:hAnsi="Times New Roman" w:cs="Times New Roman" w:eastAsia="Times New Roman" w:hint="default"/>
                <w:sz w:val="21"/>
                <w:szCs w:val="21"/>
              </w:rPr>
            </w:pPr>
            <w:r>
              <w:rPr>
                <w:rFonts w:ascii="Times New Roman"/>
                <w:sz w:val="21"/>
              </w:rPr>
              <w:t>,710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w w:val="100"/>
                <w:sz w:val="21"/>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w w:val="100"/>
                <w:sz w:val="21"/>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4"/>
              <w:ind w:left="74" w:right="0"/>
              <w:jc w:val="left"/>
              <w:rPr>
                <w:rFonts w:ascii="Times New Roman" w:hAnsi="Times New Roman" w:cs="Times New Roman" w:eastAsia="Times New Roman" w:hint="default"/>
                <w:sz w:val="21"/>
                <w:szCs w:val="21"/>
              </w:rPr>
            </w:pPr>
            <w:r>
              <w:rPr>
                <w:rFonts w:ascii="Times New Roman"/>
                <w:sz w:val="21"/>
              </w:rPr>
              <w:t>25,838</w:t>
            </w:r>
          </w:p>
          <w:p>
            <w:pPr>
              <w:pStyle w:val="TableParagraph"/>
              <w:spacing w:line="241" w:lineRule="exact"/>
              <w:ind w:left="285" w:right="0"/>
              <w:jc w:val="left"/>
              <w:rPr>
                <w:rFonts w:ascii="Times New Roman" w:hAnsi="Times New Roman" w:cs="Times New Roman" w:eastAsia="Times New Roman" w:hint="default"/>
                <w:sz w:val="21"/>
                <w:szCs w:val="21"/>
              </w:rPr>
            </w:pPr>
            <w:r>
              <w:rPr>
                <w:rFonts w:ascii="Times New Roman"/>
                <w:sz w:val="21"/>
              </w:rPr>
              <w:t>,477</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w w:val="100"/>
                <w:sz w:val="21"/>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w w:val="100"/>
                <w:sz w:val="21"/>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w w:val="100"/>
                <w:sz w:val="21"/>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w w:val="100"/>
                <w:sz w:val="21"/>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不适</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用</w:t>
            </w:r>
          </w:p>
        </w:tc>
      </w:tr>
      <w:tr>
        <w:trPr>
          <w:trHeight w:val="557"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任立</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54</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4"/>
              <w:jc w:val="center"/>
              <w:rPr>
                <w:rFonts w:ascii="宋体" w:hAnsi="宋体" w:cs="宋体" w:eastAsia="宋体" w:hint="default"/>
                <w:sz w:val="21"/>
                <w:szCs w:val="21"/>
              </w:rPr>
            </w:pPr>
            <w:r>
              <w:rPr>
                <w:rFonts w:ascii="宋体" w:hAnsi="宋体" w:cs="宋体" w:eastAsia="宋体" w:hint="default"/>
                <w:sz w:val="21"/>
                <w:szCs w:val="21"/>
              </w:rPr>
              <w:t>现任</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w w:val="100"/>
                <w:sz w:val="21"/>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w w:val="100"/>
                <w:sz w:val="21"/>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w w:val="100"/>
                <w:sz w:val="21"/>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w w:val="100"/>
                <w:sz w:val="21"/>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w w:val="100"/>
                <w:sz w:val="21"/>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w w:val="100"/>
                <w:sz w:val="21"/>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w w:val="100"/>
                <w:sz w:val="21"/>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w w:val="100"/>
                <w:sz w:val="21"/>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不适</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用</w:t>
            </w:r>
          </w:p>
        </w:tc>
      </w:tr>
      <w:tr>
        <w:trPr>
          <w:trHeight w:val="557"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高文舍</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54</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4"/>
              <w:jc w:val="center"/>
              <w:rPr>
                <w:rFonts w:ascii="宋体" w:hAnsi="宋体" w:cs="宋体" w:eastAsia="宋体" w:hint="default"/>
                <w:sz w:val="21"/>
                <w:szCs w:val="21"/>
              </w:rPr>
            </w:pPr>
            <w:r>
              <w:rPr>
                <w:rFonts w:ascii="宋体" w:hAnsi="宋体" w:cs="宋体" w:eastAsia="宋体" w:hint="default"/>
                <w:sz w:val="21"/>
                <w:szCs w:val="21"/>
              </w:rPr>
              <w:t>现任</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w w:val="100"/>
                <w:sz w:val="21"/>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w w:val="100"/>
                <w:sz w:val="21"/>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w w:val="100"/>
                <w:sz w:val="21"/>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w w:val="100"/>
                <w:sz w:val="21"/>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w w:val="100"/>
                <w:sz w:val="21"/>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w w:val="100"/>
                <w:sz w:val="21"/>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w w:val="100"/>
                <w:sz w:val="21"/>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w w:val="100"/>
                <w:sz w:val="21"/>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不适</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用</w:t>
            </w:r>
          </w:p>
        </w:tc>
      </w:tr>
      <w:tr>
        <w:trPr>
          <w:trHeight w:val="55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李亮</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49</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4"/>
              <w:jc w:val="center"/>
              <w:rPr>
                <w:rFonts w:ascii="宋体" w:hAnsi="宋体" w:cs="宋体" w:eastAsia="宋体" w:hint="default"/>
                <w:sz w:val="21"/>
                <w:szCs w:val="21"/>
              </w:rPr>
            </w:pPr>
            <w:r>
              <w:rPr>
                <w:rFonts w:ascii="宋体" w:hAnsi="宋体" w:cs="宋体" w:eastAsia="宋体" w:hint="default"/>
                <w:sz w:val="21"/>
                <w:szCs w:val="21"/>
              </w:rPr>
              <w:t>现任</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w w:val="100"/>
                <w:sz w:val="21"/>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w w:val="100"/>
                <w:sz w:val="21"/>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w w:val="100"/>
                <w:sz w:val="21"/>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w w:val="100"/>
                <w:sz w:val="21"/>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w w:val="100"/>
                <w:sz w:val="21"/>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w w:val="100"/>
                <w:sz w:val="21"/>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w w:val="100"/>
                <w:sz w:val="21"/>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w w:val="100"/>
                <w:sz w:val="21"/>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不适</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用</w:t>
            </w:r>
          </w:p>
        </w:tc>
      </w:tr>
      <w:tr>
        <w:trPr>
          <w:trHeight w:val="557"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陈赛芝</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51</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4"/>
              <w:jc w:val="center"/>
              <w:rPr>
                <w:rFonts w:ascii="宋体" w:hAnsi="宋体" w:cs="宋体" w:eastAsia="宋体" w:hint="default"/>
                <w:sz w:val="21"/>
                <w:szCs w:val="21"/>
              </w:rPr>
            </w:pPr>
            <w:r>
              <w:rPr>
                <w:rFonts w:ascii="宋体" w:hAnsi="宋体" w:cs="宋体" w:eastAsia="宋体" w:hint="default"/>
                <w:sz w:val="21"/>
                <w:szCs w:val="21"/>
              </w:rPr>
              <w:t>现任</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w w:val="100"/>
                <w:sz w:val="21"/>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w w:val="100"/>
                <w:sz w:val="21"/>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w w:val="100"/>
                <w:sz w:val="21"/>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w w:val="100"/>
                <w:sz w:val="21"/>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w w:val="100"/>
                <w:sz w:val="21"/>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w w:val="100"/>
                <w:sz w:val="21"/>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w w:val="100"/>
                <w:sz w:val="21"/>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w w:val="100"/>
                <w:sz w:val="21"/>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不适</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用</w:t>
            </w:r>
          </w:p>
        </w:tc>
      </w:tr>
      <w:tr>
        <w:trPr>
          <w:trHeight w:val="557"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张振华</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监事会主</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席</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51</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4"/>
              <w:jc w:val="center"/>
              <w:rPr>
                <w:rFonts w:ascii="宋体" w:hAnsi="宋体" w:cs="宋体" w:eastAsia="宋体" w:hint="default"/>
                <w:sz w:val="21"/>
                <w:szCs w:val="21"/>
              </w:rPr>
            </w:pPr>
            <w:r>
              <w:rPr>
                <w:rFonts w:ascii="宋体" w:hAnsi="宋体" w:cs="宋体" w:eastAsia="宋体" w:hint="default"/>
                <w:sz w:val="21"/>
                <w:szCs w:val="21"/>
              </w:rPr>
              <w:t>现任</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w w:val="100"/>
                <w:sz w:val="21"/>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w w:val="100"/>
                <w:sz w:val="21"/>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w w:val="100"/>
                <w:sz w:val="21"/>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w w:val="100"/>
                <w:sz w:val="21"/>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w w:val="100"/>
                <w:sz w:val="21"/>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w w:val="100"/>
                <w:sz w:val="21"/>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w w:val="100"/>
                <w:sz w:val="21"/>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w w:val="100"/>
                <w:sz w:val="21"/>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不适</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用</w:t>
            </w:r>
          </w:p>
        </w:tc>
      </w:tr>
      <w:tr>
        <w:trPr>
          <w:trHeight w:val="55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武文静</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33</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4"/>
              <w:jc w:val="center"/>
              <w:rPr>
                <w:rFonts w:ascii="宋体" w:hAnsi="宋体" w:cs="宋体" w:eastAsia="宋体" w:hint="default"/>
                <w:sz w:val="21"/>
                <w:szCs w:val="21"/>
              </w:rPr>
            </w:pPr>
            <w:r>
              <w:rPr>
                <w:rFonts w:ascii="宋体" w:hAnsi="宋体" w:cs="宋体" w:eastAsia="宋体" w:hint="default"/>
                <w:sz w:val="21"/>
                <w:szCs w:val="21"/>
              </w:rPr>
              <w:t>现任</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w w:val="100"/>
                <w:sz w:val="21"/>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w w:val="100"/>
                <w:sz w:val="21"/>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w w:val="100"/>
                <w:sz w:val="21"/>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w w:val="100"/>
                <w:sz w:val="21"/>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w w:val="100"/>
                <w:sz w:val="21"/>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w w:val="100"/>
                <w:sz w:val="21"/>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w w:val="100"/>
                <w:sz w:val="21"/>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w w:val="100"/>
                <w:sz w:val="21"/>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不适</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用</w:t>
            </w:r>
          </w:p>
        </w:tc>
      </w:tr>
      <w:tr>
        <w:trPr>
          <w:trHeight w:val="557"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何华辉</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职工监事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31</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4"/>
              <w:jc w:val="center"/>
              <w:rPr>
                <w:rFonts w:ascii="宋体" w:hAnsi="宋体" w:cs="宋体" w:eastAsia="宋体" w:hint="default"/>
                <w:sz w:val="21"/>
                <w:szCs w:val="21"/>
              </w:rPr>
            </w:pPr>
            <w:r>
              <w:rPr>
                <w:rFonts w:ascii="宋体" w:hAnsi="宋体" w:cs="宋体" w:eastAsia="宋体" w:hint="default"/>
                <w:sz w:val="21"/>
                <w:szCs w:val="21"/>
              </w:rPr>
              <w:t>现任</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w w:val="100"/>
                <w:sz w:val="21"/>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w w:val="100"/>
                <w:sz w:val="21"/>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w w:val="100"/>
                <w:sz w:val="21"/>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w w:val="100"/>
                <w:sz w:val="21"/>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w w:val="100"/>
                <w:sz w:val="21"/>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w w:val="100"/>
                <w:sz w:val="21"/>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w w:val="100"/>
                <w:sz w:val="21"/>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w w:val="100"/>
                <w:sz w:val="21"/>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不适</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用</w:t>
            </w:r>
          </w:p>
        </w:tc>
      </w:tr>
      <w:tr>
        <w:trPr>
          <w:trHeight w:val="828"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孙晓玲</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副总经理</w:t>
            </w:r>
          </w:p>
          <w:p>
            <w:pPr>
              <w:pStyle w:val="TableParagraph"/>
              <w:spacing w:line="240" w:lineRule="auto"/>
              <w:ind w:left="26" w:right="113"/>
              <w:jc w:val="left"/>
              <w:rPr>
                <w:rFonts w:ascii="宋体" w:hAnsi="宋体" w:cs="宋体" w:eastAsia="宋体" w:hint="default"/>
                <w:sz w:val="21"/>
                <w:szCs w:val="21"/>
              </w:rPr>
            </w:pPr>
            <w:r>
              <w:rPr>
                <w:rFonts w:ascii="宋体" w:hAnsi="宋体" w:cs="宋体" w:eastAsia="宋体" w:hint="default"/>
                <w:sz w:val="21"/>
                <w:szCs w:val="21"/>
              </w:rPr>
              <w:t>兼财务总</w:t>
            </w:r>
            <w:r>
              <w:rPr>
                <w:rFonts w:ascii="宋体" w:hAnsi="宋体" w:cs="宋体" w:eastAsia="宋体" w:hint="default"/>
                <w:w w:val="100"/>
                <w:sz w:val="21"/>
                <w:szCs w:val="21"/>
              </w:rPr>
              <w:t> </w:t>
            </w:r>
            <w:r>
              <w:rPr>
                <w:rFonts w:ascii="宋体" w:hAnsi="宋体" w:cs="宋体" w:eastAsia="宋体" w:hint="default"/>
                <w:sz w:val="21"/>
                <w:szCs w:val="21"/>
              </w:rPr>
              <w:t>监</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43</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4"/>
              <w:jc w:val="center"/>
              <w:rPr>
                <w:rFonts w:ascii="宋体" w:hAnsi="宋体" w:cs="宋体" w:eastAsia="宋体" w:hint="default"/>
                <w:sz w:val="21"/>
                <w:szCs w:val="21"/>
              </w:rPr>
            </w:pPr>
            <w:r>
              <w:rPr>
                <w:rFonts w:ascii="宋体" w:hAnsi="宋体" w:cs="宋体" w:eastAsia="宋体" w:hint="default"/>
                <w:sz w:val="21"/>
                <w:szCs w:val="21"/>
              </w:rPr>
              <w:t>现任</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24" w:right="0"/>
              <w:jc w:val="left"/>
              <w:rPr>
                <w:rFonts w:ascii="Times New Roman" w:hAnsi="Times New Roman" w:cs="Times New Roman" w:eastAsia="Times New Roman" w:hint="default"/>
                <w:sz w:val="21"/>
                <w:szCs w:val="21"/>
              </w:rPr>
            </w:pPr>
            <w:r>
              <w:rPr>
                <w:rFonts w:ascii="Times New Roman"/>
                <w:sz w:val="21"/>
              </w:rPr>
              <w:t>1,502,</w:t>
            </w:r>
          </w:p>
          <w:p>
            <w:pPr>
              <w:pStyle w:val="TableParagraph"/>
              <w:spacing w:line="240" w:lineRule="auto" w:before="1"/>
              <w:ind w:left="335" w:right="0"/>
              <w:jc w:val="left"/>
              <w:rPr>
                <w:rFonts w:ascii="Times New Roman" w:hAnsi="Times New Roman" w:cs="Times New Roman" w:eastAsia="Times New Roman" w:hint="default"/>
                <w:sz w:val="21"/>
                <w:szCs w:val="21"/>
              </w:rPr>
            </w:pPr>
            <w:r>
              <w:rPr>
                <w:rFonts w:ascii="Times New Roman"/>
                <w:sz w:val="21"/>
              </w:rPr>
              <w:t>466</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w w:val="100"/>
                <w:sz w:val="21"/>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7"/>
              <w:jc w:val="right"/>
              <w:rPr>
                <w:rFonts w:ascii="Times New Roman" w:hAnsi="Times New Roman" w:cs="Times New Roman" w:eastAsia="Times New Roman" w:hint="default"/>
                <w:sz w:val="21"/>
                <w:szCs w:val="21"/>
              </w:rPr>
            </w:pPr>
            <w:r>
              <w:rPr>
                <w:rFonts w:ascii="Times New Roman"/>
                <w:sz w:val="21"/>
              </w:rPr>
              <w:t>550,80</w:t>
            </w:r>
          </w:p>
          <w:p>
            <w:pPr>
              <w:pStyle w:val="TableParagraph"/>
              <w:spacing w:line="240" w:lineRule="auto" w:before="1"/>
              <w:ind w:right="19"/>
              <w:jc w:val="right"/>
              <w:rPr>
                <w:rFonts w:ascii="Times New Roman" w:hAnsi="Times New Roman" w:cs="Times New Roman" w:eastAsia="Times New Roman" w:hint="default"/>
                <w:sz w:val="21"/>
                <w:szCs w:val="21"/>
              </w:rPr>
            </w:pPr>
            <w:r>
              <w:rPr>
                <w:rFonts w:ascii="Times New Roman"/>
                <w:w w:val="100"/>
                <w:sz w:val="21"/>
              </w:rPr>
              <w:t>4</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27" w:right="0"/>
              <w:jc w:val="left"/>
              <w:rPr>
                <w:rFonts w:ascii="Times New Roman" w:hAnsi="Times New Roman" w:cs="Times New Roman" w:eastAsia="Times New Roman" w:hint="default"/>
                <w:sz w:val="21"/>
                <w:szCs w:val="21"/>
              </w:rPr>
            </w:pPr>
            <w:r>
              <w:rPr>
                <w:rFonts w:ascii="Times New Roman"/>
                <w:sz w:val="21"/>
              </w:rPr>
              <w:t>2,259,</w:t>
            </w:r>
          </w:p>
          <w:p>
            <w:pPr>
              <w:pStyle w:val="TableParagraph"/>
              <w:spacing w:line="240" w:lineRule="auto" w:before="1"/>
              <w:ind w:left="338" w:right="0"/>
              <w:jc w:val="left"/>
              <w:rPr>
                <w:rFonts w:ascii="Times New Roman" w:hAnsi="Times New Roman" w:cs="Times New Roman" w:eastAsia="Times New Roman" w:hint="default"/>
                <w:sz w:val="21"/>
                <w:szCs w:val="21"/>
              </w:rPr>
            </w:pPr>
            <w:r>
              <w:rPr>
                <w:rFonts w:ascii="Times New Roman"/>
                <w:sz w:val="21"/>
              </w:rPr>
              <w:t>614</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227"/>
              <w:jc w:val="left"/>
              <w:rPr>
                <w:rFonts w:ascii="宋体" w:hAnsi="宋体" w:cs="宋体" w:eastAsia="宋体" w:hint="default"/>
                <w:sz w:val="21"/>
                <w:szCs w:val="21"/>
              </w:rPr>
            </w:pPr>
            <w:r>
              <w:rPr>
                <w:rFonts w:ascii="宋体" w:hAnsi="宋体" w:cs="宋体" w:eastAsia="宋体" w:hint="default"/>
                <w:sz w:val="21"/>
                <w:szCs w:val="21"/>
              </w:rPr>
              <w:t>减持</w:t>
            </w:r>
            <w:r>
              <w:rPr>
                <w:rFonts w:ascii="宋体" w:hAnsi="宋体" w:cs="宋体" w:eastAsia="宋体" w:hint="default"/>
                <w:spacing w:val="-103"/>
                <w:sz w:val="21"/>
                <w:szCs w:val="21"/>
              </w:rPr>
              <w:t> </w:t>
            </w:r>
            <w:r>
              <w:rPr>
                <w:rFonts w:ascii="宋体" w:hAnsi="宋体" w:cs="宋体" w:eastAsia="宋体" w:hint="default"/>
                <w:sz w:val="21"/>
                <w:szCs w:val="21"/>
              </w:rPr>
              <w:t>股份</w:t>
            </w:r>
          </w:p>
        </w:tc>
      </w:tr>
      <w:tr>
        <w:trPr>
          <w:trHeight w:val="557"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杨颖</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51</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4"/>
              <w:jc w:val="center"/>
              <w:rPr>
                <w:rFonts w:ascii="宋体" w:hAnsi="宋体" w:cs="宋体" w:eastAsia="宋体" w:hint="default"/>
                <w:sz w:val="21"/>
                <w:szCs w:val="21"/>
              </w:rPr>
            </w:pPr>
            <w:r>
              <w:rPr>
                <w:rFonts w:ascii="宋体" w:hAnsi="宋体" w:cs="宋体" w:eastAsia="宋体" w:hint="default"/>
                <w:sz w:val="21"/>
                <w:szCs w:val="21"/>
              </w:rPr>
              <w:t>现任</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7"/>
              <w:ind w:left="124" w:right="0"/>
              <w:jc w:val="left"/>
              <w:rPr>
                <w:rFonts w:ascii="Times New Roman" w:hAnsi="Times New Roman" w:cs="Times New Roman" w:eastAsia="Times New Roman" w:hint="default"/>
                <w:sz w:val="21"/>
                <w:szCs w:val="21"/>
              </w:rPr>
            </w:pPr>
            <w:r>
              <w:rPr>
                <w:rFonts w:ascii="Times New Roman"/>
                <w:sz w:val="21"/>
              </w:rPr>
              <w:t>1,193,</w:t>
            </w:r>
          </w:p>
          <w:p>
            <w:pPr>
              <w:pStyle w:val="TableParagraph"/>
              <w:spacing w:line="241" w:lineRule="exact"/>
              <w:ind w:left="335" w:right="0"/>
              <w:jc w:val="left"/>
              <w:rPr>
                <w:rFonts w:ascii="Times New Roman" w:hAnsi="Times New Roman" w:cs="Times New Roman" w:eastAsia="Times New Roman" w:hint="default"/>
                <w:sz w:val="21"/>
                <w:szCs w:val="21"/>
              </w:rPr>
            </w:pPr>
            <w:r>
              <w:rPr>
                <w:rFonts w:ascii="Times New Roman"/>
                <w:sz w:val="21"/>
              </w:rPr>
              <w:t>404</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w w:val="100"/>
                <w:sz w:val="21"/>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7"/>
              <w:ind w:right="17"/>
              <w:jc w:val="right"/>
              <w:rPr>
                <w:rFonts w:ascii="Times New Roman" w:hAnsi="Times New Roman" w:cs="Times New Roman" w:eastAsia="Times New Roman" w:hint="default"/>
                <w:sz w:val="21"/>
                <w:szCs w:val="21"/>
              </w:rPr>
            </w:pPr>
            <w:r>
              <w:rPr>
                <w:rFonts w:ascii="Times New Roman"/>
                <w:sz w:val="21"/>
              </w:rPr>
              <w:t>188,32</w:t>
            </w:r>
          </w:p>
          <w:p>
            <w:pPr>
              <w:pStyle w:val="TableParagraph"/>
              <w:spacing w:line="241" w:lineRule="exact"/>
              <w:ind w:right="19"/>
              <w:jc w:val="right"/>
              <w:rPr>
                <w:rFonts w:ascii="Times New Roman" w:hAnsi="Times New Roman" w:cs="Times New Roman" w:eastAsia="Times New Roman" w:hint="default"/>
                <w:sz w:val="21"/>
                <w:szCs w:val="21"/>
              </w:rPr>
            </w:pPr>
            <w:r>
              <w:rPr>
                <w:rFonts w:ascii="Times New Roman"/>
                <w:w w:val="100"/>
                <w:sz w:val="21"/>
              </w:rPr>
              <w:t>7</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7"/>
              <w:ind w:left="127" w:right="0"/>
              <w:jc w:val="left"/>
              <w:rPr>
                <w:rFonts w:ascii="Times New Roman" w:hAnsi="Times New Roman" w:cs="Times New Roman" w:eastAsia="Times New Roman" w:hint="default"/>
                <w:sz w:val="21"/>
                <w:szCs w:val="21"/>
              </w:rPr>
            </w:pPr>
            <w:r>
              <w:rPr>
                <w:rFonts w:ascii="Times New Roman"/>
                <w:sz w:val="21"/>
              </w:rPr>
              <w:t>1,919,</w:t>
            </w:r>
          </w:p>
          <w:p>
            <w:pPr>
              <w:pStyle w:val="TableParagraph"/>
              <w:spacing w:line="241" w:lineRule="exact"/>
              <w:ind w:left="338" w:right="0"/>
              <w:jc w:val="left"/>
              <w:rPr>
                <w:rFonts w:ascii="Times New Roman" w:hAnsi="Times New Roman" w:cs="Times New Roman" w:eastAsia="Times New Roman" w:hint="default"/>
                <w:sz w:val="21"/>
                <w:szCs w:val="21"/>
              </w:rPr>
            </w:pPr>
            <w:r>
              <w:rPr>
                <w:rFonts w:ascii="Times New Roman"/>
                <w:sz w:val="21"/>
              </w:rPr>
              <w:t>837</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w w:val="100"/>
                <w:sz w:val="21"/>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w w:val="100"/>
                <w:sz w:val="21"/>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w w:val="100"/>
                <w:sz w:val="21"/>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w w:val="100"/>
                <w:sz w:val="21"/>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减持</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股份</w:t>
            </w:r>
          </w:p>
        </w:tc>
      </w:tr>
      <w:tr>
        <w:trPr>
          <w:trHeight w:val="492" w:hRule="exact"/>
        </w:trPr>
        <w:tc>
          <w:tcPr>
            <w:tcW w:w="7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1"/>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9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3"/>
              <w:ind w:left="4" w:right="0"/>
              <w:jc w:val="center"/>
              <w:rPr>
                <w:rFonts w:ascii="Times New Roman" w:hAnsi="Times New Roman" w:cs="Times New Roman" w:eastAsia="Times New Roman" w:hint="default"/>
                <w:sz w:val="21"/>
                <w:szCs w:val="21"/>
              </w:rPr>
            </w:pPr>
            <w:r>
              <w:rPr>
                <w:rFonts w:ascii="Times New Roman"/>
                <w:sz w:val="21"/>
              </w:rPr>
              <w:t>--</w:t>
            </w:r>
          </w:p>
        </w:tc>
        <w:tc>
          <w:tcPr>
            <w:tcW w:w="5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3"/>
              <w:ind w:right="0"/>
              <w:jc w:val="center"/>
              <w:rPr>
                <w:rFonts w:ascii="Times New Roman" w:hAnsi="Times New Roman" w:cs="Times New Roman" w:eastAsia="Times New Roman" w:hint="default"/>
                <w:sz w:val="21"/>
                <w:szCs w:val="21"/>
              </w:rPr>
            </w:pPr>
            <w:r>
              <w:rPr>
                <w:rFonts w:ascii="Times New Roman"/>
                <w:sz w:val="21"/>
              </w:rPr>
              <w:t>--</w:t>
            </w:r>
          </w:p>
        </w:tc>
        <w:tc>
          <w:tcPr>
            <w:tcW w:w="5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3"/>
              <w:ind w:right="0"/>
              <w:jc w:val="center"/>
              <w:rPr>
                <w:rFonts w:ascii="Times New Roman" w:hAnsi="Times New Roman" w:cs="Times New Roman" w:eastAsia="Times New Roman" w:hint="default"/>
                <w:sz w:val="21"/>
                <w:szCs w:val="21"/>
              </w:rPr>
            </w:pPr>
            <w:r>
              <w:rPr>
                <w:rFonts w:ascii="Times New Roman"/>
                <w:sz w:val="21"/>
              </w:rPr>
              <w:t>--</w:t>
            </w:r>
          </w:p>
        </w:tc>
        <w:tc>
          <w:tcPr>
            <w:tcW w:w="5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3"/>
              <w:ind w:right="0"/>
              <w:jc w:val="center"/>
              <w:rPr>
                <w:rFonts w:ascii="Times New Roman" w:hAnsi="Times New Roman" w:cs="Times New Roman" w:eastAsia="Times New Roman" w:hint="default"/>
                <w:sz w:val="21"/>
                <w:szCs w:val="21"/>
              </w:rPr>
            </w:pPr>
            <w:r>
              <w:rPr>
                <w:rFonts w:ascii="Times New Roman"/>
                <w:sz w:val="21"/>
              </w:rPr>
              <w:t>--</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1" w:right="0"/>
              <w:jc w:val="left"/>
              <w:rPr>
                <w:rFonts w:ascii="Times New Roman" w:hAnsi="Times New Roman" w:cs="Times New Roman" w:eastAsia="Times New Roman" w:hint="default"/>
                <w:sz w:val="21"/>
                <w:szCs w:val="21"/>
              </w:rPr>
            </w:pPr>
            <w:r>
              <w:rPr>
                <w:rFonts w:ascii="Times New Roman"/>
                <w:sz w:val="21"/>
              </w:rPr>
              <w:t>51,335</w:t>
            </w:r>
          </w:p>
          <w:p>
            <w:pPr>
              <w:pStyle w:val="TableParagraph"/>
              <w:spacing w:line="240" w:lineRule="auto" w:before="1"/>
              <w:ind w:left="283" w:right="0"/>
              <w:jc w:val="left"/>
              <w:rPr>
                <w:rFonts w:ascii="Times New Roman" w:hAnsi="Times New Roman" w:cs="Times New Roman" w:eastAsia="Times New Roman" w:hint="default"/>
                <w:sz w:val="21"/>
                <w:szCs w:val="21"/>
              </w:rPr>
            </w:pPr>
            <w:r>
              <w:rPr>
                <w:rFonts w:ascii="Times New Roman"/>
                <w:sz w:val="21"/>
              </w:rPr>
              <w:t>,950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7"/>
              <w:jc w:val="right"/>
              <w:rPr>
                <w:rFonts w:ascii="Times New Roman" w:hAnsi="Times New Roman" w:cs="Times New Roman" w:eastAsia="Times New Roman" w:hint="default"/>
                <w:sz w:val="21"/>
                <w:szCs w:val="21"/>
              </w:rPr>
            </w:pPr>
            <w:r>
              <w:rPr>
                <w:rFonts w:ascii="Times New Roman"/>
                <w:w w:val="100"/>
                <w:sz w:val="21"/>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27" w:right="0"/>
              <w:jc w:val="left"/>
              <w:rPr>
                <w:rFonts w:ascii="Times New Roman" w:hAnsi="Times New Roman" w:cs="Times New Roman" w:eastAsia="Times New Roman" w:hint="default"/>
                <w:sz w:val="21"/>
                <w:szCs w:val="21"/>
              </w:rPr>
            </w:pPr>
            <w:r>
              <w:rPr>
                <w:rFonts w:ascii="Times New Roman"/>
                <w:sz w:val="21"/>
              </w:rPr>
              <w:t>3,239,</w:t>
            </w:r>
          </w:p>
          <w:p>
            <w:pPr>
              <w:pStyle w:val="TableParagraph"/>
              <w:spacing w:line="240" w:lineRule="auto" w:before="1"/>
              <w:ind w:left="338" w:right="0"/>
              <w:jc w:val="left"/>
              <w:rPr>
                <w:rFonts w:ascii="Times New Roman" w:hAnsi="Times New Roman" w:cs="Times New Roman" w:eastAsia="Times New Roman" w:hint="default"/>
                <w:sz w:val="21"/>
                <w:szCs w:val="21"/>
              </w:rPr>
            </w:pPr>
            <w:r>
              <w:rPr>
                <w:rFonts w:ascii="Times New Roman"/>
                <w:sz w:val="21"/>
              </w:rPr>
              <w:t>131</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4" w:right="0"/>
              <w:jc w:val="left"/>
              <w:rPr>
                <w:rFonts w:ascii="Times New Roman" w:hAnsi="Times New Roman" w:cs="Times New Roman" w:eastAsia="Times New Roman" w:hint="default"/>
                <w:sz w:val="21"/>
                <w:szCs w:val="21"/>
              </w:rPr>
            </w:pPr>
            <w:r>
              <w:rPr>
                <w:rFonts w:ascii="Times New Roman"/>
                <w:sz w:val="21"/>
              </w:rPr>
              <w:t>89,231</w:t>
            </w:r>
          </w:p>
          <w:p>
            <w:pPr>
              <w:pStyle w:val="TableParagraph"/>
              <w:spacing w:line="240" w:lineRule="auto" w:before="1"/>
              <w:ind w:left="285" w:right="0"/>
              <w:jc w:val="left"/>
              <w:rPr>
                <w:rFonts w:ascii="Times New Roman" w:hAnsi="Times New Roman" w:cs="Times New Roman" w:eastAsia="Times New Roman" w:hint="default"/>
                <w:sz w:val="21"/>
                <w:szCs w:val="21"/>
              </w:rPr>
            </w:pPr>
            <w:r>
              <w:rPr>
                <w:rFonts w:ascii="Times New Roman"/>
                <w:sz w:val="21"/>
              </w:rPr>
              <w:t>,594</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9"/>
              <w:jc w:val="right"/>
              <w:rPr>
                <w:rFonts w:ascii="Times New Roman" w:hAnsi="Times New Roman" w:cs="Times New Roman" w:eastAsia="Times New Roman" w:hint="default"/>
                <w:sz w:val="21"/>
                <w:szCs w:val="21"/>
              </w:rPr>
            </w:pPr>
            <w:r>
              <w:rPr>
                <w:rFonts w:ascii="Times New Roman"/>
                <w:w w:val="100"/>
                <w:sz w:val="21"/>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9"/>
              <w:jc w:val="right"/>
              <w:rPr>
                <w:rFonts w:ascii="Times New Roman" w:hAnsi="Times New Roman" w:cs="Times New Roman" w:eastAsia="Times New Roman" w:hint="default"/>
                <w:sz w:val="21"/>
                <w:szCs w:val="21"/>
              </w:rPr>
            </w:pPr>
            <w:r>
              <w:rPr>
                <w:rFonts w:ascii="Times New Roman"/>
                <w:w w:val="100"/>
                <w:sz w:val="21"/>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9"/>
              <w:jc w:val="right"/>
              <w:rPr>
                <w:rFonts w:ascii="Times New Roman" w:hAnsi="Times New Roman" w:cs="Times New Roman" w:eastAsia="Times New Roman" w:hint="default"/>
                <w:sz w:val="21"/>
                <w:szCs w:val="21"/>
              </w:rPr>
            </w:pPr>
            <w:r>
              <w:rPr>
                <w:rFonts w:ascii="Times New Roman"/>
                <w:w w:val="100"/>
                <w:sz w:val="21"/>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9"/>
              <w:jc w:val="right"/>
              <w:rPr>
                <w:rFonts w:ascii="Times New Roman" w:hAnsi="Times New Roman" w:cs="Times New Roman" w:eastAsia="Times New Roman" w:hint="default"/>
                <w:sz w:val="21"/>
                <w:szCs w:val="21"/>
              </w:rPr>
            </w:pPr>
            <w:r>
              <w:rPr>
                <w:rFonts w:ascii="Times New Roman"/>
                <w:w w:val="100"/>
                <w:sz w:val="21"/>
              </w:rPr>
              <w:t>0</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3"/>
              <w:ind w:left="3" w:right="0"/>
              <w:jc w:val="center"/>
              <w:rPr>
                <w:rFonts w:ascii="Times New Roman" w:hAnsi="Times New Roman" w:cs="Times New Roman" w:eastAsia="Times New Roman" w:hint="default"/>
                <w:sz w:val="21"/>
                <w:szCs w:val="21"/>
              </w:rPr>
            </w:pPr>
            <w:r>
              <w:rPr>
                <w:rFonts w:ascii="Times New Roman"/>
                <w:sz w:val="21"/>
              </w:rPr>
              <w:t>--</w:t>
            </w:r>
          </w:p>
        </w:tc>
      </w:tr>
    </w:tbl>
    <w:p>
      <w:pPr>
        <w:spacing w:after="0" w:line="240" w:lineRule="auto"/>
        <w:jc w:val="center"/>
        <w:rPr>
          <w:rFonts w:ascii="Times New Roman" w:hAnsi="Times New Roman" w:cs="Times New Roman" w:eastAsia="Times New Roman" w:hint="default"/>
          <w:sz w:val="21"/>
          <w:szCs w:val="21"/>
        </w:rPr>
        <w:sectPr>
          <w:pgSz w:w="11910" w:h="16840"/>
          <w:pgMar w:header="748" w:footer="982" w:top="1060" w:bottom="1180" w:left="980" w:right="980"/>
        </w:sectPr>
      </w:pPr>
    </w:p>
    <w:p>
      <w:pPr>
        <w:spacing w:line="240" w:lineRule="auto" w:before="8"/>
        <w:rPr>
          <w:rFonts w:ascii="宋体" w:hAnsi="宋体" w:cs="宋体" w:eastAsia="宋体" w:hint="default"/>
          <w:sz w:val="24"/>
          <w:szCs w:val="24"/>
        </w:rPr>
      </w:pPr>
    </w:p>
    <w:p>
      <w:pPr>
        <w:pStyle w:val="Heading5"/>
        <w:spacing w:line="240" w:lineRule="auto" w:before="36"/>
        <w:ind w:right="0"/>
        <w:jc w:val="left"/>
        <w:rPr>
          <w:b w:val="0"/>
          <w:bCs w:val="0"/>
        </w:rPr>
      </w:pPr>
      <w:r>
        <w:rPr>
          <w:rFonts w:ascii="Times New Roman" w:hAnsi="Times New Roman" w:cs="Times New Roman" w:eastAsia="Times New Roman" w:hint="default"/>
        </w:rPr>
        <w:t>2</w:t>
      </w:r>
      <w:r>
        <w:rPr/>
        <w:t>、持有股票期权情况</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right="0"/>
        <w:jc w:val="left"/>
      </w:pPr>
      <w:bookmarkStart w:name="2、持有股票期权情况" w:id="91"/>
      <w:bookmarkEnd w:id="91"/>
      <w:r>
        <w:rPr/>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8"/>
        <w:rPr>
          <w:rFonts w:ascii="宋体" w:hAnsi="宋体" w:cs="宋体" w:eastAsia="宋体" w:hint="default"/>
          <w:sz w:val="22"/>
          <w:szCs w:val="22"/>
        </w:rPr>
      </w:pPr>
    </w:p>
    <w:p>
      <w:pPr>
        <w:pStyle w:val="Heading4"/>
        <w:spacing w:line="240" w:lineRule="auto"/>
        <w:ind w:right="0"/>
        <w:jc w:val="left"/>
        <w:rPr>
          <w:b w:val="0"/>
          <w:bCs w:val="0"/>
        </w:rPr>
      </w:pPr>
      <w:bookmarkStart w:name="二、任职情况" w:id="92"/>
      <w:bookmarkEnd w:id="92"/>
      <w:r>
        <w:rPr>
          <w:b w:val="0"/>
          <w:bCs w:val="0"/>
        </w:rPr>
      </w:r>
      <w:r>
        <w:rPr/>
        <w:t>二、任职情况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72" w:right="0"/>
        <w:jc w:val="left"/>
      </w:pPr>
      <w:r>
        <w:rPr/>
        <w:t>公司现任董事、监事、高级管理人员最近</w:t>
      </w:r>
      <w:r>
        <w:rPr>
          <w:spacing w:val="-54"/>
        </w:rPr>
        <w:t> </w:t>
      </w:r>
      <w:r>
        <w:rPr>
          <w:rFonts w:ascii="宋体" w:hAnsi="宋体" w:cs="宋体" w:eastAsia="宋体" w:hint="default"/>
        </w:rPr>
        <w:t>5</w:t>
      </w:r>
      <w:r>
        <w:rPr>
          <w:rFonts w:ascii="宋体" w:hAnsi="宋体" w:cs="宋体" w:eastAsia="宋体" w:hint="default"/>
          <w:spacing w:val="-54"/>
        </w:rPr>
        <w:t> </w:t>
      </w:r>
      <w:r>
        <w:rPr/>
        <w:t>年的主要工作经历</w:t>
      </w:r>
    </w:p>
    <w:p>
      <w:pPr>
        <w:pStyle w:val="Heading5"/>
        <w:spacing w:line="240" w:lineRule="auto" w:before="85"/>
        <w:ind w:left="572" w:right="0"/>
        <w:jc w:val="left"/>
        <w:rPr>
          <w:b w:val="0"/>
          <w:bCs w:val="0"/>
        </w:rPr>
      </w:pPr>
      <w:r>
        <w:rPr>
          <w:rFonts w:ascii="宋体" w:hAnsi="宋体" w:cs="宋体" w:eastAsia="宋体" w:hint="default"/>
        </w:rPr>
        <w:t>1</w:t>
      </w:r>
      <w:r>
        <w:rPr/>
        <w:t>、董事会成员</w:t>
      </w:r>
      <w:r>
        <w:rPr>
          <w:b w:val="0"/>
          <w:bCs w:val="0"/>
        </w:rPr>
      </w:r>
    </w:p>
    <w:p>
      <w:pPr>
        <w:pStyle w:val="BodyText"/>
        <w:spacing w:line="314" w:lineRule="auto" w:before="82"/>
        <w:ind w:left="153" w:right="154" w:firstLine="419"/>
        <w:jc w:val="both"/>
      </w:pPr>
      <w:r>
        <w:rPr/>
        <w:t>公司董事会第二届任期从</w:t>
      </w:r>
      <w:r>
        <w:rPr>
          <w:spacing w:val="-53"/>
        </w:rPr>
        <w:t> </w:t>
      </w:r>
      <w:r>
        <w:rPr>
          <w:rFonts w:ascii="宋体" w:hAnsi="宋体" w:cs="宋体" w:eastAsia="宋体" w:hint="default"/>
        </w:rPr>
        <w:t>2012</w:t>
      </w:r>
      <w:r>
        <w:rPr>
          <w:rFonts w:ascii="宋体" w:hAnsi="宋体" w:cs="宋体" w:eastAsia="宋体" w:hint="default"/>
          <w:spacing w:val="-53"/>
        </w:rPr>
        <w:t> </w:t>
      </w:r>
      <w:r>
        <w:rPr/>
        <w:t>年</w:t>
      </w:r>
      <w:r>
        <w:rPr>
          <w:spacing w:val="-51"/>
        </w:rPr>
        <w:t> </w:t>
      </w:r>
      <w:r>
        <w:rPr>
          <w:rFonts w:ascii="宋体" w:hAnsi="宋体" w:cs="宋体" w:eastAsia="宋体" w:hint="default"/>
        </w:rPr>
        <w:t>7</w:t>
      </w:r>
      <w:r>
        <w:rPr>
          <w:rFonts w:ascii="宋体" w:hAnsi="宋体" w:cs="宋体" w:eastAsia="宋体" w:hint="default"/>
          <w:spacing w:val="-53"/>
        </w:rPr>
        <w:t> </w:t>
      </w:r>
      <w:r>
        <w:rPr/>
        <w:t>月</w:t>
      </w:r>
      <w:r>
        <w:rPr>
          <w:spacing w:val="-51"/>
        </w:rPr>
        <w:t> </w:t>
      </w:r>
      <w:r>
        <w:rPr>
          <w:rFonts w:ascii="宋体" w:hAnsi="宋体" w:cs="宋体" w:eastAsia="宋体" w:hint="default"/>
        </w:rPr>
        <w:t>13</w:t>
      </w:r>
      <w:r>
        <w:rPr>
          <w:rFonts w:ascii="宋体" w:hAnsi="宋体" w:cs="宋体" w:eastAsia="宋体" w:hint="default"/>
          <w:spacing w:val="-53"/>
        </w:rPr>
        <w:t> </w:t>
      </w:r>
      <w:r>
        <w:rPr/>
        <w:t>日至</w:t>
      </w:r>
      <w:r>
        <w:rPr>
          <w:spacing w:val="-53"/>
        </w:rPr>
        <w:t> </w:t>
      </w:r>
      <w:r>
        <w:rPr>
          <w:rFonts w:ascii="宋体" w:hAnsi="宋体" w:cs="宋体" w:eastAsia="宋体" w:hint="default"/>
        </w:rPr>
        <w:t>2015</w:t>
      </w:r>
      <w:r>
        <w:rPr>
          <w:rFonts w:ascii="宋体" w:hAnsi="宋体" w:cs="宋体" w:eastAsia="宋体" w:hint="default"/>
          <w:spacing w:val="-53"/>
        </w:rPr>
        <w:t> </w:t>
      </w:r>
      <w:r>
        <w:rPr/>
        <w:t>年</w:t>
      </w:r>
      <w:r>
        <w:rPr>
          <w:spacing w:val="-51"/>
        </w:rPr>
        <w:t> </w:t>
      </w:r>
      <w:r>
        <w:rPr>
          <w:rFonts w:ascii="宋体" w:hAnsi="宋体" w:cs="宋体" w:eastAsia="宋体" w:hint="default"/>
        </w:rPr>
        <w:t>7</w:t>
      </w:r>
      <w:r>
        <w:rPr>
          <w:rFonts w:ascii="宋体" w:hAnsi="宋体" w:cs="宋体" w:eastAsia="宋体" w:hint="default"/>
          <w:spacing w:val="-53"/>
        </w:rPr>
        <w:t> </w:t>
      </w:r>
      <w:r>
        <w:rPr/>
        <w:t>月</w:t>
      </w:r>
      <w:r>
        <w:rPr>
          <w:spacing w:val="-51"/>
        </w:rPr>
        <w:t> </w:t>
      </w:r>
      <w:r>
        <w:rPr>
          <w:rFonts w:ascii="宋体" w:hAnsi="宋体" w:cs="宋体" w:eastAsia="宋体" w:hint="default"/>
        </w:rPr>
        <w:t>13</w:t>
      </w:r>
      <w:r>
        <w:rPr>
          <w:rFonts w:ascii="宋体" w:hAnsi="宋体" w:cs="宋体" w:eastAsia="宋体" w:hint="default"/>
          <w:spacing w:val="-53"/>
        </w:rPr>
        <w:t> </w:t>
      </w:r>
      <w:r>
        <w:rPr>
          <w:spacing w:val="-3"/>
        </w:rPr>
        <w:t>日。各位董事均为中国国籍，均无境外</w:t>
      </w:r>
      <w:r>
        <w:rPr>
          <w:spacing w:val="-3"/>
          <w:w w:val="100"/>
        </w:rPr>
        <w:t> </w:t>
      </w:r>
      <w:r>
        <w:rPr/>
        <w:t>永久居留权。</w:t>
      </w:r>
    </w:p>
    <w:p>
      <w:pPr>
        <w:spacing w:line="240" w:lineRule="auto" w:before="11"/>
        <w:rPr>
          <w:rFonts w:ascii="宋体" w:hAnsi="宋体" w:cs="宋体" w:eastAsia="宋体" w:hint="default"/>
          <w:sz w:val="28"/>
          <w:szCs w:val="28"/>
        </w:rPr>
      </w:pPr>
    </w:p>
    <w:p>
      <w:pPr>
        <w:pStyle w:val="BodyText"/>
        <w:spacing w:line="314" w:lineRule="auto"/>
        <w:ind w:left="153" w:right="148" w:firstLine="419"/>
        <w:jc w:val="both"/>
      </w:pPr>
      <w:r>
        <w:rPr/>
        <w:t>黄元忠 先生：董事长，</w:t>
      </w:r>
      <w:r>
        <w:rPr>
          <w:rFonts w:ascii="宋体" w:hAnsi="宋体" w:cs="宋体" w:eastAsia="宋体" w:hint="default"/>
        </w:rPr>
        <w:t>1964</w:t>
      </w:r>
      <w:r>
        <w:rPr>
          <w:rFonts w:ascii="宋体" w:hAnsi="宋体" w:cs="宋体" w:eastAsia="宋体" w:hint="default"/>
          <w:spacing w:val="-64"/>
        </w:rPr>
        <w:t> </w:t>
      </w:r>
      <w:r>
        <w:rPr/>
        <w:t>年生，中国国籍，硕士研究生，无境外永久居留权，毕业于武汉华中科</w:t>
      </w:r>
      <w:r>
        <w:rPr>
          <w:spacing w:val="-3"/>
          <w:w w:val="100"/>
        </w:rPr>
        <w:t> </w:t>
      </w:r>
      <w:r>
        <w:rPr>
          <w:spacing w:val="-4"/>
        </w:rPr>
        <w:t>技大学计算机系，曾任中国长城计算机集团深圳昆仑公司经理。黄元忠先生是本公司创始人之一，自 </w:t>
      </w:r>
      <w:r>
        <w:rPr>
          <w:rFonts w:ascii="宋体" w:hAnsi="宋体" w:cs="宋体" w:eastAsia="宋体" w:hint="default"/>
        </w:rPr>
        <w:t>1993</w:t>
      </w:r>
      <w:r>
        <w:rPr>
          <w:rFonts w:ascii="宋体" w:hAnsi="宋体" w:cs="宋体" w:eastAsia="宋体" w:hint="default"/>
          <w:spacing w:val="-65"/>
        </w:rPr>
        <w:t> </w:t>
      </w:r>
      <w:r>
        <w:rPr>
          <w:rFonts w:ascii="宋体" w:hAnsi="宋体" w:cs="宋体" w:eastAsia="宋体" w:hint="default"/>
          <w:spacing w:val="-65"/>
        </w:rPr>
      </w:r>
      <w:r>
        <w:rPr>
          <w:spacing w:val="-2"/>
        </w:rPr>
        <w:t>年深圳市方直科技有限公司设立以来，长期担任执行董事、总经理、董事长等职务，全面负责公司的运营</w:t>
      </w:r>
      <w:r>
        <w:rPr>
          <w:spacing w:val="-47"/>
        </w:rPr>
        <w:t> </w:t>
      </w:r>
      <w:r>
        <w:rPr>
          <w:spacing w:val="-47"/>
        </w:rPr>
      </w:r>
      <w:r>
        <w:rPr>
          <w:spacing w:val="-3"/>
        </w:rPr>
        <w:t>管理和研发工作，系公司技术骨干。现任本公司董事长兼总经理，系深圳市科技专家委员会成员，深圳市</w:t>
      </w:r>
      <w:r>
        <w:rPr>
          <w:spacing w:val="-5"/>
        </w:rPr>
        <w:t> </w:t>
      </w:r>
      <w:r>
        <w:rPr>
          <w:spacing w:val="-5"/>
        </w:rPr>
      </w:r>
      <w:r>
        <w:rPr/>
        <w:t>南山区科技专家。</w:t>
      </w:r>
    </w:p>
    <w:p>
      <w:pPr>
        <w:spacing w:line="240" w:lineRule="auto" w:before="11"/>
        <w:rPr>
          <w:rFonts w:ascii="宋体" w:hAnsi="宋体" w:cs="宋体" w:eastAsia="宋体" w:hint="default"/>
          <w:sz w:val="28"/>
          <w:szCs w:val="28"/>
        </w:rPr>
      </w:pPr>
    </w:p>
    <w:p>
      <w:pPr>
        <w:pStyle w:val="BodyText"/>
        <w:spacing w:line="314" w:lineRule="auto"/>
        <w:ind w:left="153" w:right="145" w:firstLine="419"/>
        <w:jc w:val="both"/>
      </w:pPr>
      <w:r>
        <w:rPr/>
        <w:t>黄晓峰</w:t>
      </w:r>
      <w:r>
        <w:rPr>
          <w:spacing w:val="-14"/>
        </w:rPr>
        <w:t> </w:t>
      </w:r>
      <w:r>
        <w:rPr/>
        <w:t>先生：董事，</w:t>
      </w:r>
      <w:r>
        <w:rPr>
          <w:rFonts w:ascii="宋体" w:hAnsi="宋体" w:cs="宋体" w:eastAsia="宋体" w:hint="default"/>
        </w:rPr>
        <w:t>1968</w:t>
      </w:r>
      <w:r>
        <w:rPr>
          <w:rFonts w:ascii="宋体" w:hAnsi="宋体" w:cs="宋体" w:eastAsia="宋体" w:hint="default"/>
          <w:spacing w:val="-59"/>
        </w:rPr>
        <w:t> </w:t>
      </w:r>
      <w:r>
        <w:rPr/>
        <w:t>年生，中国国籍，东北财经大学</w:t>
      </w:r>
      <w:r>
        <w:rPr>
          <w:spacing w:val="-59"/>
        </w:rPr>
        <w:t> </w:t>
      </w:r>
      <w:r>
        <w:rPr>
          <w:rFonts w:ascii="宋体" w:hAnsi="宋体" w:cs="宋体" w:eastAsia="宋体" w:hint="default"/>
        </w:rPr>
        <w:t>EMBA</w:t>
      </w:r>
      <w:r>
        <w:rPr/>
        <w:t>，无境外永久居留权，曾任中国长城</w:t>
      </w:r>
      <w:r>
        <w:rPr>
          <w:w w:val="100"/>
        </w:rPr>
        <w:t> </w:t>
      </w:r>
      <w:r>
        <w:rPr>
          <w:spacing w:val="-2"/>
        </w:rPr>
        <w:t>计算机集团深圳昆仑公司研发部经理，自本公司成立以来担任公司销售总监、开发中心总经理，具有丰富</w:t>
      </w:r>
      <w:r>
        <w:rPr>
          <w:spacing w:val="-44"/>
        </w:rPr>
        <w:t> </w:t>
      </w:r>
      <w:r>
        <w:rPr>
          <w:spacing w:val="-44"/>
        </w:rPr>
      </w:r>
      <w:r>
        <w:rPr/>
        <w:t>的市场营销经验及销售团队管理经验。现任本公司董事、副总经理。</w:t>
      </w:r>
    </w:p>
    <w:p>
      <w:pPr>
        <w:spacing w:line="240" w:lineRule="auto" w:before="11"/>
        <w:rPr>
          <w:rFonts w:ascii="宋体" w:hAnsi="宋体" w:cs="宋体" w:eastAsia="宋体" w:hint="default"/>
          <w:sz w:val="28"/>
          <w:szCs w:val="28"/>
        </w:rPr>
      </w:pPr>
    </w:p>
    <w:p>
      <w:pPr>
        <w:pStyle w:val="BodyText"/>
        <w:spacing w:line="314" w:lineRule="auto"/>
        <w:ind w:left="154" w:right="145" w:firstLine="419"/>
        <w:jc w:val="both"/>
      </w:pPr>
      <w:r>
        <w:rPr/>
        <w:t>陈克让</w:t>
      </w:r>
      <w:r>
        <w:rPr>
          <w:spacing w:val="-14"/>
        </w:rPr>
        <w:t> </w:t>
      </w:r>
      <w:r>
        <w:rPr/>
        <w:t>先生：董事，</w:t>
      </w:r>
      <w:r>
        <w:rPr>
          <w:rFonts w:ascii="宋体" w:hAnsi="宋体" w:cs="宋体" w:eastAsia="宋体" w:hint="default"/>
        </w:rPr>
        <w:t>1965</w:t>
      </w:r>
      <w:r>
        <w:rPr>
          <w:rFonts w:ascii="宋体" w:hAnsi="宋体" w:cs="宋体" w:eastAsia="宋体" w:hint="default"/>
          <w:spacing w:val="-59"/>
        </w:rPr>
        <w:t> </w:t>
      </w:r>
      <w:r>
        <w:rPr/>
        <w:t>年生，中国国籍，香港中文大学</w:t>
      </w:r>
      <w:r>
        <w:rPr>
          <w:spacing w:val="-59"/>
        </w:rPr>
        <w:t> </w:t>
      </w:r>
      <w:r>
        <w:rPr>
          <w:rFonts w:ascii="宋体" w:hAnsi="宋体" w:cs="宋体" w:eastAsia="宋体" w:hint="default"/>
        </w:rPr>
        <w:t>FMBA</w:t>
      </w:r>
      <w:r>
        <w:rPr/>
        <w:t>，无境外永久居留权，曾任中国长城</w:t>
      </w:r>
      <w:r>
        <w:rPr>
          <w:w w:val="100"/>
        </w:rPr>
        <w:t> </w:t>
      </w:r>
      <w:r>
        <w:rPr>
          <w:spacing w:val="-2"/>
        </w:rPr>
        <w:t>计算机集团深圳昆仑公司技术部经理，负责连邦信息的总体运营管理工作，担任连邦信息总经理。现任本</w:t>
      </w:r>
      <w:r>
        <w:rPr>
          <w:spacing w:val="-43"/>
        </w:rPr>
        <w:t> </w:t>
      </w:r>
      <w:r>
        <w:rPr>
          <w:spacing w:val="-43"/>
        </w:rPr>
      </w:r>
      <w:r>
        <w:rPr/>
        <w:t>公司董事、副总经理、董事会秘书。</w:t>
      </w:r>
    </w:p>
    <w:p>
      <w:pPr>
        <w:spacing w:line="240" w:lineRule="auto" w:before="11"/>
        <w:rPr>
          <w:rFonts w:ascii="宋体" w:hAnsi="宋体" w:cs="宋体" w:eastAsia="宋体" w:hint="default"/>
          <w:sz w:val="28"/>
          <w:szCs w:val="28"/>
        </w:rPr>
      </w:pPr>
    </w:p>
    <w:p>
      <w:pPr>
        <w:pStyle w:val="BodyText"/>
        <w:spacing w:line="314" w:lineRule="auto"/>
        <w:ind w:left="154" w:right="145" w:firstLine="419"/>
        <w:jc w:val="both"/>
      </w:pPr>
      <w:r>
        <w:rPr/>
        <w:t>任 立 先生： </w:t>
      </w:r>
      <w:r>
        <w:rPr>
          <w:spacing w:val="-4"/>
        </w:rPr>
        <w:t>董事，</w:t>
      </w:r>
      <w:r>
        <w:rPr>
          <w:rFonts w:ascii="宋体" w:hAnsi="宋体" w:cs="宋体" w:eastAsia="宋体" w:hint="default"/>
          <w:spacing w:val="-4"/>
        </w:rPr>
        <w:t>1961</w:t>
      </w:r>
      <w:r>
        <w:rPr>
          <w:rFonts w:ascii="宋体" w:hAnsi="宋体" w:cs="宋体" w:eastAsia="宋体" w:hint="default"/>
          <w:spacing w:val="-15"/>
        </w:rPr>
        <w:t> </w:t>
      </w:r>
      <w:r>
        <w:rPr>
          <w:spacing w:val="-3"/>
        </w:rPr>
        <w:t>年生，中国国籍，华中科技大学计算机科学专业硕士研究生，无境外永久</w:t>
      </w:r>
      <w:r>
        <w:rPr>
          <w:w w:val="100"/>
        </w:rPr>
        <w:t> </w:t>
      </w:r>
      <w:r>
        <w:rPr>
          <w:spacing w:val="-2"/>
        </w:rPr>
        <w:t>居留权，历任国家科委（武汉）管理学院计算机系软件培训开发工程师；深圳普达电子企业有限公司生产</w:t>
      </w:r>
      <w:r>
        <w:rPr>
          <w:spacing w:val="-47"/>
        </w:rPr>
        <w:t> </w:t>
      </w:r>
      <w:r>
        <w:rPr>
          <w:spacing w:val="-47"/>
        </w:rPr>
      </w:r>
      <w:r>
        <w:rPr>
          <w:spacing w:val="-2"/>
        </w:rPr>
        <w:t>经理、市场经理、总经理助理；深圳神之光照明实业有限公司市场部经理、总经理助理、总经理；美国爱</w:t>
      </w:r>
      <w:r>
        <w:rPr>
          <w:spacing w:val="-42"/>
        </w:rPr>
        <w:t> </w:t>
      </w:r>
      <w:r>
        <w:rPr>
          <w:spacing w:val="-42"/>
        </w:rPr>
      </w:r>
      <w:r>
        <w:rPr/>
        <w:t>美光（</w:t>
      </w:r>
      <w:r>
        <w:rPr>
          <w:rFonts w:ascii="宋体" w:hAnsi="宋体" w:cs="宋体" w:eastAsia="宋体" w:hint="default"/>
        </w:rPr>
        <w:t>Amglo</w:t>
      </w:r>
      <w:r>
        <w:rPr/>
        <w:t>）公司亚太区执行董事；现任卓科特实业</w:t>
      </w:r>
      <w:r>
        <w:rPr>
          <w:rFonts w:ascii="宋体" w:hAnsi="宋体" w:cs="宋体" w:eastAsia="宋体" w:hint="default"/>
        </w:rPr>
        <w:t>(</w:t>
      </w:r>
      <w:r>
        <w:rPr/>
        <w:t>深圳</w:t>
      </w:r>
      <w:r>
        <w:rPr>
          <w:rFonts w:ascii="宋体" w:hAnsi="宋体" w:cs="宋体" w:eastAsia="宋体" w:hint="default"/>
        </w:rPr>
        <w:t>)</w:t>
      </w:r>
      <w:r>
        <w:rPr/>
        <w:t>有限公司总经理。</w:t>
      </w:r>
      <w:r>
        <w:rPr>
          <w:rFonts w:ascii="宋体" w:hAnsi="宋体" w:cs="宋体" w:eastAsia="宋体" w:hint="default"/>
        </w:rPr>
        <w:t>2012</w:t>
      </w:r>
      <w:r>
        <w:rPr>
          <w:rFonts w:ascii="宋体" w:hAnsi="宋体" w:cs="宋体" w:eastAsia="宋体" w:hint="default"/>
          <w:spacing w:val="-52"/>
        </w:rPr>
        <w:t> </w:t>
      </w:r>
      <w:r>
        <w:rPr/>
        <w:t>年</w:t>
      </w:r>
      <w:r>
        <w:rPr>
          <w:spacing w:val="-54"/>
        </w:rPr>
        <w:t> </w:t>
      </w:r>
      <w:r>
        <w:rPr>
          <w:rFonts w:ascii="宋体" w:hAnsi="宋体" w:cs="宋体" w:eastAsia="宋体" w:hint="default"/>
        </w:rPr>
        <w:t>7</w:t>
      </w:r>
      <w:r>
        <w:rPr>
          <w:rFonts w:ascii="宋体" w:hAnsi="宋体" w:cs="宋体" w:eastAsia="宋体" w:hint="default"/>
          <w:spacing w:val="-52"/>
        </w:rPr>
        <w:t> </w:t>
      </w:r>
      <w:r>
        <w:rPr>
          <w:spacing w:val="-3"/>
        </w:rPr>
        <w:t>月被聘为本公司</w:t>
      </w:r>
      <w:r>
        <w:rPr>
          <w:spacing w:val="-103"/>
        </w:rPr>
        <w:t> </w:t>
      </w:r>
      <w:r>
        <w:rPr>
          <w:spacing w:val="-103"/>
        </w:rPr>
      </w:r>
      <w:r>
        <w:rPr/>
        <w:t>第二届董事会外部董事。</w:t>
      </w:r>
    </w:p>
    <w:p>
      <w:pPr>
        <w:spacing w:line="240" w:lineRule="auto" w:before="11"/>
        <w:rPr>
          <w:rFonts w:ascii="宋体" w:hAnsi="宋体" w:cs="宋体" w:eastAsia="宋体" w:hint="default"/>
          <w:sz w:val="28"/>
          <w:szCs w:val="28"/>
        </w:rPr>
      </w:pPr>
    </w:p>
    <w:p>
      <w:pPr>
        <w:pStyle w:val="BodyText"/>
        <w:spacing w:line="312" w:lineRule="auto"/>
        <w:ind w:left="154" w:right="146" w:firstLine="419"/>
        <w:jc w:val="both"/>
      </w:pPr>
      <w:r>
        <w:rPr/>
        <w:t>陈赛芝 女士：独立董事，</w:t>
      </w:r>
      <w:r>
        <w:rPr>
          <w:rFonts w:ascii="宋体" w:hAnsi="宋体" w:cs="宋体" w:eastAsia="宋体" w:hint="default"/>
        </w:rPr>
        <w:t>1964</w:t>
      </w:r>
      <w:r>
        <w:rPr>
          <w:rFonts w:ascii="宋体" w:hAnsi="宋体" w:cs="宋体" w:eastAsia="宋体" w:hint="default"/>
          <w:spacing w:val="-61"/>
        </w:rPr>
        <w:t> </w:t>
      </w:r>
      <w:r>
        <w:rPr/>
        <w:t>年生，中国国籍，中国注册会计师。毕业于湖南财经学院，无境外永</w:t>
      </w:r>
      <w:r>
        <w:rPr>
          <w:w w:val="100"/>
        </w:rPr>
        <w:t> </w:t>
      </w:r>
      <w:r>
        <w:rPr>
          <w:spacing w:val="-2"/>
        </w:rPr>
        <w:t>久居留权，历任湘东冶金机械厂财务主管、会计科长，湘东铁矿矿务局财务处副处长，深圳融信会计师事</w:t>
      </w:r>
      <w:r>
        <w:rPr>
          <w:spacing w:val="-50"/>
        </w:rPr>
        <w:t> </w:t>
      </w:r>
      <w:r>
        <w:rPr>
          <w:spacing w:val="-50"/>
        </w:rPr>
      </w:r>
      <w:r>
        <w:rPr>
          <w:spacing w:val="-4"/>
        </w:rPr>
        <w:t>务所部门经理、主审室主任；现任深圳嘉达信会计师事务所合伙人、主任会计师。</w:t>
      </w:r>
      <w:r>
        <w:rPr>
          <w:rFonts w:ascii="宋体" w:hAnsi="宋体" w:cs="宋体" w:eastAsia="宋体" w:hint="default"/>
          <w:spacing w:val="-4"/>
        </w:rPr>
        <w:t>2012</w:t>
      </w:r>
      <w:r>
        <w:rPr>
          <w:rFonts w:ascii="宋体" w:hAnsi="宋体" w:cs="宋体" w:eastAsia="宋体" w:hint="default"/>
          <w:spacing w:val="-32"/>
        </w:rPr>
        <w:t> </w:t>
      </w:r>
      <w:r>
        <w:rPr/>
        <w:t>年</w:t>
      </w:r>
      <w:r>
        <w:rPr>
          <w:spacing w:val="-29"/>
        </w:rPr>
        <w:t> </w:t>
      </w:r>
      <w:r>
        <w:rPr>
          <w:rFonts w:ascii="宋体" w:hAnsi="宋体" w:cs="宋体" w:eastAsia="宋体" w:hint="default"/>
        </w:rPr>
        <w:t>7</w:t>
      </w:r>
      <w:r>
        <w:rPr>
          <w:rFonts w:ascii="宋体" w:hAnsi="宋体" w:cs="宋体" w:eastAsia="宋体" w:hint="default"/>
          <w:spacing w:val="-32"/>
        </w:rPr>
        <w:t> </w:t>
      </w:r>
      <w:r>
        <w:rPr/>
        <w:t>月被聘为本公</w:t>
      </w:r>
      <w:r>
        <w:rPr>
          <w:spacing w:val="-95"/>
        </w:rPr>
        <w:t> </w:t>
      </w:r>
      <w:r>
        <w:rPr>
          <w:spacing w:val="-95"/>
        </w:rPr>
      </w:r>
      <w:r>
        <w:rPr/>
        <w:t>司第二届董事会独立董事。</w:t>
      </w:r>
    </w:p>
    <w:p>
      <w:pPr>
        <w:spacing w:line="240" w:lineRule="auto" w:before="13"/>
        <w:rPr>
          <w:rFonts w:ascii="宋体" w:hAnsi="宋体" w:cs="宋体" w:eastAsia="宋体" w:hint="default"/>
          <w:sz w:val="28"/>
          <w:szCs w:val="28"/>
        </w:rPr>
      </w:pPr>
    </w:p>
    <w:p>
      <w:pPr>
        <w:pStyle w:val="BodyText"/>
        <w:spacing w:line="314" w:lineRule="auto"/>
        <w:ind w:right="148" w:firstLine="419"/>
        <w:jc w:val="both"/>
      </w:pPr>
      <w:r>
        <w:rPr/>
        <w:t>李 亮 </w:t>
      </w:r>
      <w:r>
        <w:rPr>
          <w:spacing w:val="-4"/>
        </w:rPr>
        <w:t>先生：独立董事，</w:t>
      </w:r>
      <w:r>
        <w:rPr>
          <w:rFonts w:ascii="宋体" w:hAnsi="宋体" w:cs="宋体" w:eastAsia="宋体" w:hint="default"/>
          <w:spacing w:val="-4"/>
        </w:rPr>
        <w:t>1966</w:t>
      </w:r>
      <w:r>
        <w:rPr>
          <w:rFonts w:ascii="宋体" w:hAnsi="宋体" w:cs="宋体" w:eastAsia="宋体" w:hint="default"/>
          <w:spacing w:val="21"/>
        </w:rPr>
        <w:t> </w:t>
      </w:r>
      <w:r>
        <w:rPr>
          <w:spacing w:val="-4"/>
        </w:rPr>
        <w:t>年生，中国国籍，武汉大学计算数学专业理学硕士，深圳职业技术学</w:t>
      </w:r>
      <w:r>
        <w:rPr>
          <w:spacing w:val="-3"/>
          <w:w w:val="100"/>
        </w:rPr>
        <w:t> </w:t>
      </w:r>
      <w:r>
        <w:rPr>
          <w:spacing w:val="-4"/>
        </w:rPr>
        <w:t>院副教授。无境外永久居留权，曾供职于江汉石油学院（现长江大学），主要从事教学工作；</w:t>
      </w:r>
      <w:r>
        <w:rPr>
          <w:rFonts w:ascii="宋体" w:hAnsi="宋体" w:cs="宋体" w:eastAsia="宋体" w:hint="default"/>
          <w:spacing w:val="-4"/>
        </w:rPr>
        <w:t>2000</w:t>
      </w:r>
      <w:r>
        <w:rPr>
          <w:rFonts w:ascii="宋体" w:hAnsi="宋体" w:cs="宋体" w:eastAsia="宋体" w:hint="default"/>
          <w:spacing w:val="-30"/>
        </w:rPr>
        <w:t> </w:t>
      </w:r>
      <w:r>
        <w:rPr/>
        <w:t>年</w:t>
      </w:r>
      <w:r>
        <w:rPr>
          <w:spacing w:val="-30"/>
        </w:rPr>
        <w:t> </w:t>
      </w:r>
      <w:r>
        <w:rPr>
          <w:rFonts w:ascii="宋体" w:hAnsi="宋体" w:cs="宋体" w:eastAsia="宋体" w:hint="default"/>
        </w:rPr>
        <w:t>6</w:t>
      </w:r>
      <w:r>
        <w:rPr>
          <w:rFonts w:ascii="宋体" w:hAnsi="宋体" w:cs="宋体" w:eastAsia="宋体" w:hint="default"/>
          <w:spacing w:val="-27"/>
        </w:rPr>
        <w:t> </w:t>
      </w:r>
      <w:r>
        <w:rPr/>
        <w:t>月</w:t>
      </w:r>
      <w:r>
        <w:rPr>
          <w:spacing w:val="-90"/>
        </w:rPr>
        <w:t> </w:t>
      </w:r>
      <w:r>
        <w:rPr>
          <w:spacing w:val="-2"/>
        </w:rPr>
        <w:t>至今在深圳职业技术学院从事多媒体设计与游戏软件开发教学及管理工作。李亮先生曾参与《网页设计与</w:t>
      </w:r>
    </w:p>
    <w:p>
      <w:pPr>
        <w:spacing w:after="0" w:line="314" w:lineRule="auto"/>
        <w:jc w:val="both"/>
        <w:sectPr>
          <w:pgSz w:w="11910" w:h="16840"/>
          <w:pgMar w:header="748" w:footer="982" w:top="1060" w:bottom="1180" w:left="980" w:right="980"/>
        </w:sectPr>
      </w:pPr>
    </w:p>
    <w:p>
      <w:pPr>
        <w:spacing w:line="240" w:lineRule="auto" w:before="6"/>
        <w:rPr>
          <w:rFonts w:ascii="宋体" w:hAnsi="宋体" w:cs="宋体" w:eastAsia="宋体" w:hint="default"/>
          <w:sz w:val="26"/>
          <w:szCs w:val="26"/>
        </w:rPr>
      </w:pPr>
    </w:p>
    <w:p>
      <w:pPr>
        <w:pStyle w:val="BodyText"/>
        <w:spacing w:line="312" w:lineRule="auto" w:before="36"/>
        <w:ind w:right="185"/>
        <w:jc w:val="both"/>
      </w:pPr>
      <w:r>
        <w:rPr/>
        <w:t>制作》、《</w:t>
      </w:r>
      <w:r>
        <w:rPr>
          <w:rFonts w:ascii="宋体" w:hAnsi="宋体" w:cs="宋体" w:eastAsia="宋体" w:hint="default"/>
        </w:rPr>
        <w:t>Flash</w:t>
      </w:r>
      <w:r>
        <w:rPr>
          <w:rFonts w:ascii="宋体" w:hAnsi="宋体" w:cs="宋体" w:eastAsia="宋体" w:hint="default"/>
          <w:spacing w:val="-7"/>
        </w:rPr>
        <w:t> </w:t>
      </w:r>
      <w:r>
        <w:rPr/>
        <w:t>互动媒体设计》等教材的编写；担任教育部新世纪网络课程《微型计算机原理及应用》</w:t>
      </w:r>
      <w:r>
        <w:rPr>
          <w:w w:val="100"/>
        </w:rPr>
        <w:t> </w:t>
      </w:r>
      <w:r>
        <w:rPr>
          <w:spacing w:val="-2"/>
        </w:rPr>
        <w:t>技术总负责人，恩多公司多媒体项目开发（校内项目）的总负责人。李亮先生主持的科研项目有：《深圳</w:t>
      </w:r>
      <w:r>
        <w:rPr>
          <w:spacing w:val="-43"/>
        </w:rPr>
        <w:t> </w:t>
      </w:r>
      <w:r>
        <w:rPr>
          <w:spacing w:val="-43"/>
        </w:rPr>
      </w:r>
      <w:r>
        <w:rPr/>
        <w:t>市游戏产业发展规划》（</w:t>
      </w:r>
      <w:r>
        <w:rPr>
          <w:rFonts w:ascii="宋体" w:hAnsi="宋体" w:cs="宋体" w:eastAsia="宋体" w:hint="default"/>
        </w:rPr>
        <w:t>2008</w:t>
      </w:r>
      <w:r>
        <w:rPr>
          <w:rFonts w:ascii="宋体" w:hAnsi="宋体" w:cs="宋体" w:eastAsia="宋体" w:hint="default"/>
          <w:spacing w:val="-53"/>
        </w:rPr>
        <w:t> </w:t>
      </w:r>
      <w:r>
        <w:rPr/>
        <w:t>年）、《基于互联网的三维景观技术》（</w:t>
      </w:r>
      <w:r>
        <w:rPr>
          <w:rFonts w:ascii="宋体" w:hAnsi="宋体" w:cs="宋体" w:eastAsia="宋体" w:hint="default"/>
        </w:rPr>
        <w:t>2008</w:t>
      </w:r>
      <w:r>
        <w:rPr>
          <w:rFonts w:ascii="宋体" w:hAnsi="宋体" w:cs="宋体" w:eastAsia="宋体" w:hint="default"/>
          <w:spacing w:val="-55"/>
        </w:rPr>
        <w:t> </w:t>
      </w:r>
      <w:r>
        <w:rPr/>
        <w:t>年）等。</w:t>
      </w:r>
      <w:r>
        <w:rPr>
          <w:rFonts w:ascii="宋体" w:hAnsi="宋体" w:cs="宋体" w:eastAsia="宋体" w:hint="default"/>
        </w:rPr>
        <w:t>2012</w:t>
      </w:r>
      <w:r>
        <w:rPr>
          <w:rFonts w:ascii="宋体" w:hAnsi="宋体" w:cs="宋体" w:eastAsia="宋体" w:hint="default"/>
          <w:spacing w:val="-55"/>
        </w:rPr>
        <w:t> </w:t>
      </w:r>
      <w:r>
        <w:rPr/>
        <w:t>年</w:t>
      </w:r>
      <w:r>
        <w:rPr>
          <w:spacing w:val="-53"/>
        </w:rPr>
        <w:t> </w:t>
      </w:r>
      <w:r>
        <w:rPr>
          <w:rFonts w:ascii="宋体" w:hAnsi="宋体" w:cs="宋体" w:eastAsia="宋体" w:hint="default"/>
        </w:rPr>
        <w:t>7</w:t>
      </w:r>
      <w:r>
        <w:rPr>
          <w:rFonts w:ascii="宋体" w:hAnsi="宋体" w:cs="宋体" w:eastAsia="宋体" w:hint="default"/>
          <w:spacing w:val="-55"/>
        </w:rPr>
        <w:t> </w:t>
      </w:r>
      <w:r>
        <w:rPr>
          <w:spacing w:val="-3"/>
        </w:rPr>
        <w:t>月被聘为</w:t>
      </w:r>
      <w:r>
        <w:rPr>
          <w:spacing w:val="-3"/>
          <w:w w:val="100"/>
        </w:rPr>
        <w:t> </w:t>
      </w:r>
      <w:r>
        <w:rPr/>
        <w:t>本公司第二届董事会独立董事。</w:t>
      </w:r>
    </w:p>
    <w:p>
      <w:pPr>
        <w:spacing w:line="240" w:lineRule="auto" w:before="0"/>
        <w:rPr>
          <w:rFonts w:ascii="宋体" w:hAnsi="宋体" w:cs="宋体" w:eastAsia="宋体" w:hint="default"/>
          <w:sz w:val="29"/>
          <w:szCs w:val="29"/>
        </w:rPr>
      </w:pPr>
    </w:p>
    <w:p>
      <w:pPr>
        <w:pStyle w:val="BodyText"/>
        <w:tabs>
          <w:tab w:pos="1518" w:val="left" w:leader="none"/>
        </w:tabs>
        <w:spacing w:line="314" w:lineRule="auto"/>
        <w:ind w:left="153" w:right="235" w:firstLine="419"/>
        <w:jc w:val="left"/>
      </w:pPr>
      <w:r>
        <w:rPr/>
        <w:t>高文舍</w:t>
        <w:tab/>
        <w:t>先生</w:t>
      </w:r>
      <w:r>
        <w:rPr>
          <w:rFonts w:ascii="宋体" w:hAnsi="宋体" w:cs="宋体" w:eastAsia="宋体" w:hint="default"/>
        </w:rPr>
        <w:t>:</w:t>
      </w:r>
      <w:r>
        <w:rPr>
          <w:rFonts w:ascii="宋体" w:hAnsi="宋体" w:cs="宋体" w:eastAsia="宋体" w:hint="default"/>
          <w:spacing w:val="-2"/>
        </w:rPr>
        <w:t> </w:t>
      </w:r>
      <w:r>
        <w:rPr/>
        <w:t>独立董事，</w:t>
      </w:r>
      <w:r>
        <w:rPr>
          <w:rFonts w:ascii="宋体" w:hAnsi="宋体" w:cs="宋体" w:eastAsia="宋体" w:hint="default"/>
        </w:rPr>
        <w:t>1961</w:t>
      </w:r>
      <w:r>
        <w:rPr>
          <w:rFonts w:ascii="宋体" w:hAnsi="宋体" w:cs="宋体" w:eastAsia="宋体" w:hint="default"/>
          <w:spacing w:val="-53"/>
        </w:rPr>
        <w:t> </w:t>
      </w:r>
      <w:r>
        <w:rPr/>
        <w:t>年生。经济学博士、副研究员。</w:t>
      </w:r>
      <w:r>
        <w:rPr>
          <w:rFonts w:ascii="宋体" w:hAnsi="宋体" w:cs="宋体" w:eastAsia="宋体" w:hint="default"/>
        </w:rPr>
        <w:t>1985</w:t>
      </w:r>
      <w:r>
        <w:rPr>
          <w:rFonts w:ascii="宋体" w:hAnsi="宋体" w:cs="宋体" w:eastAsia="宋体" w:hint="default"/>
          <w:spacing w:val="-55"/>
        </w:rPr>
        <w:t> </w:t>
      </w:r>
      <w:r>
        <w:rPr/>
        <w:t>年</w:t>
      </w:r>
      <w:r>
        <w:rPr>
          <w:spacing w:val="-53"/>
        </w:rPr>
        <w:t> </w:t>
      </w:r>
      <w:r>
        <w:rPr>
          <w:rFonts w:ascii="宋体" w:hAnsi="宋体" w:cs="宋体" w:eastAsia="宋体" w:hint="default"/>
        </w:rPr>
        <w:t>9</w:t>
      </w:r>
      <w:r>
        <w:rPr>
          <w:rFonts w:ascii="宋体" w:hAnsi="宋体" w:cs="宋体" w:eastAsia="宋体" w:hint="default"/>
          <w:spacing w:val="-55"/>
        </w:rPr>
        <w:t> </w:t>
      </w:r>
      <w:r>
        <w:rPr/>
        <w:t>月至</w:t>
      </w:r>
      <w:r>
        <w:rPr>
          <w:spacing w:val="-53"/>
        </w:rPr>
        <w:t> </w:t>
      </w:r>
      <w:r>
        <w:rPr>
          <w:rFonts w:ascii="宋体" w:hAnsi="宋体" w:cs="宋体" w:eastAsia="宋体" w:hint="default"/>
        </w:rPr>
        <w:t>1987</w:t>
      </w:r>
      <w:r>
        <w:rPr>
          <w:rFonts w:ascii="宋体" w:hAnsi="宋体" w:cs="宋体" w:eastAsia="宋体" w:hint="default"/>
          <w:spacing w:val="-53"/>
        </w:rPr>
        <w:t> </w:t>
      </w:r>
      <w:r>
        <w:rPr/>
        <w:t>年</w:t>
      </w:r>
      <w:r>
        <w:rPr>
          <w:spacing w:val="-55"/>
        </w:rPr>
        <w:t> </w:t>
      </w:r>
      <w:r>
        <w:rPr>
          <w:rFonts w:ascii="宋体" w:hAnsi="宋体" w:cs="宋体" w:eastAsia="宋体" w:hint="default"/>
        </w:rPr>
        <w:t>9</w:t>
      </w:r>
      <w:r>
        <w:rPr>
          <w:rFonts w:ascii="宋体" w:hAnsi="宋体" w:cs="宋体" w:eastAsia="宋体" w:hint="default"/>
          <w:spacing w:val="-53"/>
        </w:rPr>
        <w:t> </w:t>
      </w:r>
      <w:r>
        <w:rPr>
          <w:spacing w:val="-3"/>
        </w:rPr>
        <w:t>月在原陕</w:t>
      </w:r>
      <w:r>
        <w:rPr>
          <w:spacing w:val="-3"/>
          <w:w w:val="100"/>
        </w:rPr>
        <w:t> </w:t>
      </w:r>
      <w:r>
        <w:rPr/>
        <w:t>西财经学院（现西安交通大学）任教；</w:t>
      </w:r>
      <w:r>
        <w:rPr>
          <w:rFonts w:ascii="宋体" w:hAnsi="宋体" w:cs="宋体" w:eastAsia="宋体" w:hint="default"/>
        </w:rPr>
        <w:t>1987</w:t>
      </w:r>
      <w:r>
        <w:rPr>
          <w:rFonts w:ascii="宋体" w:hAnsi="宋体" w:cs="宋体" w:eastAsia="宋体" w:hint="default"/>
          <w:spacing w:val="-56"/>
        </w:rPr>
        <w:t> </w:t>
      </w:r>
      <w:r>
        <w:rPr/>
        <w:t>年</w:t>
      </w:r>
      <w:r>
        <w:rPr>
          <w:spacing w:val="-53"/>
        </w:rPr>
        <w:t> </w:t>
      </w:r>
      <w:r>
        <w:rPr>
          <w:rFonts w:ascii="宋体" w:hAnsi="宋体" w:cs="宋体" w:eastAsia="宋体" w:hint="default"/>
        </w:rPr>
        <w:t>10</w:t>
      </w:r>
      <w:r>
        <w:rPr>
          <w:rFonts w:ascii="宋体" w:hAnsi="宋体" w:cs="宋体" w:eastAsia="宋体" w:hint="default"/>
          <w:spacing w:val="-55"/>
        </w:rPr>
        <w:t> </w:t>
      </w:r>
      <w:r>
        <w:rPr/>
        <w:t>月至</w:t>
      </w:r>
      <w:r>
        <w:rPr>
          <w:spacing w:val="-53"/>
        </w:rPr>
        <w:t> </w:t>
      </w:r>
      <w:r>
        <w:rPr>
          <w:rFonts w:ascii="宋体" w:hAnsi="宋体" w:cs="宋体" w:eastAsia="宋体" w:hint="default"/>
        </w:rPr>
        <w:t>1990</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月在中国社会科学院攻读经济学博士学</w:t>
      </w:r>
    </w:p>
    <w:p>
      <w:pPr>
        <w:pStyle w:val="BodyText"/>
        <w:spacing w:line="314" w:lineRule="auto" w:before="17"/>
        <w:ind w:left="153" w:right="106" w:hanging="1"/>
        <w:jc w:val="left"/>
      </w:pPr>
      <w:r>
        <w:rPr/>
        <w:t>位；</w:t>
      </w:r>
      <w:r>
        <w:rPr>
          <w:rFonts w:ascii="宋体" w:hAnsi="宋体" w:cs="宋体" w:eastAsia="宋体" w:hint="default"/>
        </w:rPr>
        <w:t>1991</w:t>
      </w:r>
      <w:r>
        <w:rPr>
          <w:rFonts w:ascii="宋体" w:hAnsi="宋体" w:cs="宋体" w:eastAsia="宋体" w:hint="default"/>
          <w:spacing w:val="-55"/>
        </w:rPr>
        <w:t> </w:t>
      </w:r>
      <w:r>
        <w:rPr/>
        <w:t>年</w:t>
      </w:r>
      <w:r>
        <w:rPr>
          <w:spacing w:val="-53"/>
        </w:rPr>
        <w:t> </w:t>
      </w:r>
      <w:r>
        <w:rPr>
          <w:rFonts w:ascii="宋体" w:hAnsi="宋体" w:cs="宋体" w:eastAsia="宋体" w:hint="default"/>
        </w:rPr>
        <w:t>1</w:t>
      </w:r>
      <w:r>
        <w:rPr>
          <w:rFonts w:ascii="宋体" w:hAnsi="宋体" w:cs="宋体" w:eastAsia="宋体" w:hint="default"/>
          <w:spacing w:val="-55"/>
        </w:rPr>
        <w:t> </w:t>
      </w:r>
      <w:r>
        <w:rPr/>
        <w:t>月至</w:t>
      </w:r>
      <w:r>
        <w:rPr>
          <w:spacing w:val="-53"/>
        </w:rPr>
        <w:t> </w:t>
      </w:r>
      <w:r>
        <w:rPr>
          <w:rFonts w:ascii="宋体" w:hAnsi="宋体" w:cs="宋体" w:eastAsia="宋体" w:hint="default"/>
        </w:rPr>
        <w:t>1993</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月任首钢研究与开发公司副研究员，</w:t>
      </w:r>
      <w:r>
        <w:rPr>
          <w:rFonts w:ascii="宋体" w:hAnsi="宋体" w:cs="宋体" w:eastAsia="宋体" w:hint="default"/>
        </w:rPr>
        <w:t>1994</w:t>
      </w:r>
      <w:r>
        <w:rPr>
          <w:rFonts w:ascii="宋体" w:hAnsi="宋体" w:cs="宋体" w:eastAsia="宋体" w:hint="default"/>
          <w:spacing w:val="-53"/>
        </w:rPr>
        <w:t> </w:t>
      </w:r>
      <w:r>
        <w:rPr/>
        <w:t>年</w:t>
      </w:r>
      <w:r>
        <w:rPr>
          <w:spacing w:val="-55"/>
        </w:rPr>
        <w:t> </w:t>
      </w:r>
      <w:r>
        <w:rPr>
          <w:rFonts w:ascii="宋体" w:hAnsi="宋体" w:cs="宋体" w:eastAsia="宋体" w:hint="default"/>
        </w:rPr>
        <w:t>1</w:t>
      </w:r>
      <w:r>
        <w:rPr>
          <w:rFonts w:ascii="宋体" w:hAnsi="宋体" w:cs="宋体" w:eastAsia="宋体" w:hint="default"/>
          <w:spacing w:val="-55"/>
        </w:rPr>
        <w:t> </w:t>
      </w:r>
      <w:r>
        <w:rPr/>
        <w:t>月至今先后在君安证券有限</w:t>
      </w:r>
      <w:r>
        <w:rPr>
          <w:w w:val="100"/>
        </w:rPr>
        <w:t> </w:t>
      </w:r>
      <w:r>
        <w:rPr>
          <w:spacing w:val="-2"/>
        </w:rPr>
        <w:t>责任公司、大鹏证券有限责任公司、中国科健股份有限公司、深圳和光商务股份有限公司任职，现任深圳</w:t>
      </w:r>
      <w:r>
        <w:rPr>
          <w:spacing w:val="-51"/>
        </w:rPr>
        <w:t> </w:t>
      </w:r>
      <w:r>
        <w:rPr>
          <w:spacing w:val="-51"/>
        </w:rPr>
      </w:r>
      <w:r>
        <w:rPr/>
        <w:t>市利阳科技有限公司董事长兼总经理。</w:t>
      </w:r>
      <w:r>
        <w:rPr>
          <w:rFonts w:ascii="宋体" w:hAnsi="宋体" w:cs="宋体" w:eastAsia="宋体" w:hint="default"/>
        </w:rPr>
        <w:t>2012</w:t>
      </w:r>
      <w:r>
        <w:rPr>
          <w:rFonts w:ascii="宋体" w:hAnsi="宋体" w:cs="宋体" w:eastAsia="宋体" w:hint="default"/>
          <w:spacing w:val="-57"/>
        </w:rPr>
        <w:t> </w:t>
      </w:r>
      <w:r>
        <w:rPr/>
        <w:t>年</w:t>
      </w:r>
      <w:r>
        <w:rPr>
          <w:spacing w:val="-54"/>
        </w:rPr>
        <w:t> </w:t>
      </w:r>
      <w:r>
        <w:rPr>
          <w:rFonts w:ascii="宋体" w:hAnsi="宋体" w:cs="宋体" w:eastAsia="宋体" w:hint="default"/>
        </w:rPr>
        <w:t>7</w:t>
      </w:r>
      <w:r>
        <w:rPr>
          <w:rFonts w:ascii="宋体" w:hAnsi="宋体" w:cs="宋体" w:eastAsia="宋体" w:hint="default"/>
          <w:spacing w:val="-56"/>
        </w:rPr>
        <w:t> </w:t>
      </w:r>
      <w:r>
        <w:rPr/>
        <w:t>月被聘为本公司第二届董事会独立董事。</w:t>
      </w:r>
    </w:p>
    <w:p>
      <w:pPr>
        <w:spacing w:line="240" w:lineRule="auto" w:before="11"/>
        <w:rPr>
          <w:rFonts w:ascii="宋体" w:hAnsi="宋体" w:cs="宋体" w:eastAsia="宋体" w:hint="default"/>
          <w:sz w:val="28"/>
          <w:szCs w:val="28"/>
        </w:rPr>
      </w:pPr>
    </w:p>
    <w:p>
      <w:pPr>
        <w:pStyle w:val="Heading5"/>
        <w:spacing w:line="240" w:lineRule="auto"/>
        <w:ind w:left="572" w:right="106"/>
        <w:jc w:val="left"/>
        <w:rPr>
          <w:b w:val="0"/>
          <w:bCs w:val="0"/>
        </w:rPr>
      </w:pPr>
      <w:r>
        <w:rPr>
          <w:rFonts w:ascii="宋体" w:hAnsi="宋体" w:cs="宋体" w:eastAsia="宋体" w:hint="default"/>
        </w:rPr>
        <w:t>2</w:t>
      </w:r>
      <w:r>
        <w:rPr/>
        <w:t>、监事会成员</w:t>
      </w:r>
      <w:r>
        <w:rPr>
          <w:b w:val="0"/>
          <w:bCs w:val="0"/>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3"/>
          <w:szCs w:val="13"/>
        </w:rPr>
      </w:pPr>
    </w:p>
    <w:p>
      <w:pPr>
        <w:pStyle w:val="BodyText"/>
        <w:tabs>
          <w:tab w:pos="1415" w:val="left" w:leader="none"/>
        </w:tabs>
        <w:spacing w:line="314" w:lineRule="auto"/>
        <w:ind w:right="214" w:firstLine="419"/>
        <w:jc w:val="left"/>
      </w:pPr>
      <w:r>
        <w:rPr/>
        <w:t>张振华</w:t>
        <w:tab/>
      </w:r>
      <w:r>
        <w:rPr>
          <w:spacing w:val="-4"/>
        </w:rPr>
        <w:t>先生：监事会主席，</w:t>
      </w:r>
      <w:r>
        <w:rPr>
          <w:rFonts w:ascii="宋体" w:hAnsi="宋体" w:cs="宋体" w:eastAsia="宋体" w:hint="default"/>
          <w:spacing w:val="-4"/>
        </w:rPr>
        <w:t>1964</w:t>
      </w:r>
      <w:r>
        <w:rPr>
          <w:rFonts w:ascii="宋体" w:hAnsi="宋体" w:cs="宋体" w:eastAsia="宋体" w:hint="default"/>
          <w:spacing w:val="19"/>
        </w:rPr>
        <w:t> </w:t>
      </w:r>
      <w:r>
        <w:rPr>
          <w:spacing w:val="-4"/>
        </w:rPr>
        <w:t>年生，中国国籍，本科学历。无境外永久居留权，曾供职于贵州毕</w:t>
      </w:r>
      <w:r>
        <w:rPr>
          <w:spacing w:val="-3"/>
          <w:w w:val="100"/>
        </w:rPr>
        <w:t> </w:t>
      </w:r>
      <w:r>
        <w:rPr/>
        <w:t>节地区计划局，历任科员、副科长、科长等职务；</w:t>
      </w:r>
      <w:r>
        <w:rPr>
          <w:rFonts w:ascii="宋体" w:hAnsi="宋体" w:cs="宋体" w:eastAsia="宋体" w:hint="default"/>
        </w:rPr>
        <w:t>2000</w:t>
      </w:r>
      <w:r>
        <w:rPr>
          <w:rFonts w:ascii="宋体" w:hAnsi="宋体" w:cs="宋体" w:eastAsia="宋体" w:hint="default"/>
          <w:spacing w:val="-54"/>
        </w:rPr>
        <w:t> </w:t>
      </w:r>
      <w:r>
        <w:rPr/>
        <w:t>年</w:t>
      </w:r>
      <w:r>
        <w:rPr>
          <w:spacing w:val="-56"/>
        </w:rPr>
        <w:t> </w:t>
      </w:r>
      <w:r>
        <w:rPr>
          <w:rFonts w:ascii="宋体" w:hAnsi="宋体" w:cs="宋体" w:eastAsia="宋体" w:hint="default"/>
        </w:rPr>
        <w:t>5</w:t>
      </w:r>
      <w:r>
        <w:rPr>
          <w:rFonts w:ascii="宋体" w:hAnsi="宋体" w:cs="宋体" w:eastAsia="宋体" w:hint="default"/>
          <w:spacing w:val="-54"/>
        </w:rPr>
        <w:t> </w:t>
      </w:r>
      <w:r>
        <w:rPr/>
        <w:t>月</w:t>
      </w:r>
      <w:r>
        <w:rPr>
          <w:rFonts w:ascii="宋体" w:hAnsi="宋体" w:cs="宋体" w:eastAsia="宋体" w:hint="default"/>
        </w:rPr>
        <w:t>-2006</w:t>
      </w:r>
      <w:r>
        <w:rPr>
          <w:rFonts w:ascii="宋体" w:hAnsi="宋体" w:cs="宋体" w:eastAsia="宋体" w:hint="default"/>
          <w:spacing w:val="-54"/>
        </w:rPr>
        <w:t> </w:t>
      </w:r>
      <w:r>
        <w:rPr/>
        <w:t>年</w:t>
      </w:r>
      <w:r>
        <w:rPr>
          <w:spacing w:val="-56"/>
        </w:rPr>
        <w:t> </w:t>
      </w:r>
      <w:r>
        <w:rPr>
          <w:rFonts w:ascii="宋体" w:hAnsi="宋体" w:cs="宋体" w:eastAsia="宋体" w:hint="default"/>
        </w:rPr>
        <w:t>12</w:t>
      </w:r>
      <w:r>
        <w:rPr>
          <w:rFonts w:ascii="宋体" w:hAnsi="宋体" w:cs="宋体" w:eastAsia="宋体" w:hint="default"/>
          <w:spacing w:val="-54"/>
        </w:rPr>
        <w:t> </w:t>
      </w:r>
      <w:r>
        <w:rPr/>
        <w:t>月，在深圳市连邦软件有限公</w:t>
      </w:r>
      <w:r>
        <w:rPr>
          <w:spacing w:val="-3"/>
          <w:w w:val="100"/>
        </w:rPr>
        <w:t> </w:t>
      </w:r>
      <w:r>
        <w:rPr/>
        <w:t>司从事技术、销售等工作；</w:t>
      </w:r>
      <w:r>
        <w:rPr>
          <w:rFonts w:ascii="宋体" w:hAnsi="宋体" w:cs="宋体" w:eastAsia="宋体" w:hint="default"/>
        </w:rPr>
        <w:t>2007</w:t>
      </w:r>
      <w:r>
        <w:rPr>
          <w:rFonts w:ascii="宋体" w:hAnsi="宋体" w:cs="宋体" w:eastAsia="宋体" w:hint="default"/>
          <w:spacing w:val="-56"/>
        </w:rPr>
        <w:t> </w:t>
      </w:r>
      <w:r>
        <w:rPr/>
        <w:t>年</w:t>
      </w:r>
      <w:r>
        <w:rPr>
          <w:spacing w:val="-58"/>
        </w:rPr>
        <w:t> </w:t>
      </w:r>
      <w:r>
        <w:rPr>
          <w:rFonts w:ascii="宋体" w:hAnsi="宋体" w:cs="宋体" w:eastAsia="宋体" w:hint="default"/>
        </w:rPr>
        <w:t>1</w:t>
      </w:r>
      <w:r>
        <w:rPr>
          <w:rFonts w:ascii="宋体" w:hAnsi="宋体" w:cs="宋体" w:eastAsia="宋体" w:hint="default"/>
          <w:spacing w:val="-56"/>
        </w:rPr>
        <w:t> </w:t>
      </w:r>
      <w:r>
        <w:rPr/>
        <w:t>月至今，在本公司从事采购、生产物流等工作。</w:t>
      </w:r>
    </w:p>
    <w:p>
      <w:pPr>
        <w:spacing w:line="240" w:lineRule="auto" w:before="11"/>
        <w:rPr>
          <w:rFonts w:ascii="宋体" w:hAnsi="宋体" w:cs="宋体" w:eastAsia="宋体" w:hint="default"/>
          <w:sz w:val="28"/>
          <w:szCs w:val="28"/>
        </w:rPr>
      </w:pPr>
    </w:p>
    <w:p>
      <w:pPr>
        <w:pStyle w:val="BodyText"/>
        <w:tabs>
          <w:tab w:pos="1415" w:val="left" w:leader="none"/>
        </w:tabs>
        <w:spacing w:line="314" w:lineRule="auto"/>
        <w:ind w:left="153" w:right="214" w:firstLine="419"/>
        <w:jc w:val="left"/>
      </w:pPr>
      <w:r>
        <w:rPr/>
        <w:t>武文静</w:t>
        <w:tab/>
        <w:t>女士：监事，</w:t>
      </w:r>
      <w:r>
        <w:rPr>
          <w:rFonts w:ascii="宋体" w:hAnsi="宋体" w:cs="宋体" w:eastAsia="宋体" w:hint="default"/>
        </w:rPr>
        <w:t>1982</w:t>
      </w:r>
      <w:r>
        <w:rPr>
          <w:rFonts w:ascii="宋体" w:hAnsi="宋体" w:cs="宋体" w:eastAsia="宋体" w:hint="default"/>
          <w:spacing w:val="-56"/>
        </w:rPr>
        <w:t> </w:t>
      </w:r>
      <w:r>
        <w:rPr/>
        <w:t>年出生，中国国籍，毕业于东北师范大学英语专业，本科。</w:t>
      </w:r>
      <w:r>
        <w:rPr>
          <w:rFonts w:ascii="宋体" w:hAnsi="宋体" w:cs="宋体" w:eastAsia="宋体" w:hint="default"/>
        </w:rPr>
        <w:t>2003</w:t>
      </w:r>
      <w:r>
        <w:rPr>
          <w:rFonts w:ascii="宋体" w:hAnsi="宋体" w:cs="宋体" w:eastAsia="宋体" w:hint="default"/>
          <w:spacing w:val="-56"/>
        </w:rPr>
        <w:t> </w:t>
      </w:r>
      <w:r>
        <w:rPr/>
        <w:t>年</w:t>
      </w:r>
      <w:r>
        <w:rPr>
          <w:spacing w:val="-58"/>
        </w:rPr>
        <w:t> </w:t>
      </w:r>
      <w:r>
        <w:rPr>
          <w:rFonts w:ascii="宋体" w:hAnsi="宋体" w:cs="宋体" w:eastAsia="宋体" w:hint="default"/>
        </w:rPr>
        <w:t>8</w:t>
      </w:r>
      <w:r>
        <w:rPr>
          <w:rFonts w:ascii="宋体" w:hAnsi="宋体" w:cs="宋体" w:eastAsia="宋体" w:hint="default"/>
          <w:spacing w:val="-56"/>
        </w:rPr>
        <w:t> </w:t>
      </w:r>
      <w:r>
        <w:rPr/>
        <w:t>月</w:t>
      </w:r>
      <w:r>
        <w:rPr>
          <w:w w:val="100"/>
        </w:rPr>
        <w:t> </w:t>
      </w:r>
      <w:r>
        <w:rPr>
          <w:spacing w:val="-2"/>
        </w:rPr>
        <w:t>至今在深圳市方直科技股份有限公司任职工作，历任行政文员、策划、人事主管、人力资源部副经理、行</w:t>
      </w:r>
      <w:r>
        <w:rPr>
          <w:spacing w:val="-43"/>
        </w:rPr>
        <w:t> </w:t>
      </w:r>
      <w:r>
        <w:rPr>
          <w:spacing w:val="-43"/>
        </w:rPr>
      </w:r>
      <w:r>
        <w:rPr/>
        <w:t>政人力部经理、人力资源部理经理。</w:t>
      </w:r>
      <w:r>
        <w:rPr>
          <w:rFonts w:ascii="宋体" w:hAnsi="宋体" w:cs="宋体" w:eastAsia="宋体" w:hint="default"/>
        </w:rPr>
        <w:t>2013</w:t>
      </w:r>
      <w:r>
        <w:rPr>
          <w:rFonts w:ascii="宋体" w:hAnsi="宋体" w:cs="宋体" w:eastAsia="宋体" w:hint="default"/>
          <w:spacing w:val="-54"/>
        </w:rPr>
        <w:t> </w:t>
      </w:r>
      <w:r>
        <w:rPr/>
        <w:t>年</w:t>
      </w:r>
      <w:r>
        <w:rPr>
          <w:spacing w:val="-56"/>
        </w:rPr>
        <w:t> </w:t>
      </w:r>
      <w:r>
        <w:rPr>
          <w:rFonts w:ascii="宋体" w:hAnsi="宋体" w:cs="宋体" w:eastAsia="宋体" w:hint="default"/>
        </w:rPr>
        <w:t>3</w:t>
      </w:r>
      <w:r>
        <w:rPr>
          <w:rFonts w:ascii="宋体" w:hAnsi="宋体" w:cs="宋体" w:eastAsia="宋体" w:hint="default"/>
          <w:spacing w:val="-54"/>
        </w:rPr>
        <w:t> </w:t>
      </w:r>
      <w:r>
        <w:rPr/>
        <w:t>月</w:t>
      </w:r>
      <w:r>
        <w:rPr>
          <w:spacing w:val="-54"/>
        </w:rPr>
        <w:t> </w:t>
      </w:r>
      <w:r>
        <w:rPr>
          <w:rFonts w:ascii="宋体" w:hAnsi="宋体" w:cs="宋体" w:eastAsia="宋体" w:hint="default"/>
        </w:rPr>
        <w:t>15</w:t>
      </w:r>
      <w:r>
        <w:rPr>
          <w:rFonts w:ascii="宋体" w:hAnsi="宋体" w:cs="宋体" w:eastAsia="宋体" w:hint="default"/>
          <w:spacing w:val="-54"/>
        </w:rPr>
        <w:t> </w:t>
      </w:r>
      <w:r>
        <w:rPr/>
        <w:t>日第二届监事会第四次会议审议通过《关于变更监事</w:t>
      </w:r>
    </w:p>
    <w:p>
      <w:pPr>
        <w:pStyle w:val="BodyText"/>
        <w:spacing w:line="314" w:lineRule="auto" w:before="20"/>
        <w:ind w:left="153" w:right="207" w:hanging="1"/>
        <w:jc w:val="both"/>
      </w:pPr>
      <w:r>
        <w:rPr>
          <w:spacing w:val="-4"/>
        </w:rPr>
        <w:t>的议案》，经股东提名，选举武文静女士为第二届监事会监事候选人。</w:t>
      </w:r>
      <w:r>
        <w:rPr>
          <w:rFonts w:ascii="宋体" w:hAnsi="宋体" w:cs="宋体" w:eastAsia="宋体" w:hint="default"/>
          <w:spacing w:val="-4"/>
        </w:rPr>
        <w:t>2013</w:t>
      </w:r>
      <w:r>
        <w:rPr>
          <w:rFonts w:ascii="宋体" w:hAnsi="宋体" w:cs="宋体" w:eastAsia="宋体" w:hint="default"/>
          <w:spacing w:val="-46"/>
        </w:rPr>
        <w:t> </w:t>
      </w:r>
      <w:r>
        <w:rPr/>
        <w:t>年</w:t>
      </w:r>
      <w:r>
        <w:rPr>
          <w:spacing w:val="-44"/>
        </w:rPr>
        <w:t> </w:t>
      </w:r>
      <w:r>
        <w:rPr>
          <w:rFonts w:ascii="宋体" w:hAnsi="宋体" w:cs="宋体" w:eastAsia="宋体" w:hint="default"/>
        </w:rPr>
        <w:t>4</w:t>
      </w:r>
      <w:r>
        <w:rPr>
          <w:rFonts w:ascii="宋体" w:hAnsi="宋体" w:cs="宋体" w:eastAsia="宋体" w:hint="default"/>
          <w:spacing w:val="-46"/>
        </w:rPr>
        <w:t> </w:t>
      </w:r>
      <w:r>
        <w:rPr/>
        <w:t>月</w:t>
      </w:r>
      <w:r>
        <w:rPr>
          <w:spacing w:val="-44"/>
        </w:rPr>
        <w:t> </w:t>
      </w:r>
      <w:r>
        <w:rPr>
          <w:rFonts w:ascii="宋体" w:hAnsi="宋体" w:cs="宋体" w:eastAsia="宋体" w:hint="default"/>
        </w:rPr>
        <w:t>10</w:t>
      </w:r>
      <w:r>
        <w:rPr>
          <w:rFonts w:ascii="宋体" w:hAnsi="宋体" w:cs="宋体" w:eastAsia="宋体" w:hint="default"/>
          <w:spacing w:val="-46"/>
        </w:rPr>
        <w:t> </w:t>
      </w:r>
      <w:r>
        <w:rPr/>
        <w:t>日召开的</w:t>
      </w:r>
      <w:r>
        <w:rPr>
          <w:spacing w:val="-46"/>
        </w:rPr>
        <w:t> </w:t>
      </w:r>
      <w:r>
        <w:rPr>
          <w:rFonts w:ascii="宋体" w:hAnsi="宋体" w:cs="宋体" w:eastAsia="宋体" w:hint="default"/>
        </w:rPr>
        <w:t>2012</w:t>
      </w:r>
      <w:r>
        <w:rPr>
          <w:rFonts w:ascii="宋体" w:hAnsi="宋体" w:cs="宋体" w:eastAsia="宋体" w:hint="default"/>
          <w:spacing w:val="-46"/>
        </w:rPr>
        <w:t> </w:t>
      </w:r>
      <w:r>
        <w:rPr/>
        <w:t>年年</w:t>
      </w:r>
      <w:r>
        <w:rPr>
          <w:spacing w:val="-101"/>
        </w:rPr>
        <w:t> </w:t>
      </w:r>
      <w:r>
        <w:rPr>
          <w:spacing w:val="-2"/>
        </w:rPr>
        <w:t>度股东大会决议通过了《关于变更监事的议案》，武文静女士将与监事张振华先生、陈晓佳女士共同组成</w:t>
      </w:r>
      <w:r>
        <w:rPr>
          <w:spacing w:val="-48"/>
        </w:rPr>
        <w:t> </w:t>
      </w:r>
      <w:r>
        <w:rPr>
          <w:spacing w:val="-48"/>
        </w:rPr>
      </w:r>
      <w:r>
        <w:rPr/>
        <w:t>公司第二届监事会，任期从</w:t>
      </w:r>
      <w:r>
        <w:rPr>
          <w:spacing w:val="-53"/>
        </w:rPr>
        <w:t> </w:t>
      </w:r>
      <w:r>
        <w:rPr>
          <w:rFonts w:ascii="宋体" w:hAnsi="宋体" w:cs="宋体" w:eastAsia="宋体" w:hint="default"/>
        </w:rPr>
        <w:t>2013</w:t>
      </w:r>
      <w:r>
        <w:rPr>
          <w:rFonts w:ascii="宋体" w:hAnsi="宋体" w:cs="宋体" w:eastAsia="宋体" w:hint="default"/>
          <w:spacing w:val="-53"/>
        </w:rPr>
        <w:t> </w:t>
      </w:r>
      <w:r>
        <w:rPr/>
        <w:t>年</w:t>
      </w:r>
      <w:r>
        <w:rPr>
          <w:spacing w:val="-55"/>
        </w:rPr>
        <w:t> </w:t>
      </w:r>
      <w:r>
        <w:rPr>
          <w:rFonts w:ascii="宋体" w:hAnsi="宋体" w:cs="宋体" w:eastAsia="宋体" w:hint="default"/>
        </w:rPr>
        <w:t>4</w:t>
      </w:r>
      <w:r>
        <w:rPr>
          <w:rFonts w:ascii="宋体" w:hAnsi="宋体" w:cs="宋体" w:eastAsia="宋体" w:hint="default"/>
          <w:spacing w:val="-53"/>
        </w:rPr>
        <w:t> </w:t>
      </w:r>
      <w:r>
        <w:rPr/>
        <w:t>月</w:t>
      </w:r>
      <w:r>
        <w:rPr>
          <w:spacing w:val="-55"/>
        </w:rPr>
        <w:t> </w:t>
      </w:r>
      <w:r>
        <w:rPr>
          <w:rFonts w:ascii="宋体" w:hAnsi="宋体" w:cs="宋体" w:eastAsia="宋体" w:hint="default"/>
        </w:rPr>
        <w:t>10</w:t>
      </w:r>
      <w:r>
        <w:rPr>
          <w:rFonts w:ascii="宋体" w:hAnsi="宋体" w:cs="宋体" w:eastAsia="宋体" w:hint="default"/>
          <w:spacing w:val="-53"/>
        </w:rPr>
        <w:t> </w:t>
      </w:r>
      <w:r>
        <w:rPr/>
        <w:t>日起至第二届监事会任期届满。</w:t>
      </w:r>
    </w:p>
    <w:p>
      <w:pPr>
        <w:spacing w:line="240" w:lineRule="auto" w:before="11"/>
        <w:rPr>
          <w:rFonts w:ascii="宋体" w:hAnsi="宋体" w:cs="宋体" w:eastAsia="宋体" w:hint="default"/>
          <w:sz w:val="28"/>
          <w:szCs w:val="28"/>
        </w:rPr>
      </w:pPr>
    </w:p>
    <w:p>
      <w:pPr>
        <w:pStyle w:val="BodyText"/>
        <w:tabs>
          <w:tab w:pos="1416" w:val="left" w:leader="none"/>
        </w:tabs>
        <w:spacing w:line="240" w:lineRule="auto"/>
        <w:ind w:left="574" w:right="0"/>
        <w:jc w:val="left"/>
      </w:pPr>
      <w:r>
        <w:rPr/>
        <w:t>何华辉</w:t>
        <w:tab/>
      </w:r>
      <w:r>
        <w:rPr>
          <w:spacing w:val="-4"/>
        </w:rPr>
        <w:t>先生：职工代表监事，</w:t>
      </w:r>
      <w:r>
        <w:rPr>
          <w:rFonts w:ascii="宋体" w:hAnsi="宋体" w:cs="宋体" w:eastAsia="宋体" w:hint="default"/>
          <w:spacing w:val="-4"/>
        </w:rPr>
        <w:t>1984</w:t>
      </w:r>
      <w:r>
        <w:rPr>
          <w:rFonts w:ascii="宋体" w:hAnsi="宋体" w:cs="宋体" w:eastAsia="宋体" w:hint="default"/>
          <w:spacing w:val="-27"/>
        </w:rPr>
        <w:t> </w:t>
      </w:r>
      <w:r>
        <w:rPr/>
        <w:t>年</w:t>
      </w:r>
      <w:r>
        <w:rPr>
          <w:spacing w:val="-30"/>
        </w:rPr>
        <w:t> </w:t>
      </w:r>
      <w:r>
        <w:rPr>
          <w:rFonts w:ascii="宋体" w:hAnsi="宋体" w:cs="宋体" w:eastAsia="宋体" w:hint="default"/>
        </w:rPr>
        <w:t>12</w:t>
      </w:r>
      <w:r>
        <w:rPr>
          <w:rFonts w:ascii="宋体" w:hAnsi="宋体" w:cs="宋体" w:eastAsia="宋体" w:hint="default"/>
          <w:spacing w:val="-30"/>
        </w:rPr>
        <w:t> </w:t>
      </w:r>
      <w:r>
        <w:rPr>
          <w:spacing w:val="-4"/>
        </w:rPr>
        <w:t>月生，中国国籍，毕业于九江学院计算机应用专业，大专。</w:t>
      </w:r>
    </w:p>
    <w:p>
      <w:pPr>
        <w:pStyle w:val="BodyText"/>
        <w:spacing w:line="240" w:lineRule="auto" w:before="82"/>
        <w:ind w:left="154" w:right="106"/>
        <w:jc w:val="left"/>
      </w:pPr>
      <w:r>
        <w:rPr>
          <w:rFonts w:ascii="宋体" w:hAnsi="宋体" w:cs="宋体" w:eastAsia="宋体" w:hint="default"/>
        </w:rPr>
        <w:t>2006</w:t>
      </w:r>
      <w:r>
        <w:rPr>
          <w:rFonts w:ascii="宋体" w:hAnsi="宋体" w:cs="宋体" w:eastAsia="宋体" w:hint="default"/>
          <w:spacing w:val="-50"/>
        </w:rPr>
        <w:t> </w:t>
      </w:r>
      <w:r>
        <w:rPr/>
        <w:t>年</w:t>
      </w:r>
      <w:r>
        <w:rPr>
          <w:spacing w:val="-48"/>
        </w:rPr>
        <w:t> </w:t>
      </w:r>
      <w:r>
        <w:rPr>
          <w:rFonts w:ascii="宋体" w:hAnsi="宋体" w:cs="宋体" w:eastAsia="宋体" w:hint="default"/>
        </w:rPr>
        <w:t>3</w:t>
      </w:r>
      <w:r>
        <w:rPr>
          <w:rFonts w:ascii="宋体" w:hAnsi="宋体" w:cs="宋体" w:eastAsia="宋体" w:hint="default"/>
          <w:spacing w:val="-50"/>
        </w:rPr>
        <w:t> </w:t>
      </w:r>
      <w:r>
        <w:rPr/>
        <w:t>月至</w:t>
      </w:r>
      <w:r>
        <w:rPr>
          <w:spacing w:val="-48"/>
        </w:rPr>
        <w:t> </w:t>
      </w:r>
      <w:r>
        <w:rPr>
          <w:rFonts w:ascii="宋体" w:hAnsi="宋体" w:cs="宋体" w:eastAsia="宋体" w:hint="default"/>
        </w:rPr>
        <w:t>2008</w:t>
      </w:r>
      <w:r>
        <w:rPr>
          <w:rFonts w:ascii="宋体" w:hAnsi="宋体" w:cs="宋体" w:eastAsia="宋体" w:hint="default"/>
          <w:spacing w:val="-50"/>
        </w:rPr>
        <w:t> </w:t>
      </w:r>
      <w:r>
        <w:rPr/>
        <w:t>年</w:t>
      </w:r>
      <w:r>
        <w:rPr>
          <w:spacing w:val="-48"/>
        </w:rPr>
        <w:t> </w:t>
      </w:r>
      <w:r>
        <w:rPr>
          <w:rFonts w:ascii="宋体" w:hAnsi="宋体" w:cs="宋体" w:eastAsia="宋体" w:hint="default"/>
        </w:rPr>
        <w:t>4</w:t>
      </w:r>
      <w:r>
        <w:rPr>
          <w:rFonts w:ascii="宋体" w:hAnsi="宋体" w:cs="宋体" w:eastAsia="宋体" w:hint="default"/>
          <w:spacing w:val="-50"/>
        </w:rPr>
        <w:t> </w:t>
      </w:r>
      <w:r>
        <w:rPr>
          <w:spacing w:val="-3"/>
        </w:rPr>
        <w:t>月曾任深圳神州文化传播有限公司网络管理员；</w:t>
      </w:r>
      <w:r>
        <w:rPr>
          <w:rFonts w:ascii="宋体" w:hAnsi="宋体" w:cs="宋体" w:eastAsia="宋体" w:hint="default"/>
          <w:spacing w:val="-3"/>
        </w:rPr>
        <w:t>2008</w:t>
      </w:r>
      <w:r>
        <w:rPr>
          <w:rFonts w:ascii="宋体" w:hAnsi="宋体" w:cs="宋体" w:eastAsia="宋体" w:hint="default"/>
          <w:spacing w:val="-48"/>
        </w:rPr>
        <w:t> </w:t>
      </w:r>
      <w:r>
        <w:rPr/>
        <w:t>年</w:t>
      </w:r>
      <w:r>
        <w:rPr>
          <w:spacing w:val="-48"/>
        </w:rPr>
        <w:t> </w:t>
      </w:r>
      <w:r>
        <w:rPr>
          <w:rFonts w:ascii="宋体" w:hAnsi="宋体" w:cs="宋体" w:eastAsia="宋体" w:hint="default"/>
        </w:rPr>
        <w:t>4</w:t>
      </w:r>
      <w:r>
        <w:rPr>
          <w:rFonts w:ascii="宋体" w:hAnsi="宋体" w:cs="宋体" w:eastAsia="宋体" w:hint="default"/>
          <w:spacing w:val="-50"/>
        </w:rPr>
        <w:t> </w:t>
      </w:r>
      <w:r>
        <w:rPr/>
        <w:t>月至今就职深圳市方直</w:t>
      </w:r>
    </w:p>
    <w:p>
      <w:pPr>
        <w:pStyle w:val="BodyText"/>
        <w:spacing w:line="314" w:lineRule="auto" w:before="85"/>
        <w:ind w:left="154" w:right="106" w:hanging="1"/>
        <w:jc w:val="left"/>
      </w:pPr>
      <w:r>
        <w:rPr/>
        <w:t>科技股份有限公司网络管理工程师。</w:t>
      </w:r>
      <w:r>
        <w:rPr>
          <w:rFonts w:ascii="宋体" w:hAnsi="宋体" w:cs="宋体" w:eastAsia="宋体" w:hint="default"/>
        </w:rPr>
        <w:t>2013</w:t>
      </w:r>
      <w:r>
        <w:rPr>
          <w:rFonts w:ascii="宋体" w:hAnsi="宋体" w:cs="宋体" w:eastAsia="宋体" w:hint="default"/>
          <w:spacing w:val="-54"/>
        </w:rPr>
        <w:t> </w:t>
      </w:r>
      <w:r>
        <w:rPr/>
        <w:t>年</w:t>
      </w:r>
      <w:r>
        <w:rPr>
          <w:spacing w:val="-56"/>
        </w:rPr>
        <w:t> </w:t>
      </w:r>
      <w:r>
        <w:rPr>
          <w:rFonts w:ascii="宋体" w:hAnsi="宋体" w:cs="宋体" w:eastAsia="宋体" w:hint="default"/>
        </w:rPr>
        <w:t>8</w:t>
      </w:r>
      <w:r>
        <w:rPr>
          <w:rFonts w:ascii="宋体" w:hAnsi="宋体" w:cs="宋体" w:eastAsia="宋体" w:hint="default"/>
          <w:spacing w:val="-54"/>
        </w:rPr>
        <w:t> </w:t>
      </w:r>
      <w:r>
        <w:rPr/>
        <w:t>月</w:t>
      </w:r>
      <w:r>
        <w:rPr>
          <w:spacing w:val="-54"/>
        </w:rPr>
        <w:t> </w:t>
      </w:r>
      <w:r>
        <w:rPr>
          <w:rFonts w:ascii="宋体" w:hAnsi="宋体" w:cs="宋体" w:eastAsia="宋体" w:hint="default"/>
        </w:rPr>
        <w:t>20</w:t>
      </w:r>
      <w:r>
        <w:rPr>
          <w:rFonts w:ascii="宋体" w:hAnsi="宋体" w:cs="宋体" w:eastAsia="宋体" w:hint="default"/>
          <w:spacing w:val="-54"/>
        </w:rPr>
        <w:t> </w:t>
      </w:r>
      <w:r>
        <w:rPr/>
        <w:t>日经公司职工代表大会表决，选举何华辉先生担任公</w:t>
      </w:r>
      <w:r>
        <w:rPr>
          <w:w w:val="100"/>
        </w:rPr>
        <w:t> </w:t>
      </w:r>
      <w:r>
        <w:rPr>
          <w:spacing w:val="-5"/>
        </w:rPr>
        <w:t>司第二届监事会职工代表监事。何华辉先生将与监事张振华先生、武文静女士共同组成公司第二届监事会，</w:t>
      </w:r>
      <w:r>
        <w:rPr>
          <w:spacing w:val="-9"/>
        </w:rPr>
        <w:t> </w:t>
      </w:r>
      <w:r>
        <w:rPr>
          <w:spacing w:val="-9"/>
        </w:rPr>
      </w:r>
      <w:r>
        <w:rPr/>
        <w:t>任期从</w:t>
      </w:r>
      <w:r>
        <w:rPr>
          <w:spacing w:val="-53"/>
        </w:rPr>
        <w:t> </w:t>
      </w:r>
      <w:r>
        <w:rPr>
          <w:rFonts w:ascii="宋体" w:hAnsi="宋体" w:cs="宋体" w:eastAsia="宋体" w:hint="default"/>
        </w:rPr>
        <w:t>2013</w:t>
      </w:r>
      <w:r>
        <w:rPr>
          <w:rFonts w:ascii="宋体" w:hAnsi="宋体" w:cs="宋体" w:eastAsia="宋体" w:hint="default"/>
          <w:spacing w:val="-53"/>
        </w:rPr>
        <w:t> </w:t>
      </w:r>
      <w:r>
        <w:rPr/>
        <w:t>年</w:t>
      </w:r>
      <w:r>
        <w:rPr>
          <w:spacing w:val="-55"/>
        </w:rPr>
        <w:t> </w:t>
      </w:r>
      <w:r>
        <w:rPr>
          <w:rFonts w:ascii="宋体" w:hAnsi="宋体" w:cs="宋体" w:eastAsia="宋体" w:hint="default"/>
        </w:rPr>
        <w:t>8</w:t>
      </w:r>
      <w:r>
        <w:rPr>
          <w:rFonts w:ascii="宋体" w:hAnsi="宋体" w:cs="宋体" w:eastAsia="宋体" w:hint="default"/>
          <w:spacing w:val="-53"/>
        </w:rPr>
        <w:t> </w:t>
      </w:r>
      <w:r>
        <w:rPr/>
        <w:t>月</w:t>
      </w:r>
      <w:r>
        <w:rPr>
          <w:spacing w:val="-55"/>
        </w:rPr>
        <w:t> </w:t>
      </w:r>
      <w:r>
        <w:rPr>
          <w:rFonts w:ascii="宋体" w:hAnsi="宋体" w:cs="宋体" w:eastAsia="宋体" w:hint="default"/>
        </w:rPr>
        <w:t>21</w:t>
      </w:r>
      <w:r>
        <w:rPr>
          <w:rFonts w:ascii="宋体" w:hAnsi="宋体" w:cs="宋体" w:eastAsia="宋体" w:hint="default"/>
          <w:spacing w:val="-53"/>
        </w:rPr>
        <w:t> </w:t>
      </w:r>
      <w:r>
        <w:rPr/>
        <w:t>日起至第二届监事会任期届满。</w:t>
      </w:r>
    </w:p>
    <w:p>
      <w:pPr>
        <w:pStyle w:val="BodyText"/>
        <w:spacing w:line="718" w:lineRule="exact" w:before="48"/>
        <w:ind w:left="572" w:right="106"/>
        <w:jc w:val="left"/>
      </w:pPr>
      <w:r>
        <w:rPr>
          <w:rFonts w:ascii="宋体" w:hAnsi="宋体" w:cs="宋体" w:eastAsia="宋体" w:hint="default"/>
          <w:b/>
          <w:bCs/>
        </w:rPr>
        <w:t>3</w:t>
      </w:r>
      <w:r>
        <w:rPr>
          <w:rFonts w:ascii="宋体" w:hAnsi="宋体" w:cs="宋体" w:eastAsia="宋体" w:hint="default"/>
          <w:b/>
          <w:bCs/>
        </w:rPr>
        <w:t>、高级管理人员</w:t>
      </w:r>
      <w:r>
        <w:rPr>
          <w:rFonts w:ascii="宋体" w:hAnsi="宋体" w:cs="宋体" w:eastAsia="宋体" w:hint="default"/>
          <w:b/>
          <w:bCs/>
          <w:w w:val="100"/>
        </w:rPr>
        <w:t> </w:t>
      </w:r>
      <w:r>
        <w:rPr>
          <w:spacing w:val="-3"/>
        </w:rPr>
        <w:t>公司目前高级管理人员包括总经理一名、副总经理四名，财务总监、董事会秘书。各位高级管理人员</w:t>
      </w:r>
      <w:r>
        <w:rPr/>
      </w:r>
    </w:p>
    <w:p>
      <w:pPr>
        <w:pStyle w:val="BodyText"/>
        <w:spacing w:line="243" w:lineRule="exact"/>
        <w:ind w:right="106"/>
        <w:jc w:val="left"/>
      </w:pPr>
      <w:r>
        <w:rPr/>
        <w:t>均为中国国籍，高级管理人员均无境外永久居留权。</w:t>
      </w:r>
    </w:p>
    <w:p>
      <w:pPr>
        <w:pStyle w:val="BodyText"/>
        <w:tabs>
          <w:tab w:pos="1415" w:val="left" w:leader="none"/>
        </w:tabs>
        <w:spacing w:line="626" w:lineRule="auto" w:before="85"/>
        <w:ind w:left="572" w:right="3231"/>
        <w:jc w:val="left"/>
      </w:pPr>
      <w:r>
        <w:rPr/>
        <w:t>黄元忠</w:t>
        <w:tab/>
        <w:t>先生：</w:t>
      </w:r>
      <w:r>
        <w:rPr>
          <w:spacing w:val="-5"/>
        </w:rPr>
        <w:t> </w:t>
      </w:r>
      <w:r>
        <w:rPr/>
        <w:t>总经理，简历参见本节之“一、公司董事简介”。</w:t>
      </w:r>
      <w:r>
        <w:rPr>
          <w:w w:val="100"/>
        </w:rPr>
        <w:t> </w:t>
      </w:r>
      <w:r>
        <w:rPr/>
        <w:t>黄晓峰</w:t>
      </w:r>
      <w:r>
        <w:rPr>
          <w:spacing w:val="-4"/>
        </w:rPr>
        <w:t> </w:t>
      </w:r>
      <w:r>
        <w:rPr/>
        <w:t>先生：副总经理，简历参见本节之“一、公司董事简介”。</w:t>
      </w:r>
    </w:p>
    <w:p>
      <w:pPr>
        <w:pStyle w:val="BodyText"/>
        <w:spacing w:line="240" w:lineRule="auto" w:before="104"/>
        <w:ind w:left="572" w:right="106"/>
        <w:jc w:val="left"/>
      </w:pPr>
      <w:r>
        <w:rPr/>
        <w:t>陈克让</w:t>
      </w:r>
      <w:r>
        <w:rPr>
          <w:spacing w:val="-5"/>
        </w:rPr>
        <w:t> </w:t>
      </w:r>
      <w:r>
        <w:rPr/>
        <w:t>先生：副总经理、董事会秘书，简历参见本节之“一、公司董事简介”。</w:t>
      </w:r>
    </w:p>
    <w:p>
      <w:pPr>
        <w:spacing w:after="0" w:line="240" w:lineRule="auto"/>
        <w:jc w:val="left"/>
        <w:sectPr>
          <w:pgSz w:w="11910" w:h="16840"/>
          <w:pgMar w:header="748" w:footer="982" w:top="1060" w:bottom="1180" w:left="98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BodyText"/>
        <w:spacing w:line="314" w:lineRule="auto"/>
        <w:ind w:right="106" w:firstLine="419"/>
        <w:jc w:val="left"/>
      </w:pPr>
      <w:r>
        <w:rPr/>
        <w:t>孙晓玲，女，汉族，生于</w:t>
      </w:r>
      <w:r>
        <w:rPr>
          <w:spacing w:val="-57"/>
        </w:rPr>
        <w:t> </w:t>
      </w:r>
      <w:r>
        <w:rPr>
          <w:rFonts w:ascii="宋体" w:hAnsi="宋体" w:cs="宋体" w:eastAsia="宋体" w:hint="default"/>
        </w:rPr>
        <w:t>1972</w:t>
      </w:r>
      <w:r>
        <w:rPr>
          <w:rFonts w:ascii="宋体" w:hAnsi="宋体" w:cs="宋体" w:eastAsia="宋体" w:hint="default"/>
          <w:spacing w:val="-57"/>
        </w:rPr>
        <w:t> </w:t>
      </w:r>
      <w:r>
        <w:rPr/>
        <w:t>生，本科，会计师。曾任西南铝业集团有限公司财务处会计，深圳融</w:t>
      </w:r>
      <w:r>
        <w:rPr>
          <w:spacing w:val="-3"/>
          <w:w w:val="100"/>
        </w:rPr>
        <w:t> </w:t>
      </w:r>
      <w:r>
        <w:rPr>
          <w:spacing w:val="-3"/>
        </w:rPr>
        <w:t>信会计师事务所项目经理，深圳菲莫斯实业有限公司审计部经理。</w:t>
      </w:r>
      <w:r>
        <w:rPr>
          <w:rFonts w:ascii="宋体" w:hAnsi="宋体" w:cs="宋体" w:eastAsia="宋体" w:hint="default"/>
          <w:spacing w:val="-3"/>
        </w:rPr>
        <w:t>1999 </w:t>
      </w:r>
      <w:r>
        <w:rPr>
          <w:spacing w:val="-4"/>
        </w:rPr>
        <w:t>年加入本公司，历任财务经理、财</w:t>
      </w:r>
      <w:r>
        <w:rPr>
          <w:spacing w:val="-80"/>
        </w:rPr>
        <w:t> </w:t>
      </w:r>
      <w:r>
        <w:rPr>
          <w:spacing w:val="-80"/>
        </w:rPr>
      </w:r>
      <w:r>
        <w:rPr/>
        <w:t>务总监、现担任本公司副总经理兼财务总监。</w:t>
      </w:r>
    </w:p>
    <w:p>
      <w:pPr>
        <w:spacing w:line="240" w:lineRule="auto" w:before="11"/>
        <w:rPr>
          <w:rFonts w:ascii="宋体" w:hAnsi="宋体" w:cs="宋体" w:eastAsia="宋体" w:hint="default"/>
          <w:sz w:val="28"/>
          <w:szCs w:val="28"/>
        </w:rPr>
      </w:pPr>
    </w:p>
    <w:p>
      <w:pPr>
        <w:pStyle w:val="BodyText"/>
        <w:spacing w:line="240" w:lineRule="auto"/>
        <w:ind w:left="573" w:right="0"/>
        <w:jc w:val="left"/>
      </w:pPr>
      <w:r>
        <w:rPr>
          <w:spacing w:val="-3"/>
        </w:rPr>
        <w:t>杨颖，女，汉族，生于</w:t>
      </w:r>
      <w:r>
        <w:rPr>
          <w:spacing w:val="-53"/>
        </w:rPr>
        <w:t> </w:t>
      </w:r>
      <w:r>
        <w:rPr>
          <w:rFonts w:ascii="宋体" w:hAnsi="宋体" w:cs="宋体" w:eastAsia="宋体" w:hint="default"/>
        </w:rPr>
        <w:t>1964</w:t>
      </w:r>
      <w:r>
        <w:rPr>
          <w:rFonts w:ascii="宋体" w:hAnsi="宋体" w:cs="宋体" w:eastAsia="宋体" w:hint="default"/>
          <w:spacing w:val="-53"/>
        </w:rPr>
        <w:t> </w:t>
      </w:r>
      <w:r>
        <w:rPr/>
        <w:t>年。曾任重庆建安公司经济员，中国长城计算机集团深圳昆仑公司会计，</w:t>
      </w:r>
    </w:p>
    <w:p>
      <w:pPr>
        <w:pStyle w:val="BodyText"/>
        <w:spacing w:line="312" w:lineRule="auto" w:before="85"/>
        <w:ind w:right="106"/>
        <w:jc w:val="left"/>
      </w:pPr>
      <w:r>
        <w:rPr>
          <w:rFonts w:ascii="宋体" w:hAnsi="宋体" w:cs="宋体" w:eastAsia="宋体" w:hint="default"/>
        </w:rPr>
        <w:t>1996 </w:t>
      </w:r>
      <w:r>
        <w:rPr>
          <w:spacing w:val="-4"/>
        </w:rPr>
        <w:t>年加入本公司，历任本公司会计、行政总监、行政人力中心总经理、人力资源部总经理，现任公司副</w:t>
      </w:r>
      <w:r>
        <w:rPr>
          <w:spacing w:val="-69"/>
        </w:rPr>
        <w:t> </w:t>
      </w:r>
      <w:r>
        <w:rPr>
          <w:spacing w:val="-69"/>
        </w:rPr>
      </w:r>
      <w:r>
        <w:rPr/>
        <w:t>总经理。</w:t>
      </w:r>
    </w:p>
    <w:p>
      <w:pPr>
        <w:spacing w:line="240" w:lineRule="auto" w:before="9"/>
        <w:rPr>
          <w:rFonts w:ascii="宋体" w:hAnsi="宋体" w:cs="宋体" w:eastAsia="宋体" w:hint="default"/>
          <w:sz w:val="23"/>
          <w:szCs w:val="23"/>
        </w:rPr>
      </w:pPr>
    </w:p>
    <w:p>
      <w:pPr>
        <w:pStyle w:val="BodyText"/>
        <w:spacing w:line="240" w:lineRule="auto"/>
        <w:ind w:right="106"/>
        <w:jc w:val="left"/>
      </w:pPr>
      <w:r>
        <w:rPr/>
        <w:t>在股东单位任职情况</w:t>
      </w:r>
    </w:p>
    <w:p>
      <w:pPr>
        <w:pStyle w:val="BodyText"/>
        <w:spacing w:line="256" w:lineRule="auto" w:before="37"/>
        <w:ind w:right="79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1"/>
        </w:rPr>
        <w:t>在其他单位任职情况</w:t>
      </w:r>
    </w:p>
    <w:p>
      <w:pPr>
        <w:pStyle w:val="BodyText"/>
        <w:spacing w:line="240" w:lineRule="auto" w:before="22"/>
        <w:ind w:right="10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7"/>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1200"/>
        <w:gridCol w:w="3192"/>
        <w:gridCol w:w="1063"/>
        <w:gridCol w:w="1195"/>
        <w:gridCol w:w="1325"/>
        <w:gridCol w:w="1594"/>
      </w:tblGrid>
      <w:tr>
        <w:trPr>
          <w:trHeight w:val="828" w:hRule="exact"/>
        </w:trPr>
        <w:tc>
          <w:tcPr>
            <w:tcW w:w="1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2"/>
              <w:ind w:left="489" w:right="65" w:hanging="420"/>
              <w:jc w:val="left"/>
              <w:rPr>
                <w:rFonts w:ascii="宋体" w:hAnsi="宋体" w:cs="宋体" w:eastAsia="宋体" w:hint="default"/>
                <w:sz w:val="21"/>
                <w:szCs w:val="21"/>
              </w:rPr>
            </w:pPr>
            <w:r>
              <w:rPr>
                <w:rFonts w:ascii="宋体" w:hAnsi="宋体" w:cs="宋体" w:eastAsia="宋体" w:hint="default"/>
                <w:sz w:val="21"/>
                <w:szCs w:val="21"/>
              </w:rPr>
              <w:t>任职人员姓</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名</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962" w:right="0"/>
              <w:jc w:val="left"/>
              <w:rPr>
                <w:rFonts w:ascii="宋体" w:hAnsi="宋体" w:cs="宋体" w:eastAsia="宋体" w:hint="default"/>
                <w:sz w:val="21"/>
                <w:szCs w:val="21"/>
              </w:rPr>
            </w:pPr>
            <w:r>
              <w:rPr>
                <w:rFonts w:ascii="宋体" w:hAnsi="宋体" w:cs="宋体" w:eastAsia="宋体" w:hint="default"/>
                <w:sz w:val="21"/>
                <w:szCs w:val="21"/>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在其他单</w:t>
            </w:r>
          </w:p>
          <w:p>
            <w:pPr>
              <w:pStyle w:val="TableParagraph"/>
              <w:spacing w:line="240" w:lineRule="auto"/>
              <w:ind w:left="316" w:right="101" w:hanging="209"/>
              <w:jc w:val="left"/>
              <w:rPr>
                <w:rFonts w:ascii="宋体" w:hAnsi="宋体" w:cs="宋体" w:eastAsia="宋体" w:hint="default"/>
                <w:sz w:val="21"/>
                <w:szCs w:val="21"/>
              </w:rPr>
            </w:pPr>
            <w:r>
              <w:rPr>
                <w:rFonts w:ascii="宋体" w:hAnsi="宋体" w:cs="宋体" w:eastAsia="宋体" w:hint="default"/>
                <w:sz w:val="21"/>
                <w:szCs w:val="21"/>
              </w:rPr>
              <w:t>位担任的</w:t>
            </w:r>
            <w:r>
              <w:rPr>
                <w:rFonts w:ascii="宋体" w:hAnsi="宋体" w:cs="宋体" w:eastAsia="宋体" w:hint="default"/>
                <w:w w:val="100"/>
                <w:sz w:val="21"/>
                <w:szCs w:val="21"/>
              </w:rPr>
              <w:t> </w:t>
            </w:r>
            <w:r>
              <w:rPr>
                <w:rFonts w:ascii="宋体" w:hAnsi="宋体" w:cs="宋体" w:eastAsia="宋体" w:hint="default"/>
                <w:sz w:val="21"/>
                <w:szCs w:val="21"/>
              </w:rPr>
              <w:t>职务</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2"/>
              <w:ind w:left="487" w:right="62" w:hanging="420"/>
              <w:jc w:val="left"/>
              <w:rPr>
                <w:rFonts w:ascii="宋体" w:hAnsi="宋体" w:cs="宋体" w:eastAsia="宋体" w:hint="default"/>
                <w:sz w:val="21"/>
                <w:szCs w:val="21"/>
              </w:rPr>
            </w:pPr>
            <w:r>
              <w:rPr>
                <w:rFonts w:ascii="宋体" w:hAnsi="宋体" w:cs="宋体" w:eastAsia="宋体" w:hint="default"/>
                <w:sz w:val="21"/>
                <w:szCs w:val="21"/>
              </w:rPr>
              <w:t>任期起始日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期</w:t>
            </w:r>
          </w:p>
        </w:tc>
        <w:tc>
          <w:tcPr>
            <w:tcW w:w="13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2"/>
              <w:ind w:left="163" w:right="50" w:hanging="106"/>
              <w:jc w:val="left"/>
              <w:rPr>
                <w:rFonts w:ascii="宋体" w:hAnsi="宋体" w:cs="宋体" w:eastAsia="宋体" w:hint="default"/>
                <w:sz w:val="21"/>
                <w:szCs w:val="21"/>
              </w:rPr>
            </w:pPr>
            <w:r>
              <w:rPr>
                <w:rFonts w:ascii="宋体" w:hAnsi="宋体" w:cs="宋体" w:eastAsia="宋体" w:hint="default"/>
                <w:sz w:val="21"/>
                <w:szCs w:val="21"/>
              </w:rPr>
              <w:t>在其他单位是否</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领取报酬津贴</w:t>
            </w:r>
          </w:p>
        </w:tc>
      </w:tr>
      <w:tr>
        <w:trPr>
          <w:trHeight w:val="55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任立</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卓科特实业</w:t>
            </w:r>
            <w:r>
              <w:rPr>
                <w:rFonts w:ascii="Times New Roman" w:hAnsi="Times New Roman" w:cs="Times New Roman" w:eastAsia="Times New Roman" w:hint="default"/>
                <w:sz w:val="21"/>
                <w:szCs w:val="21"/>
              </w:rPr>
              <w:t>(</w:t>
            </w:r>
            <w:r>
              <w:rPr>
                <w:rFonts w:ascii="宋体" w:hAnsi="宋体" w:cs="宋体" w:eastAsia="宋体" w:hint="default"/>
                <w:sz w:val="21"/>
                <w:szCs w:val="21"/>
              </w:rPr>
              <w:t>深圳</w:t>
            </w:r>
            <w:r>
              <w:rPr>
                <w:rFonts w:ascii="Times New Roman" w:hAnsi="Times New Roman" w:cs="Times New Roman" w:eastAsia="Times New Roman" w:hint="default"/>
                <w:sz w:val="21"/>
                <w:szCs w:val="21"/>
              </w:rPr>
              <w:t>)</w:t>
            </w:r>
            <w:r>
              <w:rPr>
                <w:rFonts w:ascii="宋体" w:hAnsi="宋体" w:cs="宋体" w:eastAsia="宋体" w:hint="default"/>
                <w:sz w:val="21"/>
                <w:szCs w:val="21"/>
              </w:rPr>
              <w:t>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2002</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年</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月</w:t>
            </w:r>
          </w:p>
          <w:p>
            <w:pPr>
              <w:pStyle w:val="TableParagraph"/>
              <w:spacing w:line="281"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55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陈赛芝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深圳嘉达信会计师事务所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10"/>
                <w:sz w:val="21"/>
                <w:szCs w:val="21"/>
              </w:rPr>
              <w:t>合伙人、主</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任会计师</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2005</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年</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月</w:t>
            </w:r>
          </w:p>
          <w:p>
            <w:pPr>
              <w:pStyle w:val="TableParagraph"/>
              <w:spacing w:line="282"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55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李亮</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深圳职业技术学院</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副教授</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2005</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年</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月</w:t>
            </w:r>
          </w:p>
          <w:p>
            <w:pPr>
              <w:pStyle w:val="TableParagraph"/>
              <w:spacing w:line="282"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55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高文舍</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深圳市利阳科技有限公司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董事长兼</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2003</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年</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月</w:t>
            </w:r>
          </w:p>
          <w:p>
            <w:pPr>
              <w:pStyle w:val="TableParagraph"/>
              <w:spacing w:line="281"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1102" w:hRule="exact"/>
        </w:trPr>
        <w:tc>
          <w:tcPr>
            <w:tcW w:w="1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2"/>
              <w:ind w:left="24" w:right="110"/>
              <w:jc w:val="both"/>
              <w:rPr>
                <w:rFonts w:ascii="宋体" w:hAnsi="宋体" w:cs="宋体" w:eastAsia="宋体" w:hint="default"/>
                <w:sz w:val="21"/>
                <w:szCs w:val="21"/>
              </w:rPr>
            </w:pPr>
            <w:r>
              <w:rPr>
                <w:rFonts w:ascii="宋体" w:hAnsi="宋体" w:cs="宋体" w:eastAsia="宋体" w:hint="default"/>
                <w:sz w:val="21"/>
                <w:szCs w:val="21"/>
              </w:rPr>
              <w:t>在其他单位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任职情况的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说明</w:t>
            </w:r>
          </w:p>
        </w:tc>
        <w:tc>
          <w:tcPr>
            <w:tcW w:w="836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both"/>
              <w:rPr>
                <w:rFonts w:ascii="宋体" w:hAnsi="宋体" w:cs="宋体" w:eastAsia="宋体" w:hint="default"/>
                <w:sz w:val="21"/>
                <w:szCs w:val="21"/>
              </w:rPr>
            </w:pPr>
            <w:r>
              <w:rPr>
                <w:rFonts w:ascii="宋体" w:hAnsi="宋体" w:cs="宋体" w:eastAsia="宋体" w:hint="default"/>
                <w:sz w:val="21"/>
                <w:szCs w:val="21"/>
              </w:rPr>
              <w:t>任立于</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2002</w:t>
            </w:r>
            <w:r>
              <w:rPr>
                <w:rFonts w:ascii="Times New Roman" w:hAnsi="Times New Roman" w:cs="Times New Roman" w:eastAsia="Times New Roman" w:hint="default"/>
                <w:spacing w:val="11"/>
                <w:sz w:val="21"/>
                <w:szCs w:val="21"/>
              </w:rPr>
              <w:t> </w:t>
            </w:r>
            <w:r>
              <w:rPr>
                <w:rFonts w:ascii="宋体" w:hAnsi="宋体" w:cs="宋体" w:eastAsia="宋体" w:hint="default"/>
                <w:spacing w:val="-3"/>
                <w:sz w:val="21"/>
                <w:szCs w:val="21"/>
              </w:rPr>
              <w:t>年就职于卓科特实业</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深圳</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有限公司，任总经理。陈赛芝</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2005</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年就职于深圳嘉</w:t>
            </w:r>
          </w:p>
          <w:p>
            <w:pPr>
              <w:pStyle w:val="TableParagraph"/>
              <w:spacing w:line="230" w:lineRule="auto" w:before="1"/>
              <w:ind w:left="26" w:right="18"/>
              <w:jc w:val="both"/>
              <w:rPr>
                <w:rFonts w:ascii="宋体" w:hAnsi="宋体" w:cs="宋体" w:eastAsia="宋体" w:hint="default"/>
                <w:sz w:val="21"/>
                <w:szCs w:val="21"/>
              </w:rPr>
            </w:pPr>
            <w:r>
              <w:rPr>
                <w:rFonts w:ascii="宋体" w:hAnsi="宋体" w:cs="宋体" w:eastAsia="宋体" w:hint="default"/>
                <w:spacing w:val="-4"/>
                <w:sz w:val="21"/>
                <w:szCs w:val="21"/>
              </w:rPr>
              <w:t>达信会计师事务所，为合伙人、主任会计师，深圳市宝安区科技局科技项目评审专家。李亮</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Times New Roman" w:hAnsi="Times New Roman" w:cs="Times New Roman" w:eastAsia="Times New Roman" w:hint="default"/>
                <w:sz w:val="21"/>
                <w:szCs w:val="21"/>
              </w:rPr>
              <w:t>2005</w:t>
            </w:r>
            <w:r>
              <w:rPr>
                <w:rFonts w:ascii="Times New Roman" w:hAnsi="Times New Roman" w:cs="Times New Roman" w:eastAsia="Times New Roman" w:hint="default"/>
                <w:spacing w:val="6"/>
                <w:sz w:val="21"/>
                <w:szCs w:val="21"/>
              </w:rPr>
              <w:t> </w:t>
            </w:r>
            <w:r>
              <w:rPr>
                <w:rFonts w:ascii="宋体" w:hAnsi="宋体" w:cs="宋体" w:eastAsia="宋体" w:hint="default"/>
                <w:spacing w:val="-4"/>
                <w:sz w:val="21"/>
                <w:szCs w:val="21"/>
              </w:rPr>
              <w:t>年就职于深圳职业技术学院任副教授。高文舍</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2003</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年就职于深圳市利阳科技有限公司</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任董事长兼总经理，北京市高级专业职务评审委员会评审。</w:t>
            </w:r>
          </w:p>
        </w:tc>
      </w:tr>
    </w:tbl>
    <w:p>
      <w:pPr>
        <w:spacing w:line="240" w:lineRule="auto" w:before="1"/>
        <w:rPr>
          <w:rFonts w:ascii="宋体" w:hAnsi="宋体" w:cs="宋体" w:eastAsia="宋体" w:hint="default"/>
          <w:sz w:val="18"/>
          <w:szCs w:val="18"/>
        </w:rPr>
      </w:pPr>
    </w:p>
    <w:p>
      <w:pPr>
        <w:pStyle w:val="Heading4"/>
        <w:spacing w:line="240" w:lineRule="auto" w:before="26"/>
        <w:ind w:right="106"/>
        <w:jc w:val="left"/>
        <w:rPr>
          <w:b w:val="0"/>
          <w:bCs w:val="0"/>
        </w:rPr>
      </w:pPr>
      <w:bookmarkStart w:name="三、董事、监事、高级管理人员报酬情况" w:id="93"/>
      <w:bookmarkEnd w:id="93"/>
      <w:r>
        <w:rPr>
          <w:b w:val="0"/>
          <w:bCs w:val="0"/>
        </w:rPr>
      </w:r>
      <w:r>
        <w:rPr/>
        <w:t>三、董事、监事、高级管理人员报酬情况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259"/>
        <w:gridCol w:w="5309"/>
      </w:tblGrid>
      <w:tr>
        <w:trPr>
          <w:trHeight w:val="1102" w:hRule="exact"/>
        </w:trPr>
        <w:tc>
          <w:tcPr>
            <w:tcW w:w="42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b/>
                <w:bCs/>
                <w:sz w:val="28"/>
                <w:szCs w:val="28"/>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董事、监事、高级管理人员报酬的决策程序</w:t>
            </w:r>
          </w:p>
        </w:tc>
        <w:tc>
          <w:tcPr>
            <w:tcW w:w="53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both"/>
              <w:rPr>
                <w:rFonts w:ascii="宋体" w:hAnsi="宋体" w:cs="宋体" w:eastAsia="宋体" w:hint="default"/>
                <w:sz w:val="21"/>
                <w:szCs w:val="21"/>
              </w:rPr>
            </w:pPr>
            <w:r>
              <w:rPr>
                <w:rFonts w:ascii="宋体" w:hAnsi="宋体" w:cs="宋体" w:eastAsia="宋体" w:hint="default"/>
                <w:spacing w:val="-2"/>
                <w:sz w:val="21"/>
                <w:szCs w:val="21"/>
              </w:rPr>
              <w:t>关于董事、监事薪酬方案需经公司董事会及薪酬与考核委</w:t>
            </w:r>
          </w:p>
          <w:p>
            <w:pPr>
              <w:pStyle w:val="TableParagraph"/>
              <w:spacing w:line="237" w:lineRule="auto" w:before="2"/>
              <w:ind w:left="23" w:right="16"/>
              <w:jc w:val="both"/>
              <w:rPr>
                <w:rFonts w:ascii="宋体" w:hAnsi="宋体" w:cs="宋体" w:eastAsia="宋体" w:hint="default"/>
                <w:sz w:val="21"/>
                <w:szCs w:val="21"/>
              </w:rPr>
            </w:pPr>
            <w:r>
              <w:rPr>
                <w:rFonts w:ascii="宋体" w:hAnsi="宋体" w:cs="宋体" w:eastAsia="宋体" w:hint="default"/>
                <w:spacing w:val="-2"/>
                <w:sz w:val="21"/>
                <w:szCs w:val="21"/>
              </w:rPr>
              <w:t>员会讨论，并经董事会审议后提交股东大会审议通过并执</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2"/>
                <w:sz w:val="21"/>
                <w:szCs w:val="21"/>
              </w:rPr>
              <w:t>行。关于高级管理人员薪酬方案需经薪酬与考核委员会讨</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论，并提交董事会审议通过后执行。</w:t>
            </w:r>
          </w:p>
        </w:tc>
      </w:tr>
      <w:tr>
        <w:trPr>
          <w:trHeight w:val="829" w:hRule="exact"/>
        </w:trPr>
        <w:tc>
          <w:tcPr>
            <w:tcW w:w="42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董事、监事、高级管理人员报酬确定依据</w:t>
            </w:r>
          </w:p>
        </w:tc>
        <w:tc>
          <w:tcPr>
            <w:tcW w:w="53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2"/>
                <w:sz w:val="21"/>
                <w:szCs w:val="21"/>
              </w:rPr>
              <w:t>董事、监事和高级管理人员的报酬按照公司董事会《薪酬</w:t>
            </w:r>
          </w:p>
          <w:p>
            <w:pPr>
              <w:pStyle w:val="TableParagraph"/>
              <w:spacing w:line="240" w:lineRule="auto"/>
              <w:ind w:left="23" w:right="16"/>
              <w:jc w:val="left"/>
              <w:rPr>
                <w:rFonts w:ascii="宋体" w:hAnsi="宋体" w:cs="宋体" w:eastAsia="宋体" w:hint="default"/>
                <w:sz w:val="21"/>
                <w:szCs w:val="21"/>
              </w:rPr>
            </w:pPr>
            <w:r>
              <w:rPr>
                <w:rFonts w:ascii="宋体" w:hAnsi="宋体" w:cs="宋体" w:eastAsia="宋体" w:hint="default"/>
                <w:spacing w:val="-2"/>
                <w:sz w:val="21"/>
                <w:szCs w:val="21"/>
              </w:rPr>
              <w:t>与考核委员会工作细则》等规定，结合其经营绩效、工作</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能力、岗位职责等考核确定并发放。</w:t>
            </w:r>
          </w:p>
        </w:tc>
      </w:tr>
      <w:tr>
        <w:trPr>
          <w:trHeight w:val="556" w:hRule="exact"/>
        </w:trPr>
        <w:tc>
          <w:tcPr>
            <w:tcW w:w="42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董事、监事和高级管理人员报酬的实际支付情</w:t>
            </w:r>
          </w:p>
          <w:p>
            <w:pPr>
              <w:pStyle w:val="TableParagraph"/>
              <w:spacing w:line="273" w:lineRule="exact"/>
              <w:ind w:left="22" w:right="0"/>
              <w:jc w:val="left"/>
              <w:rPr>
                <w:rFonts w:ascii="宋体" w:hAnsi="宋体" w:cs="宋体" w:eastAsia="宋体" w:hint="default"/>
                <w:sz w:val="21"/>
                <w:szCs w:val="21"/>
              </w:rPr>
            </w:pPr>
            <w:r>
              <w:rPr>
                <w:rFonts w:ascii="宋体" w:hAnsi="宋体" w:cs="宋体" w:eastAsia="宋体" w:hint="default"/>
                <w:w w:val="100"/>
                <w:sz w:val="21"/>
                <w:szCs w:val="21"/>
              </w:rPr>
              <w:t>况</w:t>
            </w:r>
          </w:p>
        </w:tc>
        <w:tc>
          <w:tcPr>
            <w:tcW w:w="5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3" w:right="0"/>
              <w:jc w:val="left"/>
              <w:rPr>
                <w:rFonts w:ascii="宋体" w:hAnsi="宋体" w:cs="宋体" w:eastAsia="宋体" w:hint="default"/>
                <w:sz w:val="21"/>
                <w:szCs w:val="21"/>
              </w:rPr>
            </w:pPr>
            <w:r>
              <w:rPr>
                <w:rFonts w:ascii="宋体" w:hAnsi="宋体" w:cs="宋体" w:eastAsia="宋体" w:hint="default"/>
                <w:sz w:val="21"/>
                <w:szCs w:val="21"/>
              </w:rPr>
              <w:t>董事、监事和高级管理人员的薪酬均已按月支付。</w:t>
            </w:r>
          </w:p>
        </w:tc>
      </w:tr>
    </w:tbl>
    <w:p>
      <w:pPr>
        <w:pStyle w:val="BodyText"/>
        <w:spacing w:line="262" w:lineRule="exact"/>
        <w:ind w:right="106"/>
        <w:jc w:val="left"/>
      </w:pPr>
      <w:r>
        <w:rPr/>
        <w:t>公司报告期内董事、监事和高级管理人员报酬情况</w:t>
      </w:r>
    </w:p>
    <w:p>
      <w:pPr>
        <w:pStyle w:val="BodyText"/>
        <w:spacing w:line="240" w:lineRule="auto" w:before="37"/>
        <w:ind w:left="0" w:right="210"/>
        <w:jc w:val="right"/>
      </w:pPr>
      <w:r>
        <w:rPr>
          <w:spacing w:val="-1"/>
        </w:rPr>
        <w:t>单位：万元</w:t>
      </w:r>
    </w:p>
    <w:p>
      <w:pPr>
        <w:spacing w:line="240" w:lineRule="auto" w:before="10"/>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1196"/>
        <w:gridCol w:w="1498"/>
        <w:gridCol w:w="1133"/>
        <w:gridCol w:w="955"/>
        <w:gridCol w:w="1198"/>
        <w:gridCol w:w="1195"/>
        <w:gridCol w:w="1195"/>
        <w:gridCol w:w="1198"/>
      </w:tblGrid>
      <w:tr>
        <w:trPr>
          <w:trHeight w:val="830" w:hRule="exact"/>
        </w:trPr>
        <w:tc>
          <w:tcPr>
            <w:tcW w:w="11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82"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4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113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性别</w:t>
            </w:r>
          </w:p>
        </w:tc>
        <w:tc>
          <w:tcPr>
            <w:tcW w:w="9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年龄</w:t>
            </w:r>
          </w:p>
        </w:tc>
        <w:tc>
          <w:tcPr>
            <w:tcW w:w="11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任职状态</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2"/>
              <w:ind w:left="67" w:right="62"/>
              <w:jc w:val="left"/>
              <w:rPr>
                <w:rFonts w:ascii="宋体" w:hAnsi="宋体" w:cs="宋体" w:eastAsia="宋体" w:hint="default"/>
                <w:sz w:val="21"/>
                <w:szCs w:val="21"/>
              </w:rPr>
            </w:pPr>
            <w:r>
              <w:rPr>
                <w:rFonts w:ascii="宋体" w:hAnsi="宋体" w:cs="宋体" w:eastAsia="宋体" w:hint="default"/>
                <w:sz w:val="21"/>
                <w:szCs w:val="21"/>
              </w:rPr>
              <w:t>从公司获得</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的报酬总额</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exact"/>
              <w:ind w:left="67" w:right="0"/>
              <w:jc w:val="left"/>
              <w:rPr>
                <w:rFonts w:ascii="宋体" w:hAnsi="宋体" w:cs="宋体" w:eastAsia="宋体" w:hint="default"/>
                <w:sz w:val="21"/>
                <w:szCs w:val="21"/>
              </w:rPr>
            </w:pPr>
            <w:r>
              <w:rPr>
                <w:rFonts w:ascii="宋体" w:hAnsi="宋体" w:cs="宋体" w:eastAsia="宋体" w:hint="default"/>
                <w:sz w:val="21"/>
                <w:szCs w:val="21"/>
              </w:rPr>
              <w:t>从股东单位</w:t>
            </w:r>
          </w:p>
          <w:p>
            <w:pPr>
              <w:pStyle w:val="TableParagraph"/>
              <w:spacing w:line="240" w:lineRule="auto"/>
              <w:ind w:left="383" w:right="62" w:hanging="317"/>
              <w:jc w:val="left"/>
              <w:rPr>
                <w:rFonts w:ascii="宋体" w:hAnsi="宋体" w:cs="宋体" w:eastAsia="宋体" w:hint="default"/>
                <w:sz w:val="21"/>
                <w:szCs w:val="21"/>
              </w:rPr>
            </w:pPr>
            <w:r>
              <w:rPr>
                <w:rFonts w:ascii="宋体" w:hAnsi="宋体" w:cs="宋体" w:eastAsia="宋体" w:hint="default"/>
                <w:sz w:val="21"/>
                <w:szCs w:val="21"/>
              </w:rPr>
              <w:t>获得的报酬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总额</w:t>
            </w:r>
          </w:p>
        </w:tc>
        <w:tc>
          <w:tcPr>
            <w:tcW w:w="11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2"/>
              <w:ind w:left="67" w:right="65"/>
              <w:jc w:val="left"/>
              <w:rPr>
                <w:rFonts w:ascii="宋体" w:hAnsi="宋体" w:cs="宋体" w:eastAsia="宋体" w:hint="default"/>
                <w:sz w:val="21"/>
                <w:szCs w:val="21"/>
              </w:rPr>
            </w:pPr>
            <w:r>
              <w:rPr>
                <w:rFonts w:ascii="宋体" w:hAnsi="宋体" w:cs="宋体" w:eastAsia="宋体" w:hint="default"/>
                <w:sz w:val="21"/>
                <w:szCs w:val="21"/>
              </w:rPr>
              <w:t>报告期末实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际所得报酬</w:t>
            </w:r>
          </w:p>
        </w:tc>
      </w:tr>
      <w:tr>
        <w:trPr>
          <w:trHeight w:val="379"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2" w:right="0"/>
              <w:jc w:val="left"/>
              <w:rPr>
                <w:rFonts w:ascii="宋体" w:hAnsi="宋体" w:cs="宋体" w:eastAsia="宋体" w:hint="default"/>
                <w:sz w:val="21"/>
                <w:szCs w:val="21"/>
              </w:rPr>
            </w:pPr>
            <w:r>
              <w:rPr>
                <w:rFonts w:ascii="宋体" w:hAnsi="宋体" w:cs="宋体" w:eastAsia="宋体" w:hint="default"/>
                <w:sz w:val="21"/>
                <w:szCs w:val="21"/>
              </w:rPr>
              <w:t>黄元忠</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 w:right="0"/>
              <w:jc w:val="center"/>
              <w:rPr>
                <w:rFonts w:ascii="宋体" w:hAnsi="宋体" w:cs="宋体" w:eastAsia="宋体" w:hint="default"/>
                <w:sz w:val="21"/>
                <w:szCs w:val="21"/>
              </w:rPr>
            </w:pPr>
            <w:r>
              <w:rPr>
                <w:rFonts w:ascii="宋体" w:hAnsi="宋体" w:cs="宋体" w:eastAsia="宋体" w:hint="default"/>
                <w:spacing w:val="-6"/>
                <w:sz w:val="21"/>
                <w:szCs w:val="21"/>
              </w:rPr>
              <w:t>董事长、总经理</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1"/>
                <w:szCs w:val="21"/>
              </w:rPr>
            </w:pPr>
            <w:r>
              <w:rPr>
                <w:rFonts w:ascii="Times New Roman"/>
                <w:sz w:val="21"/>
              </w:rPr>
              <w:t>51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691" w:right="0"/>
              <w:jc w:val="left"/>
              <w:rPr>
                <w:rFonts w:ascii="Times New Roman" w:hAnsi="Times New Roman" w:cs="Times New Roman" w:eastAsia="Times New Roman" w:hint="default"/>
                <w:sz w:val="21"/>
                <w:szCs w:val="21"/>
              </w:rPr>
            </w:pPr>
            <w:r>
              <w:rPr>
                <w:rFonts w:ascii="Times New Roman"/>
                <w:sz w:val="21"/>
              </w:rPr>
              <w:t>37.78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Times New Roman" w:hAnsi="Times New Roman" w:cs="Times New Roman" w:eastAsia="Times New Roman" w:hint="default"/>
                <w:sz w:val="21"/>
                <w:szCs w:val="21"/>
              </w:rPr>
            </w:pPr>
            <w:r>
              <w:rPr>
                <w:rFonts w:ascii="Times New Roman"/>
                <w:w w:val="100"/>
                <w:sz w:val="21"/>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691" w:right="0"/>
              <w:jc w:val="left"/>
              <w:rPr>
                <w:rFonts w:ascii="Times New Roman" w:hAnsi="Times New Roman" w:cs="Times New Roman" w:eastAsia="Times New Roman" w:hint="default"/>
                <w:sz w:val="21"/>
                <w:szCs w:val="21"/>
              </w:rPr>
            </w:pPr>
            <w:r>
              <w:rPr>
                <w:rFonts w:ascii="Times New Roman"/>
                <w:sz w:val="21"/>
              </w:rPr>
              <w:t>37.78</w:t>
            </w:r>
          </w:p>
        </w:tc>
      </w:tr>
    </w:tbl>
    <w:p>
      <w:pPr>
        <w:spacing w:after="0" w:line="240" w:lineRule="auto"/>
        <w:jc w:val="left"/>
        <w:rPr>
          <w:rFonts w:ascii="Times New Roman" w:hAnsi="Times New Roman" w:cs="Times New Roman" w:eastAsia="Times New Roman" w:hint="default"/>
          <w:sz w:val="21"/>
          <w:szCs w:val="21"/>
        </w:rPr>
        <w:sectPr>
          <w:pgSz w:w="11910" w:h="16840"/>
          <w:pgMar w:header="748" w:footer="982" w:top="1060" w:bottom="1180" w:left="980" w:right="92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198"/>
        <w:gridCol w:w="1498"/>
        <w:gridCol w:w="1133"/>
        <w:gridCol w:w="955"/>
        <w:gridCol w:w="1198"/>
        <w:gridCol w:w="1195"/>
        <w:gridCol w:w="1195"/>
        <w:gridCol w:w="1198"/>
      </w:tblGrid>
      <w:tr>
        <w:trPr>
          <w:trHeight w:val="557"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黄晓峰</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6"/>
                <w:sz w:val="21"/>
                <w:szCs w:val="21"/>
              </w:rPr>
              <w:t>董事长、副总经</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理</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47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z w:val="21"/>
              </w:rPr>
              <w:t>26.39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w w:val="100"/>
                <w:sz w:val="21"/>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z w:val="21"/>
              </w:rPr>
              <w:t>26.39</w:t>
            </w:r>
          </w:p>
        </w:tc>
      </w:tr>
      <w:tr>
        <w:trPr>
          <w:trHeight w:val="828"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陈克让</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6"/>
                <w:sz w:val="21"/>
                <w:szCs w:val="21"/>
              </w:rPr>
              <w:t>董事长、副总经</w:t>
            </w:r>
          </w:p>
          <w:p>
            <w:pPr>
              <w:pStyle w:val="TableParagraph"/>
              <w:spacing w:line="272" w:lineRule="exact" w:before="27"/>
              <w:ind w:left="23" w:right="199"/>
              <w:jc w:val="left"/>
              <w:rPr>
                <w:rFonts w:ascii="宋体" w:hAnsi="宋体" w:cs="宋体" w:eastAsia="宋体" w:hint="default"/>
                <w:sz w:val="21"/>
                <w:szCs w:val="21"/>
              </w:rPr>
            </w:pPr>
            <w:r>
              <w:rPr>
                <w:rFonts w:ascii="宋体" w:hAnsi="宋体" w:cs="宋体" w:eastAsia="宋体" w:hint="default"/>
                <w:sz w:val="21"/>
                <w:szCs w:val="21"/>
              </w:rPr>
              <w:t>理兼董事会秘</w:t>
            </w:r>
            <w:r>
              <w:rPr>
                <w:rFonts w:ascii="宋体" w:hAnsi="宋体" w:cs="宋体" w:eastAsia="宋体" w:hint="default"/>
                <w:w w:val="100"/>
                <w:sz w:val="21"/>
                <w:szCs w:val="21"/>
              </w:rPr>
              <w:t> </w:t>
            </w:r>
            <w:r>
              <w:rPr>
                <w:rFonts w:ascii="宋体" w:hAnsi="宋体" w:cs="宋体" w:eastAsia="宋体" w:hint="default"/>
                <w:sz w:val="21"/>
                <w:szCs w:val="21"/>
              </w:rPr>
              <w:t>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50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23.66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23.66</w:t>
            </w:r>
          </w:p>
        </w:tc>
      </w:tr>
      <w:tr>
        <w:trPr>
          <w:trHeight w:val="557"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孙晓玲</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6"/>
                <w:sz w:val="21"/>
                <w:szCs w:val="21"/>
              </w:rPr>
              <w:t>董事长、副总经</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理兼财务总监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43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z w:val="21"/>
              </w:rPr>
              <w:t>26.89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w w:val="100"/>
                <w:sz w:val="21"/>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z w:val="21"/>
              </w:rPr>
              <w:t>26.89</w:t>
            </w:r>
          </w:p>
        </w:tc>
      </w:tr>
      <w:tr>
        <w:trPr>
          <w:trHeight w:val="379"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4" w:right="0"/>
              <w:jc w:val="left"/>
              <w:rPr>
                <w:rFonts w:ascii="宋体" w:hAnsi="宋体" w:cs="宋体" w:eastAsia="宋体" w:hint="default"/>
                <w:sz w:val="21"/>
                <w:szCs w:val="21"/>
              </w:rPr>
            </w:pPr>
            <w:r>
              <w:rPr>
                <w:rFonts w:ascii="宋体" w:hAnsi="宋体" w:cs="宋体" w:eastAsia="宋体" w:hint="default"/>
                <w:sz w:val="21"/>
                <w:szCs w:val="21"/>
              </w:rPr>
              <w:t>杨颖</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1"/>
                <w:szCs w:val="21"/>
              </w:rPr>
            </w:pPr>
            <w:r>
              <w:rPr>
                <w:rFonts w:ascii="Times New Roman"/>
                <w:sz w:val="21"/>
              </w:rPr>
              <w:t>51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Times New Roman" w:hAnsi="Times New Roman" w:cs="Times New Roman" w:eastAsia="Times New Roman" w:hint="default"/>
                <w:sz w:val="21"/>
                <w:szCs w:val="21"/>
              </w:rPr>
            </w:pPr>
            <w:r>
              <w:rPr>
                <w:rFonts w:ascii="Times New Roman"/>
                <w:sz w:val="21"/>
              </w:rPr>
              <w:t>19.62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Times New Roman" w:hAnsi="Times New Roman" w:cs="Times New Roman" w:eastAsia="Times New Roman" w:hint="default"/>
                <w:sz w:val="21"/>
                <w:szCs w:val="21"/>
              </w:rPr>
            </w:pPr>
            <w:r>
              <w:rPr>
                <w:rFonts w:ascii="Times New Roman"/>
                <w:w w:val="100"/>
                <w:sz w:val="21"/>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Times New Roman" w:hAnsi="Times New Roman" w:cs="Times New Roman" w:eastAsia="Times New Roman" w:hint="default"/>
                <w:sz w:val="21"/>
                <w:szCs w:val="21"/>
              </w:rPr>
            </w:pPr>
            <w:r>
              <w:rPr>
                <w:rFonts w:ascii="Times New Roman"/>
                <w:sz w:val="21"/>
              </w:rPr>
              <w:t>19.62</w:t>
            </w:r>
          </w:p>
        </w:tc>
      </w:tr>
      <w:tr>
        <w:trPr>
          <w:trHeight w:val="379"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4" w:right="0"/>
              <w:jc w:val="left"/>
              <w:rPr>
                <w:rFonts w:ascii="宋体" w:hAnsi="宋体" w:cs="宋体" w:eastAsia="宋体" w:hint="default"/>
                <w:sz w:val="21"/>
                <w:szCs w:val="21"/>
              </w:rPr>
            </w:pPr>
            <w:r>
              <w:rPr>
                <w:rFonts w:ascii="宋体" w:hAnsi="宋体" w:cs="宋体" w:eastAsia="宋体" w:hint="default"/>
                <w:sz w:val="21"/>
                <w:szCs w:val="21"/>
              </w:rPr>
              <w:t>张振华</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3"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1"/>
                <w:szCs w:val="21"/>
              </w:rPr>
            </w:pPr>
            <w:r>
              <w:rPr>
                <w:rFonts w:ascii="Times New Roman"/>
                <w:sz w:val="21"/>
              </w:rPr>
              <w:t>51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7"/>
              <w:jc w:val="right"/>
              <w:rPr>
                <w:rFonts w:ascii="Times New Roman" w:hAnsi="Times New Roman" w:cs="Times New Roman" w:eastAsia="Times New Roman" w:hint="default"/>
                <w:sz w:val="21"/>
                <w:szCs w:val="21"/>
              </w:rPr>
            </w:pPr>
            <w:r>
              <w:rPr>
                <w:rFonts w:ascii="Times New Roman"/>
                <w:sz w:val="21"/>
              </w:rPr>
              <w:t>22.18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9"/>
              <w:jc w:val="right"/>
              <w:rPr>
                <w:rFonts w:ascii="Times New Roman" w:hAnsi="Times New Roman" w:cs="Times New Roman" w:eastAsia="Times New Roman" w:hint="default"/>
                <w:sz w:val="21"/>
                <w:szCs w:val="21"/>
              </w:rPr>
            </w:pPr>
            <w:r>
              <w:rPr>
                <w:rFonts w:ascii="Times New Roman"/>
                <w:w w:val="100"/>
                <w:sz w:val="21"/>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9"/>
              <w:jc w:val="right"/>
              <w:rPr>
                <w:rFonts w:ascii="Times New Roman" w:hAnsi="Times New Roman" w:cs="Times New Roman" w:eastAsia="Times New Roman" w:hint="default"/>
                <w:sz w:val="21"/>
                <w:szCs w:val="21"/>
              </w:rPr>
            </w:pPr>
            <w:r>
              <w:rPr>
                <w:rFonts w:ascii="Times New Roman"/>
                <w:sz w:val="21"/>
              </w:rPr>
              <w:t>22.18</w:t>
            </w:r>
          </w:p>
        </w:tc>
      </w:tr>
      <w:tr>
        <w:trPr>
          <w:trHeight w:val="377"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4" w:right="0"/>
              <w:jc w:val="left"/>
              <w:rPr>
                <w:rFonts w:ascii="宋体" w:hAnsi="宋体" w:cs="宋体" w:eastAsia="宋体" w:hint="default"/>
                <w:sz w:val="21"/>
                <w:szCs w:val="21"/>
              </w:rPr>
            </w:pPr>
            <w:r>
              <w:rPr>
                <w:rFonts w:ascii="宋体" w:hAnsi="宋体" w:cs="宋体" w:eastAsia="宋体" w:hint="default"/>
                <w:sz w:val="21"/>
                <w:szCs w:val="21"/>
              </w:rPr>
              <w:t>武文静</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21"/>
                <w:szCs w:val="21"/>
              </w:rPr>
            </w:pPr>
            <w:r>
              <w:rPr>
                <w:rFonts w:ascii="Times New Roman"/>
                <w:sz w:val="21"/>
              </w:rPr>
              <w:t>33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7"/>
              <w:jc w:val="right"/>
              <w:rPr>
                <w:rFonts w:ascii="Times New Roman" w:hAnsi="Times New Roman" w:cs="Times New Roman" w:eastAsia="Times New Roman" w:hint="default"/>
                <w:sz w:val="21"/>
                <w:szCs w:val="21"/>
              </w:rPr>
            </w:pPr>
            <w:r>
              <w:rPr>
                <w:rFonts w:ascii="Times New Roman"/>
                <w:sz w:val="21"/>
              </w:rPr>
              <w:t>17.85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9"/>
              <w:jc w:val="right"/>
              <w:rPr>
                <w:rFonts w:ascii="Times New Roman" w:hAnsi="Times New Roman" w:cs="Times New Roman" w:eastAsia="Times New Roman" w:hint="default"/>
                <w:sz w:val="21"/>
                <w:szCs w:val="21"/>
              </w:rPr>
            </w:pPr>
            <w:r>
              <w:rPr>
                <w:rFonts w:ascii="Times New Roman"/>
                <w:w w:val="100"/>
                <w:sz w:val="21"/>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9"/>
              <w:jc w:val="right"/>
              <w:rPr>
                <w:rFonts w:ascii="Times New Roman" w:hAnsi="Times New Roman" w:cs="Times New Roman" w:eastAsia="Times New Roman" w:hint="default"/>
                <w:sz w:val="21"/>
                <w:szCs w:val="21"/>
              </w:rPr>
            </w:pPr>
            <w:r>
              <w:rPr>
                <w:rFonts w:ascii="Times New Roman"/>
                <w:sz w:val="21"/>
              </w:rPr>
              <w:t>17.85</w:t>
            </w:r>
          </w:p>
        </w:tc>
      </w:tr>
      <w:tr>
        <w:trPr>
          <w:trHeight w:val="380"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4" w:right="0"/>
              <w:jc w:val="left"/>
              <w:rPr>
                <w:rFonts w:ascii="宋体" w:hAnsi="宋体" w:cs="宋体" w:eastAsia="宋体" w:hint="default"/>
                <w:sz w:val="21"/>
                <w:szCs w:val="21"/>
              </w:rPr>
            </w:pPr>
            <w:r>
              <w:rPr>
                <w:rFonts w:ascii="宋体" w:hAnsi="宋体" w:cs="宋体" w:eastAsia="宋体" w:hint="default"/>
                <w:sz w:val="21"/>
                <w:szCs w:val="21"/>
              </w:rPr>
              <w:t>何华辉</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1"/>
                <w:szCs w:val="21"/>
              </w:rPr>
            </w:pPr>
            <w:r>
              <w:rPr>
                <w:rFonts w:ascii="Times New Roman"/>
                <w:sz w:val="21"/>
              </w:rPr>
              <w:t>31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Times New Roman" w:hAnsi="Times New Roman" w:cs="Times New Roman" w:eastAsia="Times New Roman" w:hint="default"/>
                <w:sz w:val="21"/>
                <w:szCs w:val="21"/>
              </w:rPr>
            </w:pPr>
            <w:r>
              <w:rPr>
                <w:rFonts w:ascii="Times New Roman"/>
                <w:sz w:val="21"/>
              </w:rPr>
              <w:t>10.31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Times New Roman" w:hAnsi="Times New Roman" w:cs="Times New Roman" w:eastAsia="Times New Roman" w:hint="default"/>
                <w:sz w:val="21"/>
                <w:szCs w:val="21"/>
              </w:rPr>
            </w:pPr>
            <w:r>
              <w:rPr>
                <w:rFonts w:ascii="Times New Roman"/>
                <w:w w:val="100"/>
                <w:sz w:val="21"/>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Times New Roman" w:hAnsi="Times New Roman" w:cs="Times New Roman" w:eastAsia="Times New Roman" w:hint="default"/>
                <w:sz w:val="21"/>
                <w:szCs w:val="21"/>
              </w:rPr>
            </w:pPr>
            <w:r>
              <w:rPr>
                <w:rFonts w:ascii="Times New Roman"/>
                <w:sz w:val="21"/>
              </w:rPr>
              <w:t>10.31</w:t>
            </w:r>
          </w:p>
        </w:tc>
      </w:tr>
      <w:tr>
        <w:trPr>
          <w:trHeight w:val="378" w:hRule="exact"/>
        </w:trPr>
        <w:tc>
          <w:tcPr>
            <w:tcW w:w="11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7"/>
              <w:ind w:right="0"/>
              <w:jc w:val="center"/>
              <w:rPr>
                <w:rFonts w:ascii="Times New Roman" w:hAnsi="Times New Roman" w:cs="Times New Roman" w:eastAsia="Times New Roman" w:hint="default"/>
                <w:sz w:val="21"/>
                <w:szCs w:val="21"/>
              </w:rPr>
            </w:pPr>
            <w:r>
              <w:rPr>
                <w:rFonts w:ascii="Times New Roman"/>
                <w:sz w:val="21"/>
              </w:rPr>
              <w:t>--</w:t>
            </w:r>
          </w:p>
        </w:tc>
        <w:tc>
          <w:tcPr>
            <w:tcW w:w="113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7"/>
              <w:ind w:right="0"/>
              <w:jc w:val="center"/>
              <w:rPr>
                <w:rFonts w:ascii="Times New Roman" w:hAnsi="Times New Roman" w:cs="Times New Roman" w:eastAsia="Times New Roman" w:hint="default"/>
                <w:sz w:val="21"/>
                <w:szCs w:val="21"/>
              </w:rPr>
            </w:pPr>
            <w:r>
              <w:rPr>
                <w:rFonts w:ascii="Times New Roman"/>
                <w:sz w:val="21"/>
              </w:rPr>
              <w:t>--</w:t>
            </w:r>
          </w:p>
        </w:tc>
        <w:tc>
          <w:tcPr>
            <w:tcW w:w="9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7"/>
              <w:ind w:right="0"/>
              <w:jc w:val="center"/>
              <w:rPr>
                <w:rFonts w:ascii="Times New Roman" w:hAnsi="Times New Roman" w:cs="Times New Roman" w:eastAsia="Times New Roman" w:hint="default"/>
                <w:sz w:val="21"/>
                <w:szCs w:val="21"/>
              </w:rPr>
            </w:pPr>
            <w:r>
              <w:rPr>
                <w:rFonts w:ascii="Times New Roman"/>
                <w:sz w:val="21"/>
              </w:rPr>
              <w:t>--</w:t>
            </w:r>
          </w:p>
        </w:tc>
        <w:tc>
          <w:tcPr>
            <w:tcW w:w="11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7"/>
              <w:ind w:right="0"/>
              <w:jc w:val="center"/>
              <w:rPr>
                <w:rFonts w:ascii="Times New Roman" w:hAnsi="Times New Roman" w:cs="Times New Roman" w:eastAsia="Times New Roman" w:hint="default"/>
                <w:sz w:val="21"/>
                <w:szCs w:val="21"/>
              </w:rPr>
            </w:pPr>
            <w:r>
              <w:rPr>
                <w:rFonts w:ascii="Times New Roman"/>
                <w:sz w:val="21"/>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7"/>
              <w:jc w:val="right"/>
              <w:rPr>
                <w:rFonts w:ascii="Times New Roman" w:hAnsi="Times New Roman" w:cs="Times New Roman" w:eastAsia="Times New Roman" w:hint="default"/>
                <w:sz w:val="21"/>
                <w:szCs w:val="21"/>
              </w:rPr>
            </w:pPr>
            <w:r>
              <w:rPr>
                <w:rFonts w:ascii="Times New Roman"/>
                <w:sz w:val="21"/>
              </w:rPr>
              <w:t>184.68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9"/>
              <w:jc w:val="right"/>
              <w:rPr>
                <w:rFonts w:ascii="Times New Roman" w:hAnsi="Times New Roman" w:cs="Times New Roman" w:eastAsia="Times New Roman" w:hint="default"/>
                <w:sz w:val="21"/>
                <w:szCs w:val="21"/>
              </w:rPr>
            </w:pPr>
            <w:r>
              <w:rPr>
                <w:rFonts w:ascii="Times New Roman"/>
                <w:w w:val="100"/>
                <w:sz w:val="21"/>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9"/>
              <w:jc w:val="right"/>
              <w:rPr>
                <w:rFonts w:ascii="Times New Roman" w:hAnsi="Times New Roman" w:cs="Times New Roman" w:eastAsia="Times New Roman" w:hint="default"/>
                <w:sz w:val="21"/>
                <w:szCs w:val="21"/>
              </w:rPr>
            </w:pPr>
            <w:r>
              <w:rPr>
                <w:rFonts w:ascii="Times New Roman"/>
                <w:sz w:val="21"/>
              </w:rPr>
              <w:t>184.68</w:t>
            </w:r>
          </w:p>
        </w:tc>
      </w:tr>
    </w:tbl>
    <w:p>
      <w:pPr>
        <w:pStyle w:val="BodyText"/>
        <w:spacing w:line="262" w:lineRule="exact"/>
        <w:ind w:right="0"/>
        <w:jc w:val="left"/>
      </w:pPr>
      <w:r>
        <w:rPr/>
        <w:t>公司董事、监事、高级管理人员报告期内被授予的股权激励情况</w:t>
      </w:r>
    </w:p>
    <w:p>
      <w:pPr>
        <w:spacing w:line="487" w:lineRule="auto" w:before="37"/>
        <w:ind w:left="152" w:right="473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宋体" w:hAnsi="宋体" w:cs="宋体" w:eastAsia="宋体" w:hint="default"/>
          <w:sz w:val="21"/>
          <w:szCs w:val="21"/>
        </w:rPr>
        <w:t>不适用</w:t>
      </w:r>
      <w:r>
        <w:rPr>
          <w:rFonts w:ascii="宋体" w:hAnsi="宋体" w:cs="宋体" w:eastAsia="宋体" w:hint="default"/>
          <w:spacing w:val="-104"/>
          <w:sz w:val="21"/>
          <w:szCs w:val="21"/>
        </w:rPr>
        <w:t> </w:t>
      </w:r>
      <w:r>
        <w:rPr>
          <w:rFonts w:ascii="宋体" w:hAnsi="宋体" w:cs="宋体" w:eastAsia="宋体" w:hint="default"/>
          <w:spacing w:val="-104"/>
          <w:sz w:val="21"/>
          <w:szCs w:val="21"/>
        </w:rPr>
      </w:r>
      <w:bookmarkStart w:name="四、公司董事、监事、高级管理人员变动情况" w:id="94"/>
      <w:bookmarkEnd w:id="94"/>
      <w:r>
        <w:rPr>
          <w:rFonts w:ascii="宋体" w:hAnsi="宋体" w:cs="宋体" w:eastAsia="宋体" w:hint="default"/>
          <w:spacing w:val="-104"/>
          <w:sz w:val="21"/>
          <w:szCs w:val="21"/>
        </w:rPr>
      </w:r>
      <w:r>
        <w:rPr>
          <w:rFonts w:ascii="宋体" w:hAnsi="宋体" w:cs="宋体" w:eastAsia="宋体" w:hint="default"/>
          <w:b/>
          <w:bCs/>
          <w:w w:val="95"/>
          <w:sz w:val="24"/>
          <w:szCs w:val="24"/>
        </w:rPr>
        <w:t>四、公司董事、监事、高级管理人员变动情况</w:t>
      </w:r>
      <w:r>
        <w:rPr>
          <w:rFonts w:ascii="宋体" w:hAnsi="宋体" w:cs="宋体" w:eastAsia="宋体" w:hint="default"/>
          <w:b/>
          <w:bCs/>
          <w:spacing w:val="111"/>
          <w:w w:val="95"/>
          <w:sz w:val="24"/>
          <w:szCs w:val="24"/>
        </w:rPr>
        <w:t> </w:t>
      </w:r>
      <w:r>
        <w:rPr>
          <w:rFonts w:ascii="宋体" w:hAnsi="宋体" w:cs="宋体" w:eastAsia="宋体" w:hint="default"/>
          <w:b/>
          <w:bCs/>
          <w:spacing w:val="111"/>
          <w:w w:val="95"/>
          <w:sz w:val="24"/>
          <w:szCs w:val="24"/>
        </w:rPr>
      </w:r>
      <w:r>
        <w:rPr>
          <w:rFonts w:ascii="宋体" w:hAnsi="宋体" w:cs="宋体" w:eastAsia="宋体" w:hint="default"/>
          <w:sz w:val="21"/>
          <w:szCs w:val="21"/>
        </w:rPr>
        <w:t>不适用</w:t>
      </w:r>
    </w:p>
    <w:p>
      <w:pPr>
        <w:pStyle w:val="Heading4"/>
        <w:spacing w:line="240" w:lineRule="auto" w:before="95"/>
        <w:ind w:right="0"/>
        <w:jc w:val="left"/>
        <w:rPr>
          <w:b w:val="0"/>
          <w:bCs w:val="0"/>
        </w:rPr>
      </w:pPr>
      <w:bookmarkStart w:name="五、报告期核心技术团队或关键技术人员变动情况（非董事、监事、高级管理人员）" w:id="95"/>
      <w:bookmarkEnd w:id="95"/>
      <w:r>
        <w:rPr>
          <w:b w:val="0"/>
          <w:bCs w:val="0"/>
        </w:rPr>
      </w:r>
      <w:r>
        <w:rPr/>
        <w:t>五、报告期核心技术团队或关键技术人员变动情况（非董事、监事、高级管理人员）</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right="0"/>
        <w:jc w:val="left"/>
      </w:pPr>
      <w:r>
        <w:rPr/>
        <w:t>不适用</w:t>
      </w:r>
    </w:p>
    <w:p>
      <w:pPr>
        <w:spacing w:line="240" w:lineRule="auto" w:before="11"/>
        <w:rPr>
          <w:rFonts w:ascii="宋体" w:hAnsi="宋体" w:cs="宋体" w:eastAsia="宋体" w:hint="default"/>
          <w:sz w:val="23"/>
          <w:szCs w:val="23"/>
        </w:rPr>
      </w:pPr>
    </w:p>
    <w:p>
      <w:pPr>
        <w:pStyle w:val="Heading4"/>
        <w:spacing w:line="240" w:lineRule="auto"/>
        <w:ind w:right="0"/>
        <w:jc w:val="left"/>
        <w:rPr>
          <w:b w:val="0"/>
          <w:bCs w:val="0"/>
        </w:rPr>
      </w:pPr>
      <w:bookmarkStart w:name="六、公司员工情况" w:id="96"/>
      <w:bookmarkEnd w:id="96"/>
      <w:r>
        <w:rPr>
          <w:b w:val="0"/>
          <w:bCs w:val="0"/>
        </w:rPr>
      </w:r>
      <w:r>
        <w:rPr/>
        <w:t>六、公司员工情况</w:t>
      </w:r>
      <w:r>
        <w:rPr>
          <w:b w:val="0"/>
          <w:bCs w:val="0"/>
        </w:rPr>
      </w:r>
    </w:p>
    <w:p>
      <w:pPr>
        <w:spacing w:line="240" w:lineRule="auto" w:before="7"/>
        <w:rPr>
          <w:rFonts w:ascii="宋体" w:hAnsi="宋体" w:cs="宋体" w:eastAsia="宋体" w:hint="default"/>
          <w:b/>
          <w:bCs/>
          <w:sz w:val="26"/>
          <w:szCs w:val="26"/>
        </w:rPr>
      </w:pPr>
    </w:p>
    <w:p>
      <w:pPr>
        <w:pStyle w:val="BodyText"/>
        <w:spacing w:line="314" w:lineRule="auto"/>
        <w:ind w:right="0" w:firstLine="419"/>
        <w:jc w:val="left"/>
      </w:pPr>
      <w:r>
        <w:rPr/>
        <w:t>截止 </w:t>
      </w:r>
      <w:r>
        <w:rPr>
          <w:rFonts w:ascii="宋体" w:hAnsi="宋体" w:cs="宋体" w:eastAsia="宋体" w:hint="default"/>
        </w:rPr>
        <w:t>2014</w:t>
      </w:r>
      <w:r>
        <w:rPr>
          <w:rFonts w:ascii="宋体" w:hAnsi="宋体" w:cs="宋体" w:eastAsia="宋体" w:hint="default"/>
          <w:spacing w:val="-55"/>
        </w:rPr>
        <w:t> </w:t>
      </w:r>
      <w:r>
        <w:rPr/>
        <w:t>年 </w:t>
      </w:r>
      <w:r>
        <w:rPr>
          <w:rFonts w:ascii="宋体" w:hAnsi="宋体" w:cs="宋体" w:eastAsia="宋体" w:hint="default"/>
        </w:rPr>
        <w:t>12 </w:t>
      </w:r>
      <w:r>
        <w:rPr/>
        <w:t>月</w:t>
      </w:r>
      <w:r>
        <w:rPr>
          <w:spacing w:val="-2"/>
        </w:rPr>
        <w:t> </w:t>
      </w:r>
      <w:r>
        <w:rPr>
          <w:rFonts w:ascii="宋体" w:hAnsi="宋体" w:cs="宋体" w:eastAsia="宋体" w:hint="default"/>
        </w:rPr>
        <w:t>31</w:t>
      </w:r>
      <w:r>
        <w:rPr>
          <w:rFonts w:ascii="宋体" w:hAnsi="宋体" w:cs="宋体" w:eastAsia="宋体" w:hint="default"/>
          <w:spacing w:val="-2"/>
        </w:rPr>
        <w:t> </w:t>
      </w:r>
      <w:r>
        <w:rPr/>
        <w:t>日，公司员工人数为</w:t>
      </w:r>
      <w:r>
        <w:rPr>
          <w:spacing w:val="-53"/>
        </w:rPr>
        <w:t> </w:t>
      </w:r>
      <w:r>
        <w:rPr>
          <w:rFonts w:ascii="宋体" w:hAnsi="宋体" w:cs="宋体" w:eastAsia="宋体" w:hint="default"/>
        </w:rPr>
        <w:t>246</w:t>
      </w:r>
      <w:r>
        <w:rPr>
          <w:rFonts w:ascii="宋体" w:hAnsi="宋体" w:cs="宋体" w:eastAsia="宋体" w:hint="default"/>
          <w:spacing w:val="-55"/>
        </w:rPr>
        <w:t> </w:t>
      </w:r>
      <w:r>
        <w:rPr/>
        <w:t>人，没有需要承担费用的离退休职工，具体情况如</w:t>
      </w:r>
      <w:r>
        <w:rPr>
          <w:w w:val="100"/>
        </w:rPr>
        <w:t> </w:t>
      </w:r>
      <w:r>
        <w:rPr/>
        <w:t>下：</w:t>
      </w:r>
    </w:p>
    <w:p>
      <w:pPr>
        <w:pStyle w:val="BodyText"/>
        <w:spacing w:line="240" w:lineRule="auto" w:before="17"/>
        <w:ind w:left="573" w:right="0"/>
        <w:jc w:val="left"/>
      </w:pPr>
      <w:r>
        <w:rPr>
          <w:rFonts w:ascii="宋体" w:hAnsi="宋体" w:cs="宋体" w:eastAsia="宋体" w:hint="default"/>
        </w:rPr>
        <w:t>1</w:t>
      </w:r>
      <w:r>
        <w:rPr/>
        <w:t>、按员工的专业构成划分</w:t>
      </w:r>
    </w:p>
    <w:p>
      <w:pPr>
        <w:spacing w:line="240" w:lineRule="auto" w:before="8"/>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2930"/>
        <w:gridCol w:w="2683"/>
        <w:gridCol w:w="2681"/>
      </w:tblGrid>
      <w:tr>
        <w:trPr>
          <w:trHeight w:val="319" w:hRule="exact"/>
        </w:trPr>
        <w:tc>
          <w:tcPr>
            <w:tcW w:w="293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 w:right="0"/>
              <w:jc w:val="center"/>
              <w:rPr>
                <w:rFonts w:ascii="宋体" w:hAnsi="宋体" w:cs="宋体" w:eastAsia="宋体" w:hint="default"/>
                <w:sz w:val="22"/>
                <w:szCs w:val="22"/>
              </w:rPr>
            </w:pPr>
            <w:r>
              <w:rPr>
                <w:rFonts w:ascii="宋体" w:hAnsi="宋体" w:cs="宋体" w:eastAsia="宋体" w:hint="default"/>
                <w:sz w:val="22"/>
                <w:szCs w:val="22"/>
              </w:rPr>
              <w:t>管理类</w:t>
            </w:r>
          </w:p>
        </w:tc>
        <w:tc>
          <w:tcPr>
            <w:tcW w:w="268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 w:right="0"/>
              <w:jc w:val="center"/>
              <w:rPr>
                <w:rFonts w:ascii="宋体" w:hAnsi="宋体" w:cs="宋体" w:eastAsia="宋体" w:hint="default"/>
                <w:sz w:val="22"/>
                <w:szCs w:val="22"/>
              </w:rPr>
            </w:pPr>
            <w:r>
              <w:rPr>
                <w:rFonts w:ascii="宋体" w:hAnsi="宋体" w:cs="宋体" w:eastAsia="宋体" w:hint="default"/>
                <w:sz w:val="22"/>
                <w:szCs w:val="22"/>
              </w:rPr>
              <w:t>研发类</w:t>
            </w:r>
          </w:p>
        </w:tc>
        <w:tc>
          <w:tcPr>
            <w:tcW w:w="268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 w:right="0"/>
              <w:jc w:val="center"/>
              <w:rPr>
                <w:rFonts w:ascii="宋体" w:hAnsi="宋体" w:cs="宋体" w:eastAsia="宋体" w:hint="default"/>
                <w:sz w:val="22"/>
                <w:szCs w:val="22"/>
              </w:rPr>
            </w:pPr>
            <w:r>
              <w:rPr>
                <w:rFonts w:ascii="宋体" w:hAnsi="宋体" w:cs="宋体" w:eastAsia="宋体" w:hint="default"/>
                <w:sz w:val="22"/>
                <w:szCs w:val="22"/>
              </w:rPr>
              <w:t>营销类</w:t>
            </w:r>
          </w:p>
        </w:tc>
      </w:tr>
      <w:tr>
        <w:trPr>
          <w:trHeight w:val="288" w:hRule="exact"/>
        </w:trPr>
        <w:tc>
          <w:tcPr>
            <w:tcW w:w="2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2" w:right="0"/>
              <w:jc w:val="center"/>
              <w:rPr>
                <w:rFonts w:ascii="Times New Roman" w:hAnsi="Times New Roman" w:cs="Times New Roman" w:eastAsia="Times New Roman" w:hint="default"/>
                <w:sz w:val="22"/>
                <w:szCs w:val="22"/>
              </w:rPr>
            </w:pPr>
            <w:r>
              <w:rPr>
                <w:rFonts w:ascii="Times New Roman"/>
                <w:sz w:val="22"/>
              </w:rPr>
              <w:t>27</w:t>
            </w:r>
          </w:p>
        </w:tc>
        <w:tc>
          <w:tcPr>
            <w:tcW w:w="2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center"/>
              <w:rPr>
                <w:rFonts w:ascii="Times New Roman" w:hAnsi="Times New Roman" w:cs="Times New Roman" w:eastAsia="Times New Roman" w:hint="default"/>
                <w:sz w:val="22"/>
                <w:szCs w:val="22"/>
              </w:rPr>
            </w:pPr>
            <w:r>
              <w:rPr>
                <w:rFonts w:ascii="Times New Roman"/>
                <w:sz w:val="22"/>
              </w:rPr>
              <w:t>118</w:t>
            </w:r>
          </w:p>
        </w:tc>
        <w:tc>
          <w:tcPr>
            <w:tcW w:w="26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center"/>
              <w:rPr>
                <w:rFonts w:ascii="Times New Roman" w:hAnsi="Times New Roman" w:cs="Times New Roman" w:eastAsia="Times New Roman" w:hint="default"/>
                <w:sz w:val="22"/>
                <w:szCs w:val="22"/>
              </w:rPr>
            </w:pPr>
            <w:r>
              <w:rPr>
                <w:rFonts w:ascii="Times New Roman"/>
                <w:sz w:val="22"/>
              </w:rPr>
              <w:t>101</w:t>
            </w:r>
          </w:p>
        </w:tc>
      </w:tr>
      <w:tr>
        <w:trPr>
          <w:trHeight w:val="288" w:hRule="exact"/>
        </w:trPr>
        <w:tc>
          <w:tcPr>
            <w:tcW w:w="2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6" w:right="0"/>
              <w:jc w:val="center"/>
              <w:rPr>
                <w:rFonts w:ascii="Times New Roman" w:hAnsi="Times New Roman" w:cs="Times New Roman" w:eastAsia="Times New Roman" w:hint="default"/>
                <w:sz w:val="22"/>
                <w:szCs w:val="22"/>
              </w:rPr>
            </w:pPr>
            <w:r>
              <w:rPr>
                <w:rFonts w:ascii="Times New Roman"/>
                <w:sz w:val="22"/>
              </w:rPr>
              <w:t>10.96%</w:t>
            </w:r>
          </w:p>
        </w:tc>
        <w:tc>
          <w:tcPr>
            <w:tcW w:w="2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3" w:right="0"/>
              <w:jc w:val="center"/>
              <w:rPr>
                <w:rFonts w:ascii="Times New Roman" w:hAnsi="Times New Roman" w:cs="Times New Roman" w:eastAsia="Times New Roman" w:hint="default"/>
                <w:sz w:val="22"/>
                <w:szCs w:val="22"/>
              </w:rPr>
            </w:pPr>
            <w:r>
              <w:rPr>
                <w:rFonts w:ascii="Times New Roman"/>
                <w:sz w:val="22"/>
              </w:rPr>
              <w:t>47.98%</w:t>
            </w:r>
          </w:p>
        </w:tc>
        <w:tc>
          <w:tcPr>
            <w:tcW w:w="26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1" w:right="0"/>
              <w:jc w:val="center"/>
              <w:rPr>
                <w:rFonts w:ascii="Times New Roman" w:hAnsi="Times New Roman" w:cs="Times New Roman" w:eastAsia="Times New Roman" w:hint="default"/>
                <w:sz w:val="22"/>
                <w:szCs w:val="22"/>
              </w:rPr>
            </w:pPr>
            <w:r>
              <w:rPr>
                <w:rFonts w:ascii="Times New Roman"/>
                <w:sz w:val="22"/>
              </w:rPr>
              <w:t>41.06%</w:t>
            </w:r>
          </w:p>
        </w:tc>
      </w:tr>
      <w:tr>
        <w:trPr>
          <w:trHeight w:val="322" w:hRule="exact"/>
        </w:trPr>
        <w:tc>
          <w:tcPr>
            <w:tcW w:w="5614" w:type="dxa"/>
            <w:gridSpan w:val="2"/>
            <w:tcBorders>
              <w:top w:val="single" w:sz="6" w:space="0" w:color="000000"/>
              <w:left w:val="single" w:sz="6" w:space="0" w:color="000000"/>
              <w:bottom w:val="single" w:sz="6" w:space="0" w:color="000000"/>
              <w:right w:val="single" w:sz="6" w:space="0" w:color="000000"/>
            </w:tcBorders>
          </w:tcPr>
          <w:p>
            <w:pPr>
              <w:pStyle w:val="TableParagraph"/>
              <w:spacing w:line="264" w:lineRule="exact"/>
              <w:ind w:left="2" w:right="0"/>
              <w:jc w:val="center"/>
              <w:rPr>
                <w:rFonts w:ascii="宋体" w:hAnsi="宋体" w:cs="宋体" w:eastAsia="宋体" w:hint="default"/>
                <w:sz w:val="22"/>
                <w:szCs w:val="22"/>
              </w:rPr>
            </w:pPr>
            <w:r>
              <w:rPr>
                <w:rFonts w:ascii="宋体" w:hAnsi="宋体" w:cs="宋体" w:eastAsia="宋体" w:hint="default"/>
                <w:sz w:val="22"/>
                <w:szCs w:val="22"/>
              </w:rPr>
              <w:t>总人数</w:t>
            </w:r>
          </w:p>
        </w:tc>
        <w:tc>
          <w:tcPr>
            <w:tcW w:w="26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center"/>
              <w:rPr>
                <w:rFonts w:ascii="Times New Roman" w:hAnsi="Times New Roman" w:cs="Times New Roman" w:eastAsia="Times New Roman" w:hint="default"/>
                <w:sz w:val="22"/>
                <w:szCs w:val="22"/>
              </w:rPr>
            </w:pPr>
            <w:r>
              <w:rPr>
                <w:rFonts w:ascii="Times New Roman"/>
                <w:sz w:val="22"/>
              </w:rPr>
              <w:t>246</w:t>
            </w:r>
          </w:p>
        </w:tc>
      </w:tr>
    </w:tbl>
    <w:p>
      <w:pPr>
        <w:spacing w:line="240" w:lineRule="auto" w:before="12"/>
        <w:rPr>
          <w:rFonts w:ascii="宋体" w:hAnsi="宋体" w:cs="宋体" w:eastAsia="宋体" w:hint="default"/>
          <w:sz w:val="21"/>
          <w:szCs w:val="21"/>
        </w:rPr>
      </w:pPr>
    </w:p>
    <w:p>
      <w:pPr>
        <w:pStyle w:val="BodyText"/>
        <w:spacing w:line="240" w:lineRule="auto" w:before="36"/>
        <w:ind w:left="572" w:right="0"/>
        <w:jc w:val="left"/>
      </w:pPr>
      <w:r>
        <w:rPr>
          <w:rFonts w:ascii="宋体" w:hAnsi="宋体" w:cs="宋体" w:eastAsia="宋体" w:hint="default"/>
        </w:rPr>
        <w:t>2</w:t>
      </w:r>
      <w:r>
        <w:rPr/>
        <w:t>、按员工的教育程度划分</w:t>
      </w:r>
    </w:p>
    <w:p>
      <w:pPr>
        <w:spacing w:line="240" w:lineRule="auto" w:before="8"/>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2263"/>
        <w:gridCol w:w="2071"/>
        <w:gridCol w:w="2071"/>
        <w:gridCol w:w="2071"/>
      </w:tblGrid>
      <w:tr>
        <w:trPr>
          <w:trHeight w:val="322" w:hRule="exact"/>
        </w:trPr>
        <w:tc>
          <w:tcPr>
            <w:tcW w:w="22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 w:right="0"/>
              <w:jc w:val="center"/>
              <w:rPr>
                <w:rFonts w:ascii="宋体" w:hAnsi="宋体" w:cs="宋体" w:eastAsia="宋体" w:hint="default"/>
                <w:sz w:val="22"/>
                <w:szCs w:val="22"/>
              </w:rPr>
            </w:pPr>
            <w:r>
              <w:rPr>
                <w:rFonts w:ascii="宋体" w:hAnsi="宋体" w:cs="宋体" w:eastAsia="宋体" w:hint="default"/>
                <w:sz w:val="22"/>
                <w:szCs w:val="22"/>
              </w:rPr>
              <w:t>硕士</w:t>
            </w:r>
          </w:p>
        </w:tc>
        <w:tc>
          <w:tcPr>
            <w:tcW w:w="207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 w:right="0"/>
              <w:jc w:val="center"/>
              <w:rPr>
                <w:rFonts w:ascii="宋体" w:hAnsi="宋体" w:cs="宋体" w:eastAsia="宋体" w:hint="default"/>
                <w:sz w:val="22"/>
                <w:szCs w:val="22"/>
              </w:rPr>
            </w:pPr>
            <w:r>
              <w:rPr>
                <w:rFonts w:ascii="宋体" w:hAnsi="宋体" w:cs="宋体" w:eastAsia="宋体" w:hint="default"/>
                <w:sz w:val="22"/>
                <w:szCs w:val="22"/>
              </w:rPr>
              <w:t>本科</w:t>
            </w:r>
          </w:p>
        </w:tc>
        <w:tc>
          <w:tcPr>
            <w:tcW w:w="207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 w:right="0"/>
              <w:jc w:val="center"/>
              <w:rPr>
                <w:rFonts w:ascii="宋体" w:hAnsi="宋体" w:cs="宋体" w:eastAsia="宋体" w:hint="default"/>
                <w:sz w:val="22"/>
                <w:szCs w:val="22"/>
              </w:rPr>
            </w:pPr>
            <w:r>
              <w:rPr>
                <w:rFonts w:ascii="宋体" w:hAnsi="宋体" w:cs="宋体" w:eastAsia="宋体" w:hint="default"/>
                <w:sz w:val="22"/>
                <w:szCs w:val="22"/>
              </w:rPr>
              <w:t>大专</w:t>
            </w:r>
          </w:p>
        </w:tc>
        <w:tc>
          <w:tcPr>
            <w:tcW w:w="207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808" w:right="0"/>
              <w:jc w:val="left"/>
              <w:rPr>
                <w:rFonts w:ascii="宋体" w:hAnsi="宋体" w:cs="宋体" w:eastAsia="宋体" w:hint="default"/>
                <w:sz w:val="22"/>
                <w:szCs w:val="22"/>
              </w:rPr>
            </w:pPr>
            <w:r>
              <w:rPr>
                <w:rFonts w:ascii="宋体" w:hAnsi="宋体" w:cs="宋体" w:eastAsia="宋体" w:hint="default"/>
                <w:sz w:val="22"/>
                <w:szCs w:val="22"/>
              </w:rPr>
              <w:t>其它</w:t>
            </w:r>
          </w:p>
        </w:tc>
      </w:tr>
      <w:tr>
        <w:trPr>
          <w:trHeight w:val="288" w:hRule="exact"/>
        </w:trPr>
        <w:tc>
          <w:tcPr>
            <w:tcW w:w="2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left="2" w:right="0"/>
              <w:jc w:val="center"/>
              <w:rPr>
                <w:rFonts w:ascii="Times New Roman" w:hAnsi="Times New Roman" w:cs="Times New Roman" w:eastAsia="Times New Roman" w:hint="default"/>
                <w:sz w:val="22"/>
                <w:szCs w:val="22"/>
              </w:rPr>
            </w:pPr>
            <w:r>
              <w:rPr>
                <w:rFonts w:ascii="Times New Roman"/>
                <w:w w:val="100"/>
                <w:sz w:val="22"/>
              </w:rPr>
              <w:t>9</w:t>
            </w:r>
          </w:p>
        </w:tc>
        <w:tc>
          <w:tcPr>
            <w:tcW w:w="2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left="2" w:right="0"/>
              <w:jc w:val="center"/>
              <w:rPr>
                <w:rFonts w:ascii="Times New Roman" w:hAnsi="Times New Roman" w:cs="Times New Roman" w:eastAsia="Times New Roman" w:hint="default"/>
                <w:sz w:val="22"/>
                <w:szCs w:val="22"/>
              </w:rPr>
            </w:pPr>
            <w:r>
              <w:rPr>
                <w:rFonts w:ascii="Times New Roman"/>
                <w:sz w:val="22"/>
              </w:rPr>
              <w:t>103</w:t>
            </w:r>
          </w:p>
        </w:tc>
        <w:tc>
          <w:tcPr>
            <w:tcW w:w="2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center"/>
              <w:rPr>
                <w:rFonts w:ascii="Times New Roman" w:hAnsi="Times New Roman" w:cs="Times New Roman" w:eastAsia="Times New Roman" w:hint="default"/>
                <w:sz w:val="22"/>
                <w:szCs w:val="22"/>
              </w:rPr>
            </w:pPr>
            <w:r>
              <w:rPr>
                <w:rFonts w:ascii="Times New Roman"/>
                <w:sz w:val="22"/>
              </w:rPr>
              <w:t>103</w:t>
            </w:r>
          </w:p>
        </w:tc>
        <w:tc>
          <w:tcPr>
            <w:tcW w:w="2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center"/>
              <w:rPr>
                <w:rFonts w:ascii="Times New Roman" w:hAnsi="Times New Roman" w:cs="Times New Roman" w:eastAsia="Times New Roman" w:hint="default"/>
                <w:sz w:val="22"/>
                <w:szCs w:val="22"/>
              </w:rPr>
            </w:pPr>
            <w:r>
              <w:rPr>
                <w:rFonts w:ascii="Times New Roman"/>
                <w:sz w:val="22"/>
              </w:rPr>
              <w:t>31</w:t>
            </w:r>
          </w:p>
        </w:tc>
      </w:tr>
      <w:tr>
        <w:trPr>
          <w:trHeight w:val="288" w:hRule="exact"/>
        </w:trPr>
        <w:tc>
          <w:tcPr>
            <w:tcW w:w="2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left="6" w:right="0"/>
              <w:jc w:val="center"/>
              <w:rPr>
                <w:rFonts w:ascii="Times New Roman" w:hAnsi="Times New Roman" w:cs="Times New Roman" w:eastAsia="Times New Roman" w:hint="default"/>
                <w:sz w:val="22"/>
                <w:szCs w:val="22"/>
              </w:rPr>
            </w:pPr>
            <w:r>
              <w:rPr>
                <w:rFonts w:ascii="Times New Roman"/>
                <w:sz w:val="22"/>
              </w:rPr>
              <w:t>3.66%</w:t>
            </w:r>
          </w:p>
        </w:tc>
        <w:tc>
          <w:tcPr>
            <w:tcW w:w="2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left="6" w:right="0"/>
              <w:jc w:val="center"/>
              <w:rPr>
                <w:rFonts w:ascii="Times New Roman" w:hAnsi="Times New Roman" w:cs="Times New Roman" w:eastAsia="Times New Roman" w:hint="default"/>
                <w:sz w:val="22"/>
                <w:szCs w:val="22"/>
              </w:rPr>
            </w:pPr>
            <w:r>
              <w:rPr>
                <w:rFonts w:ascii="Times New Roman"/>
                <w:sz w:val="22"/>
              </w:rPr>
              <w:t>41.87%</w:t>
            </w:r>
          </w:p>
        </w:tc>
        <w:tc>
          <w:tcPr>
            <w:tcW w:w="2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left="1" w:right="0"/>
              <w:jc w:val="center"/>
              <w:rPr>
                <w:rFonts w:ascii="Times New Roman" w:hAnsi="Times New Roman" w:cs="Times New Roman" w:eastAsia="Times New Roman" w:hint="default"/>
                <w:sz w:val="22"/>
                <w:szCs w:val="22"/>
              </w:rPr>
            </w:pPr>
            <w:r>
              <w:rPr>
                <w:rFonts w:ascii="Times New Roman"/>
                <w:sz w:val="22"/>
              </w:rPr>
              <w:t>41.87%</w:t>
            </w:r>
          </w:p>
        </w:tc>
        <w:tc>
          <w:tcPr>
            <w:tcW w:w="2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left="743" w:right="0"/>
              <w:jc w:val="left"/>
              <w:rPr>
                <w:rFonts w:ascii="Times New Roman" w:hAnsi="Times New Roman" w:cs="Times New Roman" w:eastAsia="Times New Roman" w:hint="default"/>
                <w:sz w:val="22"/>
                <w:szCs w:val="22"/>
              </w:rPr>
            </w:pPr>
            <w:r>
              <w:rPr>
                <w:rFonts w:ascii="Times New Roman"/>
                <w:sz w:val="22"/>
              </w:rPr>
              <w:t>12.6%</w:t>
            </w:r>
          </w:p>
        </w:tc>
      </w:tr>
      <w:tr>
        <w:trPr>
          <w:trHeight w:val="322" w:hRule="exact"/>
        </w:trPr>
        <w:tc>
          <w:tcPr>
            <w:tcW w:w="4334"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 w:right="0"/>
              <w:jc w:val="center"/>
              <w:rPr>
                <w:rFonts w:ascii="宋体" w:hAnsi="宋体" w:cs="宋体" w:eastAsia="宋体" w:hint="default"/>
                <w:sz w:val="22"/>
                <w:szCs w:val="22"/>
              </w:rPr>
            </w:pPr>
            <w:r>
              <w:rPr>
                <w:rFonts w:ascii="宋体" w:hAnsi="宋体" w:cs="宋体" w:eastAsia="宋体" w:hint="default"/>
                <w:sz w:val="22"/>
                <w:szCs w:val="22"/>
              </w:rPr>
              <w:t>总人数</w:t>
            </w:r>
          </w:p>
        </w:tc>
        <w:tc>
          <w:tcPr>
            <w:tcW w:w="414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center"/>
              <w:rPr>
                <w:rFonts w:ascii="Times New Roman" w:hAnsi="Times New Roman" w:cs="Times New Roman" w:eastAsia="Times New Roman" w:hint="default"/>
                <w:sz w:val="22"/>
                <w:szCs w:val="22"/>
              </w:rPr>
            </w:pPr>
            <w:r>
              <w:rPr>
                <w:rFonts w:ascii="Times New Roman"/>
                <w:sz w:val="22"/>
              </w:rPr>
              <w:t>246</w:t>
            </w:r>
          </w:p>
        </w:tc>
      </w:tr>
    </w:tbl>
    <w:p>
      <w:pPr>
        <w:spacing w:line="240" w:lineRule="auto" w:before="12"/>
        <w:rPr>
          <w:rFonts w:ascii="宋体" w:hAnsi="宋体" w:cs="宋体" w:eastAsia="宋体" w:hint="default"/>
          <w:sz w:val="21"/>
          <w:szCs w:val="21"/>
        </w:rPr>
      </w:pPr>
    </w:p>
    <w:p>
      <w:pPr>
        <w:pStyle w:val="BodyText"/>
        <w:spacing w:line="240" w:lineRule="auto" w:before="36"/>
        <w:ind w:left="572" w:right="0"/>
        <w:jc w:val="left"/>
      </w:pPr>
      <w:r>
        <w:rPr>
          <w:rFonts w:ascii="宋体" w:hAnsi="宋体" w:cs="宋体" w:eastAsia="宋体" w:hint="default"/>
        </w:rPr>
        <w:t>3</w:t>
      </w:r>
      <w:r>
        <w:rPr/>
        <w:t>、按年龄结构划分</w:t>
      </w:r>
    </w:p>
    <w:p>
      <w:pPr>
        <w:spacing w:line="240" w:lineRule="auto" w:before="6"/>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1745"/>
        <w:gridCol w:w="1596"/>
        <w:gridCol w:w="1596"/>
        <w:gridCol w:w="1596"/>
        <w:gridCol w:w="1949"/>
      </w:tblGrid>
      <w:tr>
        <w:trPr>
          <w:trHeight w:val="322" w:hRule="exact"/>
        </w:trPr>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78" w:lineRule="exact"/>
              <w:ind w:left="4"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25</w:t>
            </w:r>
            <w:r>
              <w:rPr>
                <w:rFonts w:ascii="宋体" w:hAnsi="宋体" w:cs="宋体" w:eastAsia="宋体" w:hint="default"/>
                <w:sz w:val="22"/>
                <w:szCs w:val="22"/>
              </w:rPr>
              <w:t>岁及以下</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78" w:lineRule="exact"/>
              <w:ind w:right="425"/>
              <w:jc w:val="right"/>
              <w:rPr>
                <w:rFonts w:ascii="宋体" w:hAnsi="宋体" w:cs="宋体" w:eastAsia="宋体" w:hint="default"/>
                <w:sz w:val="22"/>
                <w:szCs w:val="22"/>
              </w:rPr>
            </w:pPr>
            <w:r>
              <w:rPr>
                <w:rFonts w:ascii="Times New Roman" w:hAnsi="Times New Roman" w:cs="Times New Roman" w:eastAsia="Times New Roman" w:hint="default"/>
                <w:spacing w:val="-1"/>
                <w:sz w:val="22"/>
                <w:szCs w:val="22"/>
              </w:rPr>
              <w:t>26-30</w:t>
            </w:r>
            <w:r>
              <w:rPr>
                <w:rFonts w:ascii="宋体" w:hAnsi="宋体" w:cs="宋体" w:eastAsia="宋体" w:hint="default"/>
                <w:spacing w:val="-1"/>
                <w:sz w:val="22"/>
                <w:szCs w:val="22"/>
              </w:rPr>
              <w:t>岁</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78" w:lineRule="exact"/>
              <w:ind w:right="2"/>
              <w:jc w:val="center"/>
              <w:rPr>
                <w:rFonts w:ascii="宋体" w:hAnsi="宋体" w:cs="宋体" w:eastAsia="宋体" w:hint="default"/>
                <w:sz w:val="22"/>
                <w:szCs w:val="22"/>
              </w:rPr>
            </w:pPr>
            <w:r>
              <w:rPr>
                <w:rFonts w:ascii="Times New Roman" w:hAnsi="Times New Roman" w:cs="Times New Roman" w:eastAsia="Times New Roman" w:hint="default"/>
                <w:sz w:val="22"/>
                <w:szCs w:val="22"/>
              </w:rPr>
              <w:t>31-40</w:t>
            </w:r>
            <w:r>
              <w:rPr>
                <w:rFonts w:ascii="宋体" w:hAnsi="宋体" w:cs="宋体" w:eastAsia="宋体" w:hint="default"/>
                <w:sz w:val="22"/>
                <w:szCs w:val="22"/>
              </w:rPr>
              <w:t>岁</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78" w:lineRule="exact"/>
              <w:ind w:right="2"/>
              <w:jc w:val="center"/>
              <w:rPr>
                <w:rFonts w:ascii="宋体" w:hAnsi="宋体" w:cs="宋体" w:eastAsia="宋体" w:hint="default"/>
                <w:sz w:val="22"/>
                <w:szCs w:val="22"/>
              </w:rPr>
            </w:pPr>
            <w:r>
              <w:rPr>
                <w:rFonts w:ascii="Times New Roman" w:hAnsi="Times New Roman" w:cs="Times New Roman" w:eastAsia="Times New Roman" w:hint="default"/>
                <w:sz w:val="22"/>
                <w:szCs w:val="22"/>
              </w:rPr>
              <w:t>41-50</w:t>
            </w:r>
            <w:r>
              <w:rPr>
                <w:rFonts w:ascii="宋体" w:hAnsi="宋体" w:cs="宋体" w:eastAsia="宋体" w:hint="default"/>
                <w:sz w:val="22"/>
                <w:szCs w:val="22"/>
              </w:rPr>
              <w:t>岁</w:t>
            </w:r>
          </w:p>
        </w:tc>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78" w:lineRule="exact"/>
              <w:ind w:left="2"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50</w:t>
            </w:r>
            <w:r>
              <w:rPr>
                <w:rFonts w:ascii="宋体" w:hAnsi="宋体" w:cs="宋体" w:eastAsia="宋体" w:hint="default"/>
                <w:sz w:val="22"/>
                <w:szCs w:val="22"/>
              </w:rPr>
              <w:t>岁及以上</w:t>
            </w:r>
          </w:p>
        </w:tc>
      </w:tr>
      <w:tr>
        <w:trPr>
          <w:trHeight w:val="288" w:hRule="exact"/>
        </w:trPr>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left="2" w:right="0"/>
              <w:jc w:val="center"/>
              <w:rPr>
                <w:rFonts w:ascii="Times New Roman" w:hAnsi="Times New Roman" w:cs="Times New Roman" w:eastAsia="Times New Roman" w:hint="default"/>
                <w:sz w:val="22"/>
                <w:szCs w:val="22"/>
              </w:rPr>
            </w:pPr>
            <w:r>
              <w:rPr>
                <w:rFonts w:ascii="Times New Roman"/>
                <w:sz w:val="22"/>
              </w:rPr>
              <w:t>100</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center"/>
              <w:rPr>
                <w:rFonts w:ascii="Times New Roman" w:hAnsi="Times New Roman" w:cs="Times New Roman" w:eastAsia="Times New Roman" w:hint="default"/>
                <w:sz w:val="22"/>
                <w:szCs w:val="22"/>
              </w:rPr>
            </w:pPr>
            <w:r>
              <w:rPr>
                <w:rFonts w:ascii="Times New Roman"/>
                <w:sz w:val="22"/>
              </w:rPr>
              <w:t>77</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center"/>
              <w:rPr>
                <w:rFonts w:ascii="Times New Roman" w:hAnsi="Times New Roman" w:cs="Times New Roman" w:eastAsia="Times New Roman" w:hint="default"/>
                <w:sz w:val="22"/>
                <w:szCs w:val="22"/>
              </w:rPr>
            </w:pPr>
            <w:r>
              <w:rPr>
                <w:rFonts w:ascii="Times New Roman"/>
                <w:sz w:val="22"/>
              </w:rPr>
              <w:t>52</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center"/>
              <w:rPr>
                <w:rFonts w:ascii="Times New Roman" w:hAnsi="Times New Roman" w:cs="Times New Roman" w:eastAsia="Times New Roman" w:hint="default"/>
                <w:sz w:val="22"/>
                <w:szCs w:val="22"/>
              </w:rPr>
            </w:pPr>
            <w:r>
              <w:rPr>
                <w:rFonts w:ascii="Times New Roman"/>
                <w:sz w:val="22"/>
              </w:rPr>
              <w:t>15</w:t>
            </w:r>
          </w:p>
        </w:tc>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center"/>
              <w:rPr>
                <w:rFonts w:ascii="Times New Roman" w:hAnsi="Times New Roman" w:cs="Times New Roman" w:eastAsia="Times New Roman" w:hint="default"/>
                <w:sz w:val="22"/>
                <w:szCs w:val="22"/>
              </w:rPr>
            </w:pPr>
            <w:r>
              <w:rPr>
                <w:rFonts w:ascii="Times New Roman"/>
                <w:w w:val="100"/>
                <w:sz w:val="22"/>
              </w:rPr>
              <w:t>2</w:t>
            </w:r>
          </w:p>
        </w:tc>
      </w:tr>
      <w:tr>
        <w:trPr>
          <w:trHeight w:val="288" w:hRule="exact"/>
        </w:trPr>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left="1" w:right="0"/>
              <w:jc w:val="center"/>
              <w:rPr>
                <w:rFonts w:ascii="Times New Roman" w:hAnsi="Times New Roman" w:cs="Times New Roman" w:eastAsia="Times New Roman" w:hint="default"/>
                <w:sz w:val="22"/>
                <w:szCs w:val="22"/>
              </w:rPr>
            </w:pPr>
            <w:r>
              <w:rPr>
                <w:rFonts w:ascii="Times New Roman"/>
                <w:sz w:val="22"/>
              </w:rPr>
              <w:t>40.65%</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502"/>
              <w:jc w:val="right"/>
              <w:rPr>
                <w:rFonts w:ascii="Times New Roman" w:hAnsi="Times New Roman" w:cs="Times New Roman" w:eastAsia="Times New Roman" w:hint="default"/>
                <w:sz w:val="22"/>
                <w:szCs w:val="22"/>
              </w:rPr>
            </w:pPr>
            <w:r>
              <w:rPr>
                <w:rFonts w:ascii="Times New Roman"/>
                <w:sz w:val="22"/>
              </w:rPr>
              <w:t>31.3%</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left="1" w:right="0"/>
              <w:jc w:val="center"/>
              <w:rPr>
                <w:rFonts w:ascii="Times New Roman" w:hAnsi="Times New Roman" w:cs="Times New Roman" w:eastAsia="Times New Roman" w:hint="default"/>
                <w:sz w:val="22"/>
                <w:szCs w:val="22"/>
              </w:rPr>
            </w:pPr>
            <w:r>
              <w:rPr>
                <w:rFonts w:ascii="Times New Roman"/>
                <w:sz w:val="22"/>
              </w:rPr>
              <w:t>21.14%</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left="1" w:right="0"/>
              <w:jc w:val="center"/>
              <w:rPr>
                <w:rFonts w:ascii="Times New Roman" w:hAnsi="Times New Roman" w:cs="Times New Roman" w:eastAsia="Times New Roman" w:hint="default"/>
                <w:sz w:val="22"/>
                <w:szCs w:val="22"/>
              </w:rPr>
            </w:pPr>
            <w:r>
              <w:rPr>
                <w:rFonts w:ascii="Times New Roman"/>
                <w:sz w:val="22"/>
              </w:rPr>
              <w:t>6.1%</w:t>
            </w:r>
          </w:p>
        </w:tc>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center"/>
              <w:rPr>
                <w:rFonts w:ascii="Times New Roman" w:hAnsi="Times New Roman" w:cs="Times New Roman" w:eastAsia="Times New Roman" w:hint="default"/>
                <w:sz w:val="22"/>
                <w:szCs w:val="22"/>
              </w:rPr>
            </w:pPr>
            <w:r>
              <w:rPr>
                <w:rFonts w:ascii="Times New Roman"/>
                <w:sz w:val="22"/>
              </w:rPr>
              <w:t>0.81%</w:t>
            </w:r>
          </w:p>
        </w:tc>
      </w:tr>
      <w:tr>
        <w:trPr>
          <w:trHeight w:val="322" w:hRule="exact"/>
        </w:trPr>
        <w:tc>
          <w:tcPr>
            <w:tcW w:w="3341"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 w:right="0"/>
              <w:jc w:val="center"/>
              <w:rPr>
                <w:rFonts w:ascii="宋体" w:hAnsi="宋体" w:cs="宋体" w:eastAsia="宋体" w:hint="default"/>
                <w:sz w:val="22"/>
                <w:szCs w:val="22"/>
              </w:rPr>
            </w:pPr>
            <w:r>
              <w:rPr>
                <w:rFonts w:ascii="宋体" w:hAnsi="宋体" w:cs="宋体" w:eastAsia="宋体" w:hint="default"/>
                <w:sz w:val="22"/>
                <w:szCs w:val="22"/>
              </w:rPr>
              <w:t>总人数</w:t>
            </w:r>
          </w:p>
        </w:tc>
        <w:tc>
          <w:tcPr>
            <w:tcW w:w="514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center"/>
              <w:rPr>
                <w:rFonts w:ascii="Times New Roman" w:hAnsi="Times New Roman" w:cs="Times New Roman" w:eastAsia="Times New Roman" w:hint="default"/>
                <w:sz w:val="22"/>
                <w:szCs w:val="22"/>
              </w:rPr>
            </w:pPr>
            <w:r>
              <w:rPr>
                <w:rFonts w:ascii="Times New Roman"/>
                <w:sz w:val="22"/>
              </w:rPr>
              <w:t>246</w:t>
            </w:r>
          </w:p>
        </w:tc>
      </w:tr>
    </w:tbl>
    <w:p>
      <w:pPr>
        <w:spacing w:after="0" w:line="240" w:lineRule="auto"/>
        <w:jc w:val="center"/>
        <w:rPr>
          <w:rFonts w:ascii="Times New Roman" w:hAnsi="Times New Roman" w:cs="Times New Roman" w:eastAsia="Times New Roman" w:hint="default"/>
          <w:sz w:val="22"/>
          <w:szCs w:val="22"/>
        </w:rPr>
        <w:sectPr>
          <w:pgSz w:w="11910" w:h="16840"/>
          <w:pgMar w:header="748"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33"/>
        <w:ind w:left="3073" w:right="3151"/>
        <w:jc w:val="center"/>
        <w:rPr>
          <w:b w:val="0"/>
          <w:bCs w:val="0"/>
        </w:rPr>
      </w:pPr>
      <w:bookmarkStart w:name="第八节 公司治理" w:id="97"/>
      <w:bookmarkEnd w:id="97"/>
      <w:r>
        <w:rPr>
          <w:b w:val="0"/>
          <w:bCs w:val="0"/>
        </w:rPr>
      </w:r>
      <w:bookmarkStart w:name="_bookmark7" w:id="98"/>
      <w:bookmarkEnd w:id="98"/>
      <w:r>
        <w:rPr>
          <w:b w:val="0"/>
          <w:bCs w:val="0"/>
        </w:rPr>
      </w:r>
      <w:r>
        <w:rPr/>
        <w:t>第八节</w:t>
      </w:r>
      <w:r>
        <w:rPr>
          <w:spacing w:val="-9"/>
        </w:rPr>
        <w:t> </w:t>
      </w:r>
      <w:r>
        <w:rPr/>
        <w:t>公司治理</w:t>
      </w:r>
      <w:r>
        <w:rPr>
          <w:b w:val="0"/>
          <w:bCs w:val="0"/>
        </w:rPr>
      </w:r>
    </w:p>
    <w:p>
      <w:pPr>
        <w:spacing w:line="240" w:lineRule="auto" w:before="5"/>
        <w:rPr>
          <w:rFonts w:ascii="宋体" w:hAnsi="宋体" w:cs="宋体" w:eastAsia="宋体" w:hint="default"/>
          <w:b/>
          <w:bCs/>
          <w:sz w:val="26"/>
          <w:szCs w:val="26"/>
        </w:rPr>
      </w:pPr>
    </w:p>
    <w:p>
      <w:pPr>
        <w:pStyle w:val="Heading4"/>
        <w:spacing w:line="240" w:lineRule="auto" w:before="26"/>
        <w:ind w:left="137" w:right="0"/>
        <w:jc w:val="both"/>
        <w:rPr>
          <w:b w:val="0"/>
          <w:bCs w:val="0"/>
        </w:rPr>
      </w:pPr>
      <w:bookmarkStart w:name="一、公司治理的基本状况" w:id="99"/>
      <w:bookmarkEnd w:id="99"/>
      <w:r>
        <w:rPr>
          <w:b w:val="0"/>
          <w:bCs w:val="0"/>
        </w:rPr>
      </w:r>
      <w:r>
        <w:rPr/>
        <w:t>一、公司治理的基本状况</w:t>
      </w:r>
      <w:r>
        <w:rPr>
          <w:b w:val="0"/>
          <w:bCs w:val="0"/>
        </w:rPr>
      </w:r>
    </w:p>
    <w:p>
      <w:pPr>
        <w:pStyle w:val="BodyText"/>
        <w:spacing w:line="628" w:lineRule="exact" w:before="47"/>
        <w:ind w:left="557" w:right="0"/>
        <w:jc w:val="left"/>
      </w:pPr>
      <w:r>
        <w:rPr/>
        <w:t>一、公司治理</w:t>
      </w:r>
      <w:r>
        <w:rPr>
          <w:w w:val="100"/>
        </w:rPr>
        <w:t> </w:t>
      </w:r>
      <w:r>
        <w:rPr>
          <w:spacing w:val="-7"/>
        </w:rPr>
        <w:t>报告期内，公司严格按照《公司法》、《证券法》、中国证监会《上市公司治理准则》、</w:t>
      </w:r>
    </w:p>
    <w:p>
      <w:pPr>
        <w:pStyle w:val="BodyText"/>
        <w:spacing w:line="218" w:lineRule="exact"/>
        <w:ind w:left="137" w:right="0"/>
        <w:jc w:val="both"/>
      </w:pPr>
      <w:r>
        <w:rPr>
          <w:spacing w:val="-4"/>
        </w:rPr>
        <w:t>深圳证券交易所《创业板股票上市规则》、《创业板上市公司规范运作指引》等有关法律法</w:t>
      </w:r>
    </w:p>
    <w:p>
      <w:pPr>
        <w:pStyle w:val="BodyText"/>
        <w:spacing w:line="273" w:lineRule="auto" w:before="37"/>
        <w:ind w:left="137" w:right="0"/>
        <w:jc w:val="left"/>
      </w:pPr>
      <w:r>
        <w:rPr>
          <w:spacing w:val="-7"/>
        </w:rPr>
        <w:t>规、规范性文件的要求，不断完善公司的法人治理结构，建立健全公司内部管理和控制制度，</w:t>
      </w:r>
      <w:r>
        <w:rPr>
          <w:spacing w:val="-21"/>
        </w:rPr>
        <w:t> </w:t>
      </w:r>
      <w:r>
        <w:rPr>
          <w:spacing w:val="-21"/>
        </w:rPr>
      </w:r>
      <w:r>
        <w:rPr/>
        <w:t>持续深入开展公司治理活动，促进了公司规范运作，提高了公司治理水平。</w:t>
      </w:r>
    </w:p>
    <w:p>
      <w:pPr>
        <w:pStyle w:val="BodyText"/>
        <w:spacing w:line="273" w:lineRule="auto" w:before="10"/>
        <w:ind w:left="137" w:right="207" w:firstLine="420"/>
        <w:jc w:val="both"/>
      </w:pPr>
      <w:r>
        <w:rPr>
          <w:spacing w:val="-4"/>
        </w:rPr>
        <w:t>截至本报告期末，公司治理的实际状况符合中国证监会《上市公司治理准则》和深圳证</w:t>
      </w:r>
      <w:r>
        <w:rPr>
          <w:spacing w:val="-3"/>
          <w:w w:val="100"/>
        </w:rPr>
        <w:t> </w:t>
      </w:r>
      <w:r>
        <w:rPr>
          <w:spacing w:val="-4"/>
        </w:rPr>
        <w:t>券交易所《创业板上市公司规范运作指引》的要求，不存在尚未解决的公司治理问题。不存</w:t>
      </w:r>
      <w:r>
        <w:rPr>
          <w:spacing w:val="-39"/>
        </w:rPr>
        <w:t> </w:t>
      </w:r>
      <w:r>
        <w:rPr>
          <w:spacing w:val="-39"/>
        </w:rPr>
      </w:r>
      <w:r>
        <w:rPr/>
        <w:t>在因部分改制、行业特性、国家政策或收购兼并等原因导致的同业竞争和关联交易问题。</w:t>
      </w:r>
    </w:p>
    <w:p>
      <w:pPr>
        <w:pStyle w:val="BodyText"/>
        <w:spacing w:line="240" w:lineRule="auto" w:before="7"/>
        <w:ind w:left="557" w:right="0"/>
        <w:jc w:val="left"/>
      </w:pPr>
      <w:r>
        <w:rPr/>
        <w:t>根据监管部门的最新要求和公司实际情况的变化，公司制定了《股东大会议事规则》、</w:t>
      </w:r>
    </w:p>
    <w:p>
      <w:pPr>
        <w:pStyle w:val="BodyText"/>
        <w:spacing w:line="273" w:lineRule="auto" w:before="39"/>
        <w:ind w:left="137" w:right="0"/>
        <w:jc w:val="left"/>
      </w:pPr>
      <w:r>
        <w:rPr>
          <w:spacing w:val="-4"/>
        </w:rPr>
        <w:t>《董事会议事规则》、《总经理工作细则》、《独立董事工作制度》、《董事、监事和高级</w:t>
      </w:r>
      <w:r>
        <w:rPr>
          <w:spacing w:val="-50"/>
        </w:rPr>
        <w:t> </w:t>
      </w:r>
      <w:r>
        <w:rPr>
          <w:spacing w:val="-50"/>
        </w:rPr>
      </w:r>
      <w:r>
        <w:rPr>
          <w:spacing w:val="-7"/>
        </w:rPr>
        <w:t>管理人员薪酬管理制度》、《董事、监事和高级管理人员所持本公司股份及其变动管理制度》</w:t>
      </w:r>
      <w:r>
        <w:rPr>
          <w:spacing w:val="-18"/>
        </w:rPr>
        <w:t> </w:t>
      </w:r>
      <w:r>
        <w:rPr>
          <w:spacing w:val="-18"/>
        </w:rPr>
      </w:r>
      <w:r>
        <w:rPr>
          <w:spacing w:val="-12"/>
        </w:rPr>
        <w:t>等三会制度，《信息披露管理制度》、《投资者关系管理制度》、《重大信息内部报告制度》、</w:t>
      </w:r>
    </w:p>
    <w:p>
      <w:pPr>
        <w:pStyle w:val="BodyText"/>
        <w:spacing w:line="273" w:lineRule="auto" w:before="10"/>
        <w:ind w:left="137" w:right="209"/>
        <w:jc w:val="both"/>
      </w:pPr>
      <w:r>
        <w:rPr>
          <w:spacing w:val="-4"/>
        </w:rPr>
        <w:t>《内幕信息知情人登记和报备制度》、《年报信息披露重大差错责任追究制度》等信息管理</w:t>
      </w:r>
      <w:r>
        <w:rPr>
          <w:spacing w:val="-41"/>
        </w:rPr>
        <w:t> </w:t>
      </w:r>
      <w:r>
        <w:rPr>
          <w:spacing w:val="-41"/>
        </w:rPr>
      </w:r>
      <w:r>
        <w:rPr>
          <w:spacing w:val="-4"/>
        </w:rPr>
        <w:t>及证券事务制度，《控股子公司管理制度》、《内部审计制度》、《募集资金管理制度》等</w:t>
      </w:r>
      <w:r>
        <w:rPr>
          <w:spacing w:val="-42"/>
        </w:rPr>
        <w:t> </w:t>
      </w:r>
      <w:r>
        <w:rPr>
          <w:spacing w:val="-42"/>
        </w:rPr>
      </w:r>
      <w:r>
        <w:rPr>
          <w:spacing w:val="-4"/>
        </w:rPr>
        <w:t>内部管控制度，修订了《公司章程》等文件。通过一系列的制度建设工作初步搭建了公司法</w:t>
      </w:r>
      <w:r>
        <w:rPr>
          <w:spacing w:val="-42"/>
        </w:rPr>
        <w:t> </w:t>
      </w:r>
      <w:r>
        <w:rPr>
          <w:spacing w:val="-42"/>
        </w:rPr>
      </w:r>
      <w:r>
        <w:rPr>
          <w:spacing w:val="-4"/>
        </w:rPr>
        <w:t>人治理结构的制度平台，从制度上明确了股东大会、董事会、监事会及管理层各自应履行的</w:t>
      </w:r>
      <w:r>
        <w:rPr>
          <w:spacing w:val="-41"/>
        </w:rPr>
        <w:t> </w:t>
      </w:r>
      <w:r>
        <w:rPr>
          <w:spacing w:val="-41"/>
        </w:rPr>
      </w:r>
      <w:r>
        <w:rPr>
          <w:spacing w:val="-4"/>
        </w:rPr>
        <w:t>职责和议事规程，并为独立董事开展工作提供了进一步的保障，从而为公司的规范运作提供</w:t>
      </w:r>
      <w:r>
        <w:rPr>
          <w:spacing w:val="-40"/>
        </w:rPr>
        <w:t> </w:t>
      </w:r>
      <w:r>
        <w:rPr>
          <w:spacing w:val="-40"/>
        </w:rPr>
      </w:r>
      <w:r>
        <w:rPr/>
        <w:t>了更强有力的制度保障。</w:t>
      </w:r>
    </w:p>
    <w:p>
      <w:pPr>
        <w:pStyle w:val="BodyText"/>
        <w:spacing w:line="273" w:lineRule="auto" w:before="10"/>
        <w:ind w:left="557" w:right="0" w:firstLine="2"/>
        <w:jc w:val="left"/>
      </w:pPr>
      <w:r>
        <w:rPr/>
        <w:t>（一）、独立性</w:t>
      </w:r>
      <w:r>
        <w:rPr>
          <w:w w:val="100"/>
        </w:rPr>
        <w:t> </w:t>
      </w:r>
      <w:r>
        <w:rPr>
          <w:spacing w:val="-4"/>
        </w:rPr>
        <w:t>公司自成立以来严格按照《公司法》、《证券法》等有关法律、法规和《公司章程》的</w:t>
      </w:r>
    </w:p>
    <w:p>
      <w:pPr>
        <w:pStyle w:val="BodyText"/>
        <w:spacing w:line="273" w:lineRule="auto" w:before="10"/>
        <w:ind w:left="137" w:right="0"/>
        <w:jc w:val="left"/>
      </w:pPr>
      <w:r>
        <w:rPr>
          <w:spacing w:val="-4"/>
        </w:rPr>
        <w:t>要求规范运作，在业务、资产、人员、机构和财务等方面与公司股东相互独立，具备面向市</w:t>
      </w:r>
      <w:r>
        <w:rPr>
          <w:spacing w:val="-45"/>
        </w:rPr>
        <w:t> </w:t>
      </w:r>
      <w:r>
        <w:rPr>
          <w:spacing w:val="-45"/>
        </w:rPr>
      </w:r>
      <w:r>
        <w:rPr/>
        <w:t>场自主经营的能力。</w:t>
      </w:r>
    </w:p>
    <w:p>
      <w:pPr>
        <w:pStyle w:val="BodyText"/>
        <w:spacing w:line="273" w:lineRule="auto" w:before="10"/>
        <w:ind w:left="137" w:right="207" w:firstLine="420"/>
        <w:jc w:val="both"/>
      </w:pPr>
      <w:r>
        <w:rPr>
          <w:rFonts w:ascii="宋体" w:hAnsi="宋体" w:cs="宋体" w:eastAsia="宋体" w:hint="default"/>
          <w:spacing w:val="-1"/>
        </w:rPr>
        <w:t>1</w:t>
      </w:r>
      <w:r>
        <w:rPr>
          <w:spacing w:val="-1"/>
        </w:rPr>
        <w:t>、人员独立：公司的董事、监事均严格按照《公司法》、《公司章程》的有关规定选</w:t>
      </w:r>
      <w:r>
        <w:rPr>
          <w:w w:val="100"/>
        </w:rPr>
        <w:t> </w:t>
      </w:r>
      <w:r>
        <w:rPr/>
        <w:t>举，</w:t>
      </w:r>
      <w:r>
        <w:rPr>
          <w:spacing w:val="14"/>
        </w:rPr>
        <w:t> </w:t>
      </w:r>
      <w:r>
        <w:rPr/>
        <w:t>履行了合法程序；公司的人事及工资管理与股东完全分开，总经理、副总经理、董事</w:t>
      </w:r>
      <w:r>
        <w:rPr>
          <w:spacing w:val="-103"/>
        </w:rPr>
        <w:t> </w:t>
      </w:r>
      <w:r>
        <w:rPr>
          <w:spacing w:val="-103"/>
        </w:rPr>
      </w:r>
      <w:r>
        <w:rPr>
          <w:spacing w:val="-4"/>
        </w:rPr>
        <w:t>会秘书、财务负责人等高级管理人员均未在股东单位兼职或领取薪酬；公司在员工管理、社</w:t>
      </w:r>
      <w:r>
        <w:rPr>
          <w:spacing w:val="-44"/>
        </w:rPr>
        <w:t> </w:t>
      </w:r>
      <w:r>
        <w:rPr>
          <w:spacing w:val="-44"/>
        </w:rPr>
      </w:r>
      <w:r>
        <w:rPr/>
        <w:t>会保障、工资报酬等方面独立于股东和其他关联方。</w:t>
      </w:r>
    </w:p>
    <w:p>
      <w:pPr>
        <w:pStyle w:val="BodyText"/>
        <w:spacing w:line="273" w:lineRule="auto" w:before="10"/>
        <w:ind w:left="137" w:right="207" w:firstLine="420"/>
        <w:jc w:val="both"/>
      </w:pPr>
      <w:r>
        <w:rPr>
          <w:rFonts w:ascii="宋体" w:hAnsi="宋体" w:cs="宋体" w:eastAsia="宋体" w:hint="default"/>
          <w:spacing w:val="-1"/>
        </w:rPr>
        <w:t>2</w:t>
      </w:r>
      <w:r>
        <w:rPr>
          <w:spacing w:val="-1"/>
        </w:rPr>
        <w:t>、资产独立：公司拥有独立、完整的生产经营场所及商标，不存在资产资金被股东占</w:t>
      </w:r>
      <w:r>
        <w:rPr>
          <w:w w:val="100"/>
        </w:rPr>
        <w:t> </w:t>
      </w:r>
      <w:r>
        <w:rPr/>
        <w:t>用而损害公司利益的情况。</w:t>
      </w:r>
    </w:p>
    <w:p>
      <w:pPr>
        <w:pStyle w:val="BodyText"/>
        <w:spacing w:line="273" w:lineRule="auto" w:before="10"/>
        <w:ind w:left="137" w:right="207" w:firstLine="420"/>
        <w:jc w:val="both"/>
      </w:pPr>
      <w:r>
        <w:rPr>
          <w:rFonts w:ascii="宋体" w:hAnsi="宋体" w:cs="宋体" w:eastAsia="宋体" w:hint="default"/>
          <w:spacing w:val="-1"/>
        </w:rPr>
        <w:t>3</w:t>
      </w:r>
      <w:r>
        <w:rPr>
          <w:spacing w:val="-1"/>
        </w:rPr>
        <w:t>、财务独立：公司设有独立的财务会计部门，配备了专门的财务人员，建立了符合有</w:t>
      </w:r>
      <w:r>
        <w:rPr>
          <w:w w:val="100"/>
        </w:rPr>
        <w:t> </w:t>
      </w:r>
      <w:r>
        <w:rPr/>
        <w:t>关会计制度要求、独立的会计核算体系和财务管理制度。</w:t>
      </w:r>
    </w:p>
    <w:p>
      <w:pPr>
        <w:pStyle w:val="BodyText"/>
        <w:spacing w:line="273" w:lineRule="auto" w:before="7"/>
        <w:ind w:left="137" w:right="207" w:firstLine="420"/>
        <w:jc w:val="both"/>
      </w:pPr>
      <w:r>
        <w:rPr>
          <w:rFonts w:ascii="宋体" w:hAnsi="宋体" w:cs="宋体" w:eastAsia="宋体" w:hint="default"/>
          <w:spacing w:val="-1"/>
        </w:rPr>
        <w:t>4</w:t>
      </w:r>
      <w:r>
        <w:rPr>
          <w:spacing w:val="-1"/>
        </w:rPr>
        <w:t>、机构独立：公司健全了股东大会、董事会、监事会等法人治理机构，各组织机构依</w:t>
      </w:r>
      <w:r>
        <w:rPr>
          <w:w w:val="100"/>
        </w:rPr>
        <w:t> </w:t>
      </w:r>
      <w:r>
        <w:rPr>
          <w:spacing w:val="-4"/>
        </w:rPr>
        <w:t>法行使各自的职权；公司建立了独立的、适应自身发展需要的组织机构，制订了完善的岗位</w:t>
      </w:r>
      <w:r>
        <w:rPr>
          <w:spacing w:val="-44"/>
        </w:rPr>
        <w:t> </w:t>
      </w:r>
      <w:r>
        <w:rPr>
          <w:spacing w:val="-44"/>
        </w:rPr>
      </w:r>
      <w:r>
        <w:rPr/>
        <w:t>职责和管理制度，各部门按照规定的职责独立运作。</w:t>
      </w:r>
    </w:p>
    <w:p>
      <w:pPr>
        <w:pStyle w:val="BodyText"/>
        <w:spacing w:line="273" w:lineRule="auto" w:before="10"/>
        <w:ind w:left="137" w:right="104" w:firstLine="420"/>
        <w:jc w:val="both"/>
      </w:pPr>
      <w:r>
        <w:rPr>
          <w:rFonts w:ascii="宋体" w:hAnsi="宋体" w:cs="宋体" w:eastAsia="宋体" w:hint="default"/>
          <w:spacing w:val="-4"/>
        </w:rPr>
        <w:t>5</w:t>
      </w:r>
      <w:r>
        <w:rPr>
          <w:spacing w:val="-4"/>
        </w:rPr>
        <w:t>、业务独立：公司已经建立了符合现代企业制度要求的法人治理结构和内部组织结构，</w:t>
      </w:r>
      <w:r>
        <w:rPr>
          <w:w w:val="100"/>
        </w:rPr>
        <w:t> </w:t>
      </w:r>
      <w:r>
        <w:rPr>
          <w:spacing w:val="-2"/>
        </w:rPr>
        <w:t>在经营管理上独立运作。公司独立对外签订合同，开展业务，形成了独立完整的业务体系，</w:t>
      </w:r>
      <w:r>
        <w:rPr>
          <w:spacing w:val="-31"/>
        </w:rPr>
        <w:t> </w:t>
      </w:r>
      <w:r>
        <w:rPr>
          <w:spacing w:val="-31"/>
        </w:rPr>
      </w:r>
      <w:r>
        <w:rPr/>
        <w:t>具备面向市场自主经营的能力。</w:t>
      </w:r>
    </w:p>
    <w:p>
      <w:pPr>
        <w:spacing w:after="0" w:line="273" w:lineRule="auto"/>
        <w:jc w:val="both"/>
        <w:sectPr>
          <w:headerReference w:type="default" r:id="rId16"/>
          <w:footerReference w:type="default" r:id="rId17"/>
          <w:pgSz w:w="11910" w:h="16850"/>
          <w:pgMar w:header="880" w:footer="982" w:top="1060" w:bottom="1180" w:left="1660" w:right="1580"/>
          <w:pgNumType w:start="51"/>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p>
      <w:pPr>
        <w:pStyle w:val="BodyText"/>
        <w:spacing w:line="273" w:lineRule="auto" w:before="36"/>
        <w:ind w:left="557" w:right="0"/>
        <w:jc w:val="left"/>
      </w:pPr>
      <w:r>
        <w:rPr/>
        <w:t>（二）、关于股东与股东大会</w:t>
      </w:r>
      <w:r>
        <w:rPr>
          <w:w w:val="100"/>
        </w:rPr>
        <w:t> </w:t>
      </w:r>
      <w:r>
        <w:rPr>
          <w:spacing w:val="-4"/>
        </w:rPr>
        <w:t>公司严格按照《公司法》、《上市公司股东大会规则》以及公司《章程》、《股东大会</w:t>
      </w:r>
    </w:p>
    <w:p>
      <w:pPr>
        <w:pStyle w:val="BodyText"/>
        <w:spacing w:line="273" w:lineRule="auto" w:before="10"/>
        <w:ind w:left="137" w:right="209"/>
        <w:jc w:val="both"/>
      </w:pPr>
      <w:r>
        <w:rPr>
          <w:spacing w:val="-4"/>
        </w:rPr>
        <w:t>议事规则》和深圳证券交易所创业板的相关规定和要求，规范股东大会的召集、召开和表决</w:t>
      </w:r>
      <w:r>
        <w:rPr>
          <w:spacing w:val="-47"/>
        </w:rPr>
        <w:t> </w:t>
      </w:r>
      <w:r>
        <w:rPr>
          <w:spacing w:val="-47"/>
        </w:rPr>
      </w:r>
      <w:r>
        <w:rPr>
          <w:spacing w:val="-4"/>
        </w:rPr>
        <w:t>程序。报告期内，公司召开的股东大会均由公司董事会召集召开，董事长主持，邀请见证律</w:t>
      </w:r>
      <w:r>
        <w:rPr>
          <w:spacing w:val="-42"/>
        </w:rPr>
        <w:t> </w:t>
      </w:r>
      <w:r>
        <w:rPr>
          <w:spacing w:val="-42"/>
        </w:rPr>
      </w:r>
      <w:r>
        <w:rPr>
          <w:spacing w:val="-4"/>
        </w:rPr>
        <w:t>师进行现场见证并出具了法律意见书。股东大会召开日同时进行股东大会网络投票。在股东</w:t>
      </w:r>
      <w:r>
        <w:rPr>
          <w:spacing w:val="-40"/>
        </w:rPr>
        <w:t> </w:t>
      </w:r>
      <w:r>
        <w:rPr>
          <w:spacing w:val="-40"/>
        </w:rPr>
      </w:r>
      <w:r>
        <w:rPr>
          <w:spacing w:val="-4"/>
        </w:rPr>
        <w:t>大会上能够保证各位股东有充分的发言权，确保全体股东特别是中小股东享有平等地位，充</w:t>
      </w:r>
      <w:r>
        <w:rPr>
          <w:spacing w:val="-40"/>
        </w:rPr>
        <w:t> </w:t>
      </w:r>
      <w:r>
        <w:rPr>
          <w:spacing w:val="-40"/>
        </w:rPr>
      </w:r>
      <w:r>
        <w:rPr/>
        <w:t>分行使自己的权力。</w:t>
      </w:r>
    </w:p>
    <w:p>
      <w:pPr>
        <w:pStyle w:val="BodyText"/>
        <w:spacing w:line="273" w:lineRule="auto" w:before="10"/>
        <w:ind w:left="137" w:right="207" w:firstLine="420"/>
        <w:jc w:val="both"/>
      </w:pPr>
      <w:r>
        <w:rPr>
          <w:spacing w:val="-4"/>
        </w:rPr>
        <w:t>报告期内，本公司召开的股东大会不存在违反《上市公司股东大会规则》的情形，公司</w:t>
      </w:r>
      <w:r>
        <w:rPr>
          <w:w w:val="100"/>
        </w:rPr>
        <w:t> </w:t>
      </w:r>
      <w:r>
        <w:rPr>
          <w:spacing w:val="-1"/>
        </w:rPr>
        <w:t>未发生单独或合并持有本公司有表决权股份总数</w:t>
      </w:r>
      <w:r>
        <w:rPr>
          <w:rFonts w:ascii="宋体" w:hAnsi="宋体" w:cs="宋体" w:eastAsia="宋体" w:hint="default"/>
          <w:spacing w:val="-1"/>
        </w:rPr>
        <w:t>10%</w:t>
      </w:r>
      <w:r>
        <w:rPr>
          <w:spacing w:val="-1"/>
        </w:rPr>
        <w:t>以上的股东请求召开临时股东大会的情</w:t>
      </w:r>
      <w:r>
        <w:rPr>
          <w:spacing w:val="-50"/>
        </w:rPr>
        <w:t> </w:t>
      </w:r>
      <w:r>
        <w:rPr>
          <w:spacing w:val="-50"/>
        </w:rPr>
      </w:r>
      <w:r>
        <w:rPr>
          <w:spacing w:val="-4"/>
        </w:rPr>
        <w:t>形，也无应监事会提议召开的股东大会。按照《公司法》、《公司章程》的规定应由股东大</w:t>
      </w:r>
      <w:r>
        <w:rPr>
          <w:spacing w:val="-39"/>
        </w:rPr>
        <w:t> </w:t>
      </w:r>
      <w:r>
        <w:rPr>
          <w:spacing w:val="-39"/>
        </w:rPr>
      </w:r>
      <w:r>
        <w:rPr>
          <w:spacing w:val="-4"/>
        </w:rPr>
        <w:t>会审议的重大事项，本公司均通过股东大会审议，不存在绕过股东大会的情况，也不存在先</w:t>
      </w:r>
      <w:r>
        <w:rPr>
          <w:spacing w:val="-47"/>
        </w:rPr>
        <w:t> </w:t>
      </w:r>
      <w:r>
        <w:rPr>
          <w:spacing w:val="-47"/>
        </w:rPr>
      </w:r>
      <w:r>
        <w:rPr/>
        <w:t>实施后审议的情况。</w:t>
      </w:r>
    </w:p>
    <w:p>
      <w:pPr>
        <w:spacing w:line="240" w:lineRule="auto" w:before="11"/>
        <w:rPr>
          <w:rFonts w:ascii="宋体" w:hAnsi="宋体" w:cs="宋体" w:eastAsia="宋体" w:hint="default"/>
          <w:sz w:val="24"/>
          <w:szCs w:val="24"/>
        </w:rPr>
      </w:pPr>
    </w:p>
    <w:p>
      <w:pPr>
        <w:pStyle w:val="BodyText"/>
        <w:spacing w:line="273" w:lineRule="auto"/>
        <w:ind w:left="557" w:right="0"/>
        <w:jc w:val="left"/>
      </w:pPr>
      <w:r>
        <w:rPr/>
        <w:t>（三）、关于公司与控股股东</w:t>
      </w:r>
      <w:r>
        <w:rPr>
          <w:w w:val="100"/>
        </w:rPr>
        <w:t> </w:t>
      </w:r>
      <w:r>
        <w:rPr>
          <w:spacing w:val="-4"/>
        </w:rPr>
        <w:t>公司控股股东黄元忠先生严格按照《上市公司治理准则》、《深圳证券交易所创业板股</w:t>
      </w:r>
    </w:p>
    <w:p>
      <w:pPr>
        <w:pStyle w:val="BodyText"/>
        <w:spacing w:line="273" w:lineRule="auto" w:before="7"/>
        <w:ind w:left="137" w:right="209"/>
        <w:jc w:val="both"/>
      </w:pPr>
      <w:r>
        <w:rPr>
          <w:spacing w:val="-4"/>
        </w:rPr>
        <w:t>票上市规则》、《深圳证券交易所创业板上市公司规范运作指引》、《公司章程》等规定和</w:t>
      </w:r>
      <w:r>
        <w:rPr>
          <w:spacing w:val="-45"/>
        </w:rPr>
        <w:t> </w:t>
      </w:r>
      <w:r>
        <w:rPr>
          <w:spacing w:val="-45"/>
        </w:rPr>
      </w:r>
      <w:r>
        <w:rPr>
          <w:spacing w:val="-4"/>
        </w:rPr>
        <w:t>要求，担任公司董事长期间，严格规范自己的行为，不存在超越公司股东大会直接或间接干</w:t>
      </w:r>
      <w:r>
        <w:rPr>
          <w:spacing w:val="-44"/>
        </w:rPr>
        <w:t> </w:t>
      </w:r>
      <w:r>
        <w:rPr>
          <w:spacing w:val="-44"/>
        </w:rPr>
      </w:r>
      <w:r>
        <w:rPr>
          <w:spacing w:val="-4"/>
        </w:rPr>
        <w:t>预公司的决策和经营活动的行为，未损害公司及其他股东的利益，不存在控股股东占用公司</w:t>
      </w:r>
      <w:r>
        <w:rPr>
          <w:spacing w:val="-41"/>
        </w:rPr>
        <w:t> </w:t>
      </w:r>
      <w:r>
        <w:rPr>
          <w:spacing w:val="-41"/>
        </w:rPr>
      </w:r>
      <w:r>
        <w:rPr>
          <w:spacing w:val="-4"/>
        </w:rPr>
        <w:t>资金的现象，公司亦无为控股股东提供担保的情形。公司拥有独立完整的业务和自主经营能</w:t>
      </w:r>
      <w:r>
        <w:rPr>
          <w:spacing w:val="-41"/>
        </w:rPr>
        <w:t> </w:t>
      </w:r>
      <w:r>
        <w:rPr>
          <w:spacing w:val="-41"/>
        </w:rPr>
      </w:r>
      <w:r>
        <w:rPr>
          <w:spacing w:val="-4"/>
        </w:rPr>
        <w:t>力，在业务、资产、人员、机构、财务上独立于控股股东，公司董事会、监事会和内部机构</w:t>
      </w:r>
      <w:r>
        <w:rPr>
          <w:spacing w:val="-43"/>
        </w:rPr>
        <w:t> </w:t>
      </w:r>
      <w:r>
        <w:rPr>
          <w:spacing w:val="-43"/>
        </w:rPr>
      </w:r>
      <w:r>
        <w:rPr/>
        <w:t>独立运作。</w:t>
      </w:r>
    </w:p>
    <w:p>
      <w:pPr>
        <w:spacing w:line="240" w:lineRule="auto" w:before="8"/>
        <w:rPr>
          <w:rFonts w:ascii="宋体" w:hAnsi="宋体" w:cs="宋体" w:eastAsia="宋体" w:hint="default"/>
          <w:sz w:val="24"/>
          <w:szCs w:val="24"/>
        </w:rPr>
      </w:pPr>
    </w:p>
    <w:p>
      <w:pPr>
        <w:pStyle w:val="BodyText"/>
        <w:spacing w:line="273" w:lineRule="auto"/>
        <w:ind w:left="557" w:right="0"/>
        <w:jc w:val="left"/>
      </w:pPr>
      <w:r>
        <w:rPr/>
        <w:t>（四）、关于董事与董事会</w:t>
      </w:r>
      <w:r>
        <w:rPr>
          <w:w w:val="100"/>
        </w:rPr>
        <w:t> </w:t>
      </w:r>
      <w:r>
        <w:rPr>
          <w:spacing w:val="-2"/>
        </w:rPr>
        <w:t>公司第二届董事会设董事</w:t>
      </w:r>
      <w:r>
        <w:rPr>
          <w:rFonts w:ascii="宋体" w:hAnsi="宋体" w:cs="宋体" w:eastAsia="宋体" w:hint="default"/>
          <w:spacing w:val="-2"/>
        </w:rPr>
        <w:t>7</w:t>
      </w:r>
      <w:r>
        <w:rPr>
          <w:spacing w:val="-2"/>
        </w:rPr>
        <w:t>名，其中独立董事</w:t>
      </w:r>
      <w:r>
        <w:rPr>
          <w:rFonts w:ascii="宋体" w:hAnsi="宋体" w:cs="宋体" w:eastAsia="宋体" w:hint="default"/>
          <w:spacing w:val="-2"/>
        </w:rPr>
        <w:t>3</w:t>
      </w:r>
      <w:r>
        <w:rPr>
          <w:spacing w:val="-2"/>
        </w:rPr>
        <w:t>名，董事会的人数及人员构成符合法律、</w:t>
      </w:r>
    </w:p>
    <w:p>
      <w:pPr>
        <w:pStyle w:val="BodyText"/>
        <w:spacing w:line="273" w:lineRule="auto" w:before="10"/>
        <w:ind w:left="137" w:right="0"/>
        <w:jc w:val="left"/>
      </w:pPr>
      <w:r>
        <w:rPr>
          <w:spacing w:val="-11"/>
        </w:rPr>
        <w:t>法规和《公司章程》的要求。各位董事能够依据《董事会议事规则》、《独立董事工作制度》、</w:t>
      </w:r>
      <w:r>
        <w:rPr>
          <w:spacing w:val="-54"/>
        </w:rPr>
        <w:t> </w:t>
      </w:r>
      <w:r>
        <w:rPr>
          <w:spacing w:val="-54"/>
        </w:rPr>
      </w:r>
      <w:r>
        <w:rPr>
          <w:spacing w:val="-4"/>
        </w:rPr>
        <w:t>深圳证券交易所《创业板上市公司规范运作指引》等规定开展工作，出席董事会、董事会专</w:t>
      </w:r>
      <w:r>
        <w:rPr>
          <w:spacing w:val="-39"/>
        </w:rPr>
        <w:t> </w:t>
      </w:r>
      <w:r>
        <w:rPr>
          <w:spacing w:val="-39"/>
        </w:rPr>
      </w:r>
      <w:r>
        <w:rPr>
          <w:spacing w:val="-4"/>
        </w:rPr>
        <w:t>门委员会和股东大会，勤勉尽责地履行职责和义务，同时积极参加相关培训，熟悉相关法律</w:t>
      </w:r>
      <w:r>
        <w:rPr>
          <w:spacing w:val="-47"/>
        </w:rPr>
        <w:t> </w:t>
      </w:r>
      <w:r>
        <w:rPr>
          <w:spacing w:val="-47"/>
        </w:rPr>
      </w:r>
      <w:r>
        <w:rPr/>
        <w:t>法规。其中独董李亮、陈赛芝、高文舍均已获取上市公司独立董事培训证书。</w:t>
      </w:r>
    </w:p>
    <w:p>
      <w:pPr>
        <w:pStyle w:val="BodyText"/>
        <w:spacing w:line="273" w:lineRule="auto" w:before="10"/>
        <w:ind w:left="137" w:right="207" w:firstLine="420"/>
        <w:jc w:val="both"/>
      </w:pPr>
      <w:r>
        <w:rPr>
          <w:spacing w:val="-4"/>
        </w:rPr>
        <w:t>公司按照深圳证券交易所《创业板上市公司规范运作指引》的要求，下设有薪酬与考核</w:t>
      </w:r>
      <w:r>
        <w:rPr>
          <w:w w:val="100"/>
        </w:rPr>
        <w:t> </w:t>
      </w:r>
      <w:r>
        <w:rPr>
          <w:spacing w:val="-4"/>
        </w:rPr>
        <w:t>委员会、审计委员会和提名委员会三个专门委员会。专门委员会成员全部由董事组成，各专</w:t>
      </w:r>
      <w:r>
        <w:rPr>
          <w:spacing w:val="-47"/>
        </w:rPr>
        <w:t> </w:t>
      </w:r>
      <w:r>
        <w:rPr>
          <w:spacing w:val="-47"/>
        </w:rPr>
      </w:r>
      <w:r>
        <w:rPr>
          <w:spacing w:val="-4"/>
          <w:w w:val="100"/>
        </w:rPr>
        <w:t>门委员会均由独立董事担任主任委员，且独立董事人数占其他专门委员会委员的比例均达到</w:t>
      </w:r>
      <w:r>
        <w:rPr>
          <w:spacing w:val="-86"/>
          <w:w w:val="100"/>
        </w:rPr>
        <w:t> </w:t>
      </w:r>
      <w:r>
        <w:rPr>
          <w:spacing w:val="-86"/>
          <w:w w:val="100"/>
        </w:rPr>
      </w:r>
      <w:r>
        <w:rPr>
          <w:spacing w:val="-4"/>
        </w:rPr>
        <w:t>三分之二，为董事会的决策提供了科学和专业的意见和参考。各委员会依据《公司章程》和</w:t>
      </w:r>
      <w:r>
        <w:rPr>
          <w:spacing w:val="-39"/>
        </w:rPr>
        <w:t> </w:t>
      </w:r>
      <w:r>
        <w:rPr>
          <w:spacing w:val="-39"/>
        </w:rPr>
      </w:r>
      <w:r>
        <w:rPr/>
        <w:t>各委员会议事规则的规定履行职权，不受公司任何其他部门和个人的干预。</w:t>
      </w:r>
    </w:p>
    <w:p>
      <w:pPr>
        <w:spacing w:line="240" w:lineRule="auto" w:before="11"/>
        <w:rPr>
          <w:rFonts w:ascii="宋体" w:hAnsi="宋体" w:cs="宋体" w:eastAsia="宋体" w:hint="default"/>
          <w:sz w:val="24"/>
          <w:szCs w:val="24"/>
        </w:rPr>
      </w:pPr>
    </w:p>
    <w:p>
      <w:pPr>
        <w:pStyle w:val="BodyText"/>
        <w:spacing w:line="273" w:lineRule="auto"/>
        <w:ind w:left="557" w:right="0"/>
        <w:jc w:val="left"/>
      </w:pPr>
      <w:r>
        <w:rPr/>
        <w:t>（五）、关于监事与监事会</w:t>
      </w:r>
      <w:r>
        <w:rPr>
          <w:w w:val="100"/>
        </w:rPr>
        <w:t> </w:t>
      </w:r>
      <w:r>
        <w:rPr>
          <w:spacing w:val="-2"/>
        </w:rPr>
        <w:t>公司第二届监事会设监事</w:t>
      </w:r>
      <w:r>
        <w:rPr>
          <w:rFonts w:ascii="宋体" w:hAnsi="宋体" w:cs="宋体" w:eastAsia="宋体" w:hint="default"/>
          <w:spacing w:val="-2"/>
        </w:rPr>
        <w:t>3</w:t>
      </w:r>
      <w:r>
        <w:rPr>
          <w:spacing w:val="-2"/>
        </w:rPr>
        <w:t>名，其中职工代表监事</w:t>
      </w:r>
      <w:r>
        <w:rPr>
          <w:rFonts w:ascii="宋体" w:hAnsi="宋体" w:cs="宋体" w:eastAsia="宋体" w:hint="default"/>
          <w:spacing w:val="-2"/>
        </w:rPr>
        <w:t>1</w:t>
      </w:r>
      <w:r>
        <w:rPr>
          <w:spacing w:val="-2"/>
        </w:rPr>
        <w:t>名，监事会的人数和构成符合法律、</w:t>
      </w:r>
    </w:p>
    <w:p>
      <w:pPr>
        <w:pStyle w:val="BodyText"/>
        <w:spacing w:line="273" w:lineRule="auto" w:before="10"/>
        <w:ind w:left="137" w:right="207"/>
        <w:jc w:val="both"/>
      </w:pPr>
      <w:r>
        <w:rPr>
          <w:spacing w:val="-4"/>
        </w:rPr>
        <w:t>法规的要求。各位监事能够按照《公司章程》、《监事会议事规则》等规定的要求，认真履</w:t>
      </w:r>
      <w:r>
        <w:rPr>
          <w:spacing w:val="-38"/>
        </w:rPr>
        <w:t> </w:t>
      </w:r>
      <w:r>
        <w:rPr>
          <w:spacing w:val="-38"/>
        </w:rPr>
      </w:r>
      <w:r>
        <w:rPr>
          <w:spacing w:val="-4"/>
        </w:rPr>
        <w:t>行自己的职责，对公司重大事项、财务状况以及董事、高管人员履行职责的合法合规性进行</w:t>
      </w:r>
      <w:r>
        <w:rPr>
          <w:spacing w:val="-44"/>
        </w:rPr>
        <w:t> </w:t>
      </w:r>
      <w:r>
        <w:rPr>
          <w:spacing w:val="-44"/>
        </w:rPr>
      </w:r>
      <w:r>
        <w:rPr/>
        <w:t>监督。</w:t>
      </w:r>
    </w:p>
    <w:p>
      <w:pPr>
        <w:spacing w:line="240" w:lineRule="auto" w:before="11"/>
        <w:rPr>
          <w:rFonts w:ascii="宋体" w:hAnsi="宋体" w:cs="宋体" w:eastAsia="宋体" w:hint="default"/>
          <w:sz w:val="24"/>
          <w:szCs w:val="24"/>
        </w:rPr>
      </w:pPr>
    </w:p>
    <w:p>
      <w:pPr>
        <w:pStyle w:val="BodyText"/>
        <w:spacing w:line="273" w:lineRule="auto"/>
        <w:ind w:left="557" w:right="0"/>
        <w:jc w:val="left"/>
      </w:pPr>
      <w:r>
        <w:rPr/>
        <w:t>（六）关于绩效评价与激励约束机制</w:t>
      </w:r>
      <w:r>
        <w:rPr>
          <w:w w:val="100"/>
        </w:rPr>
        <w:t> </w:t>
      </w:r>
      <w:r>
        <w:rPr>
          <w:spacing w:val="-4"/>
        </w:rPr>
        <w:t>公司逐步完善公正、透明的高级管理人员的绩效考核标准和激励约束机制，高级管理人</w:t>
      </w:r>
    </w:p>
    <w:p>
      <w:pPr>
        <w:pStyle w:val="BodyText"/>
        <w:spacing w:line="240" w:lineRule="auto" w:before="7"/>
        <w:ind w:left="137" w:right="0"/>
        <w:jc w:val="both"/>
      </w:pPr>
      <w:r>
        <w:rPr>
          <w:spacing w:val="-4"/>
        </w:rPr>
        <w:t>员的薪酬直接与其业绩挂钩；高级管理人员的聘任公开、透明，符合法律、法规的规定。同</w:t>
      </w:r>
    </w:p>
    <w:p>
      <w:pPr>
        <w:spacing w:after="0" w:line="240" w:lineRule="auto"/>
        <w:jc w:val="both"/>
        <w:sectPr>
          <w:pgSz w:w="11910" w:h="16850"/>
          <w:pgMar w:header="880" w:footer="982" w:top="1120" w:bottom="1180" w:left="1660" w:right="158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p>
      <w:pPr>
        <w:pStyle w:val="BodyText"/>
        <w:spacing w:line="273" w:lineRule="auto" w:before="36"/>
        <w:ind w:left="137" w:right="209"/>
        <w:jc w:val="both"/>
      </w:pPr>
      <w:r>
        <w:rPr>
          <w:spacing w:val="-4"/>
        </w:rPr>
        <w:t>时，为鼓励高级管理人员工作方向与公司战略要求同步，公司还针对不同岗位制定了不同的</w:t>
      </w:r>
      <w:r>
        <w:rPr>
          <w:spacing w:val="-41"/>
        </w:rPr>
        <w:t> </w:t>
      </w:r>
      <w:r>
        <w:rPr>
          <w:spacing w:val="-41"/>
        </w:rPr>
      </w:r>
      <w:r>
        <w:rPr>
          <w:spacing w:val="-4"/>
        </w:rPr>
        <w:t>绩效考核指标。公司严格按规定对高级管理人员进行绩效评价与考核，在强化对高级管理人</w:t>
      </w:r>
      <w:r>
        <w:rPr>
          <w:spacing w:val="-42"/>
        </w:rPr>
        <w:t> </w:t>
      </w:r>
      <w:r>
        <w:rPr>
          <w:spacing w:val="-42"/>
        </w:rPr>
      </w:r>
      <w:r>
        <w:rPr/>
        <w:t>员的考评激励作用的同时，保证了公司近远期目标的达成。</w:t>
      </w:r>
    </w:p>
    <w:p>
      <w:pPr>
        <w:spacing w:line="240" w:lineRule="auto" w:before="8"/>
        <w:rPr>
          <w:rFonts w:ascii="宋体" w:hAnsi="宋体" w:cs="宋体" w:eastAsia="宋体" w:hint="default"/>
          <w:sz w:val="24"/>
          <w:szCs w:val="24"/>
        </w:rPr>
      </w:pPr>
    </w:p>
    <w:p>
      <w:pPr>
        <w:pStyle w:val="BodyText"/>
        <w:spacing w:line="273" w:lineRule="auto"/>
        <w:ind w:left="557" w:right="0"/>
        <w:jc w:val="left"/>
      </w:pPr>
      <w:r>
        <w:rPr/>
        <w:t>（七）关于信息披露与透明度</w:t>
      </w:r>
      <w:r>
        <w:rPr>
          <w:w w:val="100"/>
        </w:rPr>
        <w:t> </w:t>
      </w:r>
      <w:r>
        <w:rPr/>
        <w:t>公司高度重视信息披露与投资者关系管理工作，严格按照《上市公司信息披露管理办</w:t>
      </w:r>
    </w:p>
    <w:p>
      <w:pPr>
        <w:pStyle w:val="BodyText"/>
        <w:spacing w:line="273" w:lineRule="auto" w:before="10"/>
        <w:ind w:left="137" w:right="0"/>
        <w:jc w:val="left"/>
      </w:pPr>
      <w:r>
        <w:rPr>
          <w:spacing w:val="-4"/>
        </w:rPr>
        <w:t>法》、深圳证券交易所创业板上市公司的信息披露格式指引等规定以及公司制定的《信息披</w:t>
      </w:r>
      <w:r>
        <w:rPr>
          <w:spacing w:val="-41"/>
        </w:rPr>
        <w:t> </w:t>
      </w:r>
      <w:r>
        <w:rPr>
          <w:spacing w:val="-41"/>
        </w:rPr>
      </w:r>
      <w:r>
        <w:rPr>
          <w:spacing w:val="-4"/>
        </w:rPr>
        <w:t>露制度》、《投资者关系管理制度》、《投资者接待和推广制度》、《重大信息内部报告制</w:t>
      </w:r>
      <w:r>
        <w:rPr>
          <w:spacing w:val="-43"/>
        </w:rPr>
        <w:t> </w:t>
      </w:r>
      <w:r>
        <w:rPr>
          <w:spacing w:val="-43"/>
        </w:rPr>
      </w:r>
      <w:r>
        <w:rPr>
          <w:spacing w:val="-4"/>
        </w:rPr>
        <w:t>度》等操作文件的要求，真实、准确、完整、及时地披露信息。同时，明确董事长为公司信</w:t>
      </w:r>
      <w:r>
        <w:rPr>
          <w:spacing w:val="-44"/>
        </w:rPr>
        <w:t> </w:t>
      </w:r>
      <w:r>
        <w:rPr>
          <w:spacing w:val="-44"/>
        </w:rPr>
      </w:r>
      <w:r>
        <w:rPr>
          <w:spacing w:val="-4"/>
        </w:rPr>
        <w:t>息披露第一责任人，董事会秘书为信息披露负责人，证券部负责信息披露日常事务。公司指</w:t>
      </w:r>
      <w:r>
        <w:rPr>
          <w:spacing w:val="-47"/>
        </w:rPr>
        <w:t> </w:t>
      </w:r>
      <w:r>
        <w:rPr>
          <w:spacing w:val="-47"/>
        </w:rPr>
      </w:r>
      <w:r>
        <w:rPr>
          <w:spacing w:val="-5"/>
        </w:rPr>
        <w:t>定《证券时报》信息披露报纸，巨潮资讯网（</w:t>
      </w:r>
      <w:hyperlink r:id="rId13">
        <w:r>
          <w:rPr>
            <w:rFonts w:ascii="宋体" w:hAnsi="宋体" w:cs="宋体" w:eastAsia="宋体" w:hint="default"/>
            <w:spacing w:val="-5"/>
          </w:rPr>
          <w:t>http://www.cninfo.com.cn</w:t>
        </w:r>
      </w:hyperlink>
      <w:r>
        <w:rPr>
          <w:spacing w:val="-5"/>
        </w:rPr>
        <w:t>）为信息披露网站。</w:t>
      </w:r>
      <w:r>
        <w:rPr>
          <w:spacing w:val="-40"/>
        </w:rPr>
        <w:t> </w:t>
      </w:r>
      <w:r>
        <w:rPr>
          <w:spacing w:val="-40"/>
        </w:rPr>
      </w:r>
      <w:r>
        <w:rPr>
          <w:spacing w:val="-4"/>
        </w:rPr>
        <w:t>公司上市以来，不断尝试更加有效、充分地开展投资者关系管理工作，指定专人负责与投资</w:t>
      </w:r>
      <w:r>
        <w:rPr>
          <w:spacing w:val="-44"/>
        </w:rPr>
        <w:t> </w:t>
      </w:r>
      <w:r>
        <w:rPr>
          <w:spacing w:val="-44"/>
        </w:rPr>
      </w:r>
      <w:r>
        <w:rPr>
          <w:spacing w:val="-4"/>
        </w:rPr>
        <w:t>者进行沟通和交流，设立了电话专线、专用邮箱等多种渠道，采取积极回复投资者咨询、接</w:t>
      </w:r>
      <w:r>
        <w:rPr>
          <w:spacing w:val="-39"/>
        </w:rPr>
        <w:t> </w:t>
      </w:r>
      <w:r>
        <w:rPr>
          <w:spacing w:val="-39"/>
        </w:rPr>
      </w:r>
      <w:r>
        <w:rPr>
          <w:spacing w:val="-4"/>
        </w:rPr>
        <w:t>受投资者来访与调研等多种形式。作为公众公司，在资本市场需要与投资者建立良性互动的</w:t>
      </w:r>
      <w:r>
        <w:rPr>
          <w:spacing w:val="-38"/>
        </w:rPr>
        <w:t> </w:t>
      </w:r>
      <w:r>
        <w:rPr>
          <w:spacing w:val="-38"/>
        </w:rPr>
      </w:r>
      <w:r>
        <w:rPr>
          <w:spacing w:val="-4"/>
        </w:rPr>
        <w:t>关系，公司仍需要进一步加强投资者关系管理工作，以提高公司信息透明度，保障全体股东</w:t>
      </w:r>
      <w:r>
        <w:rPr>
          <w:spacing w:val="-47"/>
        </w:rPr>
        <w:t> </w:t>
      </w:r>
      <w:r>
        <w:rPr>
          <w:spacing w:val="-47"/>
        </w:rPr>
      </w:r>
      <w:r>
        <w:rPr/>
        <w:t>的合法权益。</w:t>
      </w:r>
    </w:p>
    <w:p>
      <w:pPr>
        <w:spacing w:line="240" w:lineRule="auto" w:before="11"/>
        <w:rPr>
          <w:rFonts w:ascii="宋体" w:hAnsi="宋体" w:cs="宋体" w:eastAsia="宋体" w:hint="default"/>
          <w:sz w:val="24"/>
          <w:szCs w:val="24"/>
        </w:rPr>
      </w:pPr>
    </w:p>
    <w:p>
      <w:pPr>
        <w:pStyle w:val="BodyText"/>
        <w:spacing w:line="240" w:lineRule="auto"/>
        <w:ind w:left="557" w:right="0"/>
        <w:jc w:val="left"/>
      </w:pPr>
      <w:r>
        <w:rPr/>
        <w:t>（八）关于相关利益者</w:t>
      </w:r>
    </w:p>
    <w:p>
      <w:pPr>
        <w:pStyle w:val="BodyText"/>
        <w:spacing w:line="273" w:lineRule="auto" w:before="39"/>
        <w:ind w:left="137" w:right="207" w:firstLine="420"/>
        <w:jc w:val="both"/>
      </w:pPr>
      <w:r>
        <w:rPr>
          <w:rFonts w:ascii="宋体" w:hAnsi="宋体" w:cs="宋体" w:eastAsia="宋体" w:hint="default"/>
          <w:spacing w:val="-1"/>
        </w:rPr>
        <w:t>1</w:t>
      </w:r>
      <w:r>
        <w:rPr>
          <w:spacing w:val="-1"/>
        </w:rPr>
        <w:t>、公司充分尊重和维护相关利益者的合法权益，重视公司的社会责任，积极与相关利</w:t>
      </w:r>
      <w:r>
        <w:rPr>
          <w:w w:val="100"/>
        </w:rPr>
        <w:t> </w:t>
      </w:r>
      <w:r>
        <w:rPr>
          <w:spacing w:val="-4"/>
        </w:rPr>
        <w:t>益者合作，加强与各方的沟通和交流，实现股东、员工、社会等各方利益的协调平衡，共同</w:t>
      </w:r>
      <w:r>
        <w:rPr>
          <w:spacing w:val="-48"/>
        </w:rPr>
        <w:t> </w:t>
      </w:r>
      <w:r>
        <w:rPr>
          <w:spacing w:val="-48"/>
        </w:rPr>
      </w:r>
      <w:r>
        <w:rPr/>
        <w:t>推动公司持续、健康的发展。</w:t>
      </w:r>
    </w:p>
    <w:p>
      <w:pPr>
        <w:spacing w:line="240" w:lineRule="auto" w:before="8"/>
        <w:rPr>
          <w:rFonts w:ascii="宋体" w:hAnsi="宋体" w:cs="宋体" w:eastAsia="宋体" w:hint="default"/>
          <w:sz w:val="24"/>
          <w:szCs w:val="24"/>
        </w:rPr>
      </w:pPr>
    </w:p>
    <w:p>
      <w:pPr>
        <w:pStyle w:val="BodyText"/>
        <w:spacing w:line="273" w:lineRule="auto"/>
        <w:ind w:left="557" w:right="0"/>
        <w:jc w:val="left"/>
      </w:pPr>
      <w:r>
        <w:rPr>
          <w:rFonts w:ascii="宋体" w:hAnsi="宋体" w:cs="宋体" w:eastAsia="宋体" w:hint="default"/>
        </w:rPr>
        <w:t>2</w:t>
      </w:r>
      <w:r>
        <w:rPr/>
        <w:t>、投资者关系管理</w:t>
      </w:r>
      <w:r>
        <w:rPr>
          <w:w w:val="100"/>
        </w:rPr>
        <w:t> </w:t>
      </w:r>
      <w:r>
        <w:rPr>
          <w:spacing w:val="-4"/>
        </w:rPr>
        <w:t>报告期内，公司严格执行《投资者关系管理制度》，认真做好投资者关系管理工作，不</w:t>
      </w:r>
    </w:p>
    <w:p>
      <w:pPr>
        <w:pStyle w:val="BodyText"/>
        <w:spacing w:line="273" w:lineRule="auto" w:before="10"/>
        <w:ind w:left="137" w:right="208"/>
        <w:jc w:val="both"/>
      </w:pPr>
      <w:r>
        <w:rPr>
          <w:spacing w:val="-4"/>
          <w:w w:val="100"/>
        </w:rPr>
        <w:t>断学习先进投资者关系管理经验，便于以更好的方式和途径使广大投资者能够平等地获取公</w:t>
      </w:r>
      <w:r>
        <w:rPr>
          <w:spacing w:val="-86"/>
          <w:w w:val="100"/>
        </w:rPr>
        <w:t> </w:t>
      </w:r>
      <w:r>
        <w:rPr>
          <w:spacing w:val="-86"/>
          <w:w w:val="100"/>
        </w:rPr>
      </w:r>
      <w:r>
        <w:rPr>
          <w:spacing w:val="-4"/>
        </w:rPr>
        <w:t>司经营管理、未来发展等信息，构建与投资者的良好互动关系，树立公司在资本市场的规范</w:t>
      </w:r>
      <w:r>
        <w:rPr>
          <w:spacing w:val="-44"/>
        </w:rPr>
        <w:t> </w:t>
      </w:r>
      <w:r>
        <w:rPr>
          <w:spacing w:val="-44"/>
        </w:rPr>
      </w:r>
      <w:r>
        <w:rPr/>
        <w:t>形象。</w:t>
      </w:r>
    </w:p>
    <w:p>
      <w:pPr>
        <w:pStyle w:val="BodyText"/>
        <w:spacing w:line="273" w:lineRule="auto" w:before="10"/>
        <w:ind w:left="137" w:right="209" w:firstLine="422"/>
        <w:jc w:val="both"/>
      </w:pPr>
      <w:r>
        <w:rPr>
          <w:spacing w:val="-1"/>
        </w:rPr>
        <w:t>（</w:t>
      </w:r>
      <w:r>
        <w:rPr>
          <w:rFonts w:ascii="宋体" w:hAnsi="宋体" w:cs="宋体" w:eastAsia="宋体" w:hint="default"/>
          <w:spacing w:val="-1"/>
        </w:rPr>
        <w:t>1</w:t>
      </w:r>
      <w:r>
        <w:rPr>
          <w:spacing w:val="-1"/>
        </w:rPr>
        <w:t>）公司指定董事会秘书作为投资者关系管理的负责人，负责投资者来访接待工作，</w:t>
      </w:r>
      <w:r>
        <w:rPr>
          <w:w w:val="100"/>
        </w:rPr>
        <w:t> </w:t>
      </w:r>
      <w:r>
        <w:rPr>
          <w:spacing w:val="-4"/>
        </w:rPr>
        <w:t>合理、妥善地安排个人投资者、机构投资者、行业分析师等相关人员到公司进行调研，做好</w:t>
      </w:r>
      <w:r>
        <w:rPr>
          <w:spacing w:val="-45"/>
        </w:rPr>
        <w:t> </w:t>
      </w:r>
      <w:r>
        <w:rPr>
          <w:spacing w:val="-45"/>
        </w:rPr>
      </w:r>
      <w:r>
        <w:rPr>
          <w:spacing w:val="-4"/>
        </w:rPr>
        <w:t>调研的会议记录和相关信息的保密工作，并对调研会议记录上传深交所报备，公司进行存档</w:t>
      </w:r>
      <w:r>
        <w:rPr>
          <w:spacing w:val="-45"/>
        </w:rPr>
        <w:t> </w:t>
      </w:r>
      <w:r>
        <w:rPr>
          <w:spacing w:val="-45"/>
        </w:rPr>
      </w:r>
      <w:r>
        <w:rPr/>
        <w:t>保管。</w:t>
      </w:r>
    </w:p>
    <w:p>
      <w:pPr>
        <w:pStyle w:val="BodyText"/>
        <w:spacing w:line="273" w:lineRule="auto" w:before="7"/>
        <w:ind w:left="137" w:right="208" w:firstLine="419"/>
        <w:jc w:val="both"/>
      </w:pPr>
      <w:r>
        <w:rPr>
          <w:spacing w:val="-1"/>
        </w:rPr>
        <w:t>（</w:t>
      </w:r>
      <w:r>
        <w:rPr>
          <w:rFonts w:ascii="宋体" w:hAnsi="宋体" w:cs="宋体" w:eastAsia="宋体" w:hint="default"/>
          <w:spacing w:val="-1"/>
        </w:rPr>
        <w:t>2</w:t>
      </w:r>
      <w:r>
        <w:rPr>
          <w:spacing w:val="-1"/>
        </w:rPr>
        <w:t>）通过公司网站、投资者关系管理电话、电子信箱、互动平台等多种渠道与投资者</w:t>
      </w:r>
      <w:r>
        <w:rPr>
          <w:w w:val="100"/>
        </w:rPr>
        <w:t> </w:t>
      </w:r>
      <w:r>
        <w:rPr/>
        <w:t>加强沟通，尽职解答投资者的疑问。</w:t>
      </w:r>
    </w:p>
    <w:p>
      <w:pPr>
        <w:pStyle w:val="BodyText"/>
        <w:spacing w:line="273" w:lineRule="auto" w:before="10"/>
        <w:ind w:left="560" w:right="0" w:hanging="3"/>
        <w:jc w:val="left"/>
      </w:pPr>
      <w:r>
        <w:rPr/>
        <w:t>（</w:t>
      </w:r>
      <w:r>
        <w:rPr>
          <w:rFonts w:ascii="宋体" w:hAnsi="宋体" w:cs="宋体" w:eastAsia="宋体" w:hint="default"/>
        </w:rPr>
        <w:t>3</w:t>
      </w:r>
      <w:r>
        <w:rPr/>
        <w:t>）报告期内公司治理专项活动开展情况</w:t>
      </w:r>
      <w:r>
        <w:rPr>
          <w:w w:val="100"/>
        </w:rPr>
        <w:t> </w:t>
      </w:r>
      <w:r>
        <w:rPr>
          <w:spacing w:val="-4"/>
        </w:rPr>
        <w:t>根据深圳证监局要求，我司证券事务部组织全体董事、监事、高级管理人员及财务人员</w:t>
      </w:r>
    </w:p>
    <w:p>
      <w:pPr>
        <w:pStyle w:val="BodyText"/>
        <w:spacing w:line="273" w:lineRule="auto" w:before="10"/>
        <w:ind w:left="137" w:right="207"/>
        <w:jc w:val="both"/>
      </w:pPr>
      <w:r>
        <w:rPr>
          <w:spacing w:val="-1"/>
        </w:rPr>
        <w:t>于</w:t>
      </w:r>
      <w:r>
        <w:rPr>
          <w:rFonts w:ascii="宋体" w:hAnsi="宋体" w:cs="宋体" w:eastAsia="宋体" w:hint="default"/>
          <w:spacing w:val="-1"/>
        </w:rPr>
        <w:t>2014</w:t>
      </w:r>
      <w:r>
        <w:rPr>
          <w:spacing w:val="-1"/>
        </w:rPr>
        <w:t>年</w:t>
      </w:r>
      <w:r>
        <w:rPr>
          <w:rFonts w:ascii="宋体" w:hAnsi="宋体" w:cs="宋体" w:eastAsia="宋体" w:hint="default"/>
          <w:spacing w:val="-1"/>
        </w:rPr>
        <w:t>11</w:t>
      </w:r>
      <w:r>
        <w:rPr>
          <w:spacing w:val="-1"/>
        </w:rPr>
        <w:t>月</w:t>
      </w:r>
      <w:r>
        <w:rPr>
          <w:rFonts w:ascii="宋体" w:hAnsi="宋体" w:cs="宋体" w:eastAsia="宋体" w:hint="default"/>
          <w:spacing w:val="-1"/>
        </w:rPr>
        <w:t>7</w:t>
      </w:r>
      <w:r>
        <w:rPr>
          <w:spacing w:val="-1"/>
        </w:rPr>
        <w:t>日参加了由公安部和证监会主办，深圳证监局承办的内幕交易警示教育展。</w:t>
      </w:r>
      <w:r>
        <w:rPr>
          <w:spacing w:val="-48"/>
        </w:rPr>
        <w:t> </w:t>
      </w:r>
      <w:r>
        <w:rPr>
          <w:spacing w:val="-48"/>
        </w:rPr>
      </w:r>
      <w:r>
        <w:rPr>
          <w:spacing w:val="-4"/>
        </w:rPr>
        <w:t>内幕交易警示教育展加强了公司全体董事、监事、高级管理人员及财务人员的内幕交易防控</w:t>
      </w:r>
      <w:r>
        <w:rPr>
          <w:spacing w:val="-38"/>
        </w:rPr>
        <w:t> </w:t>
      </w:r>
      <w:r>
        <w:rPr>
          <w:spacing w:val="-38"/>
        </w:rPr>
      </w:r>
      <w:r>
        <w:rPr>
          <w:spacing w:val="-4"/>
        </w:rPr>
        <w:t>意识。展会针对典型案例进行详细阐述和分析，加深了公司参会人员的法律法规意识。本次</w:t>
      </w:r>
      <w:r>
        <w:rPr>
          <w:spacing w:val="-47"/>
        </w:rPr>
        <w:t> </w:t>
      </w:r>
      <w:r>
        <w:rPr>
          <w:spacing w:val="-47"/>
        </w:rPr>
      </w:r>
      <w:r>
        <w:rPr/>
        <w:t>内幕交易警示教育展在公司内部起到了良好的效果。</w:t>
      </w:r>
    </w:p>
    <w:p>
      <w:pPr>
        <w:spacing w:line="240" w:lineRule="auto" w:before="11"/>
        <w:rPr>
          <w:rFonts w:ascii="宋体" w:hAnsi="宋体" w:cs="宋体" w:eastAsia="宋体" w:hint="default"/>
          <w:sz w:val="24"/>
          <w:szCs w:val="24"/>
        </w:rPr>
      </w:pPr>
    </w:p>
    <w:p>
      <w:pPr>
        <w:pStyle w:val="BodyText"/>
        <w:spacing w:line="273" w:lineRule="auto"/>
        <w:ind w:left="557" w:right="0"/>
        <w:jc w:val="left"/>
      </w:pPr>
      <w:r>
        <w:rPr/>
        <w:t>二、独立董事履职情况</w:t>
      </w:r>
      <w:r>
        <w:rPr>
          <w:w w:val="100"/>
        </w:rPr>
        <w:t> </w:t>
      </w:r>
      <w:r>
        <w:rPr>
          <w:spacing w:val="-4"/>
        </w:rPr>
        <w:t>报告期内，公司独立董事李亮先生、陈赛芝女士、高文舍先生严格按照《公司章程》和</w:t>
      </w:r>
    </w:p>
    <w:p>
      <w:pPr>
        <w:pStyle w:val="BodyText"/>
        <w:spacing w:line="240" w:lineRule="auto" w:before="7"/>
        <w:ind w:left="137" w:right="0"/>
        <w:jc w:val="both"/>
      </w:pPr>
      <w:r>
        <w:rPr>
          <w:spacing w:val="-4"/>
        </w:rPr>
        <w:t>《独立董事工作制度》等的规定，独立、客观、公正地履行职责，出席和列席了报告期内历</w:t>
      </w:r>
    </w:p>
    <w:p>
      <w:pPr>
        <w:spacing w:after="0" w:line="240" w:lineRule="auto"/>
        <w:jc w:val="both"/>
        <w:sectPr>
          <w:pgSz w:w="11910" w:h="16850"/>
          <w:pgMar w:header="880" w:footer="982" w:top="1120" w:bottom="1180" w:left="1660" w:right="158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p>
      <w:pPr>
        <w:pStyle w:val="BodyText"/>
        <w:spacing w:line="273" w:lineRule="auto" w:before="36"/>
        <w:ind w:left="137" w:right="1369"/>
        <w:jc w:val="both"/>
      </w:pPr>
      <w:r>
        <w:rPr>
          <w:spacing w:val="-4"/>
        </w:rPr>
        <w:t>次董事会会议和股东大会会议，对董事会议案和股东大会议案进行认真审核，为公司经营和</w:t>
      </w:r>
      <w:r>
        <w:rPr>
          <w:spacing w:val="-45"/>
        </w:rPr>
        <w:t> </w:t>
      </w:r>
      <w:r>
        <w:rPr>
          <w:spacing w:val="-45"/>
        </w:rPr>
      </w:r>
      <w:r>
        <w:rPr>
          <w:spacing w:val="-4"/>
        </w:rPr>
        <w:t>发展提出合理化的意见和建议，了解公司运营、研发经营状况、内部控制建设以及董事会决</w:t>
      </w:r>
      <w:r>
        <w:rPr>
          <w:spacing w:val="-41"/>
        </w:rPr>
        <w:t> </w:t>
      </w:r>
      <w:r>
        <w:rPr>
          <w:spacing w:val="-41"/>
        </w:rPr>
      </w:r>
      <w:r>
        <w:rPr>
          <w:spacing w:val="-4"/>
        </w:rPr>
        <w:t>议和股东会决议的执行情况，根据相关规定对公司的重大事项发表独立意见。报告期内，公</w:t>
      </w:r>
      <w:r>
        <w:rPr>
          <w:spacing w:val="-41"/>
        </w:rPr>
        <w:t> </w:t>
      </w:r>
      <w:r>
        <w:rPr>
          <w:spacing w:val="-41"/>
        </w:rPr>
      </w:r>
      <w:r>
        <w:rPr/>
        <w:t>司独立董事未对公司董事会审议的各项议案及其他相关事项提出异议。</w:t>
      </w:r>
    </w:p>
    <w:p>
      <w:pPr>
        <w:spacing w:line="240" w:lineRule="auto" w:before="8"/>
        <w:rPr>
          <w:rFonts w:ascii="宋体" w:hAnsi="宋体" w:cs="宋体" w:eastAsia="宋体" w:hint="default"/>
          <w:sz w:val="24"/>
          <w:szCs w:val="24"/>
        </w:rPr>
      </w:pPr>
    </w:p>
    <w:p>
      <w:pPr>
        <w:pStyle w:val="BodyText"/>
        <w:spacing w:line="274" w:lineRule="exact"/>
        <w:ind w:left="137" w:right="0"/>
        <w:jc w:val="both"/>
      </w:pPr>
      <w:r>
        <w:rPr/>
        <w:t>公司治理与《公司法》和中国证监会相关规定的要求是否存在差异</w:t>
      </w:r>
    </w:p>
    <w:p>
      <w:pPr>
        <w:pStyle w:val="BodyText"/>
        <w:spacing w:line="290" w:lineRule="exact"/>
        <w:ind w:left="137"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2"/>
        <w:rPr>
          <w:rFonts w:ascii="宋体" w:hAnsi="宋体" w:cs="宋体" w:eastAsia="宋体" w:hint="default"/>
          <w:sz w:val="21"/>
          <w:szCs w:val="21"/>
        </w:rPr>
      </w:pPr>
    </w:p>
    <w:p>
      <w:pPr>
        <w:pStyle w:val="Heading4"/>
        <w:spacing w:line="240" w:lineRule="auto"/>
        <w:ind w:left="137" w:right="0"/>
        <w:jc w:val="both"/>
        <w:rPr>
          <w:b w:val="0"/>
          <w:bCs w:val="0"/>
        </w:rPr>
      </w:pPr>
      <w:bookmarkStart w:name="二、报告期内召开的年度股东大会和临时股东大会的有关情况" w:id="100"/>
      <w:bookmarkEnd w:id="100"/>
      <w:r>
        <w:rPr>
          <w:b w:val="0"/>
          <w:bCs w:val="0"/>
        </w:rPr>
      </w:r>
      <w:r>
        <w:rPr/>
        <w:t>二、报告期内召开的年度股东大会和临时股东大会的有关情况</w:t>
      </w:r>
      <w:r>
        <w:rPr>
          <w:b w:val="0"/>
          <w:bCs w:val="0"/>
        </w:rPr>
      </w:r>
    </w:p>
    <w:p>
      <w:pPr>
        <w:spacing w:line="240" w:lineRule="auto" w:before="0"/>
        <w:rPr>
          <w:rFonts w:ascii="宋体" w:hAnsi="宋体" w:cs="宋体" w:eastAsia="宋体" w:hint="default"/>
          <w:b/>
          <w:bCs/>
          <w:sz w:val="24"/>
          <w:szCs w:val="24"/>
        </w:rPr>
      </w:pPr>
    </w:p>
    <w:p>
      <w:pPr>
        <w:spacing w:line="240" w:lineRule="auto" w:before="5"/>
        <w:rPr>
          <w:rFonts w:ascii="宋体" w:hAnsi="宋体" w:cs="宋体" w:eastAsia="宋体" w:hint="default"/>
          <w:b/>
          <w:bCs/>
          <w:sz w:val="22"/>
          <w:szCs w:val="22"/>
        </w:rPr>
      </w:pPr>
    </w:p>
    <w:p>
      <w:pPr>
        <w:pStyle w:val="Heading5"/>
        <w:spacing w:line="240" w:lineRule="auto"/>
        <w:ind w:left="137" w:right="0"/>
        <w:jc w:val="both"/>
        <w:rPr>
          <w:b w:val="0"/>
          <w:bCs w:val="0"/>
        </w:rPr>
      </w:pPr>
      <w:bookmarkStart w:name="1、本报告期年度股东大会情况" w:id="101"/>
      <w:bookmarkEnd w:id="101"/>
      <w:r>
        <w:rPr>
          <w:b w:val="0"/>
          <w:bCs w:val="0"/>
        </w:rPr>
      </w:r>
      <w:r>
        <w:rPr>
          <w:rFonts w:ascii="Times New Roman" w:hAnsi="Times New Roman" w:cs="Times New Roman" w:eastAsia="Times New Roman" w:hint="default"/>
        </w:rPr>
        <w:t>1</w:t>
      </w:r>
      <w:r>
        <w:rPr/>
        <w:t>、本报告期年度股东大会情况</w:t>
      </w:r>
      <w:r>
        <w:rPr>
          <w:b w:val="0"/>
          <w:bCs w:val="0"/>
        </w:rPr>
      </w:r>
    </w:p>
    <w:p>
      <w:pPr>
        <w:spacing w:line="240" w:lineRule="auto" w:before="3"/>
        <w:rPr>
          <w:rFonts w:ascii="宋体" w:hAnsi="宋体" w:cs="宋体" w:eastAsia="宋体" w:hint="default"/>
          <w:b/>
          <w:bCs/>
          <w:sz w:val="24"/>
          <w:szCs w:val="24"/>
        </w:rPr>
      </w:pPr>
    </w:p>
    <w:tbl>
      <w:tblPr>
        <w:tblW w:w="0" w:type="auto"/>
        <w:jc w:val="left"/>
        <w:tblInd w:w="132" w:type="dxa"/>
        <w:tblLayout w:type="fixed"/>
        <w:tblCellMar>
          <w:top w:w="0" w:type="dxa"/>
          <w:left w:w="0" w:type="dxa"/>
          <w:bottom w:w="0" w:type="dxa"/>
          <w:right w:w="0" w:type="dxa"/>
        </w:tblCellMar>
        <w:tblLook w:val="01E0"/>
      </w:tblPr>
      <w:tblGrid>
        <w:gridCol w:w="2393"/>
        <w:gridCol w:w="2390"/>
        <w:gridCol w:w="2393"/>
        <w:gridCol w:w="2381"/>
      </w:tblGrid>
      <w:tr>
        <w:trPr>
          <w:trHeight w:val="554"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2"/>
              <w:ind w:left="768"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2"/>
              <w:ind w:left="767"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会议决议刊登的指定网站</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c>
          <w:tcPr>
            <w:tcW w:w="23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9" w:lineRule="exact"/>
              <w:ind w:left="9" w:right="0"/>
              <w:jc w:val="center"/>
              <w:rPr>
                <w:rFonts w:ascii="宋体" w:hAnsi="宋体" w:cs="宋体" w:eastAsia="宋体" w:hint="default"/>
                <w:sz w:val="21"/>
                <w:szCs w:val="21"/>
              </w:rPr>
            </w:pPr>
            <w:r>
              <w:rPr>
                <w:rFonts w:ascii="宋体" w:hAnsi="宋体" w:cs="宋体" w:eastAsia="宋体" w:hint="default"/>
                <w:sz w:val="21"/>
                <w:szCs w:val="21"/>
              </w:rPr>
              <w:t>会议决议刊登的信息披露</w:t>
            </w:r>
          </w:p>
          <w:p>
            <w:pPr>
              <w:pStyle w:val="TableParagraph"/>
              <w:spacing w:line="273" w:lineRule="exact"/>
              <w:ind w:left="9" w:right="0"/>
              <w:jc w:val="center"/>
              <w:rPr>
                <w:rFonts w:ascii="宋体" w:hAnsi="宋体" w:cs="宋体" w:eastAsia="宋体" w:hint="default"/>
                <w:sz w:val="21"/>
                <w:szCs w:val="21"/>
              </w:rPr>
            </w:pPr>
            <w:r>
              <w:rPr>
                <w:rFonts w:ascii="宋体" w:hAnsi="宋体" w:cs="宋体" w:eastAsia="宋体" w:hint="default"/>
                <w:sz w:val="21"/>
                <w:szCs w:val="21"/>
              </w:rPr>
              <w:t>日期</w:t>
            </w:r>
          </w:p>
        </w:tc>
      </w:tr>
      <w:tr>
        <w:trPr>
          <w:trHeight w:val="28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年年度股东大会</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21"/>
                <w:szCs w:val="21"/>
              </w:rPr>
            </w:pPr>
            <w:hyperlink r:id="rId13">
              <w:r>
                <w:rPr>
                  <w:rFonts w:ascii="Times New Roman"/>
                  <w:sz w:val="21"/>
                </w:rPr>
                <w:t>http://www.cninfo.com.cn</w:t>
              </w:r>
            </w:hyperlink>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bl>
    <w:p>
      <w:pPr>
        <w:spacing w:line="240" w:lineRule="auto" w:before="10"/>
        <w:rPr>
          <w:rFonts w:ascii="宋体" w:hAnsi="宋体" w:cs="宋体" w:eastAsia="宋体" w:hint="default"/>
          <w:b/>
          <w:bCs/>
          <w:sz w:val="17"/>
          <w:szCs w:val="17"/>
        </w:rPr>
      </w:pPr>
    </w:p>
    <w:p>
      <w:pPr>
        <w:pStyle w:val="Heading5"/>
        <w:spacing w:line="240" w:lineRule="auto" w:before="36"/>
        <w:ind w:left="137" w:right="0"/>
        <w:jc w:val="left"/>
        <w:rPr>
          <w:b w:val="0"/>
          <w:bCs w:val="0"/>
        </w:rPr>
      </w:pPr>
      <w:bookmarkStart w:name="2、本报告期临时股东大会情况" w:id="102"/>
      <w:bookmarkEnd w:id="102"/>
      <w:r>
        <w:rPr>
          <w:b w:val="0"/>
          <w:bCs w:val="0"/>
        </w:rPr>
      </w:r>
      <w:r>
        <w:rPr>
          <w:rFonts w:ascii="Times New Roman" w:hAnsi="Times New Roman" w:cs="Times New Roman" w:eastAsia="Times New Roman" w:hint="default"/>
        </w:rPr>
        <w:t>2</w:t>
      </w:r>
      <w:r>
        <w:rPr/>
        <w:t>、本报告期临时股东大会情况</w:t>
      </w:r>
      <w:r>
        <w:rPr>
          <w:b w:val="0"/>
          <w:bCs w:val="0"/>
        </w:rPr>
      </w:r>
    </w:p>
    <w:p>
      <w:pPr>
        <w:spacing w:line="240" w:lineRule="auto" w:before="3"/>
        <w:rPr>
          <w:rFonts w:ascii="宋体" w:hAnsi="宋体" w:cs="宋体" w:eastAsia="宋体" w:hint="default"/>
          <w:b/>
          <w:bCs/>
          <w:sz w:val="24"/>
          <w:szCs w:val="24"/>
        </w:rPr>
      </w:pPr>
    </w:p>
    <w:tbl>
      <w:tblPr>
        <w:tblW w:w="0" w:type="auto"/>
        <w:jc w:val="left"/>
        <w:tblInd w:w="132" w:type="dxa"/>
        <w:tblLayout w:type="fixed"/>
        <w:tblCellMar>
          <w:top w:w="0" w:type="dxa"/>
          <w:left w:w="0" w:type="dxa"/>
          <w:bottom w:w="0" w:type="dxa"/>
          <w:right w:w="0" w:type="dxa"/>
        </w:tblCellMar>
        <w:tblLook w:val="01E0"/>
      </w:tblPr>
      <w:tblGrid>
        <w:gridCol w:w="2393"/>
        <w:gridCol w:w="2390"/>
        <w:gridCol w:w="2393"/>
        <w:gridCol w:w="2393"/>
      </w:tblGrid>
      <w:tr>
        <w:trPr>
          <w:trHeight w:val="554"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2"/>
              <w:ind w:left="768"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2"/>
              <w:ind w:left="767"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会议决议刊登的指定网站</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会议决议刊登的信息披露</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日期</w:t>
            </w:r>
          </w:p>
        </w:tc>
      </w:tr>
      <w:tr>
        <w:trPr>
          <w:trHeight w:val="557"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年第一次临时股东</w:t>
            </w:r>
          </w:p>
          <w:p>
            <w:pPr>
              <w:pStyle w:val="TableParagraph"/>
              <w:spacing w:line="266" w:lineRule="exact"/>
              <w:ind w:left="21" w:right="0"/>
              <w:jc w:val="left"/>
              <w:rPr>
                <w:rFonts w:ascii="宋体" w:hAnsi="宋体" w:cs="宋体" w:eastAsia="宋体" w:hint="default"/>
                <w:sz w:val="21"/>
                <w:szCs w:val="21"/>
              </w:rPr>
            </w:pPr>
            <w:r>
              <w:rPr>
                <w:rFonts w:ascii="宋体" w:hAnsi="宋体" w:cs="宋体" w:eastAsia="宋体" w:hint="default"/>
                <w:sz w:val="21"/>
                <w:szCs w:val="21"/>
              </w:rPr>
              <w:t>大会</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3" w:right="0"/>
              <w:jc w:val="left"/>
              <w:rPr>
                <w:rFonts w:ascii="Times New Roman" w:hAnsi="Times New Roman" w:cs="Times New Roman" w:eastAsia="Times New Roman" w:hint="default"/>
                <w:sz w:val="21"/>
                <w:szCs w:val="21"/>
              </w:rPr>
            </w:pPr>
            <w:hyperlink r:id="rId13">
              <w:r>
                <w:rPr>
                  <w:rFonts w:ascii="Times New Roman"/>
                  <w:sz w:val="21"/>
                </w:rPr>
                <w:t>http://www.cninfo.com.cn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bl>
    <w:p>
      <w:pPr>
        <w:spacing w:line="240" w:lineRule="auto" w:before="11"/>
        <w:rPr>
          <w:rFonts w:ascii="宋体" w:hAnsi="宋体" w:cs="宋体" w:eastAsia="宋体" w:hint="default"/>
          <w:b/>
          <w:bCs/>
          <w:sz w:val="17"/>
          <w:szCs w:val="17"/>
        </w:rPr>
      </w:pPr>
    </w:p>
    <w:p>
      <w:pPr>
        <w:pStyle w:val="Heading4"/>
        <w:spacing w:line="240" w:lineRule="auto" w:before="26"/>
        <w:ind w:left="137" w:right="0"/>
        <w:jc w:val="left"/>
        <w:rPr>
          <w:b w:val="0"/>
          <w:bCs w:val="0"/>
        </w:rPr>
      </w:pPr>
      <w:bookmarkStart w:name="三、报告期董事会召开情况" w:id="103"/>
      <w:bookmarkEnd w:id="103"/>
      <w:r>
        <w:rPr>
          <w:b w:val="0"/>
          <w:bCs w:val="0"/>
        </w:rPr>
      </w:r>
      <w:r>
        <w:rPr/>
        <w:t>三、报告期董事会召开情况</w:t>
      </w:r>
      <w:r>
        <w:rPr>
          <w:b w:val="0"/>
          <w:bCs w:val="0"/>
        </w:rPr>
      </w:r>
    </w:p>
    <w:p>
      <w:pPr>
        <w:spacing w:line="240" w:lineRule="auto" w:before="0"/>
        <w:rPr>
          <w:rFonts w:ascii="宋体" w:hAnsi="宋体" w:cs="宋体" w:eastAsia="宋体" w:hint="default"/>
          <w:b/>
          <w:bCs/>
          <w:sz w:val="26"/>
          <w:szCs w:val="26"/>
        </w:rPr>
      </w:pPr>
    </w:p>
    <w:tbl>
      <w:tblPr>
        <w:tblW w:w="0" w:type="auto"/>
        <w:jc w:val="left"/>
        <w:tblInd w:w="132" w:type="dxa"/>
        <w:tblLayout w:type="fixed"/>
        <w:tblCellMar>
          <w:top w:w="0" w:type="dxa"/>
          <w:left w:w="0" w:type="dxa"/>
          <w:bottom w:w="0" w:type="dxa"/>
          <w:right w:w="0" w:type="dxa"/>
        </w:tblCellMar>
        <w:tblLook w:val="01E0"/>
      </w:tblPr>
      <w:tblGrid>
        <w:gridCol w:w="2393"/>
        <w:gridCol w:w="2390"/>
        <w:gridCol w:w="2393"/>
        <w:gridCol w:w="2393"/>
      </w:tblGrid>
      <w:tr>
        <w:trPr>
          <w:trHeight w:val="554"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2"/>
              <w:ind w:left="768"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2"/>
              <w:ind w:left="767"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会议决议刊登的指定网站</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会议决议刊登的信息披露</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日期</w:t>
            </w:r>
          </w:p>
        </w:tc>
      </w:tr>
      <w:tr>
        <w:trPr>
          <w:trHeight w:val="557"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第二届董事会第十一次会</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议</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3" w:right="0"/>
              <w:jc w:val="left"/>
              <w:rPr>
                <w:rFonts w:ascii="Times New Roman" w:hAnsi="Times New Roman" w:cs="Times New Roman" w:eastAsia="Times New Roman" w:hint="default"/>
                <w:sz w:val="21"/>
                <w:szCs w:val="21"/>
              </w:rPr>
            </w:pPr>
            <w:hyperlink r:id="rId13">
              <w:r>
                <w:rPr>
                  <w:rFonts w:ascii="Times New Roman"/>
                  <w:sz w:val="21"/>
                </w:rPr>
                <w:t>http://www.cninfo.com.cn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557"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第二届董事会第十二次会</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议</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3" w:right="0"/>
              <w:jc w:val="left"/>
              <w:rPr>
                <w:rFonts w:ascii="Times New Roman" w:hAnsi="Times New Roman" w:cs="Times New Roman" w:eastAsia="Times New Roman" w:hint="default"/>
                <w:sz w:val="21"/>
                <w:szCs w:val="21"/>
              </w:rPr>
            </w:pPr>
            <w:hyperlink r:id="rId13">
              <w:r>
                <w:rPr>
                  <w:rFonts w:ascii="Times New Roman"/>
                  <w:sz w:val="21"/>
                </w:rPr>
                <w:t>http://www.cninfo.com.cn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55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1" w:right="0"/>
              <w:jc w:val="left"/>
              <w:rPr>
                <w:rFonts w:ascii="宋体" w:hAnsi="宋体" w:cs="宋体" w:eastAsia="宋体" w:hint="default"/>
                <w:sz w:val="21"/>
                <w:szCs w:val="21"/>
              </w:rPr>
            </w:pPr>
            <w:r>
              <w:rPr>
                <w:rFonts w:ascii="宋体" w:hAnsi="宋体" w:cs="宋体" w:eastAsia="宋体" w:hint="default"/>
                <w:sz w:val="21"/>
                <w:szCs w:val="21"/>
              </w:rPr>
              <w:t>第二届董事会第十三次会</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议</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3" w:right="0"/>
              <w:jc w:val="left"/>
              <w:rPr>
                <w:rFonts w:ascii="Times New Roman" w:hAnsi="Times New Roman" w:cs="Times New Roman" w:eastAsia="Times New Roman" w:hint="default"/>
                <w:sz w:val="21"/>
                <w:szCs w:val="21"/>
              </w:rPr>
            </w:pPr>
            <w:hyperlink r:id="rId13">
              <w:r>
                <w:rPr>
                  <w:rFonts w:ascii="Times New Roman"/>
                  <w:sz w:val="21"/>
                </w:rPr>
                <w:t>http://www.cninfo.com.cn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557"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第二届董事会第十四次会</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议</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3" w:right="0"/>
              <w:jc w:val="left"/>
              <w:rPr>
                <w:rFonts w:ascii="Times New Roman" w:hAnsi="Times New Roman" w:cs="Times New Roman" w:eastAsia="Times New Roman" w:hint="default"/>
                <w:sz w:val="21"/>
                <w:szCs w:val="21"/>
              </w:rPr>
            </w:pPr>
            <w:hyperlink r:id="rId13">
              <w:r>
                <w:rPr>
                  <w:rFonts w:ascii="Times New Roman"/>
                  <w:sz w:val="21"/>
                </w:rPr>
                <w:t>http://www.cninfo.com.cn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bl>
    <w:p>
      <w:pPr>
        <w:spacing w:line="240" w:lineRule="auto" w:before="11"/>
        <w:rPr>
          <w:rFonts w:ascii="宋体" w:hAnsi="宋体" w:cs="宋体" w:eastAsia="宋体" w:hint="default"/>
          <w:b/>
          <w:bCs/>
          <w:sz w:val="17"/>
          <w:szCs w:val="17"/>
        </w:rPr>
      </w:pPr>
    </w:p>
    <w:p>
      <w:pPr>
        <w:pStyle w:val="Heading4"/>
        <w:spacing w:line="240" w:lineRule="auto" w:before="26"/>
        <w:ind w:left="137" w:right="0"/>
        <w:jc w:val="left"/>
        <w:rPr>
          <w:b w:val="0"/>
          <w:bCs w:val="0"/>
        </w:rPr>
      </w:pPr>
      <w:bookmarkStart w:name="四、年度报告重大差错责任追究制度的建立与执行情况" w:id="104"/>
      <w:bookmarkEnd w:id="104"/>
      <w:r>
        <w:rPr>
          <w:b w:val="0"/>
          <w:bCs w:val="0"/>
        </w:rPr>
      </w:r>
      <w:r>
        <w:rPr/>
        <w:t>四、年度报告重大差错责任追究制度的建立与执行情况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ind w:left="137" w:right="0"/>
        <w:jc w:val="left"/>
      </w:pPr>
      <w:r>
        <w:rPr/>
        <w:t>不适用</w:t>
      </w:r>
    </w:p>
    <w:p>
      <w:pPr>
        <w:spacing w:line="240" w:lineRule="auto" w:before="2"/>
        <w:rPr>
          <w:rFonts w:ascii="宋体" w:hAnsi="宋体" w:cs="宋体" w:eastAsia="宋体" w:hint="default"/>
          <w:sz w:val="22"/>
          <w:szCs w:val="22"/>
        </w:rPr>
      </w:pPr>
    </w:p>
    <w:p>
      <w:pPr>
        <w:pStyle w:val="Heading4"/>
        <w:spacing w:line="240" w:lineRule="auto"/>
        <w:ind w:left="137" w:right="0"/>
        <w:jc w:val="left"/>
        <w:rPr>
          <w:b w:val="0"/>
          <w:bCs w:val="0"/>
        </w:rPr>
      </w:pPr>
      <w:bookmarkStart w:name="五、监事会工作情况" w:id="105"/>
      <w:bookmarkEnd w:id="105"/>
      <w:r>
        <w:rPr>
          <w:b w:val="0"/>
          <w:bCs w:val="0"/>
        </w:rPr>
      </w:r>
      <w:r>
        <w:rPr/>
        <w:t>五、监事会工作情况</w:t>
      </w:r>
      <w:r>
        <w:rPr>
          <w:b w:val="0"/>
          <w:bCs w:val="0"/>
        </w:rPr>
      </w:r>
    </w:p>
    <w:p>
      <w:pPr>
        <w:spacing w:line="240" w:lineRule="auto" w:before="6"/>
        <w:rPr>
          <w:rFonts w:ascii="宋体" w:hAnsi="宋体" w:cs="宋体" w:eastAsia="宋体" w:hint="default"/>
          <w:b/>
          <w:bCs/>
          <w:sz w:val="23"/>
          <w:szCs w:val="23"/>
        </w:rPr>
      </w:pPr>
    </w:p>
    <w:p>
      <w:pPr>
        <w:pStyle w:val="BodyText"/>
        <w:spacing w:line="274" w:lineRule="exact"/>
        <w:ind w:left="137" w:right="0"/>
        <w:jc w:val="left"/>
      </w:pPr>
      <w:r>
        <w:rPr/>
        <w:t>监事会在报告期内的监督活动是否发现公司存在风险</w:t>
      </w:r>
    </w:p>
    <w:p>
      <w:pPr>
        <w:pStyle w:val="BodyText"/>
        <w:spacing w:line="272" w:lineRule="exact" w:before="27"/>
        <w:ind w:left="137" w:right="483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否</w:t>
      </w:r>
      <w:r>
        <w:rPr>
          <w:spacing w:val="-102"/>
        </w:rPr>
        <w:t> </w:t>
      </w:r>
      <w:r>
        <w:rPr>
          <w:spacing w:val="-2"/>
        </w:rPr>
        <w:t>公司监事会对报告期内的监督事项无异议。</w:t>
      </w:r>
    </w:p>
    <w:p>
      <w:pPr>
        <w:spacing w:after="0" w:line="272" w:lineRule="exact"/>
        <w:jc w:val="left"/>
        <w:sectPr>
          <w:pgSz w:w="11910" w:h="16850"/>
          <w:pgMar w:header="880" w:footer="982" w:top="1120" w:bottom="1180" w:left="1660" w:right="4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pStyle w:val="Heading1"/>
        <w:spacing w:line="240" w:lineRule="auto"/>
        <w:ind w:left="3092" w:right="0"/>
        <w:jc w:val="left"/>
        <w:rPr>
          <w:b w:val="0"/>
          <w:bCs w:val="0"/>
        </w:rPr>
      </w:pPr>
      <w:bookmarkStart w:name="第九节 财务报告" w:id="106"/>
      <w:bookmarkEnd w:id="106"/>
      <w:r>
        <w:rPr>
          <w:b w:val="0"/>
          <w:bCs w:val="0"/>
        </w:rPr>
      </w:r>
      <w:bookmarkStart w:name="_bookmark8" w:id="107"/>
      <w:bookmarkEnd w:id="107"/>
      <w:r>
        <w:rPr>
          <w:b w:val="0"/>
          <w:bCs w:val="0"/>
        </w:rPr>
      </w:r>
      <w:r>
        <w:rPr/>
        <w:t>第九节</w:t>
      </w:r>
      <w:r>
        <w:rPr>
          <w:spacing w:val="-9"/>
        </w:rPr>
        <w:t> </w:t>
      </w:r>
      <w:r>
        <w:rPr/>
        <w:t>财务报告</w:t>
      </w:r>
      <w:r>
        <w:rPr>
          <w:b w:val="0"/>
          <w:bCs w:val="0"/>
        </w:rPr>
      </w:r>
    </w:p>
    <w:p>
      <w:pPr>
        <w:spacing w:line="240" w:lineRule="auto" w:before="2"/>
        <w:rPr>
          <w:rFonts w:ascii="宋体" w:hAnsi="宋体" w:cs="宋体" w:eastAsia="宋体" w:hint="default"/>
          <w:b/>
          <w:bCs/>
          <w:sz w:val="26"/>
          <w:szCs w:val="26"/>
        </w:rPr>
      </w:pPr>
    </w:p>
    <w:p>
      <w:pPr>
        <w:pStyle w:val="Heading4"/>
        <w:spacing w:line="240" w:lineRule="auto" w:before="26"/>
        <w:ind w:left="137" w:right="0"/>
        <w:jc w:val="left"/>
        <w:rPr>
          <w:b w:val="0"/>
          <w:bCs w:val="0"/>
        </w:rPr>
      </w:pPr>
      <w:bookmarkStart w:name="一、审计报告" w:id="108"/>
      <w:bookmarkEnd w:id="108"/>
      <w:r>
        <w:rPr>
          <w:b w:val="0"/>
          <w:bCs w:val="0"/>
        </w:rPr>
      </w:r>
      <w:r>
        <w:rPr/>
        <w:t>一、审计报告</w:t>
      </w:r>
      <w:r>
        <w:rPr>
          <w:b w:val="0"/>
          <w:bCs w:val="0"/>
        </w:rPr>
      </w:r>
    </w:p>
    <w:p>
      <w:pPr>
        <w:spacing w:line="240" w:lineRule="auto" w:before="0"/>
        <w:rPr>
          <w:rFonts w:ascii="宋体" w:hAnsi="宋体" w:cs="宋体" w:eastAsia="宋体" w:hint="default"/>
          <w:b/>
          <w:bCs/>
          <w:sz w:val="26"/>
          <w:szCs w:val="26"/>
        </w:rPr>
      </w:pPr>
    </w:p>
    <w:tbl>
      <w:tblPr>
        <w:tblW w:w="0" w:type="auto"/>
        <w:jc w:val="left"/>
        <w:tblInd w:w="143" w:type="dxa"/>
        <w:tblLayout w:type="fixed"/>
        <w:tblCellMar>
          <w:top w:w="0" w:type="dxa"/>
          <w:left w:w="0" w:type="dxa"/>
          <w:bottom w:w="0" w:type="dxa"/>
          <w:right w:w="0" w:type="dxa"/>
        </w:tblCellMar>
        <w:tblLook w:val="01E0"/>
      </w:tblPr>
      <w:tblGrid>
        <w:gridCol w:w="4770"/>
        <w:gridCol w:w="4788"/>
      </w:tblGrid>
      <w:tr>
        <w:trPr>
          <w:trHeight w:val="283" w:hRule="exact"/>
        </w:trPr>
        <w:tc>
          <w:tcPr>
            <w:tcW w:w="47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0" w:right="0"/>
              <w:jc w:val="left"/>
              <w:rPr>
                <w:rFonts w:ascii="宋体" w:hAnsi="宋体" w:cs="宋体" w:eastAsia="宋体" w:hint="default"/>
                <w:sz w:val="21"/>
                <w:szCs w:val="21"/>
              </w:rPr>
            </w:pPr>
            <w:r>
              <w:rPr>
                <w:rFonts w:ascii="宋体" w:hAnsi="宋体" w:cs="宋体" w:eastAsia="宋体" w:hint="default"/>
                <w:sz w:val="21"/>
                <w:szCs w:val="21"/>
              </w:rPr>
              <w:t>审计意见类型</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标准无保留审计意见</w:t>
            </w:r>
          </w:p>
        </w:tc>
      </w:tr>
      <w:tr>
        <w:trPr>
          <w:trHeight w:val="282" w:hRule="exact"/>
        </w:trPr>
        <w:tc>
          <w:tcPr>
            <w:tcW w:w="47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0" w:right="0"/>
              <w:jc w:val="left"/>
              <w:rPr>
                <w:rFonts w:ascii="宋体" w:hAnsi="宋体" w:cs="宋体" w:eastAsia="宋体" w:hint="default"/>
                <w:sz w:val="21"/>
                <w:szCs w:val="21"/>
              </w:rPr>
            </w:pPr>
            <w:r>
              <w:rPr>
                <w:rFonts w:ascii="宋体" w:hAnsi="宋体" w:cs="宋体" w:eastAsia="宋体" w:hint="default"/>
                <w:sz w:val="21"/>
                <w:szCs w:val="21"/>
              </w:rPr>
              <w:t>审计报告签署日期</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283" w:hRule="exact"/>
        </w:trPr>
        <w:tc>
          <w:tcPr>
            <w:tcW w:w="47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2" w:lineRule="exact"/>
              <w:ind w:left="10" w:right="0"/>
              <w:jc w:val="left"/>
              <w:rPr>
                <w:rFonts w:ascii="宋体" w:hAnsi="宋体" w:cs="宋体" w:eastAsia="宋体" w:hint="default"/>
                <w:sz w:val="21"/>
                <w:szCs w:val="21"/>
              </w:rPr>
            </w:pPr>
            <w:r>
              <w:rPr>
                <w:rFonts w:ascii="宋体" w:hAnsi="宋体" w:cs="宋体" w:eastAsia="宋体" w:hint="default"/>
                <w:sz w:val="21"/>
                <w:szCs w:val="21"/>
              </w:rPr>
              <w:t>审计机构名称</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3" w:right="0"/>
              <w:jc w:val="left"/>
              <w:rPr>
                <w:rFonts w:ascii="宋体" w:hAnsi="宋体" w:cs="宋体" w:eastAsia="宋体" w:hint="default"/>
                <w:sz w:val="21"/>
                <w:szCs w:val="21"/>
              </w:rPr>
            </w:pPr>
            <w:r>
              <w:rPr>
                <w:rFonts w:ascii="宋体" w:hAnsi="宋体" w:cs="宋体" w:eastAsia="宋体" w:hint="default"/>
                <w:sz w:val="21"/>
                <w:szCs w:val="21"/>
              </w:rPr>
              <w:t>大华会计师事务所（特殊普通合伙）</w:t>
            </w:r>
          </w:p>
        </w:tc>
      </w:tr>
      <w:tr>
        <w:trPr>
          <w:trHeight w:val="282" w:hRule="exact"/>
        </w:trPr>
        <w:tc>
          <w:tcPr>
            <w:tcW w:w="47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2" w:lineRule="exact"/>
              <w:ind w:left="10" w:right="0"/>
              <w:jc w:val="left"/>
              <w:rPr>
                <w:rFonts w:ascii="宋体" w:hAnsi="宋体" w:cs="宋体" w:eastAsia="宋体" w:hint="default"/>
                <w:sz w:val="21"/>
                <w:szCs w:val="21"/>
              </w:rPr>
            </w:pPr>
            <w:r>
              <w:rPr>
                <w:rFonts w:ascii="宋体" w:hAnsi="宋体" w:cs="宋体" w:eastAsia="宋体" w:hint="default"/>
                <w:sz w:val="21"/>
                <w:szCs w:val="21"/>
              </w:rPr>
              <w:t>审计报告文号</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[2015]004410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r>
      <w:tr>
        <w:trPr>
          <w:trHeight w:val="283" w:hRule="exact"/>
        </w:trPr>
        <w:tc>
          <w:tcPr>
            <w:tcW w:w="47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0" w:right="0"/>
              <w:jc w:val="left"/>
              <w:rPr>
                <w:rFonts w:ascii="宋体" w:hAnsi="宋体" w:cs="宋体" w:eastAsia="宋体" w:hint="default"/>
                <w:sz w:val="21"/>
                <w:szCs w:val="21"/>
              </w:rPr>
            </w:pPr>
            <w:r>
              <w:rPr>
                <w:rFonts w:ascii="宋体" w:hAnsi="宋体" w:cs="宋体" w:eastAsia="宋体" w:hint="default"/>
                <w:sz w:val="21"/>
                <w:szCs w:val="21"/>
              </w:rPr>
              <w:t>注册会计师姓名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张晓义、彭彬</w:t>
            </w:r>
          </w:p>
        </w:tc>
      </w:tr>
    </w:tbl>
    <w:p>
      <w:pPr>
        <w:pStyle w:val="BodyText"/>
        <w:spacing w:line="241" w:lineRule="exact"/>
        <w:ind w:left="1478" w:right="2713"/>
        <w:jc w:val="center"/>
      </w:pPr>
      <w:r>
        <w:rPr/>
        <w:t>审计报告正文</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tbl>
      <w:tblPr>
        <w:tblW w:w="0" w:type="auto"/>
        <w:jc w:val="left"/>
        <w:tblInd w:w="2008" w:type="dxa"/>
        <w:tblLayout w:type="fixed"/>
        <w:tblCellMar>
          <w:top w:w="0" w:type="dxa"/>
          <w:left w:w="0" w:type="dxa"/>
          <w:bottom w:w="0" w:type="dxa"/>
          <w:right w:w="0" w:type="dxa"/>
        </w:tblCellMar>
        <w:tblLook w:val="01E0"/>
      </w:tblPr>
      <w:tblGrid>
        <w:gridCol w:w="4563"/>
      </w:tblGrid>
      <w:tr>
        <w:trPr>
          <w:trHeight w:val="439" w:hRule="exact"/>
        </w:trPr>
        <w:tc>
          <w:tcPr>
            <w:tcW w:w="4563" w:type="dxa"/>
            <w:tcBorders>
              <w:top w:val="nil" w:sz="6" w:space="0" w:color="auto"/>
              <w:left w:val="nil" w:sz="6" w:space="0" w:color="auto"/>
              <w:bottom w:val="nil" w:sz="6" w:space="0" w:color="auto"/>
              <w:right w:val="nil" w:sz="6" w:space="0" w:color="auto"/>
            </w:tcBorders>
          </w:tcPr>
          <w:p>
            <w:pPr>
              <w:pStyle w:val="TableParagraph"/>
              <w:spacing w:line="319" w:lineRule="exact"/>
              <w:ind w:right="0"/>
              <w:jc w:val="center"/>
              <w:rPr>
                <w:rFonts w:ascii="宋体" w:hAnsi="宋体" w:cs="宋体" w:eastAsia="宋体" w:hint="default"/>
                <w:sz w:val="32"/>
                <w:szCs w:val="32"/>
              </w:rPr>
            </w:pPr>
            <w:r>
              <w:rPr>
                <w:rFonts w:ascii="宋体" w:hAnsi="宋体" w:cs="宋体" w:eastAsia="宋体" w:hint="default"/>
                <w:b/>
                <w:bCs/>
                <w:sz w:val="32"/>
                <w:szCs w:val="32"/>
              </w:rPr>
              <w:t>深圳市方直科技股份有限公司</w:t>
            </w:r>
            <w:r>
              <w:rPr>
                <w:rFonts w:ascii="宋体" w:hAnsi="宋体" w:cs="宋体" w:eastAsia="宋体" w:hint="default"/>
                <w:sz w:val="32"/>
                <w:szCs w:val="32"/>
              </w:rPr>
            </w:r>
          </w:p>
        </w:tc>
      </w:tr>
      <w:tr>
        <w:trPr>
          <w:trHeight w:val="638" w:hRule="exact"/>
        </w:trPr>
        <w:tc>
          <w:tcPr>
            <w:tcW w:w="456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5" w:right="0"/>
              <w:jc w:val="center"/>
              <w:rPr>
                <w:rFonts w:ascii="宋体" w:hAnsi="宋体" w:cs="宋体" w:eastAsia="宋体" w:hint="default"/>
                <w:sz w:val="32"/>
                <w:szCs w:val="32"/>
              </w:rPr>
            </w:pPr>
            <w:r>
              <w:rPr>
                <w:rFonts w:ascii="宋体" w:hAnsi="宋体" w:cs="宋体" w:eastAsia="宋体" w:hint="default"/>
                <w:b/>
                <w:bCs/>
                <w:sz w:val="32"/>
                <w:szCs w:val="32"/>
              </w:rPr>
              <w:t>审计报告</w:t>
            </w:r>
            <w:r>
              <w:rPr>
                <w:rFonts w:ascii="宋体" w:hAnsi="宋体" w:cs="宋体" w:eastAsia="宋体" w:hint="default"/>
                <w:sz w:val="32"/>
                <w:szCs w:val="32"/>
              </w:rPr>
            </w:r>
          </w:p>
        </w:tc>
      </w:tr>
      <w:tr>
        <w:trPr>
          <w:trHeight w:val="422" w:hRule="exact"/>
        </w:trPr>
        <w:tc>
          <w:tcPr>
            <w:tcW w:w="4563"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3" w:right="0"/>
              <w:jc w:val="center"/>
              <w:rPr>
                <w:rFonts w:ascii="宋体" w:hAnsi="宋体" w:cs="宋体" w:eastAsia="宋体" w:hint="default"/>
                <w:sz w:val="21"/>
                <w:szCs w:val="21"/>
              </w:rPr>
            </w:pPr>
            <w:r>
              <w:rPr>
                <w:rFonts w:ascii="宋体" w:hAnsi="宋体" w:cs="宋体" w:eastAsia="宋体" w:hint="default"/>
                <w:b/>
                <w:bCs/>
                <w:sz w:val="21"/>
                <w:szCs w:val="21"/>
              </w:rPr>
              <w:t>大华审字</w:t>
            </w:r>
            <w:r>
              <w:rPr>
                <w:rFonts w:ascii="Times New Roman" w:hAnsi="Times New Roman" w:cs="Times New Roman" w:eastAsia="Times New Roman" w:hint="default"/>
                <w:b/>
                <w:bCs/>
                <w:sz w:val="21"/>
                <w:szCs w:val="21"/>
              </w:rPr>
              <w:t>[2015]004410</w:t>
            </w:r>
            <w:r>
              <w:rPr>
                <w:rFonts w:ascii="Times New Roman" w:hAnsi="Times New Roman" w:cs="Times New Roman" w:eastAsia="Times New Roman" w:hint="default"/>
                <w:b/>
                <w:bCs/>
                <w:spacing w:val="-7"/>
                <w:sz w:val="21"/>
                <w:szCs w:val="21"/>
              </w:rPr>
              <w:t> </w:t>
            </w:r>
            <w:r>
              <w:rPr>
                <w:rFonts w:ascii="宋体" w:hAnsi="宋体" w:cs="宋体" w:eastAsia="宋体" w:hint="default"/>
                <w:b/>
                <w:bCs/>
                <w:sz w:val="21"/>
                <w:szCs w:val="21"/>
              </w:rPr>
              <w:t>号</w:t>
            </w:r>
            <w:r>
              <w:rPr>
                <w:rFonts w:ascii="宋体" w:hAnsi="宋体" w:cs="宋体" w:eastAsia="宋体" w:hint="default"/>
                <w:sz w:val="21"/>
                <w:szCs w:val="21"/>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spacing w:before="7"/>
        <w:ind w:left="1478" w:right="2752" w:firstLine="0"/>
        <w:jc w:val="center"/>
        <w:rPr>
          <w:rFonts w:ascii="Times New Roman" w:hAnsi="Times New Roman" w:cs="Times New Roman" w:eastAsia="Times New Roman" w:hint="default"/>
          <w:sz w:val="30"/>
          <w:szCs w:val="30"/>
        </w:rPr>
      </w:pPr>
      <w:r>
        <w:rPr>
          <w:rFonts w:ascii="宋体" w:hAnsi="宋体" w:cs="宋体" w:eastAsia="宋体" w:hint="default"/>
          <w:b/>
          <w:bCs/>
          <w:spacing w:val="40"/>
          <w:sz w:val="30"/>
          <w:szCs w:val="30"/>
        </w:rPr>
        <w:t>大华</w:t>
      </w:r>
      <w:r>
        <w:rPr>
          <w:rFonts w:ascii="宋体" w:hAnsi="宋体" w:cs="宋体" w:eastAsia="宋体" w:hint="default"/>
          <w:b/>
          <w:bCs/>
          <w:spacing w:val="-74"/>
          <w:sz w:val="30"/>
          <w:szCs w:val="30"/>
        </w:rPr>
        <w:t> </w:t>
      </w:r>
      <w:r>
        <w:rPr>
          <w:rFonts w:ascii="宋体" w:hAnsi="宋体" w:cs="宋体" w:eastAsia="宋体" w:hint="default"/>
          <w:b/>
          <w:bCs/>
          <w:spacing w:val="40"/>
          <w:sz w:val="30"/>
          <w:szCs w:val="30"/>
        </w:rPr>
        <w:t>会计</w:t>
      </w:r>
      <w:r>
        <w:rPr>
          <w:rFonts w:ascii="宋体" w:hAnsi="宋体" w:cs="宋体" w:eastAsia="宋体" w:hint="default"/>
          <w:b/>
          <w:bCs/>
          <w:spacing w:val="-74"/>
          <w:sz w:val="30"/>
          <w:szCs w:val="30"/>
        </w:rPr>
        <w:t> </w:t>
      </w:r>
      <w:r>
        <w:rPr>
          <w:rFonts w:ascii="宋体" w:hAnsi="宋体" w:cs="宋体" w:eastAsia="宋体" w:hint="default"/>
          <w:b/>
          <w:bCs/>
          <w:spacing w:val="40"/>
          <w:sz w:val="30"/>
          <w:szCs w:val="30"/>
        </w:rPr>
        <w:t>师事</w:t>
      </w:r>
      <w:r>
        <w:rPr>
          <w:rFonts w:ascii="宋体" w:hAnsi="宋体" w:cs="宋体" w:eastAsia="宋体" w:hint="default"/>
          <w:b/>
          <w:bCs/>
          <w:spacing w:val="-74"/>
          <w:sz w:val="30"/>
          <w:szCs w:val="30"/>
        </w:rPr>
        <w:t> </w:t>
      </w:r>
      <w:r>
        <w:rPr>
          <w:rFonts w:ascii="宋体" w:hAnsi="宋体" w:cs="宋体" w:eastAsia="宋体" w:hint="default"/>
          <w:b/>
          <w:bCs/>
          <w:spacing w:val="40"/>
          <w:sz w:val="30"/>
          <w:szCs w:val="30"/>
        </w:rPr>
        <w:t>务所</w:t>
      </w:r>
      <w:r>
        <w:rPr>
          <w:rFonts w:ascii="宋体" w:hAnsi="宋体" w:cs="宋体" w:eastAsia="宋体" w:hint="default"/>
          <w:b/>
          <w:bCs/>
          <w:spacing w:val="-72"/>
          <w:sz w:val="30"/>
          <w:szCs w:val="30"/>
        </w:rPr>
        <w:t> </w:t>
      </w:r>
      <w:r>
        <w:rPr>
          <w:rFonts w:ascii="Times New Roman" w:hAnsi="Times New Roman" w:cs="Times New Roman" w:eastAsia="Times New Roman" w:hint="default"/>
          <w:b/>
          <w:bCs/>
          <w:sz w:val="30"/>
          <w:szCs w:val="30"/>
        </w:rPr>
        <w:t>(</w:t>
      </w:r>
      <w:r>
        <w:rPr>
          <w:rFonts w:ascii="Times New Roman" w:hAnsi="Times New Roman" w:cs="Times New Roman" w:eastAsia="Times New Roman" w:hint="default"/>
          <w:b/>
          <w:bCs/>
          <w:spacing w:val="-37"/>
          <w:sz w:val="30"/>
          <w:szCs w:val="30"/>
        </w:rPr>
        <w:t> </w:t>
      </w:r>
      <w:r>
        <w:rPr>
          <w:rFonts w:ascii="宋体" w:hAnsi="宋体" w:cs="宋体" w:eastAsia="宋体" w:hint="default"/>
          <w:b/>
          <w:bCs/>
          <w:spacing w:val="39"/>
          <w:sz w:val="30"/>
          <w:szCs w:val="30"/>
        </w:rPr>
        <w:t>特殊</w:t>
      </w:r>
      <w:r>
        <w:rPr>
          <w:rFonts w:ascii="宋体" w:hAnsi="宋体" w:cs="宋体" w:eastAsia="宋体" w:hint="default"/>
          <w:b/>
          <w:bCs/>
          <w:spacing w:val="-72"/>
          <w:sz w:val="30"/>
          <w:szCs w:val="30"/>
        </w:rPr>
        <w:t> </w:t>
      </w:r>
      <w:r>
        <w:rPr>
          <w:rFonts w:ascii="宋体" w:hAnsi="宋体" w:cs="宋体" w:eastAsia="宋体" w:hint="default"/>
          <w:b/>
          <w:bCs/>
          <w:spacing w:val="52"/>
          <w:sz w:val="30"/>
          <w:szCs w:val="30"/>
        </w:rPr>
        <w:t>普通合</w:t>
      </w:r>
      <w:r>
        <w:rPr>
          <w:rFonts w:ascii="宋体" w:hAnsi="宋体" w:cs="宋体" w:eastAsia="宋体" w:hint="default"/>
          <w:b/>
          <w:bCs/>
          <w:spacing w:val="-72"/>
          <w:sz w:val="30"/>
          <w:szCs w:val="30"/>
        </w:rPr>
        <w:t> </w:t>
      </w:r>
      <w:r>
        <w:rPr>
          <w:rFonts w:ascii="宋体" w:hAnsi="宋体" w:cs="宋体" w:eastAsia="宋体" w:hint="default"/>
          <w:b/>
          <w:bCs/>
          <w:sz w:val="30"/>
          <w:szCs w:val="30"/>
        </w:rPr>
        <w:t>伙</w:t>
      </w:r>
      <w:r>
        <w:rPr>
          <w:rFonts w:ascii="宋体" w:hAnsi="宋体" w:cs="宋体" w:eastAsia="宋体" w:hint="default"/>
          <w:b/>
          <w:bCs/>
          <w:spacing w:val="-72"/>
          <w:sz w:val="30"/>
          <w:szCs w:val="30"/>
        </w:rPr>
        <w:t> </w:t>
      </w:r>
      <w:r>
        <w:rPr>
          <w:rFonts w:ascii="Times New Roman" w:hAnsi="Times New Roman" w:cs="Times New Roman" w:eastAsia="Times New Roman" w:hint="default"/>
          <w:b/>
          <w:bCs/>
          <w:sz w:val="30"/>
          <w:szCs w:val="30"/>
        </w:rPr>
        <w:t>)</w:t>
      </w:r>
      <w:r>
        <w:rPr>
          <w:rFonts w:ascii="Times New Roman" w:hAnsi="Times New Roman" w:cs="Times New Roman" w:eastAsia="Times New Roman" w:hint="default"/>
          <w:sz w:val="30"/>
          <w:szCs w:val="30"/>
        </w:rPr>
      </w:r>
    </w:p>
    <w:p>
      <w:pPr>
        <w:pStyle w:val="BodyText"/>
        <w:spacing w:line="240" w:lineRule="auto" w:before="232"/>
        <w:ind w:left="1478" w:right="2696"/>
        <w:jc w:val="center"/>
      </w:pPr>
      <w:r>
        <w:rPr>
          <w:rFonts w:ascii="Times New Roman" w:hAnsi="Times New Roman" w:cs="Times New Roman" w:eastAsia="Times New Roman" w:hint="default"/>
          <w:spacing w:val="-5"/>
        </w:rPr>
        <w:t>Da </w:t>
      </w:r>
      <w:r>
        <w:rPr>
          <w:rFonts w:ascii="Times New Roman" w:hAnsi="Times New Roman" w:cs="Times New Roman" w:eastAsia="Times New Roman" w:hint="default"/>
          <w:spacing w:val="-6"/>
        </w:rPr>
        <w:t>Hua </w:t>
      </w:r>
      <w:r>
        <w:rPr>
          <w:rFonts w:ascii="Times New Roman" w:hAnsi="Times New Roman" w:cs="Times New Roman" w:eastAsia="Times New Roman" w:hint="default"/>
          <w:spacing w:val="-8"/>
        </w:rPr>
        <w:t>Certified Public </w:t>
      </w:r>
      <w:r>
        <w:rPr>
          <w:rFonts w:ascii="Times New Roman" w:hAnsi="Times New Roman" w:cs="Times New Roman" w:eastAsia="Times New Roman" w:hint="default"/>
          <w:spacing w:val="-9"/>
        </w:rPr>
        <w:t>Accountants</w:t>
      </w:r>
      <w:r>
        <w:rPr>
          <w:spacing w:val="-9"/>
        </w:rPr>
        <w:t>（</w:t>
      </w:r>
      <w:r>
        <w:rPr>
          <w:rFonts w:ascii="Times New Roman" w:hAnsi="Times New Roman" w:cs="Times New Roman" w:eastAsia="Times New Roman" w:hint="default"/>
          <w:spacing w:val="-9"/>
        </w:rPr>
        <w:t>Special </w:t>
      </w:r>
      <w:r>
        <w:rPr>
          <w:rFonts w:ascii="Times New Roman" w:hAnsi="Times New Roman" w:cs="Times New Roman" w:eastAsia="Times New Roman" w:hint="default"/>
          <w:spacing w:val="-8"/>
        </w:rPr>
        <w:t>General</w:t>
      </w:r>
      <w:r>
        <w:rPr>
          <w:rFonts w:ascii="Times New Roman" w:hAnsi="Times New Roman" w:cs="Times New Roman" w:eastAsia="Times New Roman" w:hint="default"/>
          <w:spacing w:val="-34"/>
        </w:rPr>
        <w:t> </w:t>
      </w:r>
      <w:r>
        <w:rPr>
          <w:rFonts w:ascii="Times New Roman" w:hAnsi="Times New Roman" w:cs="Times New Roman" w:eastAsia="Times New Roman" w:hint="default"/>
          <w:spacing w:val="-9"/>
        </w:rPr>
        <w:t>Partnership</w:t>
      </w:r>
      <w:r>
        <w:rPr>
          <w:spacing w:val="-9"/>
        </w:rPr>
        <w:t>）</w:t>
      </w:r>
    </w:p>
    <w:p>
      <w:pPr>
        <w:spacing w:after="0" w:line="240" w:lineRule="auto"/>
        <w:jc w:val="center"/>
        <w:sectPr>
          <w:pgSz w:w="11910" w:h="16850"/>
          <w:pgMar w:header="880" w:footer="982" w:top="1120" w:bottom="1180" w:left="1660" w:right="42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spacing w:line="357" w:lineRule="auto" w:before="0"/>
        <w:ind w:left="3032" w:right="0" w:hanging="641"/>
        <w:jc w:val="left"/>
        <w:rPr>
          <w:rFonts w:ascii="宋体" w:hAnsi="宋体" w:cs="宋体" w:eastAsia="宋体" w:hint="default"/>
          <w:sz w:val="32"/>
          <w:szCs w:val="32"/>
        </w:rPr>
      </w:pPr>
      <w:bookmarkStart w:name="深圳市方直科技股份有限公司" w:id="109"/>
      <w:bookmarkEnd w:id="109"/>
      <w:r>
        <w:rPr/>
      </w:r>
      <w:r>
        <w:rPr>
          <w:rFonts w:ascii="宋体" w:hAnsi="宋体" w:cs="宋体" w:eastAsia="宋体" w:hint="default"/>
          <w:b/>
          <w:bCs/>
          <w:w w:val="95"/>
          <w:sz w:val="32"/>
          <w:szCs w:val="32"/>
        </w:rPr>
        <w:t>深圳市方直科技股份有限公司</w:t>
      </w:r>
      <w:r>
        <w:rPr>
          <w:rFonts w:ascii="宋体" w:hAnsi="宋体" w:cs="宋体" w:eastAsia="宋体" w:hint="default"/>
          <w:b/>
          <w:bCs/>
          <w:spacing w:val="40"/>
          <w:w w:val="95"/>
          <w:sz w:val="32"/>
          <w:szCs w:val="32"/>
        </w:rPr>
        <w:t> </w:t>
      </w:r>
      <w:r>
        <w:rPr>
          <w:rFonts w:ascii="宋体" w:hAnsi="宋体" w:cs="宋体" w:eastAsia="宋体" w:hint="default"/>
          <w:b/>
          <w:bCs/>
          <w:spacing w:val="40"/>
          <w:w w:val="95"/>
          <w:sz w:val="32"/>
          <w:szCs w:val="32"/>
        </w:rPr>
      </w:r>
      <w:bookmarkStart w:name="审计报告及财务报表" w:id="110"/>
      <w:bookmarkEnd w:id="110"/>
      <w:r>
        <w:rPr>
          <w:rFonts w:ascii="宋体" w:hAnsi="宋体" w:cs="宋体" w:eastAsia="宋体" w:hint="default"/>
          <w:b/>
          <w:bCs/>
          <w:sz w:val="32"/>
          <w:szCs w:val="32"/>
        </w:rPr>
        <w:t>审</w:t>
      </w:r>
      <w:r>
        <w:rPr>
          <w:rFonts w:ascii="宋体" w:hAnsi="宋体" w:cs="宋体" w:eastAsia="宋体" w:hint="default"/>
          <w:b/>
          <w:bCs/>
          <w:sz w:val="32"/>
          <w:szCs w:val="32"/>
        </w:rPr>
        <w:t>计报告及财务报表</w:t>
      </w:r>
      <w:r>
        <w:rPr>
          <w:rFonts w:ascii="宋体" w:hAnsi="宋体" w:cs="宋体" w:eastAsia="宋体" w:hint="default"/>
          <w:sz w:val="32"/>
          <w:szCs w:val="32"/>
        </w:rPr>
      </w:r>
    </w:p>
    <w:p>
      <w:pPr>
        <w:pStyle w:val="BodyText"/>
        <w:spacing w:line="240" w:lineRule="auto" w:before="66"/>
        <w:ind w:left="2398" w:right="0"/>
        <w:jc w:val="left"/>
      </w:pPr>
      <w:bookmarkStart w:name="（2014年1月1日至2014年12月31日止）" w:id="111"/>
      <w:bookmarkEnd w:id="111"/>
      <w:r>
        <w:rPr/>
      </w:r>
      <w:r>
        <w:rPr/>
        <w:t>（</w:t>
      </w:r>
      <w:r>
        <w:rPr>
          <w:rFonts w:ascii="Times New Roman" w:hAnsi="Times New Roman" w:cs="Times New Roman" w:eastAsia="Times New Roman" w:hint="default"/>
        </w:rPr>
        <w:t>2014 </w:t>
      </w:r>
      <w:r>
        <w:rPr/>
        <w:t>年</w:t>
      </w:r>
      <w:r>
        <w:rPr>
          <w:spacing w:val="-55"/>
        </w:rPr>
        <w:t> </w:t>
      </w:r>
      <w:r>
        <w:rPr>
          <w:rFonts w:ascii="Times New Roman" w:hAnsi="Times New Roman" w:cs="Times New Roman" w:eastAsia="Times New Roman" w:hint="default"/>
        </w:rPr>
        <w:t>1 </w:t>
      </w:r>
      <w:r>
        <w:rPr/>
        <w:t>月</w:t>
      </w:r>
      <w:r>
        <w:rPr>
          <w:spacing w:val="-55"/>
        </w:rPr>
        <w:t> </w:t>
      </w:r>
      <w:r>
        <w:rPr>
          <w:rFonts w:ascii="Times New Roman" w:hAnsi="Times New Roman" w:cs="Times New Roman" w:eastAsia="Times New Roman" w:hint="default"/>
        </w:rPr>
        <w:t>1 </w:t>
      </w:r>
      <w:r>
        <w:rPr/>
        <w:t>日至</w:t>
      </w:r>
      <w:r>
        <w:rPr>
          <w:spacing w:val="-53"/>
        </w:rPr>
        <w:t> </w:t>
      </w:r>
      <w:r>
        <w:rPr>
          <w:rFonts w:ascii="Times New Roman" w:hAnsi="Times New Roman" w:cs="Times New Roman" w:eastAsia="Times New Roman" w:hint="default"/>
        </w:rPr>
        <w:t>2014 </w:t>
      </w:r>
      <w:r>
        <w:rPr/>
        <w:t>年</w:t>
      </w:r>
      <w:r>
        <w:rPr>
          <w:spacing w:val="-53"/>
        </w:rPr>
        <w:t> </w:t>
      </w:r>
      <w:r>
        <w:rPr>
          <w:rFonts w:ascii="Times New Roman" w:hAnsi="Times New Roman" w:cs="Times New Roman" w:eastAsia="Times New Roman" w:hint="default"/>
        </w:rPr>
        <w:t>12 </w:t>
      </w:r>
      <w:r>
        <w:rPr/>
        <w:t>月</w:t>
      </w:r>
      <w:r>
        <w:rPr>
          <w:spacing w:val="-53"/>
        </w:rPr>
        <w:t> </w:t>
      </w:r>
      <w:r>
        <w:rPr>
          <w:rFonts w:ascii="Times New Roman" w:hAnsi="Times New Roman" w:cs="Times New Roman" w:eastAsia="Times New Roman" w:hint="default"/>
        </w:rPr>
        <w:t>31 </w:t>
      </w:r>
      <w:r>
        <w:rPr/>
        <w:t>日止）</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tbl>
      <w:tblPr>
        <w:tblW w:w="0" w:type="auto"/>
        <w:jc w:val="left"/>
        <w:tblInd w:w="117" w:type="dxa"/>
        <w:tblLayout w:type="fixed"/>
        <w:tblCellMar>
          <w:top w:w="0" w:type="dxa"/>
          <w:left w:w="0" w:type="dxa"/>
          <w:bottom w:w="0" w:type="dxa"/>
          <w:right w:w="0" w:type="dxa"/>
        </w:tblCellMar>
        <w:tblLook w:val="01E0"/>
      </w:tblPr>
      <w:tblGrid>
        <w:gridCol w:w="1086"/>
        <w:gridCol w:w="5830"/>
        <w:gridCol w:w="372"/>
        <w:gridCol w:w="1680"/>
      </w:tblGrid>
      <w:tr>
        <w:trPr>
          <w:trHeight w:val="412" w:hRule="exact"/>
        </w:trPr>
        <w:tc>
          <w:tcPr>
            <w:tcW w:w="1086" w:type="dxa"/>
            <w:tcBorders>
              <w:top w:val="nil" w:sz="6" w:space="0" w:color="auto"/>
              <w:left w:val="nil" w:sz="6" w:space="0" w:color="auto"/>
              <w:bottom w:val="nil" w:sz="6" w:space="0" w:color="auto"/>
              <w:right w:val="nil" w:sz="6" w:space="0" w:color="auto"/>
            </w:tcBorders>
          </w:tcPr>
          <w:p>
            <w:pPr/>
          </w:p>
        </w:tc>
        <w:tc>
          <w:tcPr>
            <w:tcW w:w="5830" w:type="dxa"/>
            <w:tcBorders>
              <w:top w:val="nil" w:sz="6" w:space="0" w:color="auto"/>
              <w:left w:val="nil" w:sz="6" w:space="0" w:color="auto"/>
              <w:bottom w:val="single" w:sz="4" w:space="0" w:color="000000"/>
              <w:right w:val="nil" w:sz="6" w:space="0" w:color="auto"/>
            </w:tcBorders>
          </w:tcPr>
          <w:p>
            <w:pPr>
              <w:pStyle w:val="TableParagraph"/>
              <w:tabs>
                <w:tab w:pos="979" w:val="left" w:leader="none"/>
              </w:tabs>
              <w:spacing w:line="281" w:lineRule="exact"/>
              <w:ind w:right="2"/>
              <w:jc w:val="center"/>
              <w:rPr>
                <w:rFonts w:ascii="宋体" w:hAnsi="宋体" w:cs="宋体" w:eastAsia="宋体" w:hint="default"/>
                <w:sz w:val="28"/>
                <w:szCs w:val="28"/>
              </w:rPr>
            </w:pPr>
            <w:r>
              <w:rPr>
                <w:rFonts w:ascii="宋体" w:hAnsi="宋体" w:cs="宋体" w:eastAsia="宋体" w:hint="default"/>
                <w:b/>
                <w:bCs/>
                <w:w w:val="95"/>
                <w:sz w:val="28"/>
                <w:szCs w:val="28"/>
              </w:rPr>
              <w:t>目</w:t>
              <w:tab/>
            </w:r>
            <w:r>
              <w:rPr>
                <w:rFonts w:ascii="宋体" w:hAnsi="宋体" w:cs="宋体" w:eastAsia="宋体" w:hint="default"/>
                <w:b/>
                <w:bCs/>
                <w:sz w:val="28"/>
                <w:szCs w:val="28"/>
              </w:rPr>
              <w:t>录</w:t>
            </w:r>
            <w:r>
              <w:rPr>
                <w:rFonts w:ascii="宋体" w:hAnsi="宋体" w:cs="宋体" w:eastAsia="宋体" w:hint="default"/>
                <w:sz w:val="28"/>
                <w:szCs w:val="28"/>
              </w:rPr>
            </w:r>
          </w:p>
        </w:tc>
        <w:tc>
          <w:tcPr>
            <w:tcW w:w="372"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single" w:sz="4" w:space="0" w:color="000000"/>
              <w:right w:val="nil" w:sz="6" w:space="0" w:color="auto"/>
            </w:tcBorders>
          </w:tcPr>
          <w:p>
            <w:pPr>
              <w:pStyle w:val="TableParagraph"/>
              <w:tabs>
                <w:tab w:pos="559" w:val="left" w:leader="none"/>
              </w:tabs>
              <w:spacing w:line="281" w:lineRule="exact"/>
              <w:ind w:right="0"/>
              <w:jc w:val="center"/>
              <w:rPr>
                <w:rFonts w:ascii="宋体" w:hAnsi="宋体" w:cs="宋体" w:eastAsia="宋体" w:hint="default"/>
                <w:sz w:val="28"/>
                <w:szCs w:val="28"/>
              </w:rPr>
            </w:pPr>
            <w:r>
              <w:rPr>
                <w:rFonts w:ascii="宋体" w:hAnsi="宋体" w:cs="宋体" w:eastAsia="宋体" w:hint="default"/>
                <w:b/>
                <w:bCs/>
                <w:w w:val="95"/>
                <w:sz w:val="28"/>
                <w:szCs w:val="28"/>
              </w:rPr>
              <w:t>页</w:t>
              <w:tab/>
            </w:r>
            <w:r>
              <w:rPr>
                <w:rFonts w:ascii="宋体" w:hAnsi="宋体" w:cs="宋体" w:eastAsia="宋体" w:hint="default"/>
                <w:b/>
                <w:bCs/>
                <w:sz w:val="28"/>
                <w:szCs w:val="28"/>
              </w:rPr>
              <w:t>次</w:t>
            </w:r>
            <w:r>
              <w:rPr>
                <w:rFonts w:ascii="宋体" w:hAnsi="宋体" w:cs="宋体" w:eastAsia="宋体" w:hint="default"/>
                <w:sz w:val="28"/>
                <w:szCs w:val="28"/>
              </w:rPr>
            </w:r>
          </w:p>
        </w:tc>
      </w:tr>
      <w:tr>
        <w:trPr>
          <w:trHeight w:val="598" w:hRule="exact"/>
        </w:trPr>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162"/>
              <w:ind w:left="200" w:right="0"/>
              <w:jc w:val="left"/>
              <w:rPr>
                <w:rFonts w:ascii="宋体" w:hAnsi="宋体" w:cs="宋体" w:eastAsia="宋体" w:hint="default"/>
                <w:sz w:val="21"/>
                <w:szCs w:val="21"/>
              </w:rPr>
            </w:pPr>
            <w:r>
              <w:rPr>
                <w:rFonts w:ascii="宋体" w:hAnsi="宋体" w:cs="宋体" w:eastAsia="宋体" w:hint="default"/>
                <w:b/>
                <w:bCs/>
                <w:sz w:val="21"/>
                <w:szCs w:val="21"/>
              </w:rPr>
              <w:t>一、</w:t>
            </w:r>
            <w:r>
              <w:rPr>
                <w:rFonts w:ascii="宋体" w:hAnsi="宋体" w:cs="宋体" w:eastAsia="宋体" w:hint="default"/>
                <w:sz w:val="21"/>
                <w:szCs w:val="21"/>
              </w:rPr>
            </w:r>
          </w:p>
        </w:tc>
        <w:tc>
          <w:tcPr>
            <w:tcW w:w="5830" w:type="dxa"/>
            <w:tcBorders>
              <w:top w:val="single" w:sz="4" w:space="0" w:color="000000"/>
              <w:left w:val="nil" w:sz="6" w:space="0" w:color="auto"/>
              <w:bottom w:val="nil" w:sz="6" w:space="0" w:color="auto"/>
              <w:right w:val="nil" w:sz="6" w:space="0" w:color="auto"/>
            </w:tcBorders>
          </w:tcPr>
          <w:p>
            <w:pPr>
              <w:pStyle w:val="TableParagraph"/>
              <w:spacing w:line="240" w:lineRule="auto" w:before="76"/>
              <w:ind w:left="108" w:right="0"/>
              <w:jc w:val="left"/>
              <w:rPr>
                <w:rFonts w:ascii="宋体" w:hAnsi="宋体" w:cs="宋体" w:eastAsia="宋体" w:hint="default"/>
                <w:sz w:val="28"/>
                <w:szCs w:val="28"/>
              </w:rPr>
            </w:pPr>
            <w:r>
              <w:rPr>
                <w:rFonts w:ascii="宋体" w:hAnsi="宋体" w:cs="宋体" w:eastAsia="宋体" w:hint="default"/>
                <w:b/>
                <w:bCs/>
                <w:sz w:val="28"/>
                <w:szCs w:val="28"/>
              </w:rPr>
              <w:t>审计报告</w:t>
            </w:r>
            <w:r>
              <w:rPr>
                <w:rFonts w:ascii="宋体" w:hAnsi="宋体" w:cs="宋体" w:eastAsia="宋体" w:hint="default"/>
                <w:sz w:val="28"/>
                <w:szCs w:val="28"/>
              </w:rPr>
            </w:r>
          </w:p>
        </w:tc>
        <w:tc>
          <w:tcPr>
            <w:tcW w:w="372" w:type="dxa"/>
            <w:tcBorders>
              <w:top w:val="nil" w:sz="6" w:space="0" w:color="auto"/>
              <w:left w:val="nil" w:sz="6" w:space="0" w:color="auto"/>
              <w:bottom w:val="nil" w:sz="6" w:space="0" w:color="auto"/>
              <w:right w:val="nil" w:sz="6" w:space="0" w:color="auto"/>
            </w:tcBorders>
          </w:tcPr>
          <w:p>
            <w:pPr/>
          </w:p>
        </w:tc>
        <w:tc>
          <w:tcPr>
            <w:tcW w:w="1680" w:type="dxa"/>
            <w:tcBorders>
              <w:top w:val="single" w:sz="4" w:space="0" w:color="000000"/>
              <w:left w:val="nil" w:sz="6" w:space="0" w:color="auto"/>
              <w:bottom w:val="nil" w:sz="6" w:space="0" w:color="auto"/>
              <w:right w:val="nil" w:sz="6" w:space="0" w:color="auto"/>
            </w:tcBorders>
          </w:tcPr>
          <w:p>
            <w:pPr>
              <w:pStyle w:val="TableParagraph"/>
              <w:spacing w:line="240" w:lineRule="auto" w:before="141"/>
              <w:ind w:left="1" w:right="0"/>
              <w:jc w:val="center"/>
              <w:rPr>
                <w:rFonts w:ascii="Times New Roman" w:hAnsi="Times New Roman" w:cs="Times New Roman" w:eastAsia="Times New Roman" w:hint="default"/>
                <w:sz w:val="28"/>
                <w:szCs w:val="28"/>
              </w:rPr>
            </w:pPr>
            <w:r>
              <w:rPr>
                <w:rFonts w:ascii="Times New Roman"/>
                <w:sz w:val="28"/>
              </w:rPr>
              <w:t>1-2</w:t>
            </w:r>
          </w:p>
        </w:tc>
      </w:tr>
      <w:tr>
        <w:trPr>
          <w:trHeight w:val="559" w:hRule="exact"/>
        </w:trPr>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200" w:right="0"/>
              <w:jc w:val="left"/>
              <w:rPr>
                <w:rFonts w:ascii="宋体" w:hAnsi="宋体" w:cs="宋体" w:eastAsia="宋体" w:hint="default"/>
                <w:sz w:val="21"/>
                <w:szCs w:val="21"/>
              </w:rPr>
            </w:pPr>
            <w:r>
              <w:rPr>
                <w:rFonts w:ascii="宋体" w:hAnsi="宋体" w:cs="宋体" w:eastAsia="宋体" w:hint="default"/>
                <w:b/>
                <w:bCs/>
                <w:sz w:val="21"/>
                <w:szCs w:val="21"/>
              </w:rPr>
              <w:t>二、</w:t>
            </w:r>
            <w:r>
              <w:rPr>
                <w:rFonts w:ascii="宋体" w:hAnsi="宋体" w:cs="宋体" w:eastAsia="宋体" w:hint="default"/>
                <w:sz w:val="21"/>
                <w:szCs w:val="21"/>
              </w:rPr>
            </w:r>
          </w:p>
        </w:tc>
        <w:tc>
          <w:tcPr>
            <w:tcW w:w="5830"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08" w:right="0"/>
              <w:jc w:val="left"/>
              <w:rPr>
                <w:rFonts w:ascii="宋体" w:hAnsi="宋体" w:cs="宋体" w:eastAsia="宋体" w:hint="default"/>
                <w:sz w:val="28"/>
                <w:szCs w:val="28"/>
              </w:rPr>
            </w:pPr>
            <w:r>
              <w:rPr>
                <w:rFonts w:ascii="宋体" w:hAnsi="宋体" w:cs="宋体" w:eastAsia="宋体" w:hint="default"/>
                <w:b/>
                <w:bCs/>
                <w:sz w:val="28"/>
                <w:szCs w:val="28"/>
              </w:rPr>
              <w:t>已审财务报表</w:t>
            </w:r>
            <w:r>
              <w:rPr>
                <w:rFonts w:ascii="宋体" w:hAnsi="宋体" w:cs="宋体" w:eastAsia="宋体" w:hint="default"/>
                <w:sz w:val="28"/>
                <w:szCs w:val="28"/>
              </w:rPr>
            </w:r>
          </w:p>
        </w:tc>
        <w:tc>
          <w:tcPr>
            <w:tcW w:w="372"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
        </w:tc>
      </w:tr>
      <w:tr>
        <w:trPr>
          <w:trHeight w:val="574" w:hRule="exact"/>
        </w:trPr>
        <w:tc>
          <w:tcPr>
            <w:tcW w:w="1086" w:type="dxa"/>
            <w:tcBorders>
              <w:top w:val="nil" w:sz="6" w:space="0" w:color="auto"/>
              <w:left w:val="nil" w:sz="6" w:space="0" w:color="auto"/>
              <w:bottom w:val="nil" w:sz="6" w:space="0" w:color="auto"/>
              <w:right w:val="nil" w:sz="6" w:space="0" w:color="auto"/>
            </w:tcBorders>
          </w:tcPr>
          <w:p>
            <w:pPr/>
          </w:p>
        </w:tc>
        <w:tc>
          <w:tcPr>
            <w:tcW w:w="5830"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08" w:right="0"/>
              <w:jc w:val="left"/>
              <w:rPr>
                <w:rFonts w:ascii="宋体" w:hAnsi="宋体" w:cs="宋体" w:eastAsia="宋体" w:hint="default"/>
                <w:sz w:val="28"/>
                <w:szCs w:val="28"/>
              </w:rPr>
            </w:pPr>
            <w:r>
              <w:rPr>
                <w:rFonts w:ascii="宋体" w:hAnsi="宋体" w:cs="宋体" w:eastAsia="宋体" w:hint="default"/>
                <w:sz w:val="28"/>
                <w:szCs w:val="28"/>
              </w:rPr>
              <w:t>合并资产负债表</w:t>
            </w:r>
          </w:p>
        </w:tc>
        <w:tc>
          <w:tcPr>
            <w:tcW w:w="372"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1" w:right="0"/>
              <w:jc w:val="center"/>
              <w:rPr>
                <w:rFonts w:ascii="Times New Roman" w:hAnsi="Times New Roman" w:cs="Times New Roman" w:eastAsia="Times New Roman" w:hint="default"/>
                <w:sz w:val="28"/>
                <w:szCs w:val="28"/>
              </w:rPr>
            </w:pPr>
            <w:r>
              <w:rPr>
                <w:rFonts w:ascii="Times New Roman"/>
                <w:sz w:val="28"/>
              </w:rPr>
              <w:t>3-4</w:t>
            </w:r>
          </w:p>
        </w:tc>
      </w:tr>
      <w:tr>
        <w:trPr>
          <w:trHeight w:val="568" w:hRule="exact"/>
        </w:trPr>
        <w:tc>
          <w:tcPr>
            <w:tcW w:w="1086" w:type="dxa"/>
            <w:tcBorders>
              <w:top w:val="nil" w:sz="6" w:space="0" w:color="auto"/>
              <w:left w:val="nil" w:sz="6" w:space="0" w:color="auto"/>
              <w:bottom w:val="nil" w:sz="6" w:space="0" w:color="auto"/>
              <w:right w:val="nil" w:sz="6" w:space="0" w:color="auto"/>
            </w:tcBorders>
          </w:tcPr>
          <w:p>
            <w:pPr/>
          </w:p>
        </w:tc>
        <w:tc>
          <w:tcPr>
            <w:tcW w:w="5830"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08" w:right="0"/>
              <w:jc w:val="left"/>
              <w:rPr>
                <w:rFonts w:ascii="宋体" w:hAnsi="宋体" w:cs="宋体" w:eastAsia="宋体" w:hint="default"/>
                <w:sz w:val="28"/>
                <w:szCs w:val="28"/>
              </w:rPr>
            </w:pPr>
            <w:r>
              <w:rPr>
                <w:rFonts w:ascii="宋体" w:hAnsi="宋体" w:cs="宋体" w:eastAsia="宋体" w:hint="default"/>
                <w:sz w:val="28"/>
                <w:szCs w:val="28"/>
              </w:rPr>
              <w:t>合并利润表</w:t>
            </w:r>
          </w:p>
        </w:tc>
        <w:tc>
          <w:tcPr>
            <w:tcW w:w="372"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1" w:right="0"/>
              <w:jc w:val="center"/>
              <w:rPr>
                <w:rFonts w:ascii="Times New Roman" w:hAnsi="Times New Roman" w:cs="Times New Roman" w:eastAsia="Times New Roman" w:hint="default"/>
                <w:sz w:val="28"/>
                <w:szCs w:val="28"/>
              </w:rPr>
            </w:pPr>
            <w:r>
              <w:rPr>
                <w:rFonts w:ascii="Times New Roman"/>
                <w:w w:val="100"/>
                <w:sz w:val="28"/>
              </w:rPr>
              <w:t>5</w:t>
            </w:r>
          </w:p>
        </w:tc>
      </w:tr>
      <w:tr>
        <w:trPr>
          <w:trHeight w:val="568" w:hRule="exact"/>
        </w:trPr>
        <w:tc>
          <w:tcPr>
            <w:tcW w:w="1086" w:type="dxa"/>
            <w:tcBorders>
              <w:top w:val="nil" w:sz="6" w:space="0" w:color="auto"/>
              <w:left w:val="nil" w:sz="6" w:space="0" w:color="auto"/>
              <w:bottom w:val="nil" w:sz="6" w:space="0" w:color="auto"/>
              <w:right w:val="nil" w:sz="6" w:space="0" w:color="auto"/>
            </w:tcBorders>
          </w:tcPr>
          <w:p>
            <w:pPr/>
          </w:p>
        </w:tc>
        <w:tc>
          <w:tcPr>
            <w:tcW w:w="583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8" w:right="0"/>
              <w:jc w:val="left"/>
              <w:rPr>
                <w:rFonts w:ascii="宋体" w:hAnsi="宋体" w:cs="宋体" w:eastAsia="宋体" w:hint="default"/>
                <w:sz w:val="28"/>
                <w:szCs w:val="28"/>
              </w:rPr>
            </w:pPr>
            <w:r>
              <w:rPr>
                <w:rFonts w:ascii="宋体" w:hAnsi="宋体" w:cs="宋体" w:eastAsia="宋体" w:hint="default"/>
                <w:sz w:val="28"/>
                <w:szCs w:val="28"/>
              </w:rPr>
              <w:t>合并股东权益变动表</w:t>
            </w:r>
          </w:p>
        </w:tc>
        <w:tc>
          <w:tcPr>
            <w:tcW w:w="372"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0"/>
              <w:jc w:val="center"/>
              <w:rPr>
                <w:rFonts w:ascii="Times New Roman" w:hAnsi="Times New Roman" w:cs="Times New Roman" w:eastAsia="Times New Roman" w:hint="default"/>
                <w:sz w:val="28"/>
                <w:szCs w:val="28"/>
              </w:rPr>
            </w:pPr>
            <w:r>
              <w:rPr>
                <w:rFonts w:ascii="Times New Roman"/>
                <w:w w:val="100"/>
                <w:sz w:val="28"/>
              </w:rPr>
              <w:t>6</w:t>
            </w:r>
          </w:p>
        </w:tc>
      </w:tr>
      <w:tr>
        <w:trPr>
          <w:trHeight w:val="566" w:hRule="exact"/>
        </w:trPr>
        <w:tc>
          <w:tcPr>
            <w:tcW w:w="1086" w:type="dxa"/>
            <w:tcBorders>
              <w:top w:val="nil" w:sz="6" w:space="0" w:color="auto"/>
              <w:left w:val="nil" w:sz="6" w:space="0" w:color="auto"/>
              <w:bottom w:val="nil" w:sz="6" w:space="0" w:color="auto"/>
              <w:right w:val="nil" w:sz="6" w:space="0" w:color="auto"/>
            </w:tcBorders>
          </w:tcPr>
          <w:p>
            <w:pPr/>
          </w:p>
        </w:tc>
        <w:tc>
          <w:tcPr>
            <w:tcW w:w="5830"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08" w:right="0"/>
              <w:jc w:val="left"/>
              <w:rPr>
                <w:rFonts w:ascii="宋体" w:hAnsi="宋体" w:cs="宋体" w:eastAsia="宋体" w:hint="default"/>
                <w:sz w:val="28"/>
                <w:szCs w:val="28"/>
              </w:rPr>
            </w:pPr>
            <w:r>
              <w:rPr>
                <w:rFonts w:ascii="宋体" w:hAnsi="宋体" w:cs="宋体" w:eastAsia="宋体" w:hint="default"/>
                <w:sz w:val="28"/>
                <w:szCs w:val="28"/>
              </w:rPr>
              <w:t>合并现金流量表</w:t>
            </w:r>
          </w:p>
        </w:tc>
        <w:tc>
          <w:tcPr>
            <w:tcW w:w="372"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1" w:right="0"/>
              <w:jc w:val="center"/>
              <w:rPr>
                <w:rFonts w:ascii="Times New Roman" w:hAnsi="Times New Roman" w:cs="Times New Roman" w:eastAsia="Times New Roman" w:hint="default"/>
                <w:sz w:val="28"/>
                <w:szCs w:val="28"/>
              </w:rPr>
            </w:pPr>
            <w:r>
              <w:rPr>
                <w:rFonts w:ascii="Times New Roman"/>
                <w:sz w:val="28"/>
              </w:rPr>
              <w:t>7-8</w:t>
            </w:r>
          </w:p>
        </w:tc>
      </w:tr>
      <w:tr>
        <w:trPr>
          <w:trHeight w:val="566" w:hRule="exact"/>
        </w:trPr>
        <w:tc>
          <w:tcPr>
            <w:tcW w:w="1086" w:type="dxa"/>
            <w:tcBorders>
              <w:top w:val="nil" w:sz="6" w:space="0" w:color="auto"/>
              <w:left w:val="nil" w:sz="6" w:space="0" w:color="auto"/>
              <w:bottom w:val="nil" w:sz="6" w:space="0" w:color="auto"/>
              <w:right w:val="nil" w:sz="6" w:space="0" w:color="auto"/>
            </w:tcBorders>
          </w:tcPr>
          <w:p>
            <w:pPr/>
          </w:p>
        </w:tc>
        <w:tc>
          <w:tcPr>
            <w:tcW w:w="5830"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08" w:right="0"/>
              <w:jc w:val="left"/>
              <w:rPr>
                <w:rFonts w:ascii="宋体" w:hAnsi="宋体" w:cs="宋体" w:eastAsia="宋体" w:hint="default"/>
                <w:sz w:val="28"/>
                <w:szCs w:val="28"/>
              </w:rPr>
            </w:pPr>
            <w:r>
              <w:rPr>
                <w:rFonts w:ascii="宋体" w:hAnsi="宋体" w:cs="宋体" w:eastAsia="宋体" w:hint="default"/>
                <w:sz w:val="28"/>
                <w:szCs w:val="28"/>
              </w:rPr>
              <w:t>母公司资产负债表</w:t>
            </w:r>
          </w:p>
        </w:tc>
        <w:tc>
          <w:tcPr>
            <w:tcW w:w="372"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0"/>
              <w:jc w:val="center"/>
              <w:rPr>
                <w:rFonts w:ascii="Times New Roman" w:hAnsi="Times New Roman" w:cs="Times New Roman" w:eastAsia="Times New Roman" w:hint="default"/>
                <w:sz w:val="28"/>
                <w:szCs w:val="28"/>
              </w:rPr>
            </w:pPr>
            <w:r>
              <w:rPr>
                <w:rFonts w:ascii="Times New Roman"/>
                <w:sz w:val="28"/>
              </w:rPr>
              <w:t>9-10</w:t>
            </w:r>
          </w:p>
        </w:tc>
      </w:tr>
      <w:tr>
        <w:trPr>
          <w:trHeight w:val="568" w:hRule="exact"/>
        </w:trPr>
        <w:tc>
          <w:tcPr>
            <w:tcW w:w="1086" w:type="dxa"/>
            <w:tcBorders>
              <w:top w:val="nil" w:sz="6" w:space="0" w:color="auto"/>
              <w:left w:val="nil" w:sz="6" w:space="0" w:color="auto"/>
              <w:bottom w:val="nil" w:sz="6" w:space="0" w:color="auto"/>
              <w:right w:val="nil" w:sz="6" w:space="0" w:color="auto"/>
            </w:tcBorders>
          </w:tcPr>
          <w:p>
            <w:pPr/>
          </w:p>
        </w:tc>
        <w:tc>
          <w:tcPr>
            <w:tcW w:w="5830"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08" w:right="0"/>
              <w:jc w:val="left"/>
              <w:rPr>
                <w:rFonts w:ascii="宋体" w:hAnsi="宋体" w:cs="宋体" w:eastAsia="宋体" w:hint="default"/>
                <w:sz w:val="28"/>
                <w:szCs w:val="28"/>
              </w:rPr>
            </w:pPr>
            <w:r>
              <w:rPr>
                <w:rFonts w:ascii="宋体" w:hAnsi="宋体" w:cs="宋体" w:eastAsia="宋体" w:hint="default"/>
                <w:sz w:val="28"/>
                <w:szCs w:val="28"/>
              </w:rPr>
              <w:t>母公司利润表</w:t>
            </w:r>
          </w:p>
        </w:tc>
        <w:tc>
          <w:tcPr>
            <w:tcW w:w="372"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1" w:right="0"/>
              <w:jc w:val="center"/>
              <w:rPr>
                <w:rFonts w:ascii="Times New Roman" w:hAnsi="Times New Roman" w:cs="Times New Roman" w:eastAsia="Times New Roman" w:hint="default"/>
                <w:sz w:val="28"/>
                <w:szCs w:val="28"/>
              </w:rPr>
            </w:pPr>
            <w:r>
              <w:rPr>
                <w:rFonts w:ascii="Times New Roman"/>
                <w:spacing w:val="-6"/>
                <w:sz w:val="28"/>
              </w:rPr>
              <w:t>11</w:t>
            </w:r>
          </w:p>
        </w:tc>
      </w:tr>
      <w:tr>
        <w:trPr>
          <w:trHeight w:val="568" w:hRule="exact"/>
        </w:trPr>
        <w:tc>
          <w:tcPr>
            <w:tcW w:w="1086" w:type="dxa"/>
            <w:tcBorders>
              <w:top w:val="nil" w:sz="6" w:space="0" w:color="auto"/>
              <w:left w:val="nil" w:sz="6" w:space="0" w:color="auto"/>
              <w:bottom w:val="nil" w:sz="6" w:space="0" w:color="auto"/>
              <w:right w:val="nil" w:sz="6" w:space="0" w:color="auto"/>
            </w:tcBorders>
          </w:tcPr>
          <w:p>
            <w:pPr/>
          </w:p>
        </w:tc>
        <w:tc>
          <w:tcPr>
            <w:tcW w:w="583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8" w:right="0"/>
              <w:jc w:val="left"/>
              <w:rPr>
                <w:rFonts w:ascii="宋体" w:hAnsi="宋体" w:cs="宋体" w:eastAsia="宋体" w:hint="default"/>
                <w:sz w:val="28"/>
                <w:szCs w:val="28"/>
              </w:rPr>
            </w:pPr>
            <w:r>
              <w:rPr>
                <w:rFonts w:ascii="宋体" w:hAnsi="宋体" w:cs="宋体" w:eastAsia="宋体" w:hint="default"/>
                <w:sz w:val="28"/>
                <w:szCs w:val="28"/>
              </w:rPr>
              <w:t>母公司股东权益变动表</w:t>
            </w:r>
          </w:p>
        </w:tc>
        <w:tc>
          <w:tcPr>
            <w:tcW w:w="372"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0"/>
              <w:jc w:val="center"/>
              <w:rPr>
                <w:rFonts w:ascii="Times New Roman" w:hAnsi="Times New Roman" w:cs="Times New Roman" w:eastAsia="Times New Roman" w:hint="default"/>
                <w:sz w:val="28"/>
                <w:szCs w:val="28"/>
              </w:rPr>
            </w:pPr>
            <w:r>
              <w:rPr>
                <w:rFonts w:ascii="Times New Roman"/>
                <w:sz w:val="28"/>
              </w:rPr>
              <w:t>12</w:t>
            </w:r>
          </w:p>
        </w:tc>
      </w:tr>
      <w:tr>
        <w:trPr>
          <w:trHeight w:val="566" w:hRule="exact"/>
        </w:trPr>
        <w:tc>
          <w:tcPr>
            <w:tcW w:w="1086" w:type="dxa"/>
            <w:tcBorders>
              <w:top w:val="nil" w:sz="6" w:space="0" w:color="auto"/>
              <w:left w:val="nil" w:sz="6" w:space="0" w:color="auto"/>
              <w:bottom w:val="nil" w:sz="6" w:space="0" w:color="auto"/>
              <w:right w:val="nil" w:sz="6" w:space="0" w:color="auto"/>
            </w:tcBorders>
          </w:tcPr>
          <w:p>
            <w:pPr/>
          </w:p>
        </w:tc>
        <w:tc>
          <w:tcPr>
            <w:tcW w:w="5830"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08" w:right="0"/>
              <w:jc w:val="left"/>
              <w:rPr>
                <w:rFonts w:ascii="宋体" w:hAnsi="宋体" w:cs="宋体" w:eastAsia="宋体" w:hint="default"/>
                <w:sz w:val="28"/>
                <w:szCs w:val="28"/>
              </w:rPr>
            </w:pPr>
            <w:r>
              <w:rPr>
                <w:rFonts w:ascii="宋体" w:hAnsi="宋体" w:cs="宋体" w:eastAsia="宋体" w:hint="default"/>
                <w:sz w:val="28"/>
                <w:szCs w:val="28"/>
              </w:rPr>
              <w:t>母公司现金流量表</w:t>
            </w:r>
          </w:p>
        </w:tc>
        <w:tc>
          <w:tcPr>
            <w:tcW w:w="372"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0"/>
              <w:jc w:val="center"/>
              <w:rPr>
                <w:rFonts w:ascii="Times New Roman" w:hAnsi="Times New Roman" w:cs="Times New Roman" w:eastAsia="Times New Roman" w:hint="default"/>
                <w:sz w:val="28"/>
                <w:szCs w:val="28"/>
              </w:rPr>
            </w:pPr>
            <w:r>
              <w:rPr>
                <w:rFonts w:ascii="Times New Roman"/>
                <w:sz w:val="28"/>
              </w:rPr>
              <w:t>13-14</w:t>
            </w:r>
          </w:p>
        </w:tc>
      </w:tr>
      <w:tr>
        <w:trPr>
          <w:trHeight w:val="431" w:hRule="exact"/>
        </w:trPr>
        <w:tc>
          <w:tcPr>
            <w:tcW w:w="1086" w:type="dxa"/>
            <w:tcBorders>
              <w:top w:val="nil" w:sz="6" w:space="0" w:color="auto"/>
              <w:left w:val="nil" w:sz="6" w:space="0" w:color="auto"/>
              <w:bottom w:val="nil" w:sz="6" w:space="0" w:color="auto"/>
              <w:right w:val="nil" w:sz="6" w:space="0" w:color="auto"/>
            </w:tcBorders>
          </w:tcPr>
          <w:p>
            <w:pPr/>
          </w:p>
        </w:tc>
        <w:tc>
          <w:tcPr>
            <w:tcW w:w="5830"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08" w:right="0"/>
              <w:jc w:val="left"/>
              <w:rPr>
                <w:rFonts w:ascii="宋体" w:hAnsi="宋体" w:cs="宋体" w:eastAsia="宋体" w:hint="default"/>
                <w:sz w:val="28"/>
                <w:szCs w:val="28"/>
              </w:rPr>
            </w:pPr>
            <w:r>
              <w:rPr>
                <w:rFonts w:ascii="宋体" w:hAnsi="宋体" w:cs="宋体" w:eastAsia="宋体" w:hint="default"/>
                <w:sz w:val="28"/>
                <w:szCs w:val="28"/>
              </w:rPr>
              <w:t>财务报表附注</w:t>
            </w:r>
          </w:p>
        </w:tc>
        <w:tc>
          <w:tcPr>
            <w:tcW w:w="372"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0"/>
              <w:jc w:val="center"/>
              <w:rPr>
                <w:rFonts w:ascii="Times New Roman" w:hAnsi="Times New Roman" w:cs="Times New Roman" w:eastAsia="Times New Roman" w:hint="default"/>
                <w:sz w:val="28"/>
                <w:szCs w:val="28"/>
              </w:rPr>
            </w:pPr>
            <w:r>
              <w:rPr>
                <w:rFonts w:ascii="Times New Roman"/>
                <w:sz w:val="28"/>
              </w:rPr>
              <w:t>15-72</w:t>
            </w:r>
          </w:p>
        </w:tc>
      </w:tr>
    </w:tbl>
    <w:p>
      <w:pPr>
        <w:spacing w:after="0" w:line="240" w:lineRule="auto"/>
        <w:jc w:val="center"/>
        <w:rPr>
          <w:rFonts w:ascii="Times New Roman" w:hAnsi="Times New Roman" w:cs="Times New Roman" w:eastAsia="Times New Roman" w:hint="default"/>
          <w:sz w:val="28"/>
          <w:szCs w:val="28"/>
        </w:rPr>
        <w:sectPr>
          <w:footerReference w:type="default" r:id="rId18"/>
          <w:pgSz w:w="11910" w:h="16840"/>
          <w:pgMar w:footer="1159" w:header="880" w:top="1100" w:bottom="1340" w:left="1480" w:right="12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spacing w:before="0"/>
        <w:ind w:left="3314" w:right="3594" w:firstLine="0"/>
        <w:jc w:val="center"/>
        <w:rPr>
          <w:rFonts w:ascii="宋体" w:hAnsi="宋体" w:cs="宋体" w:eastAsia="宋体" w:hint="default"/>
          <w:sz w:val="32"/>
          <w:szCs w:val="32"/>
        </w:rPr>
      </w:pPr>
      <w:bookmarkStart w:name="审计报告" w:id="112"/>
      <w:bookmarkEnd w:id="112"/>
      <w:r>
        <w:rPr/>
      </w:r>
      <w:r>
        <w:rPr>
          <w:rFonts w:ascii="宋体" w:hAnsi="宋体" w:cs="宋体" w:eastAsia="宋体" w:hint="default"/>
          <w:b/>
          <w:bCs/>
          <w:sz w:val="32"/>
          <w:szCs w:val="32"/>
        </w:rPr>
        <w:t>审 计 报</w:t>
      </w:r>
      <w:r>
        <w:rPr>
          <w:rFonts w:ascii="宋体" w:hAnsi="宋体" w:cs="宋体" w:eastAsia="宋体" w:hint="default"/>
          <w:b/>
          <w:bCs/>
          <w:spacing w:val="-12"/>
          <w:sz w:val="32"/>
          <w:szCs w:val="32"/>
        </w:rPr>
        <w:t> </w:t>
      </w:r>
      <w:r>
        <w:rPr>
          <w:rFonts w:ascii="宋体" w:hAnsi="宋体" w:cs="宋体" w:eastAsia="宋体" w:hint="default"/>
          <w:b/>
          <w:bCs/>
          <w:sz w:val="32"/>
          <w:szCs w:val="32"/>
        </w:rPr>
        <w:t>告</w:t>
      </w:r>
      <w:r>
        <w:rPr>
          <w:rFonts w:ascii="宋体" w:hAnsi="宋体" w:cs="宋体" w:eastAsia="宋体" w:hint="default"/>
          <w:sz w:val="32"/>
          <w:szCs w:val="32"/>
        </w:rPr>
      </w:r>
    </w:p>
    <w:p>
      <w:pPr>
        <w:spacing w:line="240" w:lineRule="auto" w:before="11"/>
        <w:rPr>
          <w:rFonts w:ascii="宋体" w:hAnsi="宋体" w:cs="宋体" w:eastAsia="宋体" w:hint="default"/>
          <w:b/>
          <w:bCs/>
          <w:sz w:val="16"/>
          <w:szCs w:val="16"/>
        </w:rPr>
      </w:pPr>
    </w:p>
    <w:p>
      <w:pPr>
        <w:pStyle w:val="Heading5"/>
        <w:spacing w:line="240" w:lineRule="auto" w:before="36"/>
        <w:ind w:left="0" w:right="255"/>
        <w:jc w:val="right"/>
        <w:rPr>
          <w:b w:val="0"/>
          <w:bCs w:val="0"/>
        </w:rPr>
      </w:pPr>
      <w:r>
        <w:rPr>
          <w:spacing w:val="-1"/>
        </w:rPr>
        <w:t>大华审字</w:t>
      </w:r>
      <w:r>
        <w:rPr>
          <w:rFonts w:ascii="Times New Roman" w:hAnsi="Times New Roman" w:cs="Times New Roman" w:eastAsia="Times New Roman" w:hint="default"/>
          <w:spacing w:val="-1"/>
        </w:rPr>
        <w:t>[2015]004410</w:t>
      </w:r>
      <w:r>
        <w:rPr>
          <w:spacing w:val="-1"/>
        </w:rPr>
        <w:t>号</w:t>
      </w:r>
      <w:r>
        <w:rPr>
          <w:b w:val="0"/>
          <w:bCs w:val="0"/>
          <w:spacing w:val="-1"/>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5"/>
          <w:szCs w:val="15"/>
        </w:rPr>
      </w:pPr>
    </w:p>
    <w:p>
      <w:pPr>
        <w:pStyle w:val="Heading2"/>
        <w:spacing w:line="240" w:lineRule="auto" w:before="14"/>
        <w:ind w:left="137" w:right="0"/>
        <w:jc w:val="both"/>
        <w:rPr>
          <w:b w:val="0"/>
          <w:bCs w:val="0"/>
        </w:rPr>
      </w:pPr>
      <w:r>
        <w:rPr/>
        <w:t>深圳市方直科技股份有限公司全体股东：</w:t>
      </w:r>
      <w:r>
        <w:rPr>
          <w:b w:val="0"/>
          <w:bCs w:val="0"/>
        </w:rPr>
      </w:r>
    </w:p>
    <w:p>
      <w:pPr>
        <w:spacing w:line="240" w:lineRule="auto" w:before="2"/>
        <w:rPr>
          <w:rFonts w:ascii="宋体" w:hAnsi="宋体" w:cs="宋体" w:eastAsia="宋体" w:hint="default"/>
          <w:b/>
          <w:bCs/>
          <w:sz w:val="32"/>
          <w:szCs w:val="32"/>
        </w:rPr>
      </w:pPr>
    </w:p>
    <w:p>
      <w:pPr>
        <w:pStyle w:val="Heading3"/>
        <w:spacing w:line="338" w:lineRule="auto"/>
        <w:ind w:right="98" w:firstLine="559"/>
        <w:jc w:val="left"/>
      </w:pPr>
      <w:r>
        <w:rPr>
          <w:spacing w:val="2"/>
        </w:rPr>
        <w:t>我们审计了后附的深圳市方直科技股份有限公司</w:t>
      </w:r>
      <w:r>
        <w:rPr>
          <w:rFonts w:ascii="Times New Roman" w:hAnsi="Times New Roman" w:cs="Times New Roman" w:eastAsia="Times New Roman" w:hint="default"/>
          <w:spacing w:val="2"/>
        </w:rPr>
        <w:t>(</w:t>
      </w:r>
      <w:r>
        <w:rPr>
          <w:spacing w:val="2"/>
        </w:rPr>
        <w:t>以下简称方直</w:t>
      </w:r>
      <w:r>
        <w:rPr>
          <w:spacing w:val="4"/>
          <w:w w:val="100"/>
        </w:rPr>
        <w:t> </w:t>
      </w:r>
      <w:r>
        <w:rPr>
          <w:spacing w:val="-5"/>
        </w:rPr>
        <w:t>科技公司</w:t>
      </w:r>
      <w:r>
        <w:rPr>
          <w:rFonts w:ascii="Times New Roman" w:hAnsi="Times New Roman" w:cs="Times New Roman" w:eastAsia="Times New Roman" w:hint="default"/>
          <w:spacing w:val="-5"/>
        </w:rPr>
        <w:t>)</w:t>
      </w:r>
      <w:r>
        <w:rPr>
          <w:spacing w:val="-5"/>
        </w:rPr>
        <w:t>财务报表，包括</w:t>
      </w:r>
      <w:r>
        <w:rPr>
          <w:spacing w:val="-71"/>
        </w:rPr>
        <w:t> </w:t>
      </w:r>
      <w:r>
        <w:rPr>
          <w:rFonts w:ascii="Times New Roman" w:hAnsi="Times New Roman" w:cs="Times New Roman" w:eastAsia="Times New Roman" w:hint="default"/>
        </w:rPr>
        <w:t>2014 </w:t>
      </w:r>
      <w:r>
        <w:rPr/>
        <w:t>年</w:t>
      </w:r>
      <w:r>
        <w:rPr>
          <w:spacing w:val="-69"/>
        </w:rPr>
        <w:t> </w:t>
      </w:r>
      <w:r>
        <w:rPr>
          <w:rFonts w:ascii="Times New Roman" w:hAnsi="Times New Roman" w:cs="Times New Roman" w:eastAsia="Times New Roman" w:hint="default"/>
        </w:rPr>
        <w:t>12 </w:t>
      </w:r>
      <w:r>
        <w:rPr/>
        <w:t>月</w:t>
      </w:r>
      <w:r>
        <w:rPr>
          <w:spacing w:val="-69"/>
        </w:rPr>
        <w:t> </w:t>
      </w:r>
      <w:r>
        <w:rPr>
          <w:rFonts w:ascii="Times New Roman" w:hAnsi="Times New Roman" w:cs="Times New Roman" w:eastAsia="Times New Roman" w:hint="default"/>
        </w:rPr>
        <w:t>31 </w:t>
      </w:r>
      <w:r>
        <w:rPr/>
        <w:t>日的合并及母公司资产负</w:t>
      </w:r>
      <w:r>
        <w:rPr>
          <w:spacing w:val="-134"/>
        </w:rPr>
        <w:t> </w:t>
      </w:r>
      <w:r>
        <w:rPr>
          <w:spacing w:val="-134"/>
        </w:rPr>
      </w:r>
      <w:r>
        <w:rPr/>
        <w:t>债表，</w:t>
      </w:r>
      <w:r>
        <w:rPr>
          <w:rFonts w:ascii="Times New Roman" w:hAnsi="Times New Roman" w:cs="Times New Roman" w:eastAsia="Times New Roman" w:hint="default"/>
        </w:rPr>
        <w:t>2014</w:t>
      </w:r>
      <w:r>
        <w:rPr>
          <w:rFonts w:ascii="Times New Roman" w:hAnsi="Times New Roman" w:cs="Times New Roman" w:eastAsia="Times New Roman" w:hint="default"/>
          <w:spacing w:val="-19"/>
        </w:rPr>
        <w:t> </w:t>
      </w:r>
      <w:r>
        <w:rPr/>
        <w:t>年度的合并及母公司利润表、合并及母公司现金流量表、</w:t>
      </w:r>
      <w:r>
        <w:rPr>
          <w:w w:val="100"/>
        </w:rPr>
        <w:t> </w:t>
      </w:r>
      <w:r>
        <w:rPr/>
        <w:t>合并及母公司股东权益变动表，以及财务报表附注。</w:t>
      </w:r>
    </w:p>
    <w:p>
      <w:pPr>
        <w:spacing w:line="240" w:lineRule="auto" w:before="9"/>
        <w:rPr>
          <w:rFonts w:ascii="宋体" w:hAnsi="宋体" w:cs="宋体" w:eastAsia="宋体" w:hint="default"/>
          <w:sz w:val="41"/>
          <w:szCs w:val="41"/>
        </w:rPr>
      </w:pPr>
    </w:p>
    <w:p>
      <w:pPr>
        <w:spacing w:line="357" w:lineRule="auto" w:before="0"/>
        <w:ind w:left="696" w:right="98" w:firstLine="2"/>
        <w:jc w:val="left"/>
        <w:rPr>
          <w:rFonts w:ascii="宋体" w:hAnsi="宋体" w:cs="宋体" w:eastAsia="宋体" w:hint="default"/>
          <w:sz w:val="28"/>
          <w:szCs w:val="28"/>
        </w:rPr>
      </w:pPr>
      <w:r>
        <w:rPr>
          <w:rFonts w:ascii="宋体" w:hAnsi="宋体" w:cs="宋体" w:eastAsia="宋体" w:hint="default"/>
          <w:b/>
          <w:bCs/>
          <w:sz w:val="28"/>
          <w:szCs w:val="28"/>
        </w:rPr>
        <w:t>一、管理层对财务报表的责任</w:t>
      </w:r>
      <w:r>
        <w:rPr>
          <w:rFonts w:ascii="宋体" w:hAnsi="宋体" w:cs="宋体" w:eastAsia="宋体" w:hint="default"/>
          <w:b/>
          <w:bCs/>
          <w:w w:val="99"/>
          <w:sz w:val="28"/>
          <w:szCs w:val="28"/>
        </w:rPr>
        <w:t> </w:t>
      </w:r>
      <w:r>
        <w:rPr>
          <w:rFonts w:ascii="宋体" w:hAnsi="宋体" w:cs="宋体" w:eastAsia="宋体" w:hint="default"/>
          <w:spacing w:val="-5"/>
          <w:sz w:val="28"/>
          <w:szCs w:val="28"/>
        </w:rPr>
        <w:t>编制和公允列报财务报表是方直科技公司管理层的责任，这种责</w:t>
      </w:r>
    </w:p>
    <w:p>
      <w:pPr>
        <w:pStyle w:val="Heading3"/>
        <w:spacing w:line="338" w:lineRule="auto" w:before="41"/>
        <w:ind w:right="253"/>
        <w:jc w:val="both"/>
      </w:pPr>
      <w:r>
        <w:rPr>
          <w:spacing w:val="-9"/>
          <w:w w:val="100"/>
        </w:rPr>
        <w:t>任包括：（</w:t>
      </w:r>
      <w:r>
        <w:rPr>
          <w:rFonts w:ascii="Times New Roman" w:hAnsi="Times New Roman" w:cs="Times New Roman" w:eastAsia="Times New Roman" w:hint="default"/>
          <w:spacing w:val="-9"/>
          <w:w w:val="100"/>
        </w:rPr>
        <w:t>1</w:t>
      </w:r>
      <w:r>
        <w:rPr>
          <w:spacing w:val="-9"/>
          <w:w w:val="100"/>
        </w:rPr>
        <w:t>）按照企业会计准则的规定编制财务报表，并使其实现公</w:t>
      </w:r>
      <w:r>
        <w:rPr>
          <w:spacing w:val="-120"/>
          <w:w w:val="100"/>
        </w:rPr>
        <w:t> </w:t>
      </w:r>
      <w:r>
        <w:rPr>
          <w:spacing w:val="-120"/>
          <w:w w:val="100"/>
        </w:rPr>
      </w:r>
      <w:r>
        <w:rPr>
          <w:spacing w:val="-9"/>
          <w:w w:val="100"/>
        </w:rPr>
        <w:t>允反映；（</w:t>
      </w:r>
      <w:r>
        <w:rPr>
          <w:rFonts w:ascii="Times New Roman" w:hAnsi="Times New Roman" w:cs="Times New Roman" w:eastAsia="Times New Roman" w:hint="default"/>
          <w:spacing w:val="-9"/>
          <w:w w:val="100"/>
        </w:rPr>
        <w:t>2</w:t>
      </w:r>
      <w:r>
        <w:rPr>
          <w:spacing w:val="-9"/>
          <w:w w:val="100"/>
        </w:rPr>
        <w:t>）设计、执行和维护必要的内部控制，以使财务报表不存</w:t>
      </w:r>
      <w:r>
        <w:rPr>
          <w:spacing w:val="-121"/>
          <w:w w:val="100"/>
        </w:rPr>
        <w:t> </w:t>
      </w:r>
      <w:r>
        <w:rPr>
          <w:spacing w:val="-121"/>
          <w:w w:val="100"/>
        </w:rPr>
      </w:r>
      <w:r>
        <w:rPr/>
        <w:t>在由于舞弊或错误导致的重大错报。</w:t>
      </w:r>
    </w:p>
    <w:p>
      <w:pPr>
        <w:spacing w:line="240" w:lineRule="auto" w:before="12"/>
        <w:rPr>
          <w:rFonts w:ascii="宋体" w:hAnsi="宋体" w:cs="宋体" w:eastAsia="宋体" w:hint="default"/>
          <w:sz w:val="41"/>
          <w:szCs w:val="41"/>
        </w:rPr>
      </w:pPr>
    </w:p>
    <w:p>
      <w:pPr>
        <w:spacing w:line="357" w:lineRule="auto" w:before="0"/>
        <w:ind w:left="696" w:right="98" w:firstLine="2"/>
        <w:jc w:val="left"/>
        <w:rPr>
          <w:rFonts w:ascii="宋体" w:hAnsi="宋体" w:cs="宋体" w:eastAsia="宋体" w:hint="default"/>
          <w:sz w:val="28"/>
          <w:szCs w:val="28"/>
        </w:rPr>
      </w:pPr>
      <w:r>
        <w:rPr>
          <w:rFonts w:ascii="宋体" w:hAnsi="宋体" w:cs="宋体" w:eastAsia="宋体" w:hint="default"/>
          <w:b/>
          <w:bCs/>
          <w:sz w:val="28"/>
          <w:szCs w:val="28"/>
        </w:rPr>
        <w:t>二、注册会计师的责任</w:t>
      </w:r>
      <w:r>
        <w:rPr>
          <w:rFonts w:ascii="宋体" w:hAnsi="宋体" w:cs="宋体" w:eastAsia="宋体" w:hint="default"/>
          <w:b/>
          <w:bCs/>
          <w:w w:val="99"/>
          <w:sz w:val="28"/>
          <w:szCs w:val="28"/>
        </w:rPr>
        <w:t> </w:t>
      </w:r>
      <w:r>
        <w:rPr>
          <w:rFonts w:ascii="宋体" w:hAnsi="宋体" w:cs="宋体" w:eastAsia="宋体" w:hint="default"/>
          <w:spacing w:val="5"/>
          <w:sz w:val="28"/>
          <w:szCs w:val="28"/>
        </w:rPr>
        <w:t>我们的责任是在执行审计工作的基础上对财务报表发表审计意</w:t>
      </w:r>
      <w:r>
        <w:rPr>
          <w:rFonts w:ascii="宋体" w:hAnsi="宋体" w:cs="宋体" w:eastAsia="宋体" w:hint="default"/>
          <w:sz w:val="28"/>
          <w:szCs w:val="28"/>
        </w:rPr>
      </w:r>
    </w:p>
    <w:p>
      <w:pPr>
        <w:pStyle w:val="Heading3"/>
        <w:spacing w:line="357" w:lineRule="auto" w:before="43"/>
        <w:ind w:right="254"/>
        <w:jc w:val="both"/>
      </w:pPr>
      <w:r>
        <w:rPr>
          <w:spacing w:val="-4"/>
        </w:rPr>
        <w:t>见。我们按照中国注册会计师审计准则的规定执行了审计工作。中国</w:t>
      </w:r>
      <w:r>
        <w:rPr>
          <w:spacing w:val="-114"/>
        </w:rPr>
        <w:t> </w:t>
      </w:r>
      <w:r>
        <w:rPr>
          <w:spacing w:val="-114"/>
        </w:rPr>
      </w:r>
      <w:r>
        <w:rPr>
          <w:spacing w:val="-4"/>
        </w:rPr>
        <w:t>注册会计师审计准则要求我们遵守职业道德守则，计划和执行审计工</w:t>
      </w:r>
      <w:r>
        <w:rPr>
          <w:spacing w:val="-115"/>
        </w:rPr>
        <w:t> </w:t>
      </w:r>
      <w:r>
        <w:rPr>
          <w:spacing w:val="-115"/>
        </w:rPr>
      </w:r>
      <w:r>
        <w:rPr/>
        <w:t>作以对财务报表是否不存在重大错报获取合理保证。</w:t>
      </w:r>
    </w:p>
    <w:p>
      <w:pPr>
        <w:spacing w:after="0" w:line="357" w:lineRule="auto"/>
        <w:jc w:val="both"/>
        <w:sectPr>
          <w:footerReference w:type="default" r:id="rId19"/>
          <w:pgSz w:w="11910" w:h="16840"/>
          <w:pgMar w:footer="979" w:header="880" w:top="1100" w:bottom="1160" w:left="1660" w:right="1540"/>
          <w:pgNumType w:start="57"/>
        </w:sectPr>
      </w:pPr>
    </w:p>
    <w:p>
      <w:pPr>
        <w:spacing w:line="240" w:lineRule="auto" w:before="0"/>
        <w:rPr>
          <w:rFonts w:ascii="宋体" w:hAnsi="宋体" w:cs="宋体" w:eastAsia="宋体" w:hint="default"/>
          <w:sz w:val="20"/>
          <w:szCs w:val="20"/>
        </w:rPr>
      </w:pPr>
    </w:p>
    <w:p>
      <w:pPr>
        <w:pStyle w:val="Heading3"/>
        <w:spacing w:line="408" w:lineRule="auto" w:before="145"/>
        <w:ind w:left="140" w:right="0" w:firstLine="559"/>
        <w:jc w:val="left"/>
      </w:pPr>
      <w:r>
        <w:rPr>
          <w:spacing w:val="-5"/>
        </w:rPr>
        <w:t>审计工作涉及实施审计程序，以获取有关财务报表金额和披露的</w:t>
      </w:r>
      <w:r>
        <w:rPr>
          <w:w w:val="100"/>
        </w:rPr>
        <w:t> </w:t>
      </w:r>
      <w:r>
        <w:rPr>
          <w:spacing w:val="-4"/>
        </w:rPr>
        <w:t>审计证据。选择的审计程序取决于注册会计师的判断，包括对由于舞</w:t>
      </w:r>
      <w:r>
        <w:rPr>
          <w:spacing w:val="-116"/>
        </w:rPr>
        <w:t> </w:t>
      </w:r>
      <w:r>
        <w:rPr>
          <w:spacing w:val="-116"/>
        </w:rPr>
      </w:r>
      <w:r>
        <w:rPr>
          <w:spacing w:val="-1"/>
        </w:rPr>
        <w:t>弊或错误导致的财务报表重大错报风险的评估。在进行风险评估时，</w:t>
      </w:r>
      <w:r>
        <w:rPr>
          <w:spacing w:val="-116"/>
        </w:rPr>
        <w:t> </w:t>
      </w:r>
      <w:r>
        <w:rPr>
          <w:spacing w:val="-116"/>
        </w:rPr>
      </w:r>
      <w:r>
        <w:rPr>
          <w:spacing w:val="-5"/>
        </w:rPr>
        <w:t>注册会计师考虑与财务报表编制和公允列报相关的内部控制，以设计</w:t>
      </w:r>
      <w:r>
        <w:rPr>
          <w:spacing w:val="-90"/>
        </w:rPr>
        <w:t> </w:t>
      </w:r>
      <w:r>
        <w:rPr>
          <w:spacing w:val="-90"/>
        </w:rPr>
      </w:r>
      <w:r>
        <w:rPr>
          <w:spacing w:val="-5"/>
        </w:rPr>
        <w:t>恰当的审计程序，但目的并非对内部控制的有效性发表意见。审计工</w:t>
      </w:r>
      <w:r>
        <w:rPr>
          <w:spacing w:val="-88"/>
        </w:rPr>
        <w:t> </w:t>
      </w:r>
      <w:r>
        <w:rPr>
          <w:spacing w:val="-88"/>
        </w:rPr>
      </w:r>
      <w:r>
        <w:rPr>
          <w:spacing w:val="4"/>
        </w:rPr>
        <w:t>作还包括评价管理层选用会计政策的恰当性和作出会计估计的合理</w:t>
      </w:r>
      <w:r>
        <w:rPr>
          <w:spacing w:val="-76"/>
        </w:rPr>
        <w:t> </w:t>
      </w:r>
      <w:r>
        <w:rPr>
          <w:spacing w:val="-76"/>
        </w:rPr>
      </w:r>
      <w:r>
        <w:rPr/>
        <w:t>性，以及评价财务报表的总体列报。</w:t>
      </w:r>
    </w:p>
    <w:p>
      <w:pPr>
        <w:pStyle w:val="Heading3"/>
        <w:spacing w:line="408" w:lineRule="auto" w:before="61"/>
        <w:ind w:left="140" w:right="0" w:firstLine="559"/>
        <w:jc w:val="left"/>
      </w:pPr>
      <w:r>
        <w:rPr>
          <w:spacing w:val="-5"/>
        </w:rPr>
        <w:t>我们相信，我们获取的审计证据是充分、适当的，为发表审计意</w:t>
      </w:r>
      <w:r>
        <w:rPr>
          <w:w w:val="100"/>
        </w:rPr>
        <w:t> </w:t>
      </w:r>
      <w:r>
        <w:rPr/>
        <w:t>见提供了基础。</w:t>
      </w:r>
    </w:p>
    <w:p>
      <w:pPr>
        <w:spacing w:line="240" w:lineRule="auto" w:before="8"/>
        <w:rPr>
          <w:rFonts w:ascii="宋体" w:hAnsi="宋体" w:cs="宋体" w:eastAsia="宋体" w:hint="default"/>
          <w:sz w:val="28"/>
          <w:szCs w:val="28"/>
        </w:rPr>
      </w:pPr>
    </w:p>
    <w:p>
      <w:pPr>
        <w:pStyle w:val="Heading3"/>
        <w:spacing w:line="408" w:lineRule="auto"/>
        <w:ind w:left="699" w:right="0" w:firstLine="2"/>
        <w:jc w:val="left"/>
      </w:pPr>
      <w:r>
        <w:rPr>
          <w:rFonts w:ascii="宋体" w:hAnsi="宋体" w:cs="宋体" w:eastAsia="宋体" w:hint="default"/>
          <w:b/>
          <w:bCs/>
        </w:rPr>
        <w:t>三、审计意见</w:t>
      </w:r>
      <w:r>
        <w:rPr>
          <w:rFonts w:ascii="宋体" w:hAnsi="宋体" w:cs="宋体" w:eastAsia="宋体" w:hint="default"/>
          <w:b/>
          <w:bCs/>
          <w:w w:val="99"/>
        </w:rPr>
        <w:t> </w:t>
      </w:r>
      <w:r>
        <w:rPr>
          <w:spacing w:val="-5"/>
        </w:rPr>
        <w:t>我们认为，方直科技公司的财务报表在所有重大方面按照企业会</w:t>
      </w:r>
    </w:p>
    <w:p>
      <w:pPr>
        <w:pStyle w:val="Heading3"/>
        <w:spacing w:line="240" w:lineRule="auto" w:before="61"/>
        <w:ind w:left="139" w:right="0"/>
        <w:jc w:val="left"/>
      </w:pPr>
      <w:r>
        <w:rPr/>
        <w:t>计准则的规定编制，公允反映了方直科技公司</w:t>
      </w:r>
      <w:r>
        <w:rPr>
          <w:spacing w:val="-6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8"/>
        </w:rPr>
        <w:t> </w:t>
      </w:r>
      <w:r>
        <w:rPr/>
        <w:t>年</w:t>
      </w:r>
      <w:r>
        <w:rPr>
          <w:spacing w:val="-66"/>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64"/>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日的</w:t>
      </w:r>
    </w:p>
    <w:p>
      <w:pPr>
        <w:pStyle w:val="Heading3"/>
        <w:spacing w:line="386" w:lineRule="auto" w:before="236"/>
        <w:ind w:left="140" w:right="187"/>
        <w:jc w:val="left"/>
      </w:pPr>
      <w:r>
        <w:rPr/>
        <w:t>合并及母公司财务状况以及 </w:t>
      </w:r>
      <w:r>
        <w:rPr>
          <w:rFonts w:ascii="Times New Roman" w:hAnsi="Times New Roman" w:cs="Times New Roman" w:eastAsia="Times New Roman" w:hint="default"/>
        </w:rPr>
        <w:t>2014</w:t>
      </w:r>
      <w:r>
        <w:rPr>
          <w:rFonts w:ascii="Times New Roman" w:hAnsi="Times New Roman" w:cs="Times New Roman" w:eastAsia="Times New Roman" w:hint="default"/>
          <w:spacing w:val="-31"/>
        </w:rPr>
        <w:t> </w:t>
      </w:r>
      <w:r>
        <w:rPr/>
        <w:t>年度的合并及母公司经营成果和现</w:t>
      </w:r>
      <w:r>
        <w:rPr>
          <w:w w:val="100"/>
        </w:rPr>
        <w:t> </w:t>
      </w:r>
      <w:r>
        <w:rPr/>
        <w:t>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tbl>
      <w:tblPr>
        <w:tblW w:w="0" w:type="auto"/>
        <w:jc w:val="left"/>
        <w:tblInd w:w="153" w:type="dxa"/>
        <w:tblLayout w:type="fixed"/>
        <w:tblCellMar>
          <w:top w:w="0" w:type="dxa"/>
          <w:left w:w="0" w:type="dxa"/>
          <w:bottom w:w="0" w:type="dxa"/>
          <w:right w:w="0" w:type="dxa"/>
        </w:tblCellMar>
        <w:tblLook w:val="01E0"/>
      </w:tblPr>
      <w:tblGrid>
        <w:gridCol w:w="4672"/>
        <w:gridCol w:w="3364"/>
      </w:tblGrid>
      <w:tr>
        <w:trPr>
          <w:trHeight w:val="999" w:hRule="exact"/>
        </w:trPr>
        <w:tc>
          <w:tcPr>
            <w:tcW w:w="4672" w:type="dxa"/>
            <w:tcBorders>
              <w:top w:val="nil" w:sz="6" w:space="0" w:color="auto"/>
              <w:left w:val="nil" w:sz="6" w:space="0" w:color="auto"/>
              <w:bottom w:val="nil" w:sz="6" w:space="0" w:color="auto"/>
              <w:right w:val="nil" w:sz="6" w:space="0" w:color="auto"/>
            </w:tcBorders>
          </w:tcPr>
          <w:p>
            <w:pPr>
              <w:pStyle w:val="TableParagraph"/>
              <w:spacing w:line="302" w:lineRule="exact"/>
              <w:ind w:right="161"/>
              <w:jc w:val="center"/>
              <w:rPr>
                <w:rFonts w:ascii="Times New Roman" w:hAnsi="Times New Roman" w:cs="Times New Roman" w:eastAsia="Times New Roman" w:hint="default"/>
                <w:sz w:val="28"/>
                <w:szCs w:val="28"/>
              </w:rPr>
            </w:pPr>
            <w:r>
              <w:rPr>
                <w:rFonts w:ascii="宋体" w:hAnsi="宋体" w:cs="宋体" w:eastAsia="宋体" w:hint="default"/>
                <w:sz w:val="28"/>
                <w:szCs w:val="28"/>
              </w:rPr>
              <w:t>大华会计师事务所</w:t>
            </w:r>
            <w:r>
              <w:rPr>
                <w:rFonts w:ascii="Times New Roman" w:hAnsi="Times New Roman" w:cs="Times New Roman" w:eastAsia="Times New Roman" w:hint="default"/>
                <w:sz w:val="28"/>
                <w:szCs w:val="28"/>
              </w:rPr>
              <w:t>(</w:t>
            </w:r>
            <w:r>
              <w:rPr>
                <w:rFonts w:ascii="宋体" w:hAnsi="宋体" w:cs="宋体" w:eastAsia="宋体" w:hint="default"/>
                <w:sz w:val="28"/>
                <w:szCs w:val="28"/>
              </w:rPr>
              <w:t>特殊普通合伙</w:t>
            </w:r>
            <w:r>
              <w:rPr>
                <w:rFonts w:ascii="Times New Roman" w:hAnsi="Times New Roman" w:cs="Times New Roman" w:eastAsia="Times New Roman" w:hint="default"/>
                <w:sz w:val="28"/>
                <w:szCs w:val="28"/>
              </w:rPr>
              <w:t>)</w:t>
            </w:r>
          </w:p>
        </w:tc>
        <w:tc>
          <w:tcPr>
            <w:tcW w:w="3364" w:type="dxa"/>
            <w:tcBorders>
              <w:top w:val="nil" w:sz="6" w:space="0" w:color="auto"/>
              <w:left w:val="nil" w:sz="6" w:space="0" w:color="auto"/>
              <w:bottom w:val="nil" w:sz="6" w:space="0" w:color="auto"/>
              <w:right w:val="nil" w:sz="6" w:space="0" w:color="auto"/>
            </w:tcBorders>
          </w:tcPr>
          <w:p>
            <w:pPr>
              <w:pStyle w:val="TableParagraph"/>
              <w:spacing w:line="281" w:lineRule="exact"/>
              <w:ind w:left="363" w:right="0"/>
              <w:jc w:val="left"/>
              <w:rPr>
                <w:rFonts w:ascii="宋体" w:hAnsi="宋体" w:cs="宋体" w:eastAsia="宋体" w:hint="default"/>
                <w:sz w:val="28"/>
                <w:szCs w:val="28"/>
              </w:rPr>
            </w:pPr>
            <w:r>
              <w:rPr>
                <w:rFonts w:ascii="宋体" w:hAnsi="宋体" w:cs="宋体" w:eastAsia="宋体" w:hint="default"/>
                <w:sz w:val="28"/>
                <w:szCs w:val="28"/>
              </w:rPr>
              <w:t>中国注册会计师：</w:t>
            </w:r>
          </w:p>
        </w:tc>
      </w:tr>
      <w:tr>
        <w:trPr>
          <w:trHeight w:val="1418" w:hRule="exact"/>
        </w:trPr>
        <w:tc>
          <w:tcPr>
            <w:tcW w:w="467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30"/>
                <w:szCs w:val="30"/>
              </w:rPr>
            </w:pPr>
          </w:p>
          <w:p>
            <w:pPr>
              <w:pStyle w:val="TableParagraph"/>
              <w:spacing w:line="240" w:lineRule="auto" w:before="224"/>
              <w:ind w:right="159"/>
              <w:jc w:val="center"/>
              <w:rPr>
                <w:rFonts w:ascii="宋体" w:hAnsi="宋体" w:cs="宋体" w:eastAsia="宋体" w:hint="default"/>
                <w:sz w:val="28"/>
                <w:szCs w:val="28"/>
              </w:rPr>
            </w:pPr>
            <w:r>
              <w:rPr>
                <w:rFonts w:ascii="宋体" w:hAnsi="宋体" w:cs="宋体" w:eastAsia="宋体" w:hint="default"/>
                <w:sz w:val="28"/>
                <w:szCs w:val="28"/>
              </w:rPr>
              <w:t>中国</w:t>
            </w:r>
            <w:r>
              <w:rPr>
                <w:rFonts w:ascii="Times New Roman" w:hAnsi="Times New Roman" w:cs="Times New Roman" w:eastAsia="Times New Roman" w:hint="default"/>
                <w:b/>
                <w:bCs/>
                <w:sz w:val="28"/>
                <w:szCs w:val="28"/>
              </w:rPr>
              <w:t>·</w:t>
            </w:r>
            <w:r>
              <w:rPr>
                <w:rFonts w:ascii="宋体" w:hAnsi="宋体" w:cs="宋体" w:eastAsia="宋体" w:hint="default"/>
                <w:sz w:val="28"/>
                <w:szCs w:val="28"/>
              </w:rPr>
              <w:t>北京</w:t>
            </w:r>
          </w:p>
        </w:tc>
        <w:tc>
          <w:tcPr>
            <w:tcW w:w="336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8"/>
                <w:szCs w:val="28"/>
              </w:rPr>
            </w:pPr>
          </w:p>
          <w:p>
            <w:pPr>
              <w:pStyle w:val="TableParagraph"/>
              <w:spacing w:line="240" w:lineRule="auto" w:before="250"/>
              <w:ind w:left="363" w:right="0"/>
              <w:jc w:val="left"/>
              <w:rPr>
                <w:rFonts w:ascii="宋体" w:hAnsi="宋体" w:cs="宋体" w:eastAsia="宋体" w:hint="default"/>
                <w:sz w:val="28"/>
                <w:szCs w:val="28"/>
              </w:rPr>
            </w:pPr>
            <w:r>
              <w:rPr>
                <w:rFonts w:ascii="宋体" w:hAnsi="宋体" w:cs="宋体" w:eastAsia="宋体" w:hint="default"/>
                <w:sz w:val="28"/>
                <w:szCs w:val="28"/>
              </w:rPr>
              <w:t>中国注册会计师：</w:t>
            </w:r>
          </w:p>
        </w:tc>
      </w:tr>
      <w:tr>
        <w:trPr>
          <w:trHeight w:val="700" w:hRule="exact"/>
        </w:trPr>
        <w:tc>
          <w:tcPr>
            <w:tcW w:w="4672" w:type="dxa"/>
            <w:tcBorders>
              <w:top w:val="nil" w:sz="6" w:space="0" w:color="auto"/>
              <w:left w:val="nil" w:sz="6" w:space="0" w:color="auto"/>
              <w:bottom w:val="nil" w:sz="6" w:space="0" w:color="auto"/>
              <w:right w:val="nil" w:sz="6" w:space="0" w:color="auto"/>
            </w:tcBorders>
          </w:tcPr>
          <w:p>
            <w:pPr/>
          </w:p>
        </w:tc>
        <w:tc>
          <w:tcPr>
            <w:tcW w:w="336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363" w:right="0"/>
              <w:jc w:val="left"/>
              <w:rPr>
                <w:rFonts w:ascii="宋体" w:hAnsi="宋体" w:cs="宋体" w:eastAsia="宋体" w:hint="default"/>
                <w:sz w:val="28"/>
                <w:szCs w:val="28"/>
              </w:rPr>
            </w:pPr>
            <w:r>
              <w:rPr>
                <w:rFonts w:ascii="宋体" w:hAnsi="宋体" w:cs="宋体" w:eastAsia="宋体" w:hint="default"/>
                <w:sz w:val="28"/>
                <w:szCs w:val="28"/>
              </w:rPr>
              <w:t>二〇一五年四月十六日</w:t>
            </w:r>
          </w:p>
        </w:tc>
      </w:tr>
    </w:tbl>
    <w:p>
      <w:pPr>
        <w:spacing w:after="0" w:line="240" w:lineRule="auto"/>
        <w:jc w:val="left"/>
        <w:rPr>
          <w:rFonts w:ascii="宋体" w:hAnsi="宋体" w:cs="宋体" w:eastAsia="宋体" w:hint="default"/>
          <w:sz w:val="28"/>
          <w:szCs w:val="28"/>
        </w:rPr>
        <w:sectPr>
          <w:pgSz w:w="11910" w:h="16840"/>
          <w:pgMar w:header="880" w:footer="979" w:top="1100" w:bottom="1160" w:left="1660" w:right="1600"/>
        </w:sectPr>
      </w:pPr>
    </w:p>
    <w:p>
      <w:pPr>
        <w:spacing w:line="240" w:lineRule="auto" w:before="2"/>
        <w:rPr>
          <w:rFonts w:ascii="Times New Roman" w:hAnsi="Times New Roman" w:cs="Times New Roman" w:eastAsia="Times New Roman" w:hint="default"/>
          <w:sz w:val="3"/>
          <w:szCs w:val="3"/>
        </w:rPr>
      </w:pPr>
      <w:r>
        <w:rPr/>
        <w:pict>
          <v:group style="position:absolute;margin-left:331.679993pt;margin-top:331.680023pt;width:105.4pt;height:.5pt;mso-position-horizontal-relative:page;mso-position-vertical-relative:page;z-index:-1160224" coordorigin="6634,6634" coordsize="2108,10">
            <v:shape style="position:absolute;left:6634;top:6634;width:2093;height:10" type="#_x0000_t75" stroked="false">
              <v:imagedata r:id="rId20" o:title=""/>
            </v:shape>
            <v:shape style="position:absolute;left:8722;top:6634;width:19;height:10" type="#_x0000_t75" stroked="false">
              <v:imagedata r:id="rId21" o:title=""/>
            </v:shape>
            <w10:wrap type="none"/>
          </v:group>
        </w:pict>
      </w:r>
      <w:r>
        <w:rPr/>
        <w:pict>
          <v:group style="position:absolute;margin-left:448.679993pt;margin-top:331.680023pt;width:88pt;height:.5pt;mso-position-horizontal-relative:page;mso-position-vertical-relative:page;z-index:-1160200" coordorigin="8974,6634" coordsize="1760,10">
            <v:shape style="position:absolute;left:8974;top:6634;width:1747;height:10" type="#_x0000_t75" stroked="false">
              <v:imagedata r:id="rId22" o:title=""/>
            </v:shape>
            <v:shape style="position:absolute;left:10716;top:6634;width:17;height:10" type="#_x0000_t75" stroked="false">
              <v:imagedata r:id="rId23" o:title=""/>
            </v:shape>
            <w10:wrap type="none"/>
          </v:group>
        </w:pict>
      </w:r>
      <w:r>
        <w:rPr/>
        <w:pict>
          <v:group style="position:absolute;margin-left:331.679993pt;margin-top:558.839966pt;width:105.4pt;height:.5pt;mso-position-horizontal-relative:page;mso-position-vertical-relative:page;z-index:-1160176" coordorigin="6634,11177" coordsize="2108,10">
            <v:shape style="position:absolute;left:6634;top:11177;width:2093;height:10" type="#_x0000_t75" stroked="false">
              <v:imagedata r:id="rId24" o:title=""/>
            </v:shape>
            <v:shape style="position:absolute;left:8722;top:11177;width:19;height:10" type="#_x0000_t75" stroked="false">
              <v:imagedata r:id="rId25" o:title=""/>
            </v:shape>
            <w10:wrap type="none"/>
          </v:group>
        </w:pict>
      </w:r>
      <w:r>
        <w:rPr/>
        <w:pict>
          <v:group style="position:absolute;margin-left:448.679993pt;margin-top:558.839966pt;width:88pt;height:.5pt;mso-position-horizontal-relative:page;mso-position-vertical-relative:page;z-index:-1160152" coordorigin="8974,11177" coordsize="1760,10">
            <v:shape style="position:absolute;left:8974;top:11177;width:1747;height:10" type="#_x0000_t75" stroked="false">
              <v:imagedata r:id="rId26" o:title=""/>
            </v:shape>
            <v:shape style="position:absolute;left:10716;top:11177;width:17;height:10" type="#_x0000_t75" stroked="false">
              <v:imagedata r:id="rId27" o:title=""/>
            </v:shape>
            <w10:wrap type="none"/>
          </v:group>
        </w:pict>
      </w:r>
      <w:r>
        <w:rPr/>
        <w:pict>
          <v:group style="position:absolute;margin-left:331.320007pt;margin-top:584.639954pt;width:105.85pt;height:2.2pt;mso-position-horizontal-relative:page;mso-position-vertical-relative:page;z-index:-1160128" coordorigin="6626,11693" coordsize="2117,44">
            <v:group style="position:absolute;left:6634;top:11700;width:2103;height:2" coordorigin="6634,11700" coordsize="2103,2">
              <v:shape style="position:absolute;left:6634;top:11700;width:2103;height:2" coordorigin="6634,11700" coordsize="2103,0" path="m6634,11700l8736,11700e" filled="false" stroked="true" strokeweight=".72pt" strokecolor="#000000">
                <v:path arrowok="t"/>
              </v:shape>
            </v:group>
            <v:group style="position:absolute;left:6634;top:11729;width:2103;height:2" coordorigin="6634,11729" coordsize="2103,2">
              <v:shape style="position:absolute;left:6634;top:11729;width:2103;height:2" coordorigin="6634,11729" coordsize="2103,0" path="m6634,11729l8736,11729e" filled="false" stroked="true" strokeweight=".72pt" strokecolor="#000000">
                <v:path arrowok="t"/>
              </v:shape>
            </v:group>
            <w10:wrap type="none"/>
          </v:group>
        </w:pict>
      </w:r>
    </w:p>
    <w:tbl>
      <w:tblPr>
        <w:tblW w:w="0" w:type="auto"/>
        <w:jc w:val="left"/>
        <w:tblInd w:w="116" w:type="dxa"/>
        <w:tblLayout w:type="fixed"/>
        <w:tblCellMar>
          <w:top w:w="0" w:type="dxa"/>
          <w:left w:w="0" w:type="dxa"/>
          <w:bottom w:w="0" w:type="dxa"/>
          <w:right w:w="0" w:type="dxa"/>
        </w:tblCellMar>
        <w:tblLook w:val="01E0"/>
      </w:tblPr>
      <w:tblGrid>
        <w:gridCol w:w="3240"/>
        <w:gridCol w:w="238"/>
        <w:gridCol w:w="1742"/>
        <w:gridCol w:w="238"/>
        <w:gridCol w:w="2102"/>
        <w:gridCol w:w="238"/>
        <w:gridCol w:w="1754"/>
      </w:tblGrid>
      <w:tr>
        <w:trPr>
          <w:trHeight w:val="741" w:hRule="exact"/>
        </w:trPr>
        <w:tc>
          <w:tcPr>
            <w:tcW w:w="9552"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274"/>
              <w:ind w:left="2695" w:right="0"/>
              <w:jc w:val="left"/>
              <w:rPr>
                <w:rFonts w:ascii="黑体" w:hAnsi="黑体" w:cs="黑体" w:eastAsia="黑体" w:hint="default"/>
                <w:sz w:val="32"/>
                <w:szCs w:val="32"/>
              </w:rPr>
            </w:pPr>
            <w:r>
              <w:rPr>
                <w:rFonts w:ascii="黑体" w:hAnsi="黑体" w:cs="黑体" w:eastAsia="黑体" w:hint="default"/>
                <w:sz w:val="32"/>
                <w:szCs w:val="32"/>
              </w:rPr>
              <w:t>深圳市方直科技股份有限公司</w:t>
            </w:r>
          </w:p>
        </w:tc>
      </w:tr>
      <w:tr>
        <w:trPr>
          <w:trHeight w:val="437" w:hRule="exact"/>
        </w:trPr>
        <w:tc>
          <w:tcPr>
            <w:tcW w:w="9552" w:type="dxa"/>
            <w:gridSpan w:val="7"/>
            <w:tcBorders>
              <w:top w:val="nil" w:sz="6" w:space="0" w:color="auto"/>
              <w:left w:val="nil" w:sz="6" w:space="0" w:color="auto"/>
              <w:bottom w:val="nil" w:sz="6" w:space="0" w:color="auto"/>
              <w:right w:val="nil" w:sz="6" w:space="0" w:color="auto"/>
            </w:tcBorders>
          </w:tcPr>
          <w:p>
            <w:pPr>
              <w:pStyle w:val="TableParagraph"/>
              <w:spacing w:line="367" w:lineRule="exact"/>
              <w:ind w:right="0"/>
              <w:jc w:val="center"/>
              <w:rPr>
                <w:rFonts w:ascii="黑体" w:hAnsi="黑体" w:cs="黑体" w:eastAsia="黑体" w:hint="default"/>
                <w:sz w:val="32"/>
                <w:szCs w:val="32"/>
              </w:rPr>
            </w:pPr>
            <w:r>
              <w:rPr>
                <w:rFonts w:ascii="黑体" w:hAnsi="黑体" w:cs="黑体" w:eastAsia="黑体" w:hint="default"/>
                <w:sz w:val="32"/>
                <w:szCs w:val="32"/>
              </w:rPr>
              <w:t>合并资产负债表</w:t>
            </w:r>
          </w:p>
        </w:tc>
      </w:tr>
      <w:tr>
        <w:trPr>
          <w:trHeight w:val="352" w:hRule="exact"/>
        </w:trPr>
        <w:tc>
          <w:tcPr>
            <w:tcW w:w="9552"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2"/>
              <w:ind w:left="2" w:right="0"/>
              <w:jc w:val="center"/>
              <w:rPr>
                <w:rFonts w:ascii="宋体" w:hAnsi="宋体" w:cs="宋体" w:eastAsia="宋体" w:hint="default"/>
                <w:sz w:val="22"/>
                <w:szCs w:val="22"/>
              </w:rPr>
            </w:pPr>
            <w:r>
              <w:rPr>
                <w:rFonts w:ascii="宋体" w:hAnsi="宋体" w:cs="宋体" w:eastAsia="宋体" w:hint="default"/>
                <w:sz w:val="22"/>
                <w:szCs w:val="22"/>
              </w:rPr>
              <w:t>2014</w:t>
            </w:r>
            <w:r>
              <w:rPr>
                <w:rFonts w:ascii="宋体" w:hAnsi="宋体" w:cs="宋体" w:eastAsia="宋体" w:hint="default"/>
                <w:spacing w:val="-55"/>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12</w:t>
            </w:r>
            <w:r>
              <w:rPr>
                <w:rFonts w:ascii="宋体" w:hAnsi="宋体" w:cs="宋体" w:eastAsia="宋体" w:hint="default"/>
                <w:spacing w:val="-55"/>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31</w:t>
            </w:r>
            <w:r>
              <w:rPr>
                <w:rFonts w:ascii="宋体" w:hAnsi="宋体" w:cs="宋体" w:eastAsia="宋体" w:hint="default"/>
                <w:spacing w:val="-58"/>
                <w:sz w:val="22"/>
                <w:szCs w:val="22"/>
              </w:rPr>
              <w:t> </w:t>
            </w:r>
            <w:r>
              <w:rPr>
                <w:rFonts w:ascii="宋体" w:hAnsi="宋体" w:cs="宋体" w:eastAsia="宋体" w:hint="default"/>
                <w:sz w:val="22"/>
                <w:szCs w:val="22"/>
              </w:rPr>
              <w:t>日</w:t>
            </w:r>
          </w:p>
        </w:tc>
      </w:tr>
      <w:tr>
        <w:trPr>
          <w:trHeight w:val="468" w:hRule="exact"/>
        </w:trPr>
        <w:tc>
          <w:tcPr>
            <w:tcW w:w="3240"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742"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2102"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754" w:type="dxa"/>
            <w:tcBorders>
              <w:top w:val="nil" w:sz="6" w:space="0" w:color="auto"/>
              <w:left w:val="nil" w:sz="6" w:space="0" w:color="auto"/>
              <w:bottom w:val="nil" w:sz="6" w:space="0" w:color="auto"/>
              <w:right w:val="nil" w:sz="6" w:space="0" w:color="auto"/>
            </w:tcBorders>
          </w:tcPr>
          <w:p>
            <w:pPr>
              <w:pStyle w:val="TableParagraph"/>
              <w:spacing w:line="282" w:lineRule="exact"/>
              <w:ind w:right="101"/>
              <w:jc w:val="right"/>
              <w:rPr>
                <w:rFonts w:ascii="宋体" w:hAnsi="宋体" w:cs="宋体" w:eastAsia="宋体" w:hint="default"/>
                <w:sz w:val="22"/>
                <w:szCs w:val="22"/>
              </w:rPr>
            </w:pPr>
            <w:r>
              <w:rPr>
                <w:rFonts w:ascii="宋体" w:hAnsi="宋体" w:cs="宋体" w:eastAsia="宋体" w:hint="default"/>
                <w:spacing w:val="-1"/>
                <w:sz w:val="22"/>
                <w:szCs w:val="22"/>
              </w:rPr>
              <w:t>单位：人民币元</w:t>
            </w:r>
          </w:p>
        </w:tc>
      </w:tr>
      <w:tr>
        <w:trPr>
          <w:trHeight w:val="424" w:hRule="exact"/>
        </w:trPr>
        <w:tc>
          <w:tcPr>
            <w:tcW w:w="3240" w:type="dxa"/>
            <w:tcBorders>
              <w:top w:val="nil" w:sz="6" w:space="0" w:color="auto"/>
              <w:left w:val="nil" w:sz="6" w:space="0" w:color="auto"/>
              <w:bottom w:val="single" w:sz="4" w:space="0" w:color="000000"/>
              <w:right w:val="nil" w:sz="6" w:space="0" w:color="auto"/>
            </w:tcBorders>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资</w:t>
            </w:r>
            <w:r>
              <w:rPr>
                <w:rFonts w:ascii="宋体" w:hAnsi="宋体" w:cs="宋体" w:eastAsia="宋体" w:hint="default"/>
                <w:spacing w:val="1"/>
                <w:sz w:val="18"/>
                <w:szCs w:val="18"/>
              </w:rPr>
              <w:t> </w:t>
            </w:r>
            <w:r>
              <w:rPr>
                <w:rFonts w:ascii="宋体" w:hAnsi="宋体" w:cs="宋体" w:eastAsia="宋体" w:hint="default"/>
                <w:sz w:val="18"/>
                <w:szCs w:val="18"/>
              </w:rPr>
              <w:t>产</w:t>
            </w:r>
          </w:p>
        </w:tc>
        <w:tc>
          <w:tcPr>
            <w:tcW w:w="238" w:type="dxa"/>
            <w:tcBorders>
              <w:top w:val="nil" w:sz="6" w:space="0" w:color="auto"/>
              <w:left w:val="nil" w:sz="6" w:space="0" w:color="auto"/>
              <w:bottom w:val="nil" w:sz="6" w:space="0" w:color="auto"/>
              <w:right w:val="nil" w:sz="6" w:space="0" w:color="auto"/>
            </w:tcBorders>
          </w:tcPr>
          <w:p>
            <w:pPr/>
          </w:p>
        </w:tc>
        <w:tc>
          <w:tcPr>
            <w:tcW w:w="1742" w:type="dxa"/>
            <w:tcBorders>
              <w:top w:val="nil" w:sz="6" w:space="0" w:color="auto"/>
              <w:left w:val="nil" w:sz="6" w:space="0" w:color="auto"/>
              <w:bottom w:val="single" w:sz="4" w:space="0" w:color="000000"/>
              <w:right w:val="nil" w:sz="6" w:space="0" w:color="auto"/>
            </w:tcBorders>
          </w:tcPr>
          <w:p>
            <w:pPr>
              <w:pStyle w:val="TableParagraph"/>
              <w:spacing w:line="240" w:lineRule="auto" w:before="130"/>
              <w:ind w:left="2" w:right="0"/>
              <w:jc w:val="center"/>
              <w:rPr>
                <w:rFonts w:ascii="宋体" w:hAnsi="宋体" w:cs="宋体" w:eastAsia="宋体" w:hint="default"/>
                <w:sz w:val="18"/>
                <w:szCs w:val="18"/>
              </w:rPr>
            </w:pPr>
            <w:r>
              <w:rPr>
                <w:rFonts w:ascii="宋体" w:hAnsi="宋体" w:cs="宋体" w:eastAsia="宋体" w:hint="default"/>
                <w:sz w:val="18"/>
                <w:szCs w:val="18"/>
              </w:rPr>
              <w:t>附注六</w:t>
            </w:r>
          </w:p>
        </w:tc>
        <w:tc>
          <w:tcPr>
            <w:tcW w:w="238" w:type="dxa"/>
            <w:tcBorders>
              <w:top w:val="nil" w:sz="6" w:space="0" w:color="auto"/>
              <w:left w:val="nil" w:sz="6" w:space="0" w:color="auto"/>
              <w:bottom w:val="nil" w:sz="6" w:space="0" w:color="auto"/>
              <w:right w:val="nil" w:sz="6" w:space="0" w:color="auto"/>
            </w:tcBorders>
          </w:tcPr>
          <w:p>
            <w:pPr/>
          </w:p>
        </w:tc>
        <w:tc>
          <w:tcPr>
            <w:tcW w:w="2102" w:type="dxa"/>
            <w:tcBorders>
              <w:top w:val="nil" w:sz="6" w:space="0" w:color="auto"/>
              <w:left w:val="nil" w:sz="6" w:space="0" w:color="auto"/>
              <w:bottom w:val="single" w:sz="4" w:space="0" w:color="000000"/>
              <w:right w:val="nil" w:sz="6" w:space="0" w:color="auto"/>
            </w:tcBorders>
          </w:tcPr>
          <w:p>
            <w:pPr>
              <w:pStyle w:val="TableParagraph"/>
              <w:spacing w:line="240" w:lineRule="auto" w:before="130"/>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38" w:type="dxa"/>
            <w:tcBorders>
              <w:top w:val="nil" w:sz="6" w:space="0" w:color="auto"/>
              <w:left w:val="nil" w:sz="6" w:space="0" w:color="auto"/>
              <w:bottom w:val="nil" w:sz="6" w:space="0" w:color="auto"/>
              <w:right w:val="nil" w:sz="6" w:space="0" w:color="auto"/>
            </w:tcBorders>
          </w:tcPr>
          <w:p>
            <w:pPr/>
          </w:p>
        </w:tc>
        <w:tc>
          <w:tcPr>
            <w:tcW w:w="1754" w:type="dxa"/>
            <w:tcBorders>
              <w:top w:val="nil" w:sz="6" w:space="0" w:color="auto"/>
              <w:left w:val="nil" w:sz="6" w:space="0" w:color="auto"/>
              <w:bottom w:val="single" w:sz="4" w:space="0" w:color="000000"/>
              <w:right w:val="nil" w:sz="6" w:space="0" w:color="auto"/>
            </w:tcBorders>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40" w:hRule="exact"/>
        </w:trPr>
        <w:tc>
          <w:tcPr>
            <w:tcW w:w="3240" w:type="dxa"/>
            <w:tcBorders>
              <w:top w:val="single" w:sz="4" w:space="0" w:color="000000"/>
              <w:left w:val="nil" w:sz="6" w:space="0" w:color="auto"/>
              <w:bottom w:val="nil" w:sz="6" w:space="0" w:color="auto"/>
              <w:right w:val="nil" w:sz="6" w:space="0" w:color="auto"/>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流动资产：</w:t>
            </w:r>
            <w:r>
              <w:rPr>
                <w:rFonts w:ascii="宋体" w:hAnsi="宋体" w:cs="宋体" w:eastAsia="宋体" w:hint="default"/>
                <w:sz w:val="18"/>
                <w:szCs w:val="18"/>
              </w:rPr>
            </w:r>
          </w:p>
        </w:tc>
        <w:tc>
          <w:tcPr>
            <w:tcW w:w="238" w:type="dxa"/>
            <w:tcBorders>
              <w:top w:val="nil" w:sz="6" w:space="0" w:color="auto"/>
              <w:left w:val="nil" w:sz="6" w:space="0" w:color="auto"/>
              <w:bottom w:val="nil" w:sz="6" w:space="0" w:color="auto"/>
              <w:right w:val="nil" w:sz="6" w:space="0" w:color="auto"/>
            </w:tcBorders>
          </w:tcPr>
          <w:p>
            <w:pPr/>
          </w:p>
        </w:tc>
        <w:tc>
          <w:tcPr>
            <w:tcW w:w="1742" w:type="dxa"/>
            <w:tcBorders>
              <w:top w:val="single" w:sz="4" w:space="0" w:color="000000"/>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2102" w:type="dxa"/>
            <w:tcBorders>
              <w:top w:val="single" w:sz="4" w:space="0" w:color="000000"/>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754" w:type="dxa"/>
            <w:tcBorders>
              <w:top w:val="single" w:sz="4" w:space="0" w:color="000000"/>
              <w:left w:val="nil" w:sz="6" w:space="0" w:color="auto"/>
              <w:bottom w:val="nil" w:sz="6" w:space="0" w:color="auto"/>
              <w:right w:val="nil" w:sz="6" w:space="0" w:color="auto"/>
            </w:tcBorders>
          </w:tcPr>
          <w:p>
            <w:pPr/>
          </w:p>
        </w:tc>
      </w:tr>
      <w:tr>
        <w:trPr>
          <w:trHeight w:val="268" w:hRule="exact"/>
        </w:trPr>
        <w:tc>
          <w:tcPr>
            <w:tcW w:w="3240" w:type="dxa"/>
            <w:tcBorders>
              <w:top w:val="nil" w:sz="6" w:space="0" w:color="auto"/>
              <w:left w:val="nil" w:sz="6" w:space="0" w:color="auto"/>
              <w:bottom w:val="nil" w:sz="6" w:space="0" w:color="auto"/>
              <w:right w:val="nil" w:sz="6" w:space="0" w:color="auto"/>
            </w:tcBorders>
          </w:tcPr>
          <w:p>
            <w:pPr>
              <w:pStyle w:val="TableParagraph"/>
              <w:spacing w:line="217" w:lineRule="exact"/>
              <w:ind w:left="290"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38" w:type="dxa"/>
            <w:tcBorders>
              <w:top w:val="nil" w:sz="6" w:space="0" w:color="auto"/>
              <w:left w:val="nil" w:sz="6" w:space="0" w:color="auto"/>
              <w:bottom w:val="nil" w:sz="6" w:space="0" w:color="auto"/>
              <w:right w:val="nil" w:sz="6" w:space="0" w:color="auto"/>
            </w:tcBorders>
          </w:tcPr>
          <w:p>
            <w:pPr/>
          </w:p>
        </w:tc>
        <w:tc>
          <w:tcPr>
            <w:tcW w:w="1742" w:type="dxa"/>
            <w:tcBorders>
              <w:top w:val="nil" w:sz="6" w:space="0" w:color="auto"/>
              <w:left w:val="nil" w:sz="6" w:space="0" w:color="auto"/>
              <w:bottom w:val="nil" w:sz="6" w:space="0" w:color="auto"/>
              <w:right w:val="nil" w:sz="6" w:space="0" w:color="auto"/>
            </w:tcBorders>
          </w:tcPr>
          <w:p>
            <w:pPr>
              <w:pStyle w:val="TableParagraph"/>
              <w:spacing w:line="245" w:lineRule="exact"/>
              <w:ind w:left="1"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注释</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w:t>
            </w:r>
          </w:p>
        </w:tc>
        <w:tc>
          <w:tcPr>
            <w:tcW w:w="238" w:type="dxa"/>
            <w:tcBorders>
              <w:top w:val="nil" w:sz="6" w:space="0" w:color="auto"/>
              <w:left w:val="nil" w:sz="6" w:space="0" w:color="auto"/>
              <w:bottom w:val="nil" w:sz="6" w:space="0" w:color="auto"/>
              <w:right w:val="nil" w:sz="6" w:space="0" w:color="auto"/>
            </w:tcBorders>
          </w:tcPr>
          <w:p>
            <w:pPr/>
          </w:p>
        </w:tc>
        <w:tc>
          <w:tcPr>
            <w:tcW w:w="2102" w:type="dxa"/>
            <w:tcBorders>
              <w:top w:val="nil" w:sz="6" w:space="0" w:color="auto"/>
              <w:left w:val="nil" w:sz="6" w:space="0" w:color="auto"/>
              <w:bottom w:val="nil" w:sz="6" w:space="0" w:color="auto"/>
              <w:right w:val="nil" w:sz="6" w:space="0" w:color="auto"/>
            </w:tcBorders>
          </w:tcPr>
          <w:p>
            <w:pPr>
              <w:pStyle w:val="TableParagraph"/>
              <w:spacing w:line="217" w:lineRule="exact"/>
              <w:ind w:right="107"/>
              <w:jc w:val="right"/>
              <w:rPr>
                <w:rFonts w:ascii="宋体" w:hAnsi="宋体" w:cs="宋体" w:eastAsia="宋体" w:hint="default"/>
                <w:sz w:val="18"/>
                <w:szCs w:val="18"/>
              </w:rPr>
            </w:pPr>
            <w:r>
              <w:rPr>
                <w:rFonts w:ascii="宋体"/>
                <w:spacing w:val="-1"/>
                <w:sz w:val="18"/>
              </w:rPr>
              <w:t>121,299,781.90</w:t>
            </w:r>
            <w:r>
              <w:rPr>
                <w:rFonts w:ascii="宋体"/>
                <w:sz w:val="18"/>
              </w:rPr>
            </w:r>
          </w:p>
        </w:tc>
        <w:tc>
          <w:tcPr>
            <w:tcW w:w="238" w:type="dxa"/>
            <w:tcBorders>
              <w:top w:val="nil" w:sz="6" w:space="0" w:color="auto"/>
              <w:left w:val="nil" w:sz="6" w:space="0" w:color="auto"/>
              <w:bottom w:val="nil" w:sz="6" w:space="0" w:color="auto"/>
              <w:right w:val="nil" w:sz="6" w:space="0" w:color="auto"/>
            </w:tcBorders>
          </w:tcPr>
          <w:p>
            <w:pPr/>
          </w:p>
        </w:tc>
        <w:tc>
          <w:tcPr>
            <w:tcW w:w="1754" w:type="dxa"/>
            <w:tcBorders>
              <w:top w:val="nil" w:sz="6" w:space="0" w:color="auto"/>
              <w:left w:val="nil" w:sz="6" w:space="0" w:color="auto"/>
              <w:bottom w:val="nil" w:sz="6" w:space="0" w:color="auto"/>
              <w:right w:val="nil" w:sz="6" w:space="0" w:color="auto"/>
            </w:tcBorders>
          </w:tcPr>
          <w:p>
            <w:pPr>
              <w:pStyle w:val="TableParagraph"/>
              <w:spacing w:line="217" w:lineRule="exact"/>
              <w:ind w:right="102"/>
              <w:jc w:val="right"/>
              <w:rPr>
                <w:rFonts w:ascii="宋体" w:hAnsi="宋体" w:cs="宋体" w:eastAsia="宋体" w:hint="default"/>
                <w:sz w:val="18"/>
                <w:szCs w:val="18"/>
              </w:rPr>
            </w:pPr>
            <w:r>
              <w:rPr>
                <w:rFonts w:ascii="宋体"/>
                <w:spacing w:val="-1"/>
                <w:sz w:val="18"/>
              </w:rPr>
              <w:t>126,386,318.45</w:t>
            </w:r>
          </w:p>
        </w:tc>
      </w:tr>
      <w:tr>
        <w:trPr>
          <w:trHeight w:val="244" w:hRule="exact"/>
        </w:trPr>
        <w:tc>
          <w:tcPr>
            <w:tcW w:w="3240" w:type="dxa"/>
            <w:tcBorders>
              <w:top w:val="nil" w:sz="6" w:space="0" w:color="auto"/>
              <w:left w:val="nil" w:sz="6" w:space="0" w:color="auto"/>
              <w:bottom w:val="nil" w:sz="6" w:space="0" w:color="auto"/>
              <w:right w:val="nil" w:sz="6" w:space="0" w:color="auto"/>
            </w:tcBorders>
          </w:tcPr>
          <w:p>
            <w:pPr>
              <w:pStyle w:val="TableParagraph"/>
              <w:spacing w:line="208" w:lineRule="exact"/>
              <w:ind w:left="290"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38" w:type="dxa"/>
            <w:tcBorders>
              <w:top w:val="nil" w:sz="6" w:space="0" w:color="auto"/>
              <w:left w:val="nil" w:sz="6" w:space="0" w:color="auto"/>
              <w:bottom w:val="nil" w:sz="6" w:space="0" w:color="auto"/>
              <w:right w:val="nil" w:sz="6" w:space="0" w:color="auto"/>
            </w:tcBorders>
          </w:tcPr>
          <w:p>
            <w:pPr/>
          </w:p>
        </w:tc>
        <w:tc>
          <w:tcPr>
            <w:tcW w:w="1742"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2102" w:type="dxa"/>
            <w:tcBorders>
              <w:top w:val="nil" w:sz="6" w:space="0" w:color="auto"/>
              <w:left w:val="nil" w:sz="6" w:space="0" w:color="auto"/>
              <w:bottom w:val="nil" w:sz="6" w:space="0" w:color="auto"/>
              <w:right w:val="nil" w:sz="6" w:space="0" w:color="auto"/>
            </w:tcBorders>
          </w:tcPr>
          <w:p>
            <w:pPr>
              <w:pStyle w:val="TableParagraph"/>
              <w:spacing w:line="208" w:lineRule="exact"/>
              <w:ind w:right="104"/>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754" w:type="dxa"/>
            <w:tcBorders>
              <w:top w:val="nil" w:sz="6" w:space="0" w:color="auto"/>
              <w:left w:val="nil" w:sz="6" w:space="0" w:color="auto"/>
              <w:bottom w:val="nil" w:sz="6" w:space="0" w:color="auto"/>
              <w:right w:val="nil" w:sz="6" w:space="0" w:color="auto"/>
            </w:tcBorders>
          </w:tcPr>
          <w:p>
            <w:pPr/>
          </w:p>
        </w:tc>
      </w:tr>
      <w:tr>
        <w:trPr>
          <w:trHeight w:val="272" w:hRule="exact"/>
        </w:trPr>
        <w:tc>
          <w:tcPr>
            <w:tcW w:w="3240" w:type="dxa"/>
            <w:tcBorders>
              <w:top w:val="nil" w:sz="6" w:space="0" w:color="auto"/>
              <w:left w:val="nil" w:sz="6" w:space="0" w:color="auto"/>
              <w:bottom w:val="nil" w:sz="6" w:space="0" w:color="auto"/>
              <w:right w:val="nil" w:sz="6" w:space="0" w:color="auto"/>
            </w:tcBorders>
          </w:tcPr>
          <w:p>
            <w:pPr>
              <w:pStyle w:val="TableParagraph"/>
              <w:spacing w:line="225" w:lineRule="exact"/>
              <w:ind w:left="290"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38" w:type="dxa"/>
            <w:tcBorders>
              <w:top w:val="nil" w:sz="6" w:space="0" w:color="auto"/>
              <w:left w:val="nil" w:sz="6" w:space="0" w:color="auto"/>
              <w:bottom w:val="nil" w:sz="6" w:space="0" w:color="auto"/>
              <w:right w:val="nil" w:sz="6" w:space="0" w:color="auto"/>
            </w:tcBorders>
          </w:tcPr>
          <w:p>
            <w:pPr/>
          </w:p>
        </w:tc>
        <w:tc>
          <w:tcPr>
            <w:tcW w:w="1742" w:type="dxa"/>
            <w:tcBorders>
              <w:top w:val="nil" w:sz="6" w:space="0" w:color="auto"/>
              <w:left w:val="nil" w:sz="6" w:space="0" w:color="auto"/>
              <w:bottom w:val="nil" w:sz="6" w:space="0" w:color="auto"/>
              <w:right w:val="nil" w:sz="6" w:space="0" w:color="auto"/>
            </w:tcBorders>
          </w:tcPr>
          <w:p>
            <w:pPr>
              <w:pStyle w:val="TableParagraph"/>
              <w:spacing w:line="251" w:lineRule="exact"/>
              <w:ind w:left="1"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注释</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2</w:t>
            </w:r>
          </w:p>
        </w:tc>
        <w:tc>
          <w:tcPr>
            <w:tcW w:w="238" w:type="dxa"/>
            <w:tcBorders>
              <w:top w:val="nil" w:sz="6" w:space="0" w:color="auto"/>
              <w:left w:val="nil" w:sz="6" w:space="0" w:color="auto"/>
              <w:bottom w:val="nil" w:sz="6" w:space="0" w:color="auto"/>
              <w:right w:val="nil" w:sz="6" w:space="0" w:color="auto"/>
            </w:tcBorders>
          </w:tcPr>
          <w:p>
            <w:pPr/>
          </w:p>
        </w:tc>
        <w:tc>
          <w:tcPr>
            <w:tcW w:w="2102" w:type="dxa"/>
            <w:tcBorders>
              <w:top w:val="nil" w:sz="6" w:space="0" w:color="auto"/>
              <w:left w:val="nil" w:sz="6" w:space="0" w:color="auto"/>
              <w:bottom w:val="nil" w:sz="6" w:space="0" w:color="auto"/>
              <w:right w:val="nil" w:sz="6" w:space="0" w:color="auto"/>
            </w:tcBorders>
          </w:tcPr>
          <w:p>
            <w:pPr>
              <w:pStyle w:val="TableParagraph"/>
              <w:spacing w:line="225" w:lineRule="exact"/>
              <w:ind w:right="104"/>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754" w:type="dxa"/>
            <w:tcBorders>
              <w:top w:val="nil" w:sz="6" w:space="0" w:color="auto"/>
              <w:left w:val="nil" w:sz="6" w:space="0" w:color="auto"/>
              <w:bottom w:val="nil" w:sz="6" w:space="0" w:color="auto"/>
              <w:right w:val="nil" w:sz="6" w:space="0" w:color="auto"/>
            </w:tcBorders>
          </w:tcPr>
          <w:p>
            <w:pPr>
              <w:pStyle w:val="TableParagraph"/>
              <w:spacing w:line="225" w:lineRule="exact"/>
              <w:ind w:right="102"/>
              <w:jc w:val="right"/>
              <w:rPr>
                <w:rFonts w:ascii="宋体" w:hAnsi="宋体" w:cs="宋体" w:eastAsia="宋体" w:hint="default"/>
                <w:sz w:val="18"/>
                <w:szCs w:val="18"/>
              </w:rPr>
            </w:pPr>
            <w:r>
              <w:rPr>
                <w:rFonts w:ascii="宋体"/>
                <w:spacing w:val="-1"/>
                <w:sz w:val="18"/>
              </w:rPr>
              <w:t>500,000.00</w:t>
            </w:r>
          </w:p>
        </w:tc>
      </w:tr>
      <w:tr>
        <w:trPr>
          <w:trHeight w:val="260" w:hRule="exact"/>
        </w:trPr>
        <w:tc>
          <w:tcPr>
            <w:tcW w:w="3240" w:type="dxa"/>
            <w:tcBorders>
              <w:top w:val="nil" w:sz="6" w:space="0" w:color="auto"/>
              <w:left w:val="nil" w:sz="6" w:space="0" w:color="auto"/>
              <w:bottom w:val="nil" w:sz="6" w:space="0" w:color="auto"/>
              <w:right w:val="nil" w:sz="6" w:space="0" w:color="auto"/>
            </w:tcBorders>
          </w:tcPr>
          <w:p>
            <w:pPr>
              <w:pStyle w:val="TableParagraph"/>
              <w:spacing w:line="213" w:lineRule="exact"/>
              <w:ind w:left="29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8" w:type="dxa"/>
            <w:tcBorders>
              <w:top w:val="nil" w:sz="6" w:space="0" w:color="auto"/>
              <w:left w:val="nil" w:sz="6" w:space="0" w:color="auto"/>
              <w:bottom w:val="nil" w:sz="6" w:space="0" w:color="auto"/>
              <w:right w:val="nil" w:sz="6" w:space="0" w:color="auto"/>
            </w:tcBorders>
          </w:tcPr>
          <w:p>
            <w:pP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exact"/>
              <w:ind w:left="1"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注释</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3</w:t>
            </w:r>
          </w:p>
        </w:tc>
        <w:tc>
          <w:tcPr>
            <w:tcW w:w="238" w:type="dxa"/>
            <w:tcBorders>
              <w:top w:val="nil" w:sz="6" w:space="0" w:color="auto"/>
              <w:left w:val="nil" w:sz="6" w:space="0" w:color="auto"/>
              <w:bottom w:val="nil" w:sz="6" w:space="0" w:color="auto"/>
              <w:right w:val="nil" w:sz="6" w:space="0" w:color="auto"/>
            </w:tcBorders>
          </w:tcPr>
          <w:p>
            <w:pPr/>
          </w:p>
        </w:tc>
        <w:tc>
          <w:tcPr>
            <w:tcW w:w="2102" w:type="dxa"/>
            <w:tcBorders>
              <w:top w:val="nil" w:sz="6" w:space="0" w:color="auto"/>
              <w:left w:val="nil" w:sz="6" w:space="0" w:color="auto"/>
              <w:bottom w:val="nil" w:sz="6" w:space="0" w:color="auto"/>
              <w:right w:val="nil" w:sz="6" w:space="0" w:color="auto"/>
            </w:tcBorders>
          </w:tcPr>
          <w:p>
            <w:pPr>
              <w:pStyle w:val="TableParagraph"/>
              <w:spacing w:line="213" w:lineRule="exact"/>
              <w:ind w:right="104"/>
              <w:jc w:val="right"/>
              <w:rPr>
                <w:rFonts w:ascii="宋体" w:hAnsi="宋体" w:cs="宋体" w:eastAsia="宋体" w:hint="default"/>
                <w:sz w:val="18"/>
                <w:szCs w:val="18"/>
              </w:rPr>
            </w:pPr>
            <w:r>
              <w:rPr>
                <w:rFonts w:ascii="宋体"/>
                <w:spacing w:val="-1"/>
                <w:sz w:val="18"/>
              </w:rPr>
              <w:t>16,749,408.88</w:t>
            </w:r>
          </w:p>
        </w:tc>
        <w:tc>
          <w:tcPr>
            <w:tcW w:w="238" w:type="dxa"/>
            <w:tcBorders>
              <w:top w:val="nil" w:sz="6" w:space="0" w:color="auto"/>
              <w:left w:val="nil" w:sz="6" w:space="0" w:color="auto"/>
              <w:bottom w:val="nil" w:sz="6" w:space="0" w:color="auto"/>
              <w:right w:val="nil" w:sz="6" w:space="0" w:color="auto"/>
            </w:tcBorders>
          </w:tcPr>
          <w:p>
            <w:pPr/>
          </w:p>
        </w:tc>
        <w:tc>
          <w:tcPr>
            <w:tcW w:w="1754" w:type="dxa"/>
            <w:tcBorders>
              <w:top w:val="nil" w:sz="6" w:space="0" w:color="auto"/>
              <w:left w:val="nil" w:sz="6" w:space="0" w:color="auto"/>
              <w:bottom w:val="nil" w:sz="6" w:space="0" w:color="auto"/>
              <w:right w:val="nil" w:sz="6" w:space="0" w:color="auto"/>
            </w:tcBorders>
          </w:tcPr>
          <w:p>
            <w:pPr>
              <w:pStyle w:val="TableParagraph"/>
              <w:spacing w:line="213" w:lineRule="exact"/>
              <w:ind w:right="100"/>
              <w:jc w:val="right"/>
              <w:rPr>
                <w:rFonts w:ascii="宋体" w:hAnsi="宋体" w:cs="宋体" w:eastAsia="宋体" w:hint="default"/>
                <w:sz w:val="18"/>
                <w:szCs w:val="18"/>
              </w:rPr>
            </w:pPr>
            <w:r>
              <w:rPr>
                <w:rFonts w:ascii="宋体"/>
                <w:spacing w:val="-1"/>
                <w:sz w:val="18"/>
              </w:rPr>
              <w:t>18,799,895.91</w:t>
            </w:r>
            <w:r>
              <w:rPr>
                <w:rFonts w:ascii="宋体"/>
                <w:sz w:val="18"/>
              </w:rPr>
            </w:r>
          </w:p>
        </w:tc>
      </w:tr>
      <w:tr>
        <w:trPr>
          <w:trHeight w:val="259" w:hRule="exact"/>
        </w:trPr>
        <w:tc>
          <w:tcPr>
            <w:tcW w:w="3240" w:type="dxa"/>
            <w:tcBorders>
              <w:top w:val="nil" w:sz="6" w:space="0" w:color="auto"/>
              <w:left w:val="nil" w:sz="6" w:space="0" w:color="auto"/>
              <w:bottom w:val="nil" w:sz="6" w:space="0" w:color="auto"/>
              <w:right w:val="nil" w:sz="6" w:space="0" w:color="auto"/>
            </w:tcBorders>
          </w:tcPr>
          <w:p>
            <w:pPr>
              <w:pStyle w:val="TableParagraph"/>
              <w:spacing w:line="211" w:lineRule="exact"/>
              <w:ind w:left="290"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38" w:type="dxa"/>
            <w:tcBorders>
              <w:top w:val="nil" w:sz="6" w:space="0" w:color="auto"/>
              <w:left w:val="nil" w:sz="6" w:space="0" w:color="auto"/>
              <w:bottom w:val="nil" w:sz="6" w:space="0" w:color="auto"/>
              <w:right w:val="nil" w:sz="6" w:space="0" w:color="auto"/>
            </w:tcBorders>
          </w:tcPr>
          <w:p>
            <w:pPr/>
          </w:p>
        </w:tc>
        <w:tc>
          <w:tcPr>
            <w:tcW w:w="1742" w:type="dxa"/>
            <w:tcBorders>
              <w:top w:val="nil" w:sz="6" w:space="0" w:color="auto"/>
              <w:left w:val="nil" w:sz="6" w:space="0" w:color="auto"/>
              <w:bottom w:val="nil" w:sz="6" w:space="0" w:color="auto"/>
              <w:right w:val="nil" w:sz="6" w:space="0" w:color="auto"/>
            </w:tcBorders>
          </w:tcPr>
          <w:p>
            <w:pPr>
              <w:pStyle w:val="TableParagraph"/>
              <w:spacing w:line="239" w:lineRule="exact"/>
              <w:ind w:left="1"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注释</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4</w:t>
            </w:r>
          </w:p>
        </w:tc>
        <w:tc>
          <w:tcPr>
            <w:tcW w:w="238" w:type="dxa"/>
            <w:tcBorders>
              <w:top w:val="nil" w:sz="6" w:space="0" w:color="auto"/>
              <w:left w:val="nil" w:sz="6" w:space="0" w:color="auto"/>
              <w:bottom w:val="nil" w:sz="6" w:space="0" w:color="auto"/>
              <w:right w:val="nil" w:sz="6" w:space="0" w:color="auto"/>
            </w:tcBorders>
          </w:tcPr>
          <w:p>
            <w:pPr/>
          </w:p>
        </w:tc>
        <w:tc>
          <w:tcPr>
            <w:tcW w:w="2102" w:type="dxa"/>
            <w:tcBorders>
              <w:top w:val="nil" w:sz="6" w:space="0" w:color="auto"/>
              <w:left w:val="nil" w:sz="6" w:space="0" w:color="auto"/>
              <w:bottom w:val="nil" w:sz="6" w:space="0" w:color="auto"/>
              <w:right w:val="nil" w:sz="6" w:space="0" w:color="auto"/>
            </w:tcBorders>
          </w:tcPr>
          <w:p>
            <w:pPr>
              <w:pStyle w:val="TableParagraph"/>
              <w:spacing w:line="211" w:lineRule="exact"/>
              <w:ind w:right="106"/>
              <w:jc w:val="right"/>
              <w:rPr>
                <w:rFonts w:ascii="宋体" w:hAnsi="宋体" w:cs="宋体" w:eastAsia="宋体" w:hint="default"/>
                <w:sz w:val="18"/>
                <w:szCs w:val="18"/>
              </w:rPr>
            </w:pPr>
            <w:r>
              <w:rPr>
                <w:rFonts w:ascii="宋体"/>
                <w:spacing w:val="-1"/>
                <w:sz w:val="18"/>
              </w:rPr>
              <w:t>3,368,725.73</w:t>
            </w:r>
            <w:r>
              <w:rPr>
                <w:rFonts w:ascii="宋体"/>
                <w:sz w:val="18"/>
              </w:rPr>
            </w:r>
          </w:p>
        </w:tc>
        <w:tc>
          <w:tcPr>
            <w:tcW w:w="238" w:type="dxa"/>
            <w:tcBorders>
              <w:top w:val="nil" w:sz="6" w:space="0" w:color="auto"/>
              <w:left w:val="nil" w:sz="6" w:space="0" w:color="auto"/>
              <w:bottom w:val="nil" w:sz="6" w:space="0" w:color="auto"/>
              <w:right w:val="nil" w:sz="6" w:space="0" w:color="auto"/>
            </w:tcBorders>
          </w:tcPr>
          <w:p>
            <w:pPr/>
          </w:p>
        </w:tc>
        <w:tc>
          <w:tcPr>
            <w:tcW w:w="1754" w:type="dxa"/>
            <w:tcBorders>
              <w:top w:val="nil" w:sz="6" w:space="0" w:color="auto"/>
              <w:left w:val="nil" w:sz="6" w:space="0" w:color="auto"/>
              <w:bottom w:val="nil" w:sz="6" w:space="0" w:color="auto"/>
              <w:right w:val="nil" w:sz="6" w:space="0" w:color="auto"/>
            </w:tcBorders>
          </w:tcPr>
          <w:p>
            <w:pPr>
              <w:pStyle w:val="TableParagraph"/>
              <w:spacing w:line="211" w:lineRule="exact"/>
              <w:ind w:right="102"/>
              <w:jc w:val="right"/>
              <w:rPr>
                <w:rFonts w:ascii="宋体" w:hAnsi="宋体" w:cs="宋体" w:eastAsia="宋体" w:hint="default"/>
                <w:sz w:val="18"/>
                <w:szCs w:val="18"/>
              </w:rPr>
            </w:pPr>
            <w:r>
              <w:rPr>
                <w:rFonts w:ascii="宋体"/>
                <w:spacing w:val="-1"/>
                <w:sz w:val="18"/>
              </w:rPr>
              <w:t>852,273.26</w:t>
            </w:r>
          </w:p>
        </w:tc>
      </w:tr>
      <w:tr>
        <w:trPr>
          <w:trHeight w:val="264" w:hRule="exact"/>
        </w:trPr>
        <w:tc>
          <w:tcPr>
            <w:tcW w:w="3240" w:type="dxa"/>
            <w:tcBorders>
              <w:top w:val="nil" w:sz="6" w:space="0" w:color="auto"/>
              <w:left w:val="nil" w:sz="6" w:space="0" w:color="auto"/>
              <w:bottom w:val="nil" w:sz="6" w:space="0" w:color="auto"/>
              <w:right w:val="nil" w:sz="6" w:space="0" w:color="auto"/>
            </w:tcBorders>
          </w:tcPr>
          <w:p>
            <w:pPr>
              <w:pStyle w:val="TableParagraph"/>
              <w:spacing w:line="214" w:lineRule="exact"/>
              <w:ind w:left="290"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38" w:type="dxa"/>
            <w:tcBorders>
              <w:top w:val="nil" w:sz="6" w:space="0" w:color="auto"/>
              <w:left w:val="nil" w:sz="6" w:space="0" w:color="auto"/>
              <w:bottom w:val="nil" w:sz="6" w:space="0" w:color="auto"/>
              <w:right w:val="nil" w:sz="6" w:space="0" w:color="auto"/>
            </w:tcBorders>
          </w:tcPr>
          <w:p>
            <w:pPr/>
          </w:p>
        </w:tc>
        <w:tc>
          <w:tcPr>
            <w:tcW w:w="1742" w:type="dxa"/>
            <w:tcBorders>
              <w:top w:val="nil" w:sz="6" w:space="0" w:color="auto"/>
              <w:left w:val="nil" w:sz="6" w:space="0" w:color="auto"/>
              <w:bottom w:val="nil" w:sz="6" w:space="0" w:color="auto"/>
              <w:right w:val="nil" w:sz="6" w:space="0" w:color="auto"/>
            </w:tcBorders>
          </w:tcPr>
          <w:p>
            <w:pPr>
              <w:pStyle w:val="TableParagraph"/>
              <w:spacing w:line="239" w:lineRule="exact"/>
              <w:ind w:left="1"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注释</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5</w:t>
            </w:r>
          </w:p>
        </w:tc>
        <w:tc>
          <w:tcPr>
            <w:tcW w:w="238" w:type="dxa"/>
            <w:tcBorders>
              <w:top w:val="nil" w:sz="6" w:space="0" w:color="auto"/>
              <w:left w:val="nil" w:sz="6" w:space="0" w:color="auto"/>
              <w:bottom w:val="nil" w:sz="6" w:space="0" w:color="auto"/>
              <w:right w:val="nil" w:sz="6" w:space="0" w:color="auto"/>
            </w:tcBorders>
          </w:tcPr>
          <w:p>
            <w:pPr/>
          </w:p>
        </w:tc>
        <w:tc>
          <w:tcPr>
            <w:tcW w:w="2102" w:type="dxa"/>
            <w:tcBorders>
              <w:top w:val="nil" w:sz="6" w:space="0" w:color="auto"/>
              <w:left w:val="nil" w:sz="6" w:space="0" w:color="auto"/>
              <w:bottom w:val="nil" w:sz="6" w:space="0" w:color="auto"/>
              <w:right w:val="nil" w:sz="6" w:space="0" w:color="auto"/>
            </w:tcBorders>
          </w:tcPr>
          <w:p>
            <w:pPr>
              <w:pStyle w:val="TableParagraph"/>
              <w:spacing w:line="214" w:lineRule="exact"/>
              <w:ind w:right="107"/>
              <w:jc w:val="right"/>
              <w:rPr>
                <w:rFonts w:ascii="宋体" w:hAnsi="宋体" w:cs="宋体" w:eastAsia="宋体" w:hint="default"/>
                <w:sz w:val="18"/>
                <w:szCs w:val="18"/>
              </w:rPr>
            </w:pPr>
            <w:r>
              <w:rPr>
                <w:rFonts w:ascii="宋体"/>
                <w:spacing w:val="-1"/>
                <w:sz w:val="18"/>
              </w:rPr>
              <w:t>1,628,808.89</w:t>
            </w:r>
            <w:r>
              <w:rPr>
                <w:rFonts w:ascii="宋体"/>
                <w:sz w:val="18"/>
              </w:rPr>
            </w:r>
          </w:p>
        </w:tc>
        <w:tc>
          <w:tcPr>
            <w:tcW w:w="238" w:type="dxa"/>
            <w:tcBorders>
              <w:top w:val="nil" w:sz="6" w:space="0" w:color="auto"/>
              <w:left w:val="nil" w:sz="6" w:space="0" w:color="auto"/>
              <w:bottom w:val="nil" w:sz="6" w:space="0" w:color="auto"/>
              <w:right w:val="nil" w:sz="6" w:space="0" w:color="auto"/>
            </w:tcBorders>
          </w:tcPr>
          <w:p>
            <w:pPr/>
          </w:p>
        </w:tc>
        <w:tc>
          <w:tcPr>
            <w:tcW w:w="1754" w:type="dxa"/>
            <w:tcBorders>
              <w:top w:val="nil" w:sz="6" w:space="0" w:color="auto"/>
              <w:left w:val="nil" w:sz="6" w:space="0" w:color="auto"/>
              <w:bottom w:val="nil" w:sz="6" w:space="0" w:color="auto"/>
              <w:right w:val="nil" w:sz="6" w:space="0" w:color="auto"/>
            </w:tcBorders>
          </w:tcPr>
          <w:p>
            <w:pPr>
              <w:pStyle w:val="TableParagraph"/>
              <w:spacing w:line="214" w:lineRule="exact"/>
              <w:ind w:right="104"/>
              <w:jc w:val="right"/>
              <w:rPr>
                <w:rFonts w:ascii="宋体" w:hAnsi="宋体" w:cs="宋体" w:eastAsia="宋体" w:hint="default"/>
                <w:sz w:val="18"/>
                <w:szCs w:val="18"/>
              </w:rPr>
            </w:pPr>
            <w:r>
              <w:rPr>
                <w:rFonts w:ascii="宋体"/>
                <w:sz w:val="18"/>
              </w:rPr>
              <w:t>-</w:t>
            </w:r>
          </w:p>
        </w:tc>
      </w:tr>
      <w:tr>
        <w:trPr>
          <w:trHeight w:val="245" w:hRule="exact"/>
        </w:trPr>
        <w:tc>
          <w:tcPr>
            <w:tcW w:w="3240" w:type="dxa"/>
            <w:tcBorders>
              <w:top w:val="nil" w:sz="6" w:space="0" w:color="auto"/>
              <w:left w:val="nil" w:sz="6" w:space="0" w:color="auto"/>
              <w:bottom w:val="nil" w:sz="6" w:space="0" w:color="auto"/>
              <w:right w:val="nil" w:sz="6" w:space="0" w:color="auto"/>
            </w:tcBorders>
          </w:tcPr>
          <w:p>
            <w:pPr>
              <w:pStyle w:val="TableParagraph"/>
              <w:spacing w:line="209" w:lineRule="exact"/>
              <w:ind w:left="290"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38" w:type="dxa"/>
            <w:tcBorders>
              <w:top w:val="nil" w:sz="6" w:space="0" w:color="auto"/>
              <w:left w:val="nil" w:sz="6" w:space="0" w:color="auto"/>
              <w:bottom w:val="nil" w:sz="6" w:space="0" w:color="auto"/>
              <w:right w:val="nil" w:sz="6" w:space="0" w:color="auto"/>
            </w:tcBorders>
          </w:tcPr>
          <w:p>
            <w:pPr/>
          </w:p>
        </w:tc>
        <w:tc>
          <w:tcPr>
            <w:tcW w:w="1742"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2102"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754" w:type="dxa"/>
            <w:tcBorders>
              <w:top w:val="nil" w:sz="6" w:space="0" w:color="auto"/>
              <w:left w:val="nil" w:sz="6" w:space="0" w:color="auto"/>
              <w:bottom w:val="nil" w:sz="6" w:space="0" w:color="auto"/>
              <w:right w:val="nil" w:sz="6" w:space="0" w:color="auto"/>
            </w:tcBorders>
          </w:tcPr>
          <w:p>
            <w:pPr/>
          </w:p>
        </w:tc>
      </w:tr>
      <w:tr>
        <w:trPr>
          <w:trHeight w:val="271" w:hRule="exact"/>
        </w:trPr>
        <w:tc>
          <w:tcPr>
            <w:tcW w:w="3240" w:type="dxa"/>
            <w:tcBorders>
              <w:top w:val="nil" w:sz="6" w:space="0" w:color="auto"/>
              <w:left w:val="nil" w:sz="6" w:space="0" w:color="auto"/>
              <w:bottom w:val="nil" w:sz="6" w:space="0" w:color="auto"/>
              <w:right w:val="nil" w:sz="6" w:space="0" w:color="auto"/>
            </w:tcBorders>
          </w:tcPr>
          <w:p>
            <w:pPr>
              <w:pStyle w:val="TableParagraph"/>
              <w:spacing w:line="223" w:lineRule="exact"/>
              <w:ind w:left="290"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8" w:type="dxa"/>
            <w:tcBorders>
              <w:top w:val="nil" w:sz="6" w:space="0" w:color="auto"/>
              <w:left w:val="nil" w:sz="6" w:space="0" w:color="auto"/>
              <w:bottom w:val="nil" w:sz="6" w:space="0" w:color="auto"/>
              <w:right w:val="nil" w:sz="6" w:space="0" w:color="auto"/>
            </w:tcBorders>
          </w:tcPr>
          <w:p>
            <w:pPr/>
          </w:p>
        </w:tc>
        <w:tc>
          <w:tcPr>
            <w:tcW w:w="1742" w:type="dxa"/>
            <w:tcBorders>
              <w:top w:val="nil" w:sz="6" w:space="0" w:color="auto"/>
              <w:left w:val="nil" w:sz="6" w:space="0" w:color="auto"/>
              <w:bottom w:val="nil" w:sz="6" w:space="0" w:color="auto"/>
              <w:right w:val="nil" w:sz="6" w:space="0" w:color="auto"/>
            </w:tcBorders>
          </w:tcPr>
          <w:p>
            <w:pPr>
              <w:pStyle w:val="TableParagraph"/>
              <w:spacing w:line="251" w:lineRule="exact"/>
              <w:ind w:left="1"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注释</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6</w:t>
            </w:r>
          </w:p>
        </w:tc>
        <w:tc>
          <w:tcPr>
            <w:tcW w:w="238" w:type="dxa"/>
            <w:tcBorders>
              <w:top w:val="nil" w:sz="6" w:space="0" w:color="auto"/>
              <w:left w:val="nil" w:sz="6" w:space="0" w:color="auto"/>
              <w:bottom w:val="nil" w:sz="6" w:space="0" w:color="auto"/>
              <w:right w:val="nil" w:sz="6" w:space="0" w:color="auto"/>
            </w:tcBorders>
          </w:tcPr>
          <w:p>
            <w:pPr/>
          </w:p>
        </w:tc>
        <w:tc>
          <w:tcPr>
            <w:tcW w:w="2102" w:type="dxa"/>
            <w:tcBorders>
              <w:top w:val="nil" w:sz="6" w:space="0" w:color="auto"/>
              <w:left w:val="nil" w:sz="6" w:space="0" w:color="auto"/>
              <w:bottom w:val="nil" w:sz="6" w:space="0" w:color="auto"/>
              <w:right w:val="nil" w:sz="6" w:space="0" w:color="auto"/>
            </w:tcBorders>
          </w:tcPr>
          <w:p>
            <w:pPr>
              <w:pStyle w:val="TableParagraph"/>
              <w:spacing w:line="223" w:lineRule="exact"/>
              <w:ind w:right="107"/>
              <w:jc w:val="right"/>
              <w:rPr>
                <w:rFonts w:ascii="宋体" w:hAnsi="宋体" w:cs="宋体" w:eastAsia="宋体" w:hint="default"/>
                <w:sz w:val="18"/>
                <w:szCs w:val="18"/>
              </w:rPr>
            </w:pPr>
            <w:r>
              <w:rPr>
                <w:rFonts w:ascii="宋体"/>
                <w:spacing w:val="-1"/>
                <w:sz w:val="18"/>
              </w:rPr>
              <w:t>1,138,190.09</w:t>
            </w:r>
            <w:r>
              <w:rPr>
                <w:rFonts w:ascii="宋体"/>
                <w:sz w:val="18"/>
              </w:rPr>
            </w:r>
          </w:p>
        </w:tc>
        <w:tc>
          <w:tcPr>
            <w:tcW w:w="238" w:type="dxa"/>
            <w:tcBorders>
              <w:top w:val="nil" w:sz="6" w:space="0" w:color="auto"/>
              <w:left w:val="nil" w:sz="6" w:space="0" w:color="auto"/>
              <w:bottom w:val="nil" w:sz="6" w:space="0" w:color="auto"/>
              <w:right w:val="nil" w:sz="6" w:space="0" w:color="auto"/>
            </w:tcBorders>
          </w:tcPr>
          <w:p>
            <w:pPr/>
          </w:p>
        </w:tc>
        <w:tc>
          <w:tcPr>
            <w:tcW w:w="1754" w:type="dxa"/>
            <w:tcBorders>
              <w:top w:val="nil" w:sz="6" w:space="0" w:color="auto"/>
              <w:left w:val="nil" w:sz="6" w:space="0" w:color="auto"/>
              <w:bottom w:val="nil" w:sz="6" w:space="0" w:color="auto"/>
              <w:right w:val="nil" w:sz="6" w:space="0" w:color="auto"/>
            </w:tcBorders>
          </w:tcPr>
          <w:p>
            <w:pPr>
              <w:pStyle w:val="TableParagraph"/>
              <w:spacing w:line="223" w:lineRule="exact"/>
              <w:ind w:right="102"/>
              <w:jc w:val="right"/>
              <w:rPr>
                <w:rFonts w:ascii="宋体" w:hAnsi="宋体" w:cs="宋体" w:eastAsia="宋体" w:hint="default"/>
                <w:sz w:val="18"/>
                <w:szCs w:val="18"/>
              </w:rPr>
            </w:pPr>
            <w:r>
              <w:rPr>
                <w:rFonts w:ascii="宋体"/>
                <w:spacing w:val="-1"/>
                <w:sz w:val="18"/>
              </w:rPr>
              <w:t>737,112.24</w:t>
            </w:r>
          </w:p>
        </w:tc>
      </w:tr>
      <w:tr>
        <w:trPr>
          <w:trHeight w:val="264" w:hRule="exact"/>
        </w:trPr>
        <w:tc>
          <w:tcPr>
            <w:tcW w:w="3240" w:type="dxa"/>
            <w:tcBorders>
              <w:top w:val="nil" w:sz="6" w:space="0" w:color="auto"/>
              <w:left w:val="nil" w:sz="6" w:space="0" w:color="auto"/>
              <w:bottom w:val="nil" w:sz="6" w:space="0" w:color="auto"/>
              <w:right w:val="nil" w:sz="6" w:space="0" w:color="auto"/>
            </w:tcBorders>
          </w:tcPr>
          <w:p>
            <w:pPr>
              <w:pStyle w:val="TableParagraph"/>
              <w:spacing w:line="214" w:lineRule="exact"/>
              <w:ind w:left="290"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38" w:type="dxa"/>
            <w:tcBorders>
              <w:top w:val="nil" w:sz="6" w:space="0" w:color="auto"/>
              <w:left w:val="nil" w:sz="6" w:space="0" w:color="auto"/>
              <w:bottom w:val="nil" w:sz="6" w:space="0" w:color="auto"/>
              <w:right w:val="nil" w:sz="6" w:space="0" w:color="auto"/>
            </w:tcBorders>
          </w:tcPr>
          <w:p>
            <w:pPr/>
          </w:p>
        </w:tc>
        <w:tc>
          <w:tcPr>
            <w:tcW w:w="1742" w:type="dxa"/>
            <w:tcBorders>
              <w:top w:val="nil" w:sz="6" w:space="0" w:color="auto"/>
              <w:left w:val="nil" w:sz="6" w:space="0" w:color="auto"/>
              <w:bottom w:val="nil" w:sz="6" w:space="0" w:color="auto"/>
              <w:right w:val="nil" w:sz="6" w:space="0" w:color="auto"/>
            </w:tcBorders>
          </w:tcPr>
          <w:p>
            <w:pPr>
              <w:pStyle w:val="TableParagraph"/>
              <w:spacing w:line="239" w:lineRule="exact"/>
              <w:ind w:left="1"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注释</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7</w:t>
            </w:r>
          </w:p>
        </w:tc>
        <w:tc>
          <w:tcPr>
            <w:tcW w:w="238" w:type="dxa"/>
            <w:tcBorders>
              <w:top w:val="nil" w:sz="6" w:space="0" w:color="auto"/>
              <w:left w:val="nil" w:sz="6" w:space="0" w:color="auto"/>
              <w:bottom w:val="nil" w:sz="6" w:space="0" w:color="auto"/>
              <w:right w:val="nil" w:sz="6" w:space="0" w:color="auto"/>
            </w:tcBorders>
          </w:tcPr>
          <w:p>
            <w:pPr/>
          </w:p>
        </w:tc>
        <w:tc>
          <w:tcPr>
            <w:tcW w:w="2102" w:type="dxa"/>
            <w:tcBorders>
              <w:top w:val="nil" w:sz="6" w:space="0" w:color="auto"/>
              <w:left w:val="nil" w:sz="6" w:space="0" w:color="auto"/>
              <w:bottom w:val="nil" w:sz="6" w:space="0" w:color="auto"/>
              <w:right w:val="nil" w:sz="6" w:space="0" w:color="auto"/>
            </w:tcBorders>
          </w:tcPr>
          <w:p>
            <w:pPr>
              <w:pStyle w:val="TableParagraph"/>
              <w:spacing w:line="214" w:lineRule="exact"/>
              <w:ind w:right="107"/>
              <w:jc w:val="right"/>
              <w:rPr>
                <w:rFonts w:ascii="宋体" w:hAnsi="宋体" w:cs="宋体" w:eastAsia="宋体" w:hint="default"/>
                <w:sz w:val="18"/>
                <w:szCs w:val="18"/>
              </w:rPr>
            </w:pPr>
            <w:r>
              <w:rPr>
                <w:rFonts w:ascii="宋体"/>
                <w:spacing w:val="-1"/>
                <w:sz w:val="18"/>
              </w:rPr>
              <w:t>5,137,881.57</w:t>
            </w:r>
            <w:r>
              <w:rPr>
                <w:rFonts w:ascii="宋体"/>
                <w:sz w:val="18"/>
              </w:rPr>
            </w:r>
          </w:p>
        </w:tc>
        <w:tc>
          <w:tcPr>
            <w:tcW w:w="238" w:type="dxa"/>
            <w:tcBorders>
              <w:top w:val="nil" w:sz="6" w:space="0" w:color="auto"/>
              <w:left w:val="nil" w:sz="6" w:space="0" w:color="auto"/>
              <w:bottom w:val="nil" w:sz="6" w:space="0" w:color="auto"/>
              <w:right w:val="nil" w:sz="6" w:space="0" w:color="auto"/>
            </w:tcBorders>
          </w:tcPr>
          <w:p>
            <w:pPr/>
          </w:p>
        </w:tc>
        <w:tc>
          <w:tcPr>
            <w:tcW w:w="1754" w:type="dxa"/>
            <w:tcBorders>
              <w:top w:val="nil" w:sz="6" w:space="0" w:color="auto"/>
              <w:left w:val="nil" w:sz="6" w:space="0" w:color="auto"/>
              <w:bottom w:val="nil" w:sz="6" w:space="0" w:color="auto"/>
              <w:right w:val="nil" w:sz="6" w:space="0" w:color="auto"/>
            </w:tcBorders>
          </w:tcPr>
          <w:p>
            <w:pPr>
              <w:pStyle w:val="TableParagraph"/>
              <w:spacing w:line="214" w:lineRule="exact"/>
              <w:ind w:right="102"/>
              <w:jc w:val="right"/>
              <w:rPr>
                <w:rFonts w:ascii="宋体" w:hAnsi="宋体" w:cs="宋体" w:eastAsia="宋体" w:hint="default"/>
                <w:sz w:val="18"/>
                <w:szCs w:val="18"/>
              </w:rPr>
            </w:pPr>
            <w:r>
              <w:rPr>
                <w:rFonts w:ascii="宋体"/>
                <w:spacing w:val="-1"/>
                <w:sz w:val="18"/>
              </w:rPr>
              <w:t>6,968,567.42</w:t>
            </w:r>
          </w:p>
        </w:tc>
      </w:tr>
      <w:tr>
        <w:trPr>
          <w:trHeight w:val="245" w:hRule="exact"/>
        </w:trPr>
        <w:tc>
          <w:tcPr>
            <w:tcW w:w="3240" w:type="dxa"/>
            <w:tcBorders>
              <w:top w:val="nil" w:sz="6" w:space="0" w:color="auto"/>
              <w:left w:val="nil" w:sz="6" w:space="0" w:color="auto"/>
              <w:bottom w:val="nil" w:sz="6" w:space="0" w:color="auto"/>
              <w:right w:val="nil" w:sz="6" w:space="0" w:color="auto"/>
            </w:tcBorders>
          </w:tcPr>
          <w:p>
            <w:pPr>
              <w:pStyle w:val="TableParagraph"/>
              <w:spacing w:line="209" w:lineRule="exact"/>
              <w:ind w:left="290"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38" w:type="dxa"/>
            <w:tcBorders>
              <w:top w:val="nil" w:sz="6" w:space="0" w:color="auto"/>
              <w:left w:val="nil" w:sz="6" w:space="0" w:color="auto"/>
              <w:bottom w:val="nil" w:sz="6" w:space="0" w:color="auto"/>
              <w:right w:val="nil" w:sz="6" w:space="0" w:color="auto"/>
            </w:tcBorders>
          </w:tcPr>
          <w:p>
            <w:pPr/>
          </w:p>
        </w:tc>
        <w:tc>
          <w:tcPr>
            <w:tcW w:w="1742"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2102"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754" w:type="dxa"/>
            <w:tcBorders>
              <w:top w:val="nil" w:sz="6" w:space="0" w:color="auto"/>
              <w:left w:val="nil" w:sz="6" w:space="0" w:color="auto"/>
              <w:bottom w:val="nil" w:sz="6" w:space="0" w:color="auto"/>
              <w:right w:val="nil" w:sz="6" w:space="0" w:color="auto"/>
            </w:tcBorders>
          </w:tcPr>
          <w:p>
            <w:pPr/>
          </w:p>
        </w:tc>
      </w:tr>
      <w:tr>
        <w:trPr>
          <w:trHeight w:val="273" w:hRule="exact"/>
        </w:trPr>
        <w:tc>
          <w:tcPr>
            <w:tcW w:w="3240" w:type="dxa"/>
            <w:tcBorders>
              <w:top w:val="nil" w:sz="6" w:space="0" w:color="auto"/>
              <w:left w:val="nil" w:sz="6" w:space="0" w:color="auto"/>
              <w:bottom w:val="nil" w:sz="6" w:space="0" w:color="auto"/>
              <w:right w:val="nil" w:sz="6" w:space="0" w:color="auto"/>
            </w:tcBorders>
          </w:tcPr>
          <w:p>
            <w:pPr>
              <w:pStyle w:val="TableParagraph"/>
              <w:spacing w:line="223" w:lineRule="exact"/>
              <w:ind w:left="290"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38" w:type="dxa"/>
            <w:tcBorders>
              <w:top w:val="nil" w:sz="6" w:space="0" w:color="auto"/>
              <w:left w:val="nil" w:sz="6" w:space="0" w:color="auto"/>
              <w:bottom w:val="nil" w:sz="6" w:space="0" w:color="auto"/>
              <w:right w:val="nil" w:sz="6" w:space="0" w:color="auto"/>
            </w:tcBorders>
          </w:tcPr>
          <w:p>
            <w:pPr/>
          </w:p>
        </w:tc>
        <w:tc>
          <w:tcPr>
            <w:tcW w:w="1742" w:type="dxa"/>
            <w:tcBorders>
              <w:top w:val="nil" w:sz="6" w:space="0" w:color="auto"/>
              <w:left w:val="nil" w:sz="6" w:space="0" w:color="auto"/>
              <w:bottom w:val="nil" w:sz="6" w:space="0" w:color="auto"/>
              <w:right w:val="nil" w:sz="6" w:space="0" w:color="auto"/>
            </w:tcBorders>
          </w:tcPr>
          <w:p>
            <w:pPr>
              <w:pStyle w:val="TableParagraph"/>
              <w:spacing w:line="251" w:lineRule="exact"/>
              <w:ind w:left="1"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注释</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8</w:t>
            </w:r>
          </w:p>
        </w:tc>
        <w:tc>
          <w:tcPr>
            <w:tcW w:w="238" w:type="dxa"/>
            <w:tcBorders>
              <w:top w:val="nil" w:sz="6" w:space="0" w:color="auto"/>
              <w:left w:val="nil" w:sz="6" w:space="0" w:color="auto"/>
              <w:bottom w:val="nil" w:sz="6" w:space="0" w:color="auto"/>
              <w:right w:val="nil" w:sz="6" w:space="0" w:color="auto"/>
            </w:tcBorders>
          </w:tcPr>
          <w:p>
            <w:pPr/>
          </w:p>
        </w:tc>
        <w:tc>
          <w:tcPr>
            <w:tcW w:w="2102" w:type="dxa"/>
            <w:tcBorders>
              <w:top w:val="nil" w:sz="6" w:space="0" w:color="auto"/>
              <w:left w:val="nil" w:sz="6" w:space="0" w:color="auto"/>
              <w:bottom w:val="nil" w:sz="6" w:space="0" w:color="auto"/>
              <w:right w:val="nil" w:sz="6" w:space="0" w:color="auto"/>
            </w:tcBorders>
          </w:tcPr>
          <w:p>
            <w:pPr>
              <w:pStyle w:val="TableParagraph"/>
              <w:spacing w:line="223" w:lineRule="exact"/>
              <w:ind w:right="107"/>
              <w:jc w:val="right"/>
              <w:rPr>
                <w:rFonts w:ascii="宋体" w:hAnsi="宋体" w:cs="宋体" w:eastAsia="宋体" w:hint="default"/>
                <w:sz w:val="18"/>
                <w:szCs w:val="18"/>
              </w:rPr>
            </w:pPr>
            <w:r>
              <w:rPr>
                <w:rFonts w:ascii="宋体"/>
                <w:spacing w:val="-1"/>
                <w:sz w:val="18"/>
              </w:rPr>
              <w:t>100,000,000.00</w:t>
            </w:r>
            <w:r>
              <w:rPr>
                <w:rFonts w:ascii="宋体"/>
                <w:sz w:val="18"/>
              </w:rPr>
            </w:r>
          </w:p>
        </w:tc>
        <w:tc>
          <w:tcPr>
            <w:tcW w:w="238" w:type="dxa"/>
            <w:tcBorders>
              <w:top w:val="nil" w:sz="6" w:space="0" w:color="auto"/>
              <w:left w:val="nil" w:sz="6" w:space="0" w:color="auto"/>
              <w:bottom w:val="nil" w:sz="6" w:space="0" w:color="auto"/>
              <w:right w:val="nil" w:sz="6" w:space="0" w:color="auto"/>
            </w:tcBorders>
          </w:tcPr>
          <w:p>
            <w:pPr/>
          </w:p>
        </w:tc>
        <w:tc>
          <w:tcPr>
            <w:tcW w:w="1754" w:type="dxa"/>
            <w:tcBorders>
              <w:top w:val="nil" w:sz="6" w:space="0" w:color="auto"/>
              <w:left w:val="nil" w:sz="6" w:space="0" w:color="auto"/>
              <w:bottom w:val="nil" w:sz="6" w:space="0" w:color="auto"/>
              <w:right w:val="nil" w:sz="6" w:space="0" w:color="auto"/>
            </w:tcBorders>
          </w:tcPr>
          <w:p>
            <w:pPr>
              <w:pStyle w:val="TableParagraph"/>
              <w:spacing w:line="223" w:lineRule="exact"/>
              <w:ind w:right="102"/>
              <w:jc w:val="right"/>
              <w:rPr>
                <w:rFonts w:ascii="宋体" w:hAnsi="宋体" w:cs="宋体" w:eastAsia="宋体" w:hint="default"/>
                <w:sz w:val="18"/>
                <w:szCs w:val="18"/>
              </w:rPr>
            </w:pPr>
            <w:r>
              <w:rPr>
                <w:rFonts w:ascii="宋体"/>
                <w:spacing w:val="-1"/>
                <w:sz w:val="18"/>
              </w:rPr>
              <w:t>80,000,000.00</w:t>
            </w:r>
          </w:p>
        </w:tc>
      </w:tr>
      <w:tr>
        <w:trPr>
          <w:trHeight w:val="241" w:hRule="exact"/>
        </w:trPr>
        <w:tc>
          <w:tcPr>
            <w:tcW w:w="3240" w:type="dxa"/>
            <w:tcBorders>
              <w:top w:val="nil" w:sz="6" w:space="0" w:color="auto"/>
              <w:left w:val="nil" w:sz="6" w:space="0" w:color="auto"/>
              <w:bottom w:val="nil" w:sz="6" w:space="0" w:color="auto"/>
              <w:right w:val="nil" w:sz="6" w:space="0" w:color="auto"/>
            </w:tcBorders>
          </w:tcPr>
          <w:p>
            <w:pPr>
              <w:pStyle w:val="TableParagraph"/>
              <w:spacing w:line="207" w:lineRule="exact"/>
              <w:ind w:left="470"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38" w:type="dxa"/>
            <w:tcBorders>
              <w:top w:val="nil" w:sz="6" w:space="0" w:color="auto"/>
              <w:left w:val="nil" w:sz="6" w:space="0" w:color="auto"/>
              <w:bottom w:val="nil" w:sz="6" w:space="0" w:color="auto"/>
              <w:right w:val="nil" w:sz="6" w:space="0" w:color="auto"/>
            </w:tcBorders>
          </w:tcPr>
          <w:p>
            <w:pPr/>
          </w:p>
        </w:tc>
        <w:tc>
          <w:tcPr>
            <w:tcW w:w="1742"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2102" w:type="dxa"/>
            <w:tcBorders>
              <w:top w:val="nil" w:sz="6" w:space="0" w:color="auto"/>
              <w:left w:val="nil" w:sz="6" w:space="0" w:color="auto"/>
              <w:bottom w:val="single" w:sz="4" w:space="0" w:color="000000"/>
              <w:right w:val="nil" w:sz="6" w:space="0" w:color="auto"/>
            </w:tcBorders>
          </w:tcPr>
          <w:p>
            <w:pPr>
              <w:pStyle w:val="TableParagraph"/>
              <w:spacing w:line="207" w:lineRule="exact"/>
              <w:ind w:right="107"/>
              <w:jc w:val="right"/>
              <w:rPr>
                <w:rFonts w:ascii="宋体" w:hAnsi="宋体" w:cs="宋体" w:eastAsia="宋体" w:hint="default"/>
                <w:sz w:val="18"/>
                <w:szCs w:val="18"/>
              </w:rPr>
            </w:pPr>
            <w:r>
              <w:rPr>
                <w:rFonts w:ascii="宋体"/>
                <w:spacing w:val="-1"/>
                <w:sz w:val="18"/>
              </w:rPr>
              <w:t>249,322,797.06</w:t>
            </w:r>
            <w:r>
              <w:rPr>
                <w:rFonts w:ascii="宋体"/>
                <w:sz w:val="18"/>
              </w:rPr>
            </w:r>
          </w:p>
        </w:tc>
        <w:tc>
          <w:tcPr>
            <w:tcW w:w="238" w:type="dxa"/>
            <w:tcBorders>
              <w:top w:val="nil" w:sz="6" w:space="0" w:color="auto"/>
              <w:left w:val="nil" w:sz="6" w:space="0" w:color="auto"/>
              <w:bottom w:val="nil" w:sz="6" w:space="0" w:color="auto"/>
              <w:right w:val="nil" w:sz="6" w:space="0" w:color="auto"/>
            </w:tcBorders>
          </w:tcPr>
          <w:p>
            <w:pPr/>
          </w:p>
        </w:tc>
        <w:tc>
          <w:tcPr>
            <w:tcW w:w="1754" w:type="dxa"/>
            <w:tcBorders>
              <w:top w:val="nil" w:sz="6" w:space="0" w:color="auto"/>
              <w:left w:val="nil" w:sz="6" w:space="0" w:color="auto"/>
              <w:bottom w:val="single" w:sz="4" w:space="0" w:color="000000"/>
              <w:right w:val="nil" w:sz="6" w:space="0" w:color="auto"/>
            </w:tcBorders>
          </w:tcPr>
          <w:p>
            <w:pPr>
              <w:pStyle w:val="TableParagraph"/>
              <w:spacing w:line="207" w:lineRule="exact"/>
              <w:ind w:right="102"/>
              <w:jc w:val="right"/>
              <w:rPr>
                <w:rFonts w:ascii="宋体" w:hAnsi="宋体" w:cs="宋体" w:eastAsia="宋体" w:hint="default"/>
                <w:sz w:val="18"/>
                <w:szCs w:val="18"/>
              </w:rPr>
            </w:pPr>
            <w:r>
              <w:rPr>
                <w:rFonts w:ascii="宋体"/>
                <w:spacing w:val="-1"/>
                <w:sz w:val="18"/>
              </w:rPr>
              <w:t>234,244,167.28</w:t>
            </w:r>
          </w:p>
        </w:tc>
      </w:tr>
      <w:tr>
        <w:trPr>
          <w:trHeight w:val="240" w:hRule="exact"/>
        </w:trPr>
        <w:tc>
          <w:tcPr>
            <w:tcW w:w="3240" w:type="dxa"/>
            <w:tcBorders>
              <w:top w:val="nil" w:sz="6" w:space="0" w:color="auto"/>
              <w:left w:val="nil" w:sz="6" w:space="0" w:color="auto"/>
              <w:bottom w:val="nil" w:sz="6" w:space="0" w:color="auto"/>
              <w:right w:val="nil" w:sz="6" w:space="0" w:color="auto"/>
            </w:tcBorders>
          </w:tcPr>
          <w:p>
            <w:pPr>
              <w:pStyle w:val="TableParagraph"/>
              <w:spacing w:line="210"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非流动资产：</w:t>
            </w:r>
            <w:r>
              <w:rPr>
                <w:rFonts w:ascii="宋体" w:hAnsi="宋体" w:cs="宋体" w:eastAsia="宋体" w:hint="default"/>
                <w:sz w:val="18"/>
                <w:szCs w:val="18"/>
              </w:rPr>
            </w:r>
          </w:p>
        </w:tc>
        <w:tc>
          <w:tcPr>
            <w:tcW w:w="238" w:type="dxa"/>
            <w:tcBorders>
              <w:top w:val="nil" w:sz="6" w:space="0" w:color="auto"/>
              <w:left w:val="nil" w:sz="6" w:space="0" w:color="auto"/>
              <w:bottom w:val="nil" w:sz="6" w:space="0" w:color="auto"/>
              <w:right w:val="nil" w:sz="6" w:space="0" w:color="auto"/>
            </w:tcBorders>
          </w:tcPr>
          <w:p>
            <w:pPr/>
          </w:p>
        </w:tc>
        <w:tc>
          <w:tcPr>
            <w:tcW w:w="1742"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2102" w:type="dxa"/>
            <w:tcBorders>
              <w:top w:val="single" w:sz="4" w:space="0" w:color="000000"/>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754" w:type="dxa"/>
            <w:tcBorders>
              <w:top w:val="single" w:sz="4" w:space="0" w:color="000000"/>
              <w:left w:val="nil" w:sz="6" w:space="0" w:color="auto"/>
              <w:bottom w:val="nil" w:sz="6" w:space="0" w:color="auto"/>
              <w:right w:val="nil" w:sz="6" w:space="0" w:color="auto"/>
            </w:tcBorders>
          </w:tcPr>
          <w:p>
            <w:pPr/>
          </w:p>
        </w:tc>
      </w:tr>
      <w:tr>
        <w:trPr>
          <w:trHeight w:val="262" w:hRule="exact"/>
        </w:trPr>
        <w:tc>
          <w:tcPr>
            <w:tcW w:w="3240" w:type="dxa"/>
            <w:tcBorders>
              <w:top w:val="nil" w:sz="6" w:space="0" w:color="auto"/>
              <w:left w:val="nil" w:sz="6" w:space="0" w:color="auto"/>
              <w:bottom w:val="nil" w:sz="6" w:space="0" w:color="auto"/>
              <w:right w:val="nil" w:sz="6" w:space="0" w:color="auto"/>
            </w:tcBorders>
          </w:tcPr>
          <w:p>
            <w:pPr>
              <w:pStyle w:val="TableParagraph"/>
              <w:spacing w:line="217" w:lineRule="exact"/>
              <w:ind w:left="290"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38" w:type="dxa"/>
            <w:tcBorders>
              <w:top w:val="nil" w:sz="6" w:space="0" w:color="auto"/>
              <w:left w:val="nil" w:sz="6" w:space="0" w:color="auto"/>
              <w:bottom w:val="nil" w:sz="6" w:space="0" w:color="auto"/>
              <w:right w:val="nil" w:sz="6" w:space="0" w:color="auto"/>
            </w:tcBorders>
          </w:tcPr>
          <w:p>
            <w:pPr/>
          </w:p>
        </w:tc>
        <w:tc>
          <w:tcPr>
            <w:tcW w:w="1742" w:type="dxa"/>
            <w:tcBorders>
              <w:top w:val="nil" w:sz="6" w:space="0" w:color="auto"/>
              <w:left w:val="nil" w:sz="6" w:space="0" w:color="auto"/>
              <w:bottom w:val="nil" w:sz="6" w:space="0" w:color="auto"/>
              <w:right w:val="nil" w:sz="6" w:space="0" w:color="auto"/>
            </w:tcBorders>
          </w:tcPr>
          <w:p>
            <w:pPr>
              <w:pStyle w:val="TableParagraph"/>
              <w:spacing w:line="245" w:lineRule="exact"/>
              <w:ind w:left="1"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注释</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9</w:t>
            </w:r>
          </w:p>
        </w:tc>
        <w:tc>
          <w:tcPr>
            <w:tcW w:w="238" w:type="dxa"/>
            <w:tcBorders>
              <w:top w:val="nil" w:sz="6" w:space="0" w:color="auto"/>
              <w:left w:val="nil" w:sz="6" w:space="0" w:color="auto"/>
              <w:bottom w:val="nil" w:sz="6" w:space="0" w:color="auto"/>
              <w:right w:val="nil" w:sz="6" w:space="0" w:color="auto"/>
            </w:tcBorders>
          </w:tcPr>
          <w:p>
            <w:pPr/>
          </w:p>
        </w:tc>
        <w:tc>
          <w:tcPr>
            <w:tcW w:w="2102" w:type="dxa"/>
            <w:tcBorders>
              <w:top w:val="nil" w:sz="6" w:space="0" w:color="auto"/>
              <w:left w:val="nil" w:sz="6" w:space="0" w:color="auto"/>
              <w:bottom w:val="nil" w:sz="6" w:space="0" w:color="auto"/>
              <w:right w:val="nil" w:sz="6" w:space="0" w:color="auto"/>
            </w:tcBorders>
          </w:tcPr>
          <w:p>
            <w:pPr>
              <w:pStyle w:val="TableParagraph"/>
              <w:spacing w:line="217" w:lineRule="exact"/>
              <w:ind w:right="107"/>
              <w:jc w:val="right"/>
              <w:rPr>
                <w:rFonts w:ascii="宋体" w:hAnsi="宋体" w:cs="宋体" w:eastAsia="宋体" w:hint="default"/>
                <w:sz w:val="18"/>
                <w:szCs w:val="18"/>
              </w:rPr>
            </w:pPr>
            <w:r>
              <w:rPr>
                <w:rFonts w:ascii="宋体"/>
                <w:spacing w:val="-1"/>
                <w:sz w:val="18"/>
              </w:rPr>
              <w:t>6,000,000.00</w:t>
            </w:r>
            <w:r>
              <w:rPr>
                <w:rFonts w:ascii="宋体"/>
                <w:sz w:val="18"/>
              </w:rPr>
            </w:r>
          </w:p>
        </w:tc>
        <w:tc>
          <w:tcPr>
            <w:tcW w:w="238" w:type="dxa"/>
            <w:tcBorders>
              <w:top w:val="nil" w:sz="6" w:space="0" w:color="auto"/>
              <w:left w:val="nil" w:sz="6" w:space="0" w:color="auto"/>
              <w:bottom w:val="nil" w:sz="6" w:space="0" w:color="auto"/>
              <w:right w:val="nil" w:sz="6" w:space="0" w:color="auto"/>
            </w:tcBorders>
          </w:tcPr>
          <w:p>
            <w:pPr/>
          </w:p>
        </w:tc>
        <w:tc>
          <w:tcPr>
            <w:tcW w:w="1754" w:type="dxa"/>
            <w:tcBorders>
              <w:top w:val="nil" w:sz="6" w:space="0" w:color="auto"/>
              <w:left w:val="nil" w:sz="6" w:space="0" w:color="auto"/>
              <w:bottom w:val="nil" w:sz="6" w:space="0" w:color="auto"/>
              <w:right w:val="nil" w:sz="6" w:space="0" w:color="auto"/>
            </w:tcBorders>
          </w:tcPr>
          <w:p>
            <w:pPr>
              <w:pStyle w:val="TableParagraph"/>
              <w:spacing w:line="217" w:lineRule="exact"/>
              <w:ind w:right="104"/>
              <w:jc w:val="right"/>
              <w:rPr>
                <w:rFonts w:ascii="宋体" w:hAnsi="宋体" w:cs="宋体" w:eastAsia="宋体" w:hint="default"/>
                <w:sz w:val="18"/>
                <w:szCs w:val="18"/>
              </w:rPr>
            </w:pPr>
            <w:r>
              <w:rPr>
                <w:rFonts w:ascii="宋体"/>
                <w:sz w:val="18"/>
              </w:rPr>
              <w:t>-</w:t>
            </w:r>
          </w:p>
        </w:tc>
      </w:tr>
      <w:tr>
        <w:trPr>
          <w:trHeight w:val="228" w:hRule="exact"/>
        </w:trPr>
        <w:tc>
          <w:tcPr>
            <w:tcW w:w="3240" w:type="dxa"/>
            <w:tcBorders>
              <w:top w:val="nil" w:sz="6" w:space="0" w:color="auto"/>
              <w:left w:val="nil" w:sz="6" w:space="0" w:color="auto"/>
              <w:bottom w:val="nil" w:sz="6" w:space="0" w:color="auto"/>
              <w:right w:val="nil" w:sz="6" w:space="0" w:color="auto"/>
            </w:tcBorders>
          </w:tcPr>
          <w:p>
            <w:pPr>
              <w:pStyle w:val="TableParagraph"/>
              <w:spacing w:line="202" w:lineRule="exact"/>
              <w:ind w:left="290"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38" w:type="dxa"/>
            <w:tcBorders>
              <w:top w:val="nil" w:sz="6" w:space="0" w:color="auto"/>
              <w:left w:val="nil" w:sz="6" w:space="0" w:color="auto"/>
              <w:bottom w:val="nil" w:sz="6" w:space="0" w:color="auto"/>
              <w:right w:val="nil" w:sz="6" w:space="0" w:color="auto"/>
            </w:tcBorders>
          </w:tcPr>
          <w:p>
            <w:pPr/>
          </w:p>
        </w:tc>
        <w:tc>
          <w:tcPr>
            <w:tcW w:w="1742"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2102"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754" w:type="dxa"/>
            <w:tcBorders>
              <w:top w:val="nil" w:sz="6" w:space="0" w:color="auto"/>
              <w:left w:val="nil" w:sz="6" w:space="0" w:color="auto"/>
              <w:bottom w:val="nil" w:sz="6" w:space="0" w:color="auto"/>
              <w:right w:val="nil" w:sz="6" w:space="0" w:color="auto"/>
            </w:tcBorders>
          </w:tcPr>
          <w:p>
            <w:pPr>
              <w:pStyle w:val="TableParagraph"/>
              <w:spacing w:line="202" w:lineRule="exact"/>
              <w:ind w:right="104"/>
              <w:jc w:val="right"/>
              <w:rPr>
                <w:rFonts w:ascii="宋体" w:hAnsi="宋体" w:cs="宋体" w:eastAsia="宋体" w:hint="default"/>
                <w:sz w:val="18"/>
                <w:szCs w:val="18"/>
              </w:rPr>
            </w:pPr>
            <w:r>
              <w:rPr>
                <w:rFonts w:ascii="宋体"/>
                <w:sz w:val="18"/>
              </w:rPr>
              <w:t>-</w:t>
            </w:r>
          </w:p>
        </w:tc>
      </w:tr>
      <w:tr>
        <w:trPr>
          <w:trHeight w:val="234" w:hRule="exact"/>
        </w:trPr>
        <w:tc>
          <w:tcPr>
            <w:tcW w:w="3240" w:type="dxa"/>
            <w:tcBorders>
              <w:top w:val="nil" w:sz="6" w:space="0" w:color="auto"/>
              <w:left w:val="nil" w:sz="6" w:space="0" w:color="auto"/>
              <w:bottom w:val="nil" w:sz="6" w:space="0" w:color="auto"/>
              <w:right w:val="nil" w:sz="6" w:space="0" w:color="auto"/>
            </w:tcBorders>
          </w:tcPr>
          <w:p>
            <w:pPr>
              <w:pStyle w:val="TableParagraph"/>
              <w:spacing w:line="206" w:lineRule="exact"/>
              <w:ind w:left="290"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38" w:type="dxa"/>
            <w:tcBorders>
              <w:top w:val="nil" w:sz="6" w:space="0" w:color="auto"/>
              <w:left w:val="nil" w:sz="6" w:space="0" w:color="auto"/>
              <w:bottom w:val="nil" w:sz="6" w:space="0" w:color="auto"/>
              <w:right w:val="nil" w:sz="6" w:space="0" w:color="auto"/>
            </w:tcBorders>
          </w:tcPr>
          <w:p>
            <w:pPr/>
          </w:p>
        </w:tc>
        <w:tc>
          <w:tcPr>
            <w:tcW w:w="1742"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2102"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754" w:type="dxa"/>
            <w:tcBorders>
              <w:top w:val="nil" w:sz="6" w:space="0" w:color="auto"/>
              <w:left w:val="nil" w:sz="6" w:space="0" w:color="auto"/>
              <w:bottom w:val="nil" w:sz="6" w:space="0" w:color="auto"/>
              <w:right w:val="nil" w:sz="6" w:space="0" w:color="auto"/>
            </w:tcBorders>
          </w:tcPr>
          <w:p>
            <w:pPr>
              <w:pStyle w:val="TableParagraph"/>
              <w:spacing w:line="206" w:lineRule="exact"/>
              <w:ind w:right="104"/>
              <w:jc w:val="right"/>
              <w:rPr>
                <w:rFonts w:ascii="宋体" w:hAnsi="宋体" w:cs="宋体" w:eastAsia="宋体" w:hint="default"/>
                <w:sz w:val="18"/>
                <w:szCs w:val="18"/>
              </w:rPr>
            </w:pPr>
            <w:r>
              <w:rPr>
                <w:rFonts w:ascii="宋体"/>
                <w:sz w:val="18"/>
              </w:rPr>
              <w:t>-</w:t>
            </w:r>
          </w:p>
        </w:tc>
      </w:tr>
      <w:tr>
        <w:trPr>
          <w:trHeight w:val="234" w:hRule="exact"/>
        </w:trPr>
        <w:tc>
          <w:tcPr>
            <w:tcW w:w="3240" w:type="dxa"/>
            <w:tcBorders>
              <w:top w:val="nil" w:sz="6" w:space="0" w:color="auto"/>
              <w:left w:val="nil" w:sz="6" w:space="0" w:color="auto"/>
              <w:bottom w:val="nil" w:sz="6" w:space="0" w:color="auto"/>
              <w:right w:val="nil" w:sz="6" w:space="0" w:color="auto"/>
            </w:tcBorders>
          </w:tcPr>
          <w:p>
            <w:pPr>
              <w:pStyle w:val="TableParagraph"/>
              <w:spacing w:line="208" w:lineRule="exact"/>
              <w:ind w:left="290"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38" w:type="dxa"/>
            <w:tcBorders>
              <w:top w:val="nil" w:sz="6" w:space="0" w:color="auto"/>
              <w:left w:val="nil" w:sz="6" w:space="0" w:color="auto"/>
              <w:bottom w:val="nil" w:sz="6" w:space="0" w:color="auto"/>
              <w:right w:val="nil" w:sz="6" w:space="0" w:color="auto"/>
            </w:tcBorders>
          </w:tcPr>
          <w:p>
            <w:pPr/>
          </w:p>
        </w:tc>
        <w:tc>
          <w:tcPr>
            <w:tcW w:w="1742"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2102"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754" w:type="dxa"/>
            <w:tcBorders>
              <w:top w:val="nil" w:sz="6" w:space="0" w:color="auto"/>
              <w:left w:val="nil" w:sz="6" w:space="0" w:color="auto"/>
              <w:bottom w:val="nil" w:sz="6" w:space="0" w:color="auto"/>
              <w:right w:val="nil" w:sz="6" w:space="0" w:color="auto"/>
            </w:tcBorders>
          </w:tcPr>
          <w:p>
            <w:pPr>
              <w:pStyle w:val="TableParagraph"/>
              <w:spacing w:line="208" w:lineRule="exact"/>
              <w:ind w:right="104"/>
              <w:jc w:val="right"/>
              <w:rPr>
                <w:rFonts w:ascii="宋体" w:hAnsi="宋体" w:cs="宋体" w:eastAsia="宋体" w:hint="default"/>
                <w:sz w:val="18"/>
                <w:szCs w:val="18"/>
              </w:rPr>
            </w:pPr>
            <w:r>
              <w:rPr>
                <w:rFonts w:ascii="宋体"/>
                <w:sz w:val="18"/>
              </w:rPr>
              <w:t>-</w:t>
            </w:r>
          </w:p>
        </w:tc>
      </w:tr>
      <w:tr>
        <w:trPr>
          <w:trHeight w:val="237" w:hRule="exact"/>
        </w:trPr>
        <w:tc>
          <w:tcPr>
            <w:tcW w:w="3240" w:type="dxa"/>
            <w:tcBorders>
              <w:top w:val="nil" w:sz="6" w:space="0" w:color="auto"/>
              <w:left w:val="nil" w:sz="6" w:space="0" w:color="auto"/>
              <w:bottom w:val="nil" w:sz="6" w:space="0" w:color="auto"/>
              <w:right w:val="nil" w:sz="6" w:space="0" w:color="auto"/>
            </w:tcBorders>
          </w:tcPr>
          <w:p>
            <w:pPr>
              <w:pStyle w:val="TableParagraph"/>
              <w:spacing w:line="206" w:lineRule="exact"/>
              <w:ind w:left="290"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38" w:type="dxa"/>
            <w:tcBorders>
              <w:top w:val="nil" w:sz="6" w:space="0" w:color="auto"/>
              <w:left w:val="nil" w:sz="6" w:space="0" w:color="auto"/>
              <w:bottom w:val="nil" w:sz="6" w:space="0" w:color="auto"/>
              <w:right w:val="nil" w:sz="6" w:space="0" w:color="auto"/>
            </w:tcBorders>
          </w:tcPr>
          <w:p>
            <w:pPr/>
          </w:p>
        </w:tc>
        <w:tc>
          <w:tcPr>
            <w:tcW w:w="1742"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2102"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754" w:type="dxa"/>
            <w:tcBorders>
              <w:top w:val="nil" w:sz="6" w:space="0" w:color="auto"/>
              <w:left w:val="nil" w:sz="6" w:space="0" w:color="auto"/>
              <w:bottom w:val="nil" w:sz="6" w:space="0" w:color="auto"/>
              <w:right w:val="nil" w:sz="6" w:space="0" w:color="auto"/>
            </w:tcBorders>
          </w:tcPr>
          <w:p>
            <w:pPr>
              <w:pStyle w:val="TableParagraph"/>
              <w:spacing w:line="206" w:lineRule="exact"/>
              <w:ind w:right="104"/>
              <w:jc w:val="right"/>
              <w:rPr>
                <w:rFonts w:ascii="宋体" w:hAnsi="宋体" w:cs="宋体" w:eastAsia="宋体" w:hint="default"/>
                <w:sz w:val="18"/>
                <w:szCs w:val="18"/>
              </w:rPr>
            </w:pPr>
            <w:r>
              <w:rPr>
                <w:rFonts w:ascii="宋体"/>
                <w:sz w:val="18"/>
              </w:rPr>
              <w:t>-</w:t>
            </w:r>
          </w:p>
        </w:tc>
      </w:tr>
      <w:tr>
        <w:trPr>
          <w:trHeight w:val="269" w:hRule="exact"/>
        </w:trPr>
        <w:tc>
          <w:tcPr>
            <w:tcW w:w="3240" w:type="dxa"/>
            <w:tcBorders>
              <w:top w:val="nil" w:sz="6" w:space="0" w:color="auto"/>
              <w:left w:val="nil" w:sz="6" w:space="0" w:color="auto"/>
              <w:bottom w:val="nil" w:sz="6" w:space="0" w:color="auto"/>
              <w:right w:val="nil" w:sz="6" w:space="0" w:color="auto"/>
            </w:tcBorders>
          </w:tcPr>
          <w:p>
            <w:pPr>
              <w:pStyle w:val="TableParagraph"/>
              <w:spacing w:line="217" w:lineRule="exact"/>
              <w:ind w:left="290"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38" w:type="dxa"/>
            <w:tcBorders>
              <w:top w:val="nil" w:sz="6" w:space="0" w:color="auto"/>
              <w:left w:val="nil" w:sz="6" w:space="0" w:color="auto"/>
              <w:bottom w:val="nil" w:sz="6" w:space="0" w:color="auto"/>
              <w:right w:val="nil" w:sz="6" w:space="0" w:color="auto"/>
            </w:tcBorders>
          </w:tcPr>
          <w:p>
            <w:pPr/>
          </w:p>
        </w:tc>
        <w:tc>
          <w:tcPr>
            <w:tcW w:w="1742" w:type="dxa"/>
            <w:tcBorders>
              <w:top w:val="nil" w:sz="6" w:space="0" w:color="auto"/>
              <w:left w:val="nil" w:sz="6" w:space="0" w:color="auto"/>
              <w:bottom w:val="nil" w:sz="6" w:space="0" w:color="auto"/>
              <w:right w:val="nil" w:sz="6" w:space="0" w:color="auto"/>
            </w:tcBorders>
          </w:tcPr>
          <w:p>
            <w:pPr>
              <w:pStyle w:val="TableParagraph"/>
              <w:spacing w:line="245" w:lineRule="exact"/>
              <w:ind w:left="2"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注释</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10</w:t>
            </w:r>
          </w:p>
        </w:tc>
        <w:tc>
          <w:tcPr>
            <w:tcW w:w="238" w:type="dxa"/>
            <w:tcBorders>
              <w:top w:val="nil" w:sz="6" w:space="0" w:color="auto"/>
              <w:left w:val="nil" w:sz="6" w:space="0" w:color="auto"/>
              <w:bottom w:val="nil" w:sz="6" w:space="0" w:color="auto"/>
              <w:right w:val="nil" w:sz="6" w:space="0" w:color="auto"/>
            </w:tcBorders>
          </w:tcPr>
          <w:p>
            <w:pPr/>
          </w:p>
        </w:tc>
        <w:tc>
          <w:tcPr>
            <w:tcW w:w="2102" w:type="dxa"/>
            <w:tcBorders>
              <w:top w:val="nil" w:sz="6" w:space="0" w:color="auto"/>
              <w:left w:val="nil" w:sz="6" w:space="0" w:color="auto"/>
              <w:bottom w:val="nil" w:sz="6" w:space="0" w:color="auto"/>
              <w:right w:val="nil" w:sz="6" w:space="0" w:color="auto"/>
            </w:tcBorders>
          </w:tcPr>
          <w:p>
            <w:pPr>
              <w:pStyle w:val="TableParagraph"/>
              <w:spacing w:line="217" w:lineRule="exact"/>
              <w:ind w:right="104"/>
              <w:jc w:val="right"/>
              <w:rPr>
                <w:rFonts w:ascii="宋体" w:hAnsi="宋体" w:cs="宋体" w:eastAsia="宋体" w:hint="default"/>
                <w:sz w:val="18"/>
                <w:szCs w:val="18"/>
              </w:rPr>
            </w:pPr>
            <w:r>
              <w:rPr>
                <w:rFonts w:ascii="宋体"/>
                <w:spacing w:val="-1"/>
                <w:sz w:val="18"/>
              </w:rPr>
              <w:t>18,849,079.62</w:t>
            </w:r>
          </w:p>
        </w:tc>
        <w:tc>
          <w:tcPr>
            <w:tcW w:w="238" w:type="dxa"/>
            <w:tcBorders>
              <w:top w:val="nil" w:sz="6" w:space="0" w:color="auto"/>
              <w:left w:val="nil" w:sz="6" w:space="0" w:color="auto"/>
              <w:bottom w:val="nil" w:sz="6" w:space="0" w:color="auto"/>
              <w:right w:val="nil" w:sz="6" w:space="0" w:color="auto"/>
            </w:tcBorders>
          </w:tcPr>
          <w:p>
            <w:pPr/>
          </w:p>
        </w:tc>
        <w:tc>
          <w:tcPr>
            <w:tcW w:w="1754" w:type="dxa"/>
            <w:tcBorders>
              <w:top w:val="nil" w:sz="6" w:space="0" w:color="auto"/>
              <w:left w:val="nil" w:sz="6" w:space="0" w:color="auto"/>
              <w:bottom w:val="nil" w:sz="6" w:space="0" w:color="auto"/>
              <w:right w:val="nil" w:sz="6" w:space="0" w:color="auto"/>
            </w:tcBorders>
          </w:tcPr>
          <w:p>
            <w:pPr>
              <w:pStyle w:val="TableParagraph"/>
              <w:spacing w:line="217" w:lineRule="exact"/>
              <w:ind w:right="100"/>
              <w:jc w:val="right"/>
              <w:rPr>
                <w:rFonts w:ascii="宋体" w:hAnsi="宋体" w:cs="宋体" w:eastAsia="宋体" w:hint="default"/>
                <w:sz w:val="18"/>
                <w:szCs w:val="18"/>
              </w:rPr>
            </w:pPr>
            <w:r>
              <w:rPr>
                <w:rFonts w:ascii="宋体"/>
                <w:spacing w:val="-1"/>
                <w:sz w:val="18"/>
              </w:rPr>
              <w:t>19,379,022.84</w:t>
            </w:r>
            <w:r>
              <w:rPr>
                <w:rFonts w:ascii="宋体"/>
                <w:sz w:val="18"/>
              </w:rPr>
            </w:r>
          </w:p>
        </w:tc>
      </w:tr>
      <w:tr>
        <w:trPr>
          <w:trHeight w:val="249" w:hRule="exact"/>
        </w:trPr>
        <w:tc>
          <w:tcPr>
            <w:tcW w:w="3240" w:type="dxa"/>
            <w:tcBorders>
              <w:top w:val="nil" w:sz="6" w:space="0" w:color="auto"/>
              <w:left w:val="nil" w:sz="6" w:space="0" w:color="auto"/>
              <w:bottom w:val="nil" w:sz="6" w:space="0" w:color="auto"/>
              <w:right w:val="nil" w:sz="6" w:space="0" w:color="auto"/>
            </w:tcBorders>
          </w:tcPr>
          <w:p>
            <w:pPr>
              <w:pStyle w:val="TableParagraph"/>
              <w:spacing w:line="209" w:lineRule="exact"/>
              <w:ind w:left="290"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38" w:type="dxa"/>
            <w:tcBorders>
              <w:top w:val="nil" w:sz="6" w:space="0" w:color="auto"/>
              <w:left w:val="nil" w:sz="6" w:space="0" w:color="auto"/>
              <w:bottom w:val="nil" w:sz="6" w:space="0" w:color="auto"/>
              <w:right w:val="nil" w:sz="6" w:space="0" w:color="auto"/>
            </w:tcBorders>
          </w:tcPr>
          <w:p>
            <w:pPr/>
          </w:p>
        </w:tc>
        <w:tc>
          <w:tcPr>
            <w:tcW w:w="1742"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2102"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754" w:type="dxa"/>
            <w:tcBorders>
              <w:top w:val="nil" w:sz="6" w:space="0" w:color="auto"/>
              <w:left w:val="nil" w:sz="6" w:space="0" w:color="auto"/>
              <w:bottom w:val="nil" w:sz="6" w:space="0" w:color="auto"/>
              <w:right w:val="nil" w:sz="6" w:space="0" w:color="auto"/>
            </w:tcBorders>
          </w:tcPr>
          <w:p>
            <w:pPr>
              <w:pStyle w:val="TableParagraph"/>
              <w:spacing w:line="209" w:lineRule="exact"/>
              <w:ind w:right="104"/>
              <w:jc w:val="right"/>
              <w:rPr>
                <w:rFonts w:ascii="宋体" w:hAnsi="宋体" w:cs="宋体" w:eastAsia="宋体" w:hint="default"/>
                <w:sz w:val="18"/>
                <w:szCs w:val="18"/>
              </w:rPr>
            </w:pPr>
            <w:r>
              <w:rPr>
                <w:rFonts w:ascii="宋体"/>
                <w:sz w:val="18"/>
              </w:rPr>
              <w:t>-</w:t>
            </w:r>
          </w:p>
        </w:tc>
      </w:tr>
      <w:tr>
        <w:trPr>
          <w:trHeight w:val="259" w:hRule="exact"/>
        </w:trPr>
        <w:tc>
          <w:tcPr>
            <w:tcW w:w="3240" w:type="dxa"/>
            <w:tcBorders>
              <w:top w:val="nil" w:sz="6" w:space="0" w:color="auto"/>
              <w:left w:val="nil" w:sz="6" w:space="0" w:color="auto"/>
              <w:bottom w:val="nil" w:sz="6" w:space="0" w:color="auto"/>
              <w:right w:val="nil" w:sz="6" w:space="0" w:color="auto"/>
            </w:tcBorders>
          </w:tcPr>
          <w:p>
            <w:pPr>
              <w:pStyle w:val="TableParagraph"/>
              <w:spacing w:line="220" w:lineRule="exact"/>
              <w:ind w:left="290"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238" w:type="dxa"/>
            <w:tcBorders>
              <w:top w:val="nil" w:sz="6" w:space="0" w:color="auto"/>
              <w:left w:val="nil" w:sz="6" w:space="0" w:color="auto"/>
              <w:bottom w:val="nil" w:sz="6" w:space="0" w:color="auto"/>
              <w:right w:val="nil" w:sz="6" w:space="0" w:color="auto"/>
            </w:tcBorders>
          </w:tcPr>
          <w:p>
            <w:pPr/>
          </w:p>
        </w:tc>
        <w:tc>
          <w:tcPr>
            <w:tcW w:w="1742"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2102"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754" w:type="dxa"/>
            <w:tcBorders>
              <w:top w:val="nil" w:sz="6" w:space="0" w:color="auto"/>
              <w:left w:val="nil" w:sz="6" w:space="0" w:color="auto"/>
              <w:bottom w:val="nil" w:sz="6" w:space="0" w:color="auto"/>
              <w:right w:val="nil" w:sz="6" w:space="0" w:color="auto"/>
            </w:tcBorders>
          </w:tcPr>
          <w:p>
            <w:pPr>
              <w:pStyle w:val="TableParagraph"/>
              <w:spacing w:line="220" w:lineRule="exact"/>
              <w:ind w:right="104"/>
              <w:jc w:val="right"/>
              <w:rPr>
                <w:rFonts w:ascii="宋体" w:hAnsi="宋体" w:cs="宋体" w:eastAsia="宋体" w:hint="default"/>
                <w:sz w:val="18"/>
                <w:szCs w:val="18"/>
              </w:rPr>
            </w:pPr>
            <w:r>
              <w:rPr>
                <w:rFonts w:ascii="宋体"/>
                <w:sz w:val="18"/>
              </w:rPr>
              <w:t>-</w:t>
            </w:r>
          </w:p>
        </w:tc>
      </w:tr>
      <w:tr>
        <w:trPr>
          <w:trHeight w:val="260" w:hRule="exact"/>
        </w:trPr>
        <w:tc>
          <w:tcPr>
            <w:tcW w:w="3240" w:type="dxa"/>
            <w:tcBorders>
              <w:top w:val="nil" w:sz="6" w:space="0" w:color="auto"/>
              <w:left w:val="nil" w:sz="6" w:space="0" w:color="auto"/>
              <w:bottom w:val="nil" w:sz="6" w:space="0" w:color="auto"/>
              <w:right w:val="nil" w:sz="6" w:space="0" w:color="auto"/>
            </w:tcBorders>
          </w:tcPr>
          <w:p>
            <w:pPr>
              <w:pStyle w:val="TableParagraph"/>
              <w:spacing w:line="220" w:lineRule="exact"/>
              <w:ind w:left="290"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238" w:type="dxa"/>
            <w:tcBorders>
              <w:top w:val="nil" w:sz="6" w:space="0" w:color="auto"/>
              <w:left w:val="nil" w:sz="6" w:space="0" w:color="auto"/>
              <w:bottom w:val="nil" w:sz="6" w:space="0" w:color="auto"/>
              <w:right w:val="nil" w:sz="6" w:space="0" w:color="auto"/>
            </w:tcBorders>
          </w:tcPr>
          <w:p>
            <w:pPr/>
          </w:p>
        </w:tc>
        <w:tc>
          <w:tcPr>
            <w:tcW w:w="1742"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2102"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754" w:type="dxa"/>
            <w:tcBorders>
              <w:top w:val="nil" w:sz="6" w:space="0" w:color="auto"/>
              <w:left w:val="nil" w:sz="6" w:space="0" w:color="auto"/>
              <w:bottom w:val="nil" w:sz="6" w:space="0" w:color="auto"/>
              <w:right w:val="nil" w:sz="6" w:space="0" w:color="auto"/>
            </w:tcBorders>
          </w:tcPr>
          <w:p>
            <w:pPr>
              <w:pStyle w:val="TableParagraph"/>
              <w:spacing w:line="220" w:lineRule="exact"/>
              <w:ind w:right="104"/>
              <w:jc w:val="right"/>
              <w:rPr>
                <w:rFonts w:ascii="宋体" w:hAnsi="宋体" w:cs="宋体" w:eastAsia="宋体" w:hint="default"/>
                <w:sz w:val="18"/>
                <w:szCs w:val="18"/>
              </w:rPr>
            </w:pPr>
            <w:r>
              <w:rPr>
                <w:rFonts w:ascii="宋体"/>
                <w:sz w:val="18"/>
              </w:rPr>
              <w:t>-</w:t>
            </w:r>
          </w:p>
        </w:tc>
      </w:tr>
      <w:tr>
        <w:trPr>
          <w:trHeight w:val="256" w:hRule="exact"/>
        </w:trPr>
        <w:tc>
          <w:tcPr>
            <w:tcW w:w="3240" w:type="dxa"/>
            <w:tcBorders>
              <w:top w:val="nil" w:sz="6" w:space="0" w:color="auto"/>
              <w:left w:val="nil" w:sz="6" w:space="0" w:color="auto"/>
              <w:bottom w:val="nil" w:sz="6" w:space="0" w:color="auto"/>
              <w:right w:val="nil" w:sz="6" w:space="0" w:color="auto"/>
            </w:tcBorders>
          </w:tcPr>
          <w:p>
            <w:pPr>
              <w:pStyle w:val="TableParagraph"/>
              <w:spacing w:line="221" w:lineRule="exact"/>
              <w:ind w:left="290"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38" w:type="dxa"/>
            <w:tcBorders>
              <w:top w:val="nil" w:sz="6" w:space="0" w:color="auto"/>
              <w:left w:val="nil" w:sz="6" w:space="0" w:color="auto"/>
              <w:bottom w:val="nil" w:sz="6" w:space="0" w:color="auto"/>
              <w:right w:val="nil" w:sz="6" w:space="0" w:color="auto"/>
            </w:tcBorders>
          </w:tcPr>
          <w:p>
            <w:pPr/>
          </w:p>
        </w:tc>
        <w:tc>
          <w:tcPr>
            <w:tcW w:w="1742"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2102"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754" w:type="dxa"/>
            <w:tcBorders>
              <w:top w:val="nil" w:sz="6" w:space="0" w:color="auto"/>
              <w:left w:val="nil" w:sz="6" w:space="0" w:color="auto"/>
              <w:bottom w:val="nil" w:sz="6" w:space="0" w:color="auto"/>
              <w:right w:val="nil" w:sz="6" w:space="0" w:color="auto"/>
            </w:tcBorders>
          </w:tcPr>
          <w:p>
            <w:pPr/>
          </w:p>
        </w:tc>
      </w:tr>
      <w:tr>
        <w:trPr>
          <w:trHeight w:val="271" w:hRule="exact"/>
        </w:trPr>
        <w:tc>
          <w:tcPr>
            <w:tcW w:w="3240" w:type="dxa"/>
            <w:tcBorders>
              <w:top w:val="nil" w:sz="6" w:space="0" w:color="auto"/>
              <w:left w:val="nil" w:sz="6" w:space="0" w:color="auto"/>
              <w:bottom w:val="nil" w:sz="6" w:space="0" w:color="auto"/>
              <w:right w:val="nil" w:sz="6" w:space="0" w:color="auto"/>
            </w:tcBorders>
          </w:tcPr>
          <w:p>
            <w:pPr>
              <w:pStyle w:val="TableParagraph"/>
              <w:spacing w:line="224" w:lineRule="exact"/>
              <w:ind w:left="290"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38" w:type="dxa"/>
            <w:tcBorders>
              <w:top w:val="nil" w:sz="6" w:space="0" w:color="auto"/>
              <w:left w:val="nil" w:sz="6" w:space="0" w:color="auto"/>
              <w:bottom w:val="nil" w:sz="6" w:space="0" w:color="auto"/>
              <w:right w:val="nil" w:sz="6" w:space="0" w:color="auto"/>
            </w:tcBorders>
          </w:tcPr>
          <w:p>
            <w:pPr/>
          </w:p>
        </w:tc>
        <w:tc>
          <w:tcPr>
            <w:tcW w:w="1742" w:type="dxa"/>
            <w:tcBorders>
              <w:top w:val="nil" w:sz="6" w:space="0" w:color="auto"/>
              <w:left w:val="nil" w:sz="6" w:space="0" w:color="auto"/>
              <w:bottom w:val="nil" w:sz="6" w:space="0" w:color="auto"/>
              <w:right w:val="nil" w:sz="6" w:space="0" w:color="auto"/>
            </w:tcBorders>
          </w:tcPr>
          <w:p>
            <w:pPr>
              <w:pStyle w:val="TableParagraph"/>
              <w:spacing w:line="249" w:lineRule="exact"/>
              <w:ind w:left="98"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注释</w:t>
            </w:r>
            <w:r>
              <w:rPr>
                <w:rFonts w:ascii="宋体" w:hAnsi="宋体" w:cs="宋体" w:eastAsia="宋体" w:hint="default"/>
                <w:spacing w:val="-51"/>
                <w:sz w:val="20"/>
                <w:szCs w:val="20"/>
              </w:rPr>
              <w:t> </w:t>
            </w:r>
            <w:r>
              <w:rPr>
                <w:rFonts w:ascii="Times New Roman" w:hAnsi="Times New Roman" w:cs="Times New Roman" w:eastAsia="Times New Roman" w:hint="default"/>
                <w:spacing w:val="-7"/>
                <w:sz w:val="20"/>
                <w:szCs w:val="20"/>
              </w:rPr>
              <w:t>11</w:t>
            </w:r>
            <w:r>
              <w:rPr>
                <w:rFonts w:ascii="Times New Roman" w:hAnsi="Times New Roman" w:cs="Times New Roman" w:eastAsia="Times New Roman" w:hint="default"/>
                <w:sz w:val="20"/>
                <w:szCs w:val="20"/>
              </w:rPr>
            </w:r>
          </w:p>
        </w:tc>
        <w:tc>
          <w:tcPr>
            <w:tcW w:w="238" w:type="dxa"/>
            <w:tcBorders>
              <w:top w:val="nil" w:sz="6" w:space="0" w:color="auto"/>
              <w:left w:val="nil" w:sz="6" w:space="0" w:color="auto"/>
              <w:bottom w:val="nil" w:sz="6" w:space="0" w:color="auto"/>
              <w:right w:val="nil" w:sz="6" w:space="0" w:color="auto"/>
            </w:tcBorders>
          </w:tcPr>
          <w:p>
            <w:pPr/>
          </w:p>
        </w:tc>
        <w:tc>
          <w:tcPr>
            <w:tcW w:w="2102" w:type="dxa"/>
            <w:tcBorders>
              <w:top w:val="nil" w:sz="6" w:space="0" w:color="auto"/>
              <w:left w:val="nil" w:sz="6" w:space="0" w:color="auto"/>
              <w:bottom w:val="nil" w:sz="6" w:space="0" w:color="auto"/>
              <w:right w:val="nil" w:sz="6" w:space="0" w:color="auto"/>
            </w:tcBorders>
          </w:tcPr>
          <w:p>
            <w:pPr>
              <w:pStyle w:val="TableParagraph"/>
              <w:spacing w:line="224" w:lineRule="exact"/>
              <w:ind w:right="107"/>
              <w:jc w:val="right"/>
              <w:rPr>
                <w:rFonts w:ascii="宋体" w:hAnsi="宋体" w:cs="宋体" w:eastAsia="宋体" w:hint="default"/>
                <w:sz w:val="18"/>
                <w:szCs w:val="18"/>
              </w:rPr>
            </w:pPr>
            <w:r>
              <w:rPr>
                <w:rFonts w:ascii="宋体"/>
                <w:spacing w:val="-1"/>
                <w:sz w:val="18"/>
              </w:rPr>
              <w:t>3,678,299.87</w:t>
            </w:r>
            <w:r>
              <w:rPr>
                <w:rFonts w:ascii="宋体"/>
                <w:sz w:val="18"/>
              </w:rPr>
            </w:r>
          </w:p>
        </w:tc>
        <w:tc>
          <w:tcPr>
            <w:tcW w:w="238" w:type="dxa"/>
            <w:tcBorders>
              <w:top w:val="nil" w:sz="6" w:space="0" w:color="auto"/>
              <w:left w:val="nil" w:sz="6" w:space="0" w:color="auto"/>
              <w:bottom w:val="nil" w:sz="6" w:space="0" w:color="auto"/>
              <w:right w:val="nil" w:sz="6" w:space="0" w:color="auto"/>
            </w:tcBorders>
          </w:tcPr>
          <w:p>
            <w:pPr/>
          </w:p>
        </w:tc>
        <w:tc>
          <w:tcPr>
            <w:tcW w:w="1754" w:type="dxa"/>
            <w:tcBorders>
              <w:top w:val="nil" w:sz="6" w:space="0" w:color="auto"/>
              <w:left w:val="nil" w:sz="6" w:space="0" w:color="auto"/>
              <w:bottom w:val="nil" w:sz="6" w:space="0" w:color="auto"/>
              <w:right w:val="nil" w:sz="6" w:space="0" w:color="auto"/>
            </w:tcBorders>
          </w:tcPr>
          <w:p>
            <w:pPr>
              <w:pStyle w:val="TableParagraph"/>
              <w:spacing w:line="224" w:lineRule="exact"/>
              <w:ind w:right="102"/>
              <w:jc w:val="right"/>
              <w:rPr>
                <w:rFonts w:ascii="宋体" w:hAnsi="宋体" w:cs="宋体" w:eastAsia="宋体" w:hint="default"/>
                <w:sz w:val="18"/>
                <w:szCs w:val="18"/>
              </w:rPr>
            </w:pPr>
            <w:r>
              <w:rPr>
                <w:rFonts w:ascii="宋体"/>
                <w:spacing w:val="-1"/>
                <w:sz w:val="18"/>
              </w:rPr>
              <w:t>5,124,940.22</w:t>
            </w:r>
          </w:p>
        </w:tc>
      </w:tr>
      <w:tr>
        <w:trPr>
          <w:trHeight w:val="260" w:hRule="exact"/>
        </w:trPr>
        <w:tc>
          <w:tcPr>
            <w:tcW w:w="3240" w:type="dxa"/>
            <w:tcBorders>
              <w:top w:val="nil" w:sz="6" w:space="0" w:color="auto"/>
              <w:left w:val="nil" w:sz="6" w:space="0" w:color="auto"/>
              <w:bottom w:val="nil" w:sz="6" w:space="0" w:color="auto"/>
              <w:right w:val="nil" w:sz="6" w:space="0" w:color="auto"/>
            </w:tcBorders>
          </w:tcPr>
          <w:p>
            <w:pPr>
              <w:pStyle w:val="TableParagraph"/>
              <w:spacing w:line="213" w:lineRule="exact"/>
              <w:ind w:left="290"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38" w:type="dxa"/>
            <w:tcBorders>
              <w:top w:val="nil" w:sz="6" w:space="0" w:color="auto"/>
              <w:left w:val="nil" w:sz="6" w:space="0" w:color="auto"/>
              <w:bottom w:val="nil" w:sz="6" w:space="0" w:color="auto"/>
              <w:right w:val="nil" w:sz="6" w:space="0" w:color="auto"/>
            </w:tcBorders>
          </w:tcPr>
          <w:p>
            <w:pP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exact"/>
              <w:ind w:left="103"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注释</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12</w:t>
            </w:r>
          </w:p>
        </w:tc>
        <w:tc>
          <w:tcPr>
            <w:tcW w:w="238" w:type="dxa"/>
            <w:tcBorders>
              <w:top w:val="nil" w:sz="6" w:space="0" w:color="auto"/>
              <w:left w:val="nil" w:sz="6" w:space="0" w:color="auto"/>
              <w:bottom w:val="nil" w:sz="6" w:space="0" w:color="auto"/>
              <w:right w:val="nil" w:sz="6" w:space="0" w:color="auto"/>
            </w:tcBorders>
          </w:tcPr>
          <w:p>
            <w:pPr/>
          </w:p>
        </w:tc>
        <w:tc>
          <w:tcPr>
            <w:tcW w:w="2102" w:type="dxa"/>
            <w:tcBorders>
              <w:top w:val="nil" w:sz="6" w:space="0" w:color="auto"/>
              <w:left w:val="nil" w:sz="6" w:space="0" w:color="auto"/>
              <w:bottom w:val="nil" w:sz="6" w:space="0" w:color="auto"/>
              <w:right w:val="nil" w:sz="6" w:space="0" w:color="auto"/>
            </w:tcBorders>
          </w:tcPr>
          <w:p>
            <w:pPr>
              <w:pStyle w:val="TableParagraph"/>
              <w:spacing w:line="213" w:lineRule="exact"/>
              <w:ind w:right="107"/>
              <w:jc w:val="right"/>
              <w:rPr>
                <w:rFonts w:ascii="宋体" w:hAnsi="宋体" w:cs="宋体" w:eastAsia="宋体" w:hint="default"/>
                <w:sz w:val="18"/>
                <w:szCs w:val="18"/>
              </w:rPr>
            </w:pPr>
            <w:r>
              <w:rPr>
                <w:rFonts w:ascii="宋体"/>
                <w:spacing w:val="-1"/>
                <w:sz w:val="18"/>
              </w:rPr>
              <w:t>2,421,278.60</w:t>
            </w:r>
            <w:r>
              <w:rPr>
                <w:rFonts w:ascii="宋体"/>
                <w:sz w:val="18"/>
              </w:rPr>
            </w:r>
          </w:p>
        </w:tc>
        <w:tc>
          <w:tcPr>
            <w:tcW w:w="238" w:type="dxa"/>
            <w:tcBorders>
              <w:top w:val="nil" w:sz="6" w:space="0" w:color="auto"/>
              <w:left w:val="nil" w:sz="6" w:space="0" w:color="auto"/>
              <w:bottom w:val="nil" w:sz="6" w:space="0" w:color="auto"/>
              <w:right w:val="nil" w:sz="6" w:space="0" w:color="auto"/>
            </w:tcBorders>
          </w:tcPr>
          <w:p>
            <w:pPr/>
          </w:p>
        </w:tc>
        <w:tc>
          <w:tcPr>
            <w:tcW w:w="1754" w:type="dxa"/>
            <w:tcBorders>
              <w:top w:val="nil" w:sz="6" w:space="0" w:color="auto"/>
              <w:left w:val="nil" w:sz="6" w:space="0" w:color="auto"/>
              <w:bottom w:val="nil" w:sz="6" w:space="0" w:color="auto"/>
              <w:right w:val="nil" w:sz="6" w:space="0" w:color="auto"/>
            </w:tcBorders>
          </w:tcPr>
          <w:p>
            <w:pPr>
              <w:pStyle w:val="TableParagraph"/>
              <w:spacing w:line="213" w:lineRule="exact"/>
              <w:ind w:right="102"/>
              <w:jc w:val="right"/>
              <w:rPr>
                <w:rFonts w:ascii="宋体" w:hAnsi="宋体" w:cs="宋体" w:eastAsia="宋体" w:hint="default"/>
                <w:sz w:val="18"/>
                <w:szCs w:val="18"/>
              </w:rPr>
            </w:pPr>
            <w:r>
              <w:rPr>
                <w:rFonts w:ascii="宋体"/>
                <w:spacing w:val="-1"/>
                <w:sz w:val="18"/>
              </w:rPr>
              <w:t>1,457,813.01</w:t>
            </w:r>
          </w:p>
        </w:tc>
      </w:tr>
      <w:tr>
        <w:trPr>
          <w:trHeight w:val="259" w:hRule="exact"/>
        </w:trPr>
        <w:tc>
          <w:tcPr>
            <w:tcW w:w="3240" w:type="dxa"/>
            <w:tcBorders>
              <w:top w:val="nil" w:sz="6" w:space="0" w:color="auto"/>
              <w:left w:val="nil" w:sz="6" w:space="0" w:color="auto"/>
              <w:bottom w:val="nil" w:sz="6" w:space="0" w:color="auto"/>
              <w:right w:val="nil" w:sz="6" w:space="0" w:color="auto"/>
            </w:tcBorders>
          </w:tcPr>
          <w:p>
            <w:pPr>
              <w:pStyle w:val="TableParagraph"/>
              <w:spacing w:line="214" w:lineRule="exact"/>
              <w:ind w:left="290"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38" w:type="dxa"/>
            <w:tcBorders>
              <w:top w:val="nil" w:sz="6" w:space="0" w:color="auto"/>
              <w:left w:val="nil" w:sz="6" w:space="0" w:color="auto"/>
              <w:bottom w:val="nil" w:sz="6" w:space="0" w:color="auto"/>
              <w:right w:val="nil" w:sz="6" w:space="0" w:color="auto"/>
            </w:tcBorders>
          </w:tcPr>
          <w:p>
            <w:pPr/>
          </w:p>
        </w:tc>
        <w:tc>
          <w:tcPr>
            <w:tcW w:w="1742" w:type="dxa"/>
            <w:tcBorders>
              <w:top w:val="nil" w:sz="6" w:space="0" w:color="auto"/>
              <w:left w:val="nil" w:sz="6" w:space="0" w:color="auto"/>
              <w:bottom w:val="nil" w:sz="6" w:space="0" w:color="auto"/>
              <w:right w:val="nil" w:sz="6" w:space="0" w:color="auto"/>
            </w:tcBorders>
          </w:tcPr>
          <w:p>
            <w:pPr>
              <w:pStyle w:val="TableParagraph"/>
              <w:spacing w:line="239" w:lineRule="exact"/>
              <w:ind w:left="103"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注释</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13</w:t>
            </w:r>
          </w:p>
        </w:tc>
        <w:tc>
          <w:tcPr>
            <w:tcW w:w="238" w:type="dxa"/>
            <w:tcBorders>
              <w:top w:val="nil" w:sz="6" w:space="0" w:color="auto"/>
              <w:left w:val="nil" w:sz="6" w:space="0" w:color="auto"/>
              <w:bottom w:val="nil" w:sz="6" w:space="0" w:color="auto"/>
              <w:right w:val="nil" w:sz="6" w:space="0" w:color="auto"/>
            </w:tcBorders>
          </w:tcPr>
          <w:p>
            <w:pPr/>
          </w:p>
        </w:tc>
        <w:tc>
          <w:tcPr>
            <w:tcW w:w="2102" w:type="dxa"/>
            <w:tcBorders>
              <w:top w:val="nil" w:sz="6" w:space="0" w:color="auto"/>
              <w:left w:val="nil" w:sz="6" w:space="0" w:color="auto"/>
              <w:bottom w:val="nil" w:sz="6" w:space="0" w:color="auto"/>
              <w:right w:val="nil" w:sz="6" w:space="0" w:color="auto"/>
            </w:tcBorders>
          </w:tcPr>
          <w:p>
            <w:pPr>
              <w:pStyle w:val="TableParagraph"/>
              <w:spacing w:line="214" w:lineRule="exact"/>
              <w:ind w:right="104"/>
              <w:jc w:val="right"/>
              <w:rPr>
                <w:rFonts w:ascii="宋体" w:hAnsi="宋体" w:cs="宋体" w:eastAsia="宋体" w:hint="default"/>
                <w:sz w:val="18"/>
                <w:szCs w:val="18"/>
              </w:rPr>
            </w:pPr>
            <w:r>
              <w:rPr>
                <w:rFonts w:ascii="宋体"/>
                <w:spacing w:val="-1"/>
                <w:sz w:val="18"/>
              </w:rPr>
              <w:t>83,940.16</w:t>
            </w:r>
          </w:p>
        </w:tc>
        <w:tc>
          <w:tcPr>
            <w:tcW w:w="238" w:type="dxa"/>
            <w:tcBorders>
              <w:top w:val="nil" w:sz="6" w:space="0" w:color="auto"/>
              <w:left w:val="nil" w:sz="6" w:space="0" w:color="auto"/>
              <w:bottom w:val="nil" w:sz="6" w:space="0" w:color="auto"/>
              <w:right w:val="nil" w:sz="6" w:space="0" w:color="auto"/>
            </w:tcBorders>
          </w:tcPr>
          <w:p>
            <w:pPr/>
          </w:p>
        </w:tc>
        <w:tc>
          <w:tcPr>
            <w:tcW w:w="1754" w:type="dxa"/>
            <w:tcBorders>
              <w:top w:val="nil" w:sz="6" w:space="0" w:color="auto"/>
              <w:left w:val="nil" w:sz="6" w:space="0" w:color="auto"/>
              <w:bottom w:val="nil" w:sz="6" w:space="0" w:color="auto"/>
              <w:right w:val="nil" w:sz="6" w:space="0" w:color="auto"/>
            </w:tcBorders>
          </w:tcPr>
          <w:p>
            <w:pPr>
              <w:pStyle w:val="TableParagraph"/>
              <w:spacing w:line="214" w:lineRule="exact"/>
              <w:ind w:right="100"/>
              <w:jc w:val="right"/>
              <w:rPr>
                <w:rFonts w:ascii="宋体" w:hAnsi="宋体" w:cs="宋体" w:eastAsia="宋体" w:hint="default"/>
                <w:sz w:val="18"/>
                <w:szCs w:val="18"/>
              </w:rPr>
            </w:pPr>
            <w:r>
              <w:rPr>
                <w:rFonts w:ascii="宋体"/>
                <w:sz w:val="18"/>
              </w:rPr>
              <w:t>83,940.16</w:t>
            </w:r>
          </w:p>
        </w:tc>
      </w:tr>
      <w:tr>
        <w:trPr>
          <w:trHeight w:val="260" w:hRule="exact"/>
        </w:trPr>
        <w:tc>
          <w:tcPr>
            <w:tcW w:w="3240" w:type="dxa"/>
            <w:tcBorders>
              <w:top w:val="nil" w:sz="6" w:space="0" w:color="auto"/>
              <w:left w:val="nil" w:sz="6" w:space="0" w:color="auto"/>
              <w:bottom w:val="nil" w:sz="6" w:space="0" w:color="auto"/>
              <w:right w:val="nil" w:sz="6" w:space="0" w:color="auto"/>
            </w:tcBorders>
          </w:tcPr>
          <w:p>
            <w:pPr>
              <w:pStyle w:val="TableParagraph"/>
              <w:spacing w:line="214" w:lineRule="exact"/>
              <w:ind w:left="290"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38" w:type="dxa"/>
            <w:tcBorders>
              <w:top w:val="nil" w:sz="6" w:space="0" w:color="auto"/>
              <w:left w:val="nil" w:sz="6" w:space="0" w:color="auto"/>
              <w:bottom w:val="nil" w:sz="6" w:space="0" w:color="auto"/>
              <w:right w:val="nil" w:sz="6" w:space="0" w:color="auto"/>
            </w:tcBorders>
          </w:tcPr>
          <w:p>
            <w:pPr/>
          </w:p>
        </w:tc>
        <w:tc>
          <w:tcPr>
            <w:tcW w:w="1742" w:type="dxa"/>
            <w:tcBorders>
              <w:top w:val="nil" w:sz="6" w:space="0" w:color="auto"/>
              <w:left w:val="nil" w:sz="6" w:space="0" w:color="auto"/>
              <w:bottom w:val="nil" w:sz="6" w:space="0" w:color="auto"/>
              <w:right w:val="nil" w:sz="6" w:space="0" w:color="auto"/>
            </w:tcBorders>
          </w:tcPr>
          <w:p>
            <w:pPr>
              <w:pStyle w:val="TableParagraph"/>
              <w:spacing w:line="239" w:lineRule="exact"/>
              <w:ind w:left="102"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注释</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14</w:t>
            </w:r>
          </w:p>
        </w:tc>
        <w:tc>
          <w:tcPr>
            <w:tcW w:w="238" w:type="dxa"/>
            <w:tcBorders>
              <w:top w:val="nil" w:sz="6" w:space="0" w:color="auto"/>
              <w:left w:val="nil" w:sz="6" w:space="0" w:color="auto"/>
              <w:bottom w:val="nil" w:sz="6" w:space="0" w:color="auto"/>
              <w:right w:val="nil" w:sz="6" w:space="0" w:color="auto"/>
            </w:tcBorders>
          </w:tcPr>
          <w:p>
            <w:pPr/>
          </w:p>
        </w:tc>
        <w:tc>
          <w:tcPr>
            <w:tcW w:w="2102" w:type="dxa"/>
            <w:tcBorders>
              <w:top w:val="nil" w:sz="6" w:space="0" w:color="auto"/>
              <w:left w:val="nil" w:sz="6" w:space="0" w:color="auto"/>
              <w:bottom w:val="nil" w:sz="6" w:space="0" w:color="auto"/>
              <w:right w:val="nil" w:sz="6" w:space="0" w:color="auto"/>
            </w:tcBorders>
          </w:tcPr>
          <w:p>
            <w:pPr>
              <w:pStyle w:val="TableParagraph"/>
              <w:spacing w:line="214" w:lineRule="exact"/>
              <w:ind w:right="104"/>
              <w:jc w:val="right"/>
              <w:rPr>
                <w:rFonts w:ascii="宋体" w:hAnsi="宋体" w:cs="宋体" w:eastAsia="宋体" w:hint="default"/>
                <w:sz w:val="18"/>
                <w:szCs w:val="18"/>
              </w:rPr>
            </w:pPr>
            <w:r>
              <w:rPr>
                <w:rFonts w:ascii="宋体"/>
                <w:spacing w:val="-1"/>
                <w:sz w:val="18"/>
              </w:rPr>
              <w:t>32,004.01</w:t>
            </w:r>
          </w:p>
        </w:tc>
        <w:tc>
          <w:tcPr>
            <w:tcW w:w="238" w:type="dxa"/>
            <w:tcBorders>
              <w:top w:val="nil" w:sz="6" w:space="0" w:color="auto"/>
              <w:left w:val="nil" w:sz="6" w:space="0" w:color="auto"/>
              <w:bottom w:val="nil" w:sz="6" w:space="0" w:color="auto"/>
              <w:right w:val="nil" w:sz="6" w:space="0" w:color="auto"/>
            </w:tcBorders>
          </w:tcPr>
          <w:p>
            <w:pPr/>
          </w:p>
        </w:tc>
        <w:tc>
          <w:tcPr>
            <w:tcW w:w="1754" w:type="dxa"/>
            <w:tcBorders>
              <w:top w:val="nil" w:sz="6" w:space="0" w:color="auto"/>
              <w:left w:val="nil" w:sz="6" w:space="0" w:color="auto"/>
              <w:bottom w:val="nil" w:sz="6" w:space="0" w:color="auto"/>
              <w:right w:val="nil" w:sz="6" w:space="0" w:color="auto"/>
            </w:tcBorders>
          </w:tcPr>
          <w:p>
            <w:pPr>
              <w:pStyle w:val="TableParagraph"/>
              <w:spacing w:line="214" w:lineRule="exact"/>
              <w:ind w:right="100"/>
              <w:jc w:val="right"/>
              <w:rPr>
                <w:rFonts w:ascii="宋体" w:hAnsi="宋体" w:cs="宋体" w:eastAsia="宋体" w:hint="default"/>
                <w:sz w:val="18"/>
                <w:szCs w:val="18"/>
              </w:rPr>
            </w:pPr>
            <w:r>
              <w:rPr>
                <w:rFonts w:ascii="宋体"/>
                <w:sz w:val="18"/>
              </w:rPr>
              <w:t>99,415.99</w:t>
            </w:r>
          </w:p>
        </w:tc>
      </w:tr>
      <w:tr>
        <w:trPr>
          <w:trHeight w:val="260" w:hRule="exact"/>
        </w:trPr>
        <w:tc>
          <w:tcPr>
            <w:tcW w:w="3240" w:type="dxa"/>
            <w:tcBorders>
              <w:top w:val="nil" w:sz="6" w:space="0" w:color="auto"/>
              <w:left w:val="nil" w:sz="6" w:space="0" w:color="auto"/>
              <w:bottom w:val="nil" w:sz="6" w:space="0" w:color="auto"/>
              <w:right w:val="nil" w:sz="6" w:space="0" w:color="auto"/>
            </w:tcBorders>
          </w:tcPr>
          <w:p>
            <w:pPr>
              <w:pStyle w:val="TableParagraph"/>
              <w:spacing w:line="213" w:lineRule="exact"/>
              <w:ind w:left="290"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38" w:type="dxa"/>
            <w:tcBorders>
              <w:top w:val="nil" w:sz="6" w:space="0" w:color="auto"/>
              <w:left w:val="nil" w:sz="6" w:space="0" w:color="auto"/>
              <w:bottom w:val="nil" w:sz="6" w:space="0" w:color="auto"/>
              <w:right w:val="nil" w:sz="6" w:space="0" w:color="auto"/>
            </w:tcBorders>
          </w:tcPr>
          <w:p>
            <w:pP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exact"/>
              <w:ind w:left="102"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注释</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15</w:t>
            </w:r>
          </w:p>
        </w:tc>
        <w:tc>
          <w:tcPr>
            <w:tcW w:w="238" w:type="dxa"/>
            <w:tcBorders>
              <w:top w:val="nil" w:sz="6" w:space="0" w:color="auto"/>
              <w:left w:val="nil" w:sz="6" w:space="0" w:color="auto"/>
              <w:bottom w:val="nil" w:sz="6" w:space="0" w:color="auto"/>
              <w:right w:val="nil" w:sz="6" w:space="0" w:color="auto"/>
            </w:tcBorders>
          </w:tcPr>
          <w:p>
            <w:pPr/>
          </w:p>
        </w:tc>
        <w:tc>
          <w:tcPr>
            <w:tcW w:w="2102" w:type="dxa"/>
            <w:tcBorders>
              <w:top w:val="nil" w:sz="6" w:space="0" w:color="auto"/>
              <w:left w:val="nil" w:sz="6" w:space="0" w:color="auto"/>
              <w:bottom w:val="nil" w:sz="6" w:space="0" w:color="auto"/>
              <w:right w:val="nil" w:sz="6" w:space="0" w:color="auto"/>
            </w:tcBorders>
          </w:tcPr>
          <w:p>
            <w:pPr>
              <w:pStyle w:val="TableParagraph"/>
              <w:spacing w:line="213" w:lineRule="exact"/>
              <w:ind w:right="107"/>
              <w:jc w:val="right"/>
              <w:rPr>
                <w:rFonts w:ascii="宋体" w:hAnsi="宋体" w:cs="宋体" w:eastAsia="宋体" w:hint="default"/>
                <w:sz w:val="18"/>
                <w:szCs w:val="18"/>
              </w:rPr>
            </w:pPr>
            <w:r>
              <w:rPr>
                <w:rFonts w:ascii="宋体"/>
                <w:spacing w:val="-1"/>
                <w:sz w:val="18"/>
              </w:rPr>
              <w:t>310,894.98</w:t>
            </w:r>
            <w:r>
              <w:rPr>
                <w:rFonts w:ascii="宋体"/>
                <w:sz w:val="18"/>
              </w:rPr>
            </w:r>
          </w:p>
        </w:tc>
        <w:tc>
          <w:tcPr>
            <w:tcW w:w="238" w:type="dxa"/>
            <w:tcBorders>
              <w:top w:val="nil" w:sz="6" w:space="0" w:color="auto"/>
              <w:left w:val="nil" w:sz="6" w:space="0" w:color="auto"/>
              <w:bottom w:val="nil" w:sz="6" w:space="0" w:color="auto"/>
              <w:right w:val="nil" w:sz="6" w:space="0" w:color="auto"/>
            </w:tcBorders>
          </w:tcPr>
          <w:p>
            <w:pPr/>
          </w:p>
        </w:tc>
        <w:tc>
          <w:tcPr>
            <w:tcW w:w="1754" w:type="dxa"/>
            <w:tcBorders>
              <w:top w:val="nil" w:sz="6" w:space="0" w:color="auto"/>
              <w:left w:val="nil" w:sz="6" w:space="0" w:color="auto"/>
              <w:bottom w:val="nil" w:sz="6" w:space="0" w:color="auto"/>
              <w:right w:val="nil" w:sz="6" w:space="0" w:color="auto"/>
            </w:tcBorders>
          </w:tcPr>
          <w:p>
            <w:pPr>
              <w:pStyle w:val="TableParagraph"/>
              <w:spacing w:line="213" w:lineRule="exact"/>
              <w:ind w:right="102"/>
              <w:jc w:val="right"/>
              <w:rPr>
                <w:rFonts w:ascii="宋体" w:hAnsi="宋体" w:cs="宋体" w:eastAsia="宋体" w:hint="default"/>
                <w:sz w:val="18"/>
                <w:szCs w:val="18"/>
              </w:rPr>
            </w:pPr>
            <w:r>
              <w:rPr>
                <w:rFonts w:ascii="宋体"/>
                <w:spacing w:val="-1"/>
                <w:sz w:val="18"/>
              </w:rPr>
              <w:t>195,419.25</w:t>
            </w:r>
          </w:p>
        </w:tc>
      </w:tr>
      <w:tr>
        <w:trPr>
          <w:trHeight w:val="269" w:hRule="exact"/>
        </w:trPr>
        <w:tc>
          <w:tcPr>
            <w:tcW w:w="3240" w:type="dxa"/>
            <w:tcBorders>
              <w:top w:val="nil" w:sz="6" w:space="0" w:color="auto"/>
              <w:left w:val="nil" w:sz="6" w:space="0" w:color="auto"/>
              <w:bottom w:val="nil" w:sz="6" w:space="0" w:color="auto"/>
              <w:right w:val="nil" w:sz="6" w:space="0" w:color="auto"/>
            </w:tcBorders>
          </w:tcPr>
          <w:p>
            <w:pPr>
              <w:pStyle w:val="TableParagraph"/>
              <w:spacing w:line="214" w:lineRule="exact"/>
              <w:ind w:left="290"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38" w:type="dxa"/>
            <w:tcBorders>
              <w:top w:val="nil" w:sz="6" w:space="0" w:color="auto"/>
              <w:left w:val="nil" w:sz="6" w:space="0" w:color="auto"/>
              <w:bottom w:val="nil" w:sz="6" w:space="0" w:color="auto"/>
              <w:right w:val="nil" w:sz="6" w:space="0" w:color="auto"/>
            </w:tcBorders>
          </w:tcPr>
          <w:p>
            <w:pPr/>
          </w:p>
        </w:tc>
        <w:tc>
          <w:tcPr>
            <w:tcW w:w="1742" w:type="dxa"/>
            <w:tcBorders>
              <w:top w:val="nil" w:sz="6" w:space="0" w:color="auto"/>
              <w:left w:val="nil" w:sz="6" w:space="0" w:color="auto"/>
              <w:bottom w:val="nil" w:sz="6" w:space="0" w:color="auto"/>
              <w:right w:val="nil" w:sz="6" w:space="0" w:color="auto"/>
            </w:tcBorders>
          </w:tcPr>
          <w:p>
            <w:pPr>
              <w:pStyle w:val="TableParagraph"/>
              <w:spacing w:line="239" w:lineRule="exact"/>
              <w:ind w:left="102"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注释</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16</w:t>
            </w:r>
          </w:p>
        </w:tc>
        <w:tc>
          <w:tcPr>
            <w:tcW w:w="238" w:type="dxa"/>
            <w:tcBorders>
              <w:top w:val="nil" w:sz="6" w:space="0" w:color="auto"/>
              <w:left w:val="nil" w:sz="6" w:space="0" w:color="auto"/>
              <w:bottom w:val="nil" w:sz="6" w:space="0" w:color="auto"/>
              <w:right w:val="nil" w:sz="6" w:space="0" w:color="auto"/>
            </w:tcBorders>
          </w:tcPr>
          <w:p>
            <w:pPr/>
          </w:p>
        </w:tc>
        <w:tc>
          <w:tcPr>
            <w:tcW w:w="2102" w:type="dxa"/>
            <w:tcBorders>
              <w:top w:val="nil" w:sz="6" w:space="0" w:color="auto"/>
              <w:left w:val="nil" w:sz="6" w:space="0" w:color="auto"/>
              <w:bottom w:val="nil" w:sz="6" w:space="0" w:color="auto"/>
              <w:right w:val="nil" w:sz="6" w:space="0" w:color="auto"/>
            </w:tcBorders>
          </w:tcPr>
          <w:p>
            <w:pPr>
              <w:pStyle w:val="TableParagraph"/>
              <w:spacing w:line="214" w:lineRule="exact"/>
              <w:ind w:right="104"/>
              <w:jc w:val="right"/>
              <w:rPr>
                <w:rFonts w:ascii="宋体" w:hAnsi="宋体" w:cs="宋体" w:eastAsia="宋体" w:hint="default"/>
                <w:sz w:val="18"/>
                <w:szCs w:val="18"/>
              </w:rPr>
            </w:pPr>
            <w:r>
              <w:rPr>
                <w:rFonts w:ascii="宋体"/>
                <w:spacing w:val="-1"/>
                <w:sz w:val="18"/>
              </w:rPr>
              <w:t>74,053,557.00</w:t>
            </w:r>
          </w:p>
        </w:tc>
        <w:tc>
          <w:tcPr>
            <w:tcW w:w="238" w:type="dxa"/>
            <w:tcBorders>
              <w:top w:val="nil" w:sz="6" w:space="0" w:color="auto"/>
              <w:left w:val="nil" w:sz="6" w:space="0" w:color="auto"/>
              <w:bottom w:val="nil" w:sz="6" w:space="0" w:color="auto"/>
              <w:right w:val="nil" w:sz="6" w:space="0" w:color="auto"/>
            </w:tcBorders>
          </w:tcPr>
          <w:p>
            <w:pPr/>
          </w:p>
        </w:tc>
        <w:tc>
          <w:tcPr>
            <w:tcW w:w="1754" w:type="dxa"/>
            <w:tcBorders>
              <w:top w:val="nil" w:sz="6" w:space="0" w:color="auto"/>
              <w:left w:val="nil" w:sz="6" w:space="0" w:color="auto"/>
              <w:bottom w:val="nil" w:sz="6" w:space="0" w:color="auto"/>
              <w:right w:val="nil" w:sz="6" w:space="0" w:color="auto"/>
            </w:tcBorders>
          </w:tcPr>
          <w:p>
            <w:pPr>
              <w:pStyle w:val="TableParagraph"/>
              <w:spacing w:line="214" w:lineRule="exact"/>
              <w:ind w:right="100"/>
              <w:jc w:val="right"/>
              <w:rPr>
                <w:rFonts w:ascii="宋体" w:hAnsi="宋体" w:cs="宋体" w:eastAsia="宋体" w:hint="default"/>
                <w:sz w:val="18"/>
                <w:szCs w:val="18"/>
              </w:rPr>
            </w:pPr>
            <w:r>
              <w:rPr>
                <w:rFonts w:ascii="宋体"/>
                <w:spacing w:val="-1"/>
                <w:sz w:val="18"/>
              </w:rPr>
              <w:t>74,053,557.00</w:t>
            </w:r>
            <w:r>
              <w:rPr>
                <w:rFonts w:ascii="宋体"/>
                <w:sz w:val="18"/>
              </w:rPr>
            </w:r>
          </w:p>
        </w:tc>
      </w:tr>
      <w:tr>
        <w:trPr>
          <w:trHeight w:val="261" w:hRule="exact"/>
        </w:trPr>
        <w:tc>
          <w:tcPr>
            <w:tcW w:w="3240" w:type="dxa"/>
            <w:tcBorders>
              <w:top w:val="nil" w:sz="6" w:space="0" w:color="auto"/>
              <w:left w:val="nil" w:sz="6" w:space="0" w:color="auto"/>
              <w:bottom w:val="nil" w:sz="6" w:space="0" w:color="auto"/>
              <w:right w:val="nil" w:sz="6" w:space="0" w:color="auto"/>
            </w:tcBorders>
          </w:tcPr>
          <w:p>
            <w:pPr>
              <w:pStyle w:val="TableParagraph"/>
              <w:spacing w:line="214" w:lineRule="exact"/>
              <w:ind w:left="470"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38" w:type="dxa"/>
            <w:tcBorders>
              <w:top w:val="nil" w:sz="6" w:space="0" w:color="auto"/>
              <w:left w:val="nil" w:sz="6" w:space="0" w:color="auto"/>
              <w:bottom w:val="nil" w:sz="6" w:space="0" w:color="auto"/>
              <w:right w:val="nil" w:sz="6" w:space="0" w:color="auto"/>
            </w:tcBorders>
          </w:tcPr>
          <w:p>
            <w:pPr/>
          </w:p>
        </w:tc>
        <w:tc>
          <w:tcPr>
            <w:tcW w:w="1742"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2102" w:type="dxa"/>
            <w:tcBorders>
              <w:top w:val="nil" w:sz="6" w:space="0" w:color="auto"/>
              <w:left w:val="nil" w:sz="6" w:space="0" w:color="auto"/>
              <w:bottom w:val="single" w:sz="4" w:space="0" w:color="000000"/>
              <w:right w:val="nil" w:sz="6" w:space="0" w:color="auto"/>
            </w:tcBorders>
          </w:tcPr>
          <w:p>
            <w:pPr>
              <w:pStyle w:val="TableParagraph"/>
              <w:spacing w:line="214" w:lineRule="exact"/>
              <w:ind w:right="107"/>
              <w:jc w:val="right"/>
              <w:rPr>
                <w:rFonts w:ascii="宋体" w:hAnsi="宋体" w:cs="宋体" w:eastAsia="宋体" w:hint="default"/>
                <w:sz w:val="18"/>
                <w:szCs w:val="18"/>
              </w:rPr>
            </w:pPr>
            <w:r>
              <w:rPr>
                <w:rFonts w:ascii="宋体"/>
                <w:spacing w:val="-1"/>
                <w:sz w:val="18"/>
              </w:rPr>
              <w:t>105,429,054.24</w:t>
            </w:r>
            <w:r>
              <w:rPr>
                <w:rFonts w:ascii="宋体"/>
                <w:sz w:val="18"/>
              </w:rPr>
            </w:r>
          </w:p>
        </w:tc>
        <w:tc>
          <w:tcPr>
            <w:tcW w:w="238" w:type="dxa"/>
            <w:tcBorders>
              <w:top w:val="nil" w:sz="6" w:space="0" w:color="auto"/>
              <w:left w:val="nil" w:sz="6" w:space="0" w:color="auto"/>
              <w:bottom w:val="nil" w:sz="6" w:space="0" w:color="auto"/>
              <w:right w:val="nil" w:sz="6" w:space="0" w:color="auto"/>
            </w:tcBorders>
          </w:tcPr>
          <w:p>
            <w:pPr/>
          </w:p>
        </w:tc>
        <w:tc>
          <w:tcPr>
            <w:tcW w:w="1754" w:type="dxa"/>
            <w:tcBorders>
              <w:top w:val="nil" w:sz="6" w:space="0" w:color="auto"/>
              <w:left w:val="nil" w:sz="6" w:space="0" w:color="auto"/>
              <w:bottom w:val="single" w:sz="4" w:space="0" w:color="000000"/>
              <w:right w:val="nil" w:sz="6" w:space="0" w:color="auto"/>
            </w:tcBorders>
          </w:tcPr>
          <w:p>
            <w:pPr>
              <w:pStyle w:val="TableParagraph"/>
              <w:spacing w:line="214" w:lineRule="exact"/>
              <w:ind w:right="102"/>
              <w:jc w:val="right"/>
              <w:rPr>
                <w:rFonts w:ascii="宋体" w:hAnsi="宋体" w:cs="宋体" w:eastAsia="宋体" w:hint="default"/>
                <w:sz w:val="18"/>
                <w:szCs w:val="18"/>
              </w:rPr>
            </w:pPr>
            <w:r>
              <w:rPr>
                <w:rFonts w:ascii="宋体"/>
                <w:spacing w:val="-1"/>
                <w:sz w:val="18"/>
              </w:rPr>
              <w:t>100,394,108.47</w:t>
            </w:r>
          </w:p>
        </w:tc>
      </w:tr>
      <w:tr>
        <w:trPr>
          <w:trHeight w:val="262" w:hRule="exact"/>
        </w:trPr>
        <w:tc>
          <w:tcPr>
            <w:tcW w:w="3240" w:type="dxa"/>
            <w:tcBorders>
              <w:top w:val="nil" w:sz="6" w:space="0" w:color="auto"/>
              <w:left w:val="nil" w:sz="6" w:space="0" w:color="auto"/>
              <w:bottom w:val="nil" w:sz="6" w:space="0" w:color="auto"/>
              <w:right w:val="nil" w:sz="6" w:space="0" w:color="auto"/>
            </w:tcBorders>
          </w:tcPr>
          <w:p>
            <w:pPr>
              <w:pStyle w:val="TableParagraph"/>
              <w:spacing w:line="210" w:lineRule="exact"/>
              <w:ind w:left="470" w:right="0"/>
              <w:jc w:val="left"/>
              <w:rPr>
                <w:rFonts w:ascii="宋体" w:hAnsi="宋体" w:cs="宋体" w:eastAsia="宋体" w:hint="default"/>
                <w:sz w:val="18"/>
                <w:szCs w:val="18"/>
              </w:rPr>
            </w:pPr>
            <w:r>
              <w:rPr>
                <w:rFonts w:ascii="宋体" w:hAnsi="宋体" w:cs="宋体" w:eastAsia="宋体" w:hint="default"/>
                <w:b/>
                <w:bCs/>
                <w:sz w:val="18"/>
                <w:szCs w:val="18"/>
              </w:rPr>
              <w:t>资产总计</w:t>
            </w:r>
            <w:r>
              <w:rPr>
                <w:rFonts w:ascii="宋体" w:hAnsi="宋体" w:cs="宋体" w:eastAsia="宋体" w:hint="default"/>
                <w:sz w:val="18"/>
                <w:szCs w:val="18"/>
              </w:rPr>
            </w:r>
          </w:p>
        </w:tc>
        <w:tc>
          <w:tcPr>
            <w:tcW w:w="238" w:type="dxa"/>
            <w:tcBorders>
              <w:top w:val="nil" w:sz="6" w:space="0" w:color="auto"/>
              <w:left w:val="nil" w:sz="6" w:space="0" w:color="auto"/>
              <w:bottom w:val="nil" w:sz="6" w:space="0" w:color="auto"/>
              <w:right w:val="nil" w:sz="6" w:space="0" w:color="auto"/>
            </w:tcBorders>
          </w:tcPr>
          <w:p>
            <w:pPr/>
          </w:p>
        </w:tc>
        <w:tc>
          <w:tcPr>
            <w:tcW w:w="1742"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2102" w:type="dxa"/>
            <w:tcBorders>
              <w:top w:val="single" w:sz="4" w:space="0" w:color="000000"/>
              <w:left w:val="nil" w:sz="6" w:space="0" w:color="auto"/>
              <w:bottom w:val="nil" w:sz="6" w:space="0" w:color="auto"/>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pacing w:val="-1"/>
                <w:sz w:val="18"/>
              </w:rPr>
              <w:t>354,751,851.30</w:t>
            </w:r>
            <w:r>
              <w:rPr>
                <w:rFonts w:ascii="宋体"/>
                <w:sz w:val="18"/>
              </w:rPr>
            </w:r>
          </w:p>
        </w:tc>
        <w:tc>
          <w:tcPr>
            <w:tcW w:w="238" w:type="dxa"/>
            <w:tcBorders>
              <w:top w:val="nil" w:sz="6" w:space="0" w:color="auto"/>
              <w:left w:val="nil" w:sz="6" w:space="0" w:color="auto"/>
              <w:bottom w:val="nil" w:sz="6" w:space="0" w:color="auto"/>
              <w:right w:val="nil" w:sz="6" w:space="0" w:color="auto"/>
            </w:tcBorders>
          </w:tcPr>
          <w:p>
            <w:pPr/>
          </w:p>
        </w:tc>
        <w:tc>
          <w:tcPr>
            <w:tcW w:w="1754" w:type="dxa"/>
            <w:tcBorders>
              <w:top w:val="single" w:sz="4" w:space="0" w:color="000000"/>
              <w:left w:val="nil" w:sz="6" w:space="0" w:color="auto"/>
              <w:bottom w:val="single" w:sz="17" w:space="0" w:color="000000"/>
              <w:right w:val="nil" w:sz="6" w:space="0" w:color="auto"/>
            </w:tcBorders>
          </w:tcPr>
          <w:p>
            <w:pPr>
              <w:pStyle w:val="TableParagraph"/>
              <w:spacing w:line="205" w:lineRule="exact"/>
              <w:ind w:right="102"/>
              <w:jc w:val="right"/>
              <w:rPr>
                <w:rFonts w:ascii="宋体" w:hAnsi="宋体" w:cs="宋体" w:eastAsia="宋体" w:hint="default"/>
                <w:sz w:val="18"/>
                <w:szCs w:val="18"/>
              </w:rPr>
            </w:pPr>
            <w:r>
              <w:rPr>
                <w:rFonts w:ascii="宋体"/>
                <w:spacing w:val="-1"/>
                <w:sz w:val="18"/>
              </w:rPr>
              <w:t>334,638,275.75</w:t>
            </w:r>
          </w:p>
        </w:tc>
      </w:tr>
      <w:tr>
        <w:trPr>
          <w:trHeight w:val="314" w:hRule="exact"/>
        </w:trPr>
        <w:tc>
          <w:tcPr>
            <w:tcW w:w="3240" w:type="dxa"/>
            <w:tcBorders>
              <w:top w:val="nil" w:sz="6" w:space="0" w:color="auto"/>
              <w:left w:val="nil" w:sz="6" w:space="0" w:color="auto"/>
              <w:bottom w:val="single" w:sz="4" w:space="0" w:color="000000"/>
              <w:right w:val="nil" w:sz="6" w:space="0" w:color="auto"/>
            </w:tcBorders>
          </w:tcPr>
          <w:p>
            <w:pPr/>
          </w:p>
        </w:tc>
        <w:tc>
          <w:tcPr>
            <w:tcW w:w="238" w:type="dxa"/>
            <w:tcBorders>
              <w:top w:val="nil" w:sz="6" w:space="0" w:color="auto"/>
              <w:left w:val="nil" w:sz="6" w:space="0" w:color="auto"/>
              <w:bottom w:val="single" w:sz="4" w:space="0" w:color="000000"/>
              <w:right w:val="nil" w:sz="6" w:space="0" w:color="auto"/>
            </w:tcBorders>
          </w:tcPr>
          <w:p>
            <w:pPr/>
          </w:p>
        </w:tc>
        <w:tc>
          <w:tcPr>
            <w:tcW w:w="1742" w:type="dxa"/>
            <w:tcBorders>
              <w:top w:val="nil" w:sz="6" w:space="0" w:color="auto"/>
              <w:left w:val="nil" w:sz="6" w:space="0" w:color="auto"/>
              <w:bottom w:val="single" w:sz="4" w:space="0" w:color="000000"/>
              <w:right w:val="nil" w:sz="6" w:space="0" w:color="auto"/>
            </w:tcBorders>
          </w:tcPr>
          <w:p>
            <w:pPr/>
          </w:p>
        </w:tc>
        <w:tc>
          <w:tcPr>
            <w:tcW w:w="238" w:type="dxa"/>
            <w:tcBorders>
              <w:top w:val="nil" w:sz="6" w:space="0" w:color="auto"/>
              <w:left w:val="nil" w:sz="6" w:space="0" w:color="auto"/>
              <w:bottom w:val="single" w:sz="4" w:space="0" w:color="000000"/>
              <w:right w:val="nil" w:sz="6" w:space="0" w:color="auto"/>
            </w:tcBorders>
          </w:tcPr>
          <w:p>
            <w:pPr/>
          </w:p>
        </w:tc>
        <w:tc>
          <w:tcPr>
            <w:tcW w:w="2102" w:type="dxa"/>
            <w:tcBorders>
              <w:top w:val="nil" w:sz="6" w:space="0" w:color="auto"/>
              <w:left w:val="nil" w:sz="6" w:space="0" w:color="auto"/>
              <w:bottom w:val="single" w:sz="4" w:space="0" w:color="000000"/>
              <w:right w:val="nil" w:sz="6" w:space="0" w:color="auto"/>
            </w:tcBorders>
          </w:tcPr>
          <w:p>
            <w:pPr/>
          </w:p>
        </w:tc>
        <w:tc>
          <w:tcPr>
            <w:tcW w:w="238" w:type="dxa"/>
            <w:tcBorders>
              <w:top w:val="nil" w:sz="6" w:space="0" w:color="auto"/>
              <w:left w:val="nil" w:sz="6" w:space="0" w:color="auto"/>
              <w:bottom w:val="single" w:sz="4" w:space="0" w:color="000000"/>
              <w:right w:val="nil" w:sz="6" w:space="0" w:color="auto"/>
            </w:tcBorders>
          </w:tcPr>
          <w:p>
            <w:pPr/>
          </w:p>
        </w:tc>
        <w:tc>
          <w:tcPr>
            <w:tcW w:w="1754" w:type="dxa"/>
            <w:tcBorders>
              <w:top w:val="single" w:sz="17" w:space="0" w:color="000000"/>
              <w:left w:val="nil" w:sz="6" w:space="0" w:color="auto"/>
              <w:bottom w:val="single" w:sz="4" w:space="0" w:color="000000"/>
              <w:right w:val="nil" w:sz="6" w:space="0" w:color="auto"/>
            </w:tcBorders>
          </w:tcPr>
          <w:p>
            <w:pPr/>
          </w:p>
        </w:tc>
      </w:tr>
      <w:tr>
        <w:trPr>
          <w:trHeight w:val="809" w:hRule="exact"/>
        </w:trPr>
        <w:tc>
          <w:tcPr>
            <w:tcW w:w="9552" w:type="dxa"/>
            <w:gridSpan w:val="7"/>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tabs>
                <w:tab w:pos="3172" w:val="left" w:leader="none"/>
                <w:tab w:pos="7132" w:val="left" w:leader="none"/>
              </w:tabs>
              <w:spacing w:line="240" w:lineRule="auto" w:before="115"/>
              <w:ind w:left="199" w:right="0"/>
              <w:jc w:val="left"/>
              <w:rPr>
                <w:rFonts w:ascii="宋体" w:hAnsi="宋体" w:cs="宋体" w:eastAsia="宋体" w:hint="default"/>
                <w:sz w:val="18"/>
                <w:szCs w:val="18"/>
              </w:rPr>
            </w:pPr>
            <w:r>
              <w:rPr>
                <w:rFonts w:ascii="宋体" w:hAnsi="宋体" w:cs="宋体" w:eastAsia="宋体" w:hint="default"/>
                <w:sz w:val="18"/>
                <w:szCs w:val="18"/>
              </w:rPr>
              <w:t>公司负责人：</w:t>
            </w:r>
            <w:r>
              <w:rPr>
                <w:rFonts w:ascii="宋体" w:hAnsi="宋体" w:cs="宋体" w:eastAsia="宋体" w:hint="default"/>
                <w:spacing w:val="1"/>
                <w:sz w:val="18"/>
                <w:szCs w:val="18"/>
              </w:rPr>
              <w:t> </w:t>
            </w:r>
            <w:r>
              <w:rPr>
                <w:rFonts w:ascii="宋体" w:hAnsi="宋体" w:cs="宋体" w:eastAsia="宋体" w:hint="default"/>
                <w:sz w:val="18"/>
                <w:szCs w:val="18"/>
              </w:rPr>
              <w:t>黄元忠</w:t>
              <w:tab/>
              <w:t>主管会计工作负责人：</w:t>
            </w:r>
            <w:r>
              <w:rPr>
                <w:rFonts w:ascii="宋体" w:hAnsi="宋体" w:cs="宋体" w:eastAsia="宋体" w:hint="default"/>
                <w:spacing w:val="90"/>
                <w:sz w:val="18"/>
                <w:szCs w:val="18"/>
              </w:rPr>
              <w:t> </w:t>
            </w:r>
            <w:r>
              <w:rPr>
                <w:rFonts w:ascii="宋体" w:hAnsi="宋体" w:cs="宋体" w:eastAsia="宋体" w:hint="default"/>
                <w:sz w:val="18"/>
                <w:szCs w:val="18"/>
              </w:rPr>
              <w:t>孙晓玲</w:t>
              <w:tab/>
              <w:t>会计机构负责人：全丽</w:t>
            </w:r>
          </w:p>
        </w:tc>
      </w:tr>
      <w:tr>
        <w:trPr>
          <w:trHeight w:val="426" w:hRule="exact"/>
        </w:trPr>
        <w:tc>
          <w:tcPr>
            <w:tcW w:w="9552"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（所附附注是合并财务报表的组成部分）</w:t>
            </w:r>
          </w:p>
        </w:tc>
      </w:tr>
    </w:tbl>
    <w:p>
      <w:pPr>
        <w:spacing w:after="0" w:line="240" w:lineRule="auto"/>
        <w:jc w:val="left"/>
        <w:rPr>
          <w:rFonts w:ascii="宋体" w:hAnsi="宋体" w:cs="宋体" w:eastAsia="宋体" w:hint="default"/>
          <w:sz w:val="18"/>
          <w:szCs w:val="18"/>
        </w:rPr>
        <w:sectPr>
          <w:pgSz w:w="11910" w:h="16840"/>
          <w:pgMar w:header="880" w:footer="979" w:top="1060" w:bottom="1160" w:left="1060" w:right="1060"/>
        </w:sectPr>
      </w:pPr>
    </w:p>
    <w:p>
      <w:pPr>
        <w:spacing w:line="240" w:lineRule="auto" w:before="2"/>
        <w:rPr>
          <w:rFonts w:ascii="Times New Roman" w:hAnsi="Times New Roman" w:cs="Times New Roman" w:eastAsia="Times New Roman" w:hint="default"/>
          <w:sz w:val="3"/>
          <w:szCs w:val="3"/>
        </w:rPr>
      </w:pPr>
      <w:r>
        <w:rPr/>
        <w:pict>
          <v:group style="position:absolute;margin-left:323.519989pt;margin-top:678.119995pt;width:106pt;height:2.2pt;mso-position-horizontal-relative:page;mso-position-vertical-relative:page;z-index:-1160104" coordorigin="6470,13562" coordsize="2120,44">
            <v:group style="position:absolute;left:6478;top:13570;width:2105;height:2" coordorigin="6478,13570" coordsize="2105,2">
              <v:shape style="position:absolute;left:6478;top:13570;width:2105;height:2" coordorigin="6478,13570" coordsize="2105,0" path="m6478,13570l8582,13570e" filled="false" stroked="true" strokeweight=".72pt" strokecolor="#000000">
                <v:path arrowok="t"/>
              </v:shape>
            </v:group>
            <v:group style="position:absolute;left:6478;top:13598;width:2105;height:2" coordorigin="6478,13598" coordsize="2105,2">
              <v:shape style="position:absolute;left:6478;top:13598;width:2105;height:2" coordorigin="6478,13598" coordsize="2105,0" path="m6478,13598l8582,13598e" filled="false" stroked="true" strokeweight=".72pt" strokecolor="#000000">
                <v:path arrowok="t"/>
              </v:shape>
            </v:group>
            <w10:wrap type="none"/>
          </v:group>
        </w:pict>
      </w:r>
    </w:p>
    <w:tbl>
      <w:tblPr>
        <w:tblW w:w="0" w:type="auto"/>
        <w:jc w:val="left"/>
        <w:tblInd w:w="108" w:type="dxa"/>
        <w:tblLayout w:type="fixed"/>
        <w:tblCellMar>
          <w:top w:w="0" w:type="dxa"/>
          <w:left w:w="0" w:type="dxa"/>
          <w:bottom w:w="0" w:type="dxa"/>
          <w:right w:w="0" w:type="dxa"/>
        </w:tblCellMar>
        <w:tblLook w:val="01E0"/>
      </w:tblPr>
      <w:tblGrid>
        <w:gridCol w:w="3614"/>
        <w:gridCol w:w="235"/>
        <w:gridCol w:w="1205"/>
        <w:gridCol w:w="235"/>
        <w:gridCol w:w="2105"/>
        <w:gridCol w:w="235"/>
        <w:gridCol w:w="1901"/>
      </w:tblGrid>
      <w:tr>
        <w:trPr>
          <w:trHeight w:val="822" w:hRule="exact"/>
        </w:trPr>
        <w:tc>
          <w:tcPr>
            <w:tcW w:w="9530"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685" w:right="0"/>
              <w:jc w:val="left"/>
              <w:rPr>
                <w:rFonts w:ascii="黑体" w:hAnsi="黑体" w:cs="黑体" w:eastAsia="黑体" w:hint="default"/>
                <w:sz w:val="32"/>
                <w:szCs w:val="32"/>
              </w:rPr>
            </w:pPr>
            <w:r>
              <w:rPr>
                <w:rFonts w:ascii="黑体" w:hAnsi="黑体" w:cs="黑体" w:eastAsia="黑体" w:hint="default"/>
                <w:sz w:val="32"/>
                <w:szCs w:val="32"/>
              </w:rPr>
              <w:t>深圳市方直科技股份有限公司</w:t>
            </w:r>
          </w:p>
        </w:tc>
      </w:tr>
      <w:tr>
        <w:trPr>
          <w:trHeight w:val="507" w:hRule="exact"/>
        </w:trPr>
        <w:tc>
          <w:tcPr>
            <w:tcW w:w="9530" w:type="dxa"/>
            <w:gridSpan w:val="7"/>
            <w:tcBorders>
              <w:top w:val="nil" w:sz="6" w:space="0" w:color="auto"/>
              <w:left w:val="nil" w:sz="6" w:space="0" w:color="auto"/>
              <w:bottom w:val="nil" w:sz="6" w:space="0" w:color="auto"/>
              <w:right w:val="nil" w:sz="6" w:space="0" w:color="auto"/>
            </w:tcBorders>
          </w:tcPr>
          <w:p>
            <w:pPr>
              <w:pStyle w:val="TableParagraph"/>
              <w:spacing w:line="415" w:lineRule="exact"/>
              <w:ind w:left="3165" w:right="0"/>
              <w:jc w:val="left"/>
              <w:rPr>
                <w:rFonts w:ascii="黑体" w:hAnsi="黑体" w:cs="黑体" w:eastAsia="黑体" w:hint="default"/>
                <w:sz w:val="32"/>
                <w:szCs w:val="32"/>
              </w:rPr>
            </w:pPr>
            <w:r>
              <w:rPr>
                <w:rFonts w:ascii="黑体" w:hAnsi="黑体" w:cs="黑体" w:eastAsia="黑体" w:hint="default"/>
                <w:sz w:val="32"/>
                <w:szCs w:val="32"/>
              </w:rPr>
              <w:t>合并资产负债表（续）</w:t>
            </w:r>
          </w:p>
        </w:tc>
      </w:tr>
      <w:tr>
        <w:trPr>
          <w:trHeight w:val="388" w:hRule="exact"/>
        </w:trPr>
        <w:tc>
          <w:tcPr>
            <w:tcW w:w="9530"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24"/>
              <w:ind w:left="4" w:right="0"/>
              <w:jc w:val="center"/>
              <w:rPr>
                <w:rFonts w:ascii="宋体" w:hAnsi="宋体" w:cs="宋体" w:eastAsia="宋体" w:hint="default"/>
                <w:sz w:val="22"/>
                <w:szCs w:val="22"/>
              </w:rPr>
            </w:pPr>
            <w:r>
              <w:rPr>
                <w:rFonts w:ascii="宋体" w:hAnsi="宋体" w:cs="宋体" w:eastAsia="宋体" w:hint="default"/>
                <w:sz w:val="22"/>
                <w:szCs w:val="22"/>
              </w:rPr>
              <w:t>2014</w:t>
            </w:r>
            <w:r>
              <w:rPr>
                <w:rFonts w:ascii="宋体" w:hAnsi="宋体" w:cs="宋体" w:eastAsia="宋体" w:hint="default"/>
                <w:spacing w:val="-55"/>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12</w:t>
            </w:r>
            <w:r>
              <w:rPr>
                <w:rFonts w:ascii="宋体" w:hAnsi="宋体" w:cs="宋体" w:eastAsia="宋体" w:hint="default"/>
                <w:spacing w:val="-55"/>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31</w:t>
            </w:r>
            <w:r>
              <w:rPr>
                <w:rFonts w:ascii="宋体" w:hAnsi="宋体" w:cs="宋体" w:eastAsia="宋体" w:hint="default"/>
                <w:spacing w:val="-58"/>
                <w:sz w:val="22"/>
                <w:szCs w:val="22"/>
              </w:rPr>
              <w:t> </w:t>
            </w:r>
            <w:r>
              <w:rPr>
                <w:rFonts w:ascii="宋体" w:hAnsi="宋体" w:cs="宋体" w:eastAsia="宋体" w:hint="default"/>
                <w:sz w:val="22"/>
                <w:szCs w:val="22"/>
              </w:rPr>
              <w:t>日</w:t>
            </w:r>
          </w:p>
        </w:tc>
      </w:tr>
      <w:tr>
        <w:trPr>
          <w:trHeight w:val="360" w:hRule="exact"/>
        </w:trPr>
        <w:tc>
          <w:tcPr>
            <w:tcW w:w="3614"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3"/>
              <w:jc w:val="right"/>
              <w:rPr>
                <w:rFonts w:ascii="宋体" w:hAnsi="宋体" w:cs="宋体" w:eastAsia="宋体" w:hint="default"/>
                <w:sz w:val="22"/>
                <w:szCs w:val="22"/>
              </w:rPr>
            </w:pPr>
            <w:r>
              <w:rPr>
                <w:rFonts w:ascii="宋体" w:hAnsi="宋体" w:cs="宋体" w:eastAsia="宋体" w:hint="default"/>
                <w:spacing w:val="-1"/>
                <w:sz w:val="22"/>
                <w:szCs w:val="22"/>
              </w:rPr>
              <w:t>单位：人民币元</w:t>
            </w:r>
          </w:p>
        </w:tc>
      </w:tr>
      <w:tr>
        <w:trPr>
          <w:trHeight w:val="302" w:hRule="exact"/>
        </w:trPr>
        <w:tc>
          <w:tcPr>
            <w:tcW w:w="3614" w:type="dxa"/>
            <w:tcBorders>
              <w:top w:val="nil" w:sz="6" w:space="0" w:color="auto"/>
              <w:left w:val="nil" w:sz="6" w:space="0" w:color="auto"/>
              <w:bottom w:val="single" w:sz="4" w:space="0" w:color="000000"/>
              <w:right w:val="nil" w:sz="6" w:space="0" w:color="auto"/>
            </w:tcBorders>
          </w:tcPr>
          <w:p>
            <w:pPr>
              <w:pStyle w:val="TableParagraph"/>
              <w:spacing w:line="240" w:lineRule="auto" w:before="7"/>
              <w:ind w:left="1176" w:right="0"/>
              <w:jc w:val="left"/>
              <w:rPr>
                <w:rFonts w:ascii="宋体" w:hAnsi="宋体" w:cs="宋体" w:eastAsia="宋体" w:hint="default"/>
                <w:sz w:val="18"/>
                <w:szCs w:val="18"/>
              </w:rPr>
            </w:pPr>
            <w:r>
              <w:rPr>
                <w:rFonts w:ascii="宋体" w:hAnsi="宋体" w:cs="宋体" w:eastAsia="宋体" w:hint="default"/>
                <w:sz w:val="18"/>
                <w:szCs w:val="18"/>
              </w:rPr>
              <w:t>负债和股东权益</w:t>
            </w:r>
          </w:p>
        </w:tc>
        <w:tc>
          <w:tcPr>
            <w:tcW w:w="235"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center"/>
              <w:rPr>
                <w:rFonts w:ascii="宋体" w:hAnsi="宋体" w:cs="宋体" w:eastAsia="宋体" w:hint="default"/>
                <w:sz w:val="18"/>
                <w:szCs w:val="18"/>
              </w:rPr>
            </w:pPr>
            <w:r>
              <w:rPr>
                <w:rFonts w:ascii="宋体" w:hAnsi="宋体" w:cs="宋体" w:eastAsia="宋体" w:hint="default"/>
                <w:sz w:val="18"/>
                <w:szCs w:val="18"/>
              </w:rPr>
              <w:t>附注</w:t>
            </w:r>
          </w:p>
        </w:tc>
        <w:tc>
          <w:tcPr>
            <w:tcW w:w="235"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35" w:type="dxa"/>
            <w:tcBorders>
              <w:top w:val="nil" w:sz="6" w:space="0" w:color="auto"/>
              <w:left w:val="nil" w:sz="6" w:space="0" w:color="auto"/>
              <w:bottom w:val="nil" w:sz="6" w:space="0" w:color="auto"/>
              <w:right w:val="nil" w:sz="6" w:space="0" w:color="auto"/>
            </w:tcBorders>
          </w:tcPr>
          <w:p>
            <w:pPr/>
          </w:p>
        </w:tc>
        <w:tc>
          <w:tcPr>
            <w:tcW w:w="1901"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88" w:hRule="exact"/>
        </w:trPr>
        <w:tc>
          <w:tcPr>
            <w:tcW w:w="3614" w:type="dxa"/>
            <w:tcBorders>
              <w:top w:val="single" w:sz="4" w:space="0" w:color="000000"/>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流动负债：</w:t>
            </w:r>
            <w:r>
              <w:rPr>
                <w:rFonts w:ascii="宋体" w:hAnsi="宋体" w:cs="宋体" w:eastAsia="宋体" w:hint="default"/>
                <w:sz w:val="18"/>
                <w:szCs w:val="18"/>
              </w:rPr>
            </w:r>
          </w:p>
        </w:tc>
        <w:tc>
          <w:tcPr>
            <w:tcW w:w="235" w:type="dxa"/>
            <w:tcBorders>
              <w:top w:val="nil" w:sz="6" w:space="0" w:color="auto"/>
              <w:left w:val="nil" w:sz="6" w:space="0" w:color="auto"/>
              <w:bottom w:val="nil" w:sz="6" w:space="0" w:color="auto"/>
              <w:right w:val="nil" w:sz="6" w:space="0" w:color="auto"/>
            </w:tcBorders>
          </w:tcPr>
          <w:p>
            <w:pPr/>
          </w:p>
        </w:tc>
        <w:tc>
          <w:tcPr>
            <w:tcW w:w="1205" w:type="dxa"/>
            <w:tcBorders>
              <w:top w:val="single" w:sz="4" w:space="0" w:color="000000"/>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2105" w:type="dxa"/>
            <w:tcBorders>
              <w:top w:val="single" w:sz="4" w:space="0" w:color="000000"/>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901" w:type="dxa"/>
            <w:tcBorders>
              <w:top w:val="single" w:sz="4" w:space="0" w:color="000000"/>
              <w:left w:val="nil" w:sz="6" w:space="0" w:color="auto"/>
              <w:bottom w:val="nil" w:sz="6" w:space="0" w:color="auto"/>
              <w:right w:val="nil" w:sz="6" w:space="0" w:color="auto"/>
            </w:tcBorders>
          </w:tcPr>
          <w:p>
            <w:pPr/>
          </w:p>
        </w:tc>
      </w:tr>
      <w:tr>
        <w:trPr>
          <w:trHeight w:val="284" w:hRule="exact"/>
        </w:trPr>
        <w:tc>
          <w:tcPr>
            <w:tcW w:w="3614" w:type="dxa"/>
            <w:tcBorders>
              <w:top w:val="nil" w:sz="6" w:space="0" w:color="auto"/>
              <w:left w:val="nil" w:sz="6" w:space="0" w:color="auto"/>
              <w:bottom w:val="nil" w:sz="6" w:space="0" w:color="auto"/>
              <w:right w:val="nil" w:sz="6" w:space="0" w:color="auto"/>
            </w:tcBorders>
          </w:tcPr>
          <w:p>
            <w:pPr>
              <w:pStyle w:val="TableParagraph"/>
              <w:spacing w:line="232" w:lineRule="exact"/>
              <w:ind w:left="290"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35"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901"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w:t>
            </w:r>
          </w:p>
        </w:tc>
      </w:tr>
      <w:tr>
        <w:trPr>
          <w:trHeight w:val="284" w:hRule="exact"/>
        </w:trPr>
        <w:tc>
          <w:tcPr>
            <w:tcW w:w="3614" w:type="dxa"/>
            <w:tcBorders>
              <w:top w:val="nil" w:sz="6" w:space="0" w:color="auto"/>
              <w:left w:val="nil" w:sz="6" w:space="0" w:color="auto"/>
              <w:bottom w:val="nil" w:sz="6" w:space="0" w:color="auto"/>
              <w:right w:val="nil" w:sz="6" w:space="0" w:color="auto"/>
            </w:tcBorders>
          </w:tcPr>
          <w:p>
            <w:pPr>
              <w:pStyle w:val="TableParagraph"/>
              <w:spacing w:line="233" w:lineRule="exact"/>
              <w:ind w:left="290"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35"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nil" w:sz="6" w:space="0" w:color="auto"/>
              <w:right w:val="nil" w:sz="6" w:space="0" w:color="auto"/>
            </w:tcBorders>
          </w:tcPr>
          <w:p>
            <w:pPr>
              <w:pStyle w:val="TableParagraph"/>
              <w:spacing w:line="233" w:lineRule="exact"/>
              <w:ind w:right="107"/>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901" w:type="dxa"/>
            <w:tcBorders>
              <w:top w:val="nil" w:sz="6" w:space="0" w:color="auto"/>
              <w:left w:val="nil" w:sz="6" w:space="0" w:color="auto"/>
              <w:bottom w:val="nil" w:sz="6" w:space="0" w:color="auto"/>
              <w:right w:val="nil" w:sz="6" w:space="0" w:color="auto"/>
            </w:tcBorders>
          </w:tcPr>
          <w:p>
            <w:pPr>
              <w:pStyle w:val="TableParagraph"/>
              <w:spacing w:line="233" w:lineRule="exact"/>
              <w:ind w:right="107"/>
              <w:jc w:val="right"/>
              <w:rPr>
                <w:rFonts w:ascii="宋体" w:hAnsi="宋体" w:cs="宋体" w:eastAsia="宋体" w:hint="default"/>
                <w:sz w:val="18"/>
                <w:szCs w:val="18"/>
              </w:rPr>
            </w:pPr>
            <w:r>
              <w:rPr>
                <w:rFonts w:ascii="宋体"/>
                <w:sz w:val="18"/>
              </w:rPr>
              <w:t>-</w:t>
            </w:r>
          </w:p>
        </w:tc>
      </w:tr>
      <w:tr>
        <w:trPr>
          <w:trHeight w:val="280" w:hRule="exact"/>
        </w:trPr>
        <w:tc>
          <w:tcPr>
            <w:tcW w:w="3614" w:type="dxa"/>
            <w:tcBorders>
              <w:top w:val="nil" w:sz="6" w:space="0" w:color="auto"/>
              <w:left w:val="nil" w:sz="6" w:space="0" w:color="auto"/>
              <w:bottom w:val="nil" w:sz="6" w:space="0" w:color="auto"/>
              <w:right w:val="nil" w:sz="6" w:space="0" w:color="auto"/>
            </w:tcBorders>
          </w:tcPr>
          <w:p>
            <w:pPr>
              <w:pStyle w:val="TableParagraph"/>
              <w:spacing w:line="232" w:lineRule="exact"/>
              <w:ind w:left="290"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35"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901"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w:t>
            </w:r>
          </w:p>
        </w:tc>
      </w:tr>
      <w:tr>
        <w:trPr>
          <w:trHeight w:val="295" w:hRule="exact"/>
        </w:trPr>
        <w:tc>
          <w:tcPr>
            <w:tcW w:w="3614" w:type="dxa"/>
            <w:tcBorders>
              <w:top w:val="nil" w:sz="6" w:space="0" w:color="auto"/>
              <w:left w:val="nil" w:sz="6" w:space="0" w:color="auto"/>
              <w:bottom w:val="nil" w:sz="6" w:space="0" w:color="auto"/>
              <w:right w:val="nil" w:sz="6" w:space="0" w:color="auto"/>
            </w:tcBorders>
          </w:tcPr>
          <w:p>
            <w:pPr>
              <w:pStyle w:val="TableParagraph"/>
              <w:spacing w:line="235" w:lineRule="exact"/>
              <w:ind w:left="290"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5"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Style w:val="TableParagraph"/>
              <w:spacing w:line="263" w:lineRule="exact"/>
              <w:ind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注释</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17</w:t>
            </w:r>
          </w:p>
        </w:tc>
        <w:tc>
          <w:tcPr>
            <w:tcW w:w="235"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nil" w:sz="6" w:space="0" w:color="auto"/>
              <w:right w:val="nil" w:sz="6" w:space="0" w:color="auto"/>
            </w:tcBorders>
          </w:tcPr>
          <w:p>
            <w:pPr>
              <w:pStyle w:val="TableParagraph"/>
              <w:spacing w:line="235" w:lineRule="exact"/>
              <w:ind w:right="108"/>
              <w:jc w:val="right"/>
              <w:rPr>
                <w:rFonts w:ascii="宋体" w:hAnsi="宋体" w:cs="宋体" w:eastAsia="宋体" w:hint="default"/>
                <w:sz w:val="18"/>
                <w:szCs w:val="18"/>
              </w:rPr>
            </w:pPr>
            <w:r>
              <w:rPr>
                <w:rFonts w:ascii="宋体"/>
                <w:spacing w:val="-1"/>
                <w:sz w:val="18"/>
              </w:rPr>
              <w:t>5,949,989.55</w:t>
            </w:r>
            <w:r>
              <w:rPr>
                <w:rFonts w:ascii="宋体"/>
                <w:sz w:val="18"/>
              </w:rPr>
            </w:r>
          </w:p>
        </w:tc>
        <w:tc>
          <w:tcPr>
            <w:tcW w:w="235" w:type="dxa"/>
            <w:tcBorders>
              <w:top w:val="nil" w:sz="6" w:space="0" w:color="auto"/>
              <w:left w:val="nil" w:sz="6" w:space="0" w:color="auto"/>
              <w:bottom w:val="nil" w:sz="6" w:space="0" w:color="auto"/>
              <w:right w:val="nil" w:sz="6" w:space="0" w:color="auto"/>
            </w:tcBorders>
          </w:tcPr>
          <w:p>
            <w:pPr/>
          </w:p>
        </w:tc>
        <w:tc>
          <w:tcPr>
            <w:tcW w:w="1901" w:type="dxa"/>
            <w:tcBorders>
              <w:top w:val="nil" w:sz="6" w:space="0" w:color="auto"/>
              <w:left w:val="nil" w:sz="6" w:space="0" w:color="auto"/>
              <w:bottom w:val="nil" w:sz="6" w:space="0" w:color="auto"/>
              <w:right w:val="nil" w:sz="6" w:space="0" w:color="auto"/>
            </w:tcBorders>
          </w:tcPr>
          <w:p>
            <w:pPr>
              <w:pStyle w:val="TableParagraph"/>
              <w:spacing w:line="235" w:lineRule="exact"/>
              <w:ind w:right="108"/>
              <w:jc w:val="right"/>
              <w:rPr>
                <w:rFonts w:ascii="宋体" w:hAnsi="宋体" w:cs="宋体" w:eastAsia="宋体" w:hint="default"/>
                <w:sz w:val="18"/>
                <w:szCs w:val="18"/>
              </w:rPr>
            </w:pPr>
            <w:r>
              <w:rPr>
                <w:rFonts w:ascii="宋体"/>
                <w:spacing w:val="-1"/>
                <w:sz w:val="18"/>
              </w:rPr>
              <w:t>7,654,086.30</w:t>
            </w:r>
            <w:r>
              <w:rPr>
                <w:rFonts w:ascii="宋体"/>
                <w:sz w:val="18"/>
              </w:rPr>
            </w:r>
          </w:p>
        </w:tc>
      </w:tr>
      <w:tr>
        <w:trPr>
          <w:trHeight w:val="283" w:hRule="exact"/>
        </w:trPr>
        <w:tc>
          <w:tcPr>
            <w:tcW w:w="3614" w:type="dxa"/>
            <w:tcBorders>
              <w:top w:val="nil" w:sz="6" w:space="0" w:color="auto"/>
              <w:left w:val="nil" w:sz="6" w:space="0" w:color="auto"/>
              <w:bottom w:val="nil" w:sz="6" w:space="0" w:color="auto"/>
              <w:right w:val="nil" w:sz="6" w:space="0" w:color="auto"/>
            </w:tcBorders>
          </w:tcPr>
          <w:p>
            <w:pPr>
              <w:pStyle w:val="TableParagraph"/>
              <w:spacing w:line="226" w:lineRule="exact"/>
              <w:ind w:left="290"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35"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Style w:val="TableParagraph"/>
              <w:spacing w:line="251" w:lineRule="exact"/>
              <w:ind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注释</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18</w:t>
            </w:r>
          </w:p>
        </w:tc>
        <w:tc>
          <w:tcPr>
            <w:tcW w:w="235"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nil" w:sz="6" w:space="0" w:color="auto"/>
              <w:right w:val="nil" w:sz="6" w:space="0" w:color="auto"/>
            </w:tcBorders>
          </w:tcPr>
          <w:p>
            <w:pPr>
              <w:pStyle w:val="TableParagraph"/>
              <w:spacing w:line="226" w:lineRule="exact"/>
              <w:ind w:right="108"/>
              <w:jc w:val="right"/>
              <w:rPr>
                <w:rFonts w:ascii="宋体" w:hAnsi="宋体" w:cs="宋体" w:eastAsia="宋体" w:hint="default"/>
                <w:sz w:val="18"/>
                <w:szCs w:val="18"/>
              </w:rPr>
            </w:pPr>
            <w:r>
              <w:rPr>
                <w:rFonts w:ascii="宋体"/>
                <w:spacing w:val="-1"/>
                <w:sz w:val="18"/>
              </w:rPr>
              <w:t>1,218,599.82</w:t>
            </w:r>
            <w:r>
              <w:rPr>
                <w:rFonts w:ascii="宋体"/>
                <w:sz w:val="18"/>
              </w:rPr>
            </w:r>
          </w:p>
        </w:tc>
        <w:tc>
          <w:tcPr>
            <w:tcW w:w="235" w:type="dxa"/>
            <w:tcBorders>
              <w:top w:val="nil" w:sz="6" w:space="0" w:color="auto"/>
              <w:left w:val="nil" w:sz="6" w:space="0" w:color="auto"/>
              <w:bottom w:val="nil" w:sz="6" w:space="0" w:color="auto"/>
              <w:right w:val="nil" w:sz="6" w:space="0" w:color="auto"/>
            </w:tcBorders>
          </w:tcPr>
          <w:p>
            <w:pPr/>
          </w:p>
        </w:tc>
        <w:tc>
          <w:tcPr>
            <w:tcW w:w="1901" w:type="dxa"/>
            <w:tcBorders>
              <w:top w:val="nil" w:sz="6" w:space="0" w:color="auto"/>
              <w:left w:val="nil" w:sz="6" w:space="0" w:color="auto"/>
              <w:bottom w:val="nil" w:sz="6" w:space="0" w:color="auto"/>
              <w:right w:val="nil" w:sz="6" w:space="0" w:color="auto"/>
            </w:tcBorders>
          </w:tcPr>
          <w:p>
            <w:pPr>
              <w:pStyle w:val="TableParagraph"/>
              <w:spacing w:line="226" w:lineRule="exact"/>
              <w:ind w:right="108"/>
              <w:jc w:val="right"/>
              <w:rPr>
                <w:rFonts w:ascii="宋体" w:hAnsi="宋体" w:cs="宋体" w:eastAsia="宋体" w:hint="default"/>
                <w:sz w:val="18"/>
                <w:szCs w:val="18"/>
              </w:rPr>
            </w:pPr>
            <w:r>
              <w:rPr>
                <w:rFonts w:ascii="宋体"/>
                <w:spacing w:val="-1"/>
                <w:sz w:val="18"/>
              </w:rPr>
              <w:t>673,126.44</w:t>
            </w:r>
            <w:r>
              <w:rPr>
                <w:rFonts w:ascii="宋体"/>
                <w:sz w:val="18"/>
              </w:rPr>
            </w:r>
          </w:p>
        </w:tc>
      </w:tr>
      <w:tr>
        <w:trPr>
          <w:trHeight w:val="284" w:hRule="exact"/>
        </w:trPr>
        <w:tc>
          <w:tcPr>
            <w:tcW w:w="3614" w:type="dxa"/>
            <w:tcBorders>
              <w:top w:val="nil" w:sz="6" w:space="0" w:color="auto"/>
              <w:left w:val="nil" w:sz="6" w:space="0" w:color="auto"/>
              <w:bottom w:val="nil" w:sz="6" w:space="0" w:color="auto"/>
              <w:right w:val="nil" w:sz="6" w:space="0" w:color="auto"/>
            </w:tcBorders>
          </w:tcPr>
          <w:p>
            <w:pPr>
              <w:pStyle w:val="TableParagraph"/>
              <w:spacing w:line="226" w:lineRule="exact"/>
              <w:ind w:left="290"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35"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Style w:val="TableParagraph"/>
              <w:spacing w:line="251" w:lineRule="exact"/>
              <w:ind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注释</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19</w:t>
            </w:r>
          </w:p>
        </w:tc>
        <w:tc>
          <w:tcPr>
            <w:tcW w:w="235"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nil" w:sz="6" w:space="0" w:color="auto"/>
              <w:right w:val="nil" w:sz="6" w:space="0" w:color="auto"/>
            </w:tcBorders>
          </w:tcPr>
          <w:p>
            <w:pPr>
              <w:pStyle w:val="TableParagraph"/>
              <w:spacing w:line="226" w:lineRule="exact"/>
              <w:ind w:right="108"/>
              <w:jc w:val="right"/>
              <w:rPr>
                <w:rFonts w:ascii="宋体" w:hAnsi="宋体" w:cs="宋体" w:eastAsia="宋体" w:hint="default"/>
                <w:sz w:val="18"/>
                <w:szCs w:val="18"/>
              </w:rPr>
            </w:pPr>
            <w:r>
              <w:rPr>
                <w:rFonts w:ascii="宋体"/>
                <w:spacing w:val="-1"/>
                <w:sz w:val="18"/>
              </w:rPr>
              <w:t>833,936.88</w:t>
            </w:r>
            <w:r>
              <w:rPr>
                <w:rFonts w:ascii="宋体"/>
                <w:sz w:val="18"/>
              </w:rPr>
            </w:r>
          </w:p>
        </w:tc>
        <w:tc>
          <w:tcPr>
            <w:tcW w:w="235" w:type="dxa"/>
            <w:tcBorders>
              <w:top w:val="nil" w:sz="6" w:space="0" w:color="auto"/>
              <w:left w:val="nil" w:sz="6" w:space="0" w:color="auto"/>
              <w:bottom w:val="nil" w:sz="6" w:space="0" w:color="auto"/>
              <w:right w:val="nil" w:sz="6" w:space="0" w:color="auto"/>
            </w:tcBorders>
          </w:tcPr>
          <w:p>
            <w:pPr/>
          </w:p>
        </w:tc>
        <w:tc>
          <w:tcPr>
            <w:tcW w:w="1901" w:type="dxa"/>
            <w:tcBorders>
              <w:top w:val="nil" w:sz="6" w:space="0" w:color="auto"/>
              <w:left w:val="nil" w:sz="6" w:space="0" w:color="auto"/>
              <w:bottom w:val="nil" w:sz="6" w:space="0" w:color="auto"/>
              <w:right w:val="nil" w:sz="6" w:space="0" w:color="auto"/>
            </w:tcBorders>
          </w:tcPr>
          <w:p>
            <w:pPr>
              <w:pStyle w:val="TableParagraph"/>
              <w:spacing w:line="226" w:lineRule="exact"/>
              <w:ind w:right="108"/>
              <w:jc w:val="right"/>
              <w:rPr>
                <w:rFonts w:ascii="宋体" w:hAnsi="宋体" w:cs="宋体" w:eastAsia="宋体" w:hint="default"/>
                <w:sz w:val="18"/>
                <w:szCs w:val="18"/>
              </w:rPr>
            </w:pPr>
            <w:r>
              <w:rPr>
                <w:rFonts w:ascii="宋体"/>
                <w:spacing w:val="-1"/>
                <w:sz w:val="18"/>
              </w:rPr>
              <w:t>600,311.81</w:t>
            </w:r>
            <w:r>
              <w:rPr>
                <w:rFonts w:ascii="宋体"/>
                <w:sz w:val="18"/>
              </w:rPr>
            </w:r>
          </w:p>
        </w:tc>
      </w:tr>
      <w:tr>
        <w:trPr>
          <w:trHeight w:val="289" w:hRule="exact"/>
        </w:trPr>
        <w:tc>
          <w:tcPr>
            <w:tcW w:w="3614" w:type="dxa"/>
            <w:tcBorders>
              <w:top w:val="nil" w:sz="6" w:space="0" w:color="auto"/>
              <w:left w:val="nil" w:sz="6" w:space="0" w:color="auto"/>
              <w:bottom w:val="nil" w:sz="6" w:space="0" w:color="auto"/>
              <w:right w:val="nil" w:sz="6" w:space="0" w:color="auto"/>
            </w:tcBorders>
          </w:tcPr>
          <w:p>
            <w:pPr>
              <w:pStyle w:val="TableParagraph"/>
              <w:spacing w:line="225" w:lineRule="exact"/>
              <w:ind w:left="290"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35"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Style w:val="TableParagraph"/>
              <w:spacing w:line="252" w:lineRule="exact"/>
              <w:ind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注释</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20</w:t>
            </w:r>
          </w:p>
        </w:tc>
        <w:tc>
          <w:tcPr>
            <w:tcW w:w="235"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nil" w:sz="6" w:space="0" w:color="auto"/>
              <w:right w:val="nil" w:sz="6" w:space="0" w:color="auto"/>
            </w:tcBorders>
          </w:tcPr>
          <w:p>
            <w:pPr>
              <w:pStyle w:val="TableParagraph"/>
              <w:spacing w:line="225" w:lineRule="exact"/>
              <w:ind w:right="108"/>
              <w:jc w:val="right"/>
              <w:rPr>
                <w:rFonts w:ascii="宋体" w:hAnsi="宋体" w:cs="宋体" w:eastAsia="宋体" w:hint="default"/>
                <w:sz w:val="18"/>
                <w:szCs w:val="18"/>
              </w:rPr>
            </w:pPr>
            <w:r>
              <w:rPr>
                <w:rFonts w:ascii="宋体"/>
                <w:spacing w:val="-1"/>
                <w:sz w:val="18"/>
              </w:rPr>
              <w:t>424,528.58</w:t>
            </w:r>
            <w:r>
              <w:rPr>
                <w:rFonts w:ascii="宋体"/>
                <w:sz w:val="18"/>
              </w:rPr>
            </w:r>
          </w:p>
        </w:tc>
        <w:tc>
          <w:tcPr>
            <w:tcW w:w="235" w:type="dxa"/>
            <w:tcBorders>
              <w:top w:val="nil" w:sz="6" w:space="0" w:color="auto"/>
              <w:left w:val="nil" w:sz="6" w:space="0" w:color="auto"/>
              <w:bottom w:val="nil" w:sz="6" w:space="0" w:color="auto"/>
              <w:right w:val="nil" w:sz="6" w:space="0" w:color="auto"/>
            </w:tcBorders>
          </w:tcPr>
          <w:p>
            <w:pPr/>
          </w:p>
        </w:tc>
        <w:tc>
          <w:tcPr>
            <w:tcW w:w="1901" w:type="dxa"/>
            <w:tcBorders>
              <w:top w:val="nil" w:sz="6" w:space="0" w:color="auto"/>
              <w:left w:val="nil" w:sz="6" w:space="0" w:color="auto"/>
              <w:bottom w:val="nil" w:sz="6" w:space="0" w:color="auto"/>
              <w:right w:val="nil" w:sz="6" w:space="0" w:color="auto"/>
            </w:tcBorders>
          </w:tcPr>
          <w:p>
            <w:pPr>
              <w:pStyle w:val="TableParagraph"/>
              <w:spacing w:line="225" w:lineRule="exact"/>
              <w:ind w:right="107"/>
              <w:jc w:val="right"/>
              <w:rPr>
                <w:rFonts w:ascii="宋体" w:hAnsi="宋体" w:cs="宋体" w:eastAsia="宋体" w:hint="default"/>
                <w:sz w:val="18"/>
                <w:szCs w:val="18"/>
              </w:rPr>
            </w:pPr>
            <w:r>
              <w:rPr>
                <w:rFonts w:ascii="宋体"/>
                <w:spacing w:val="-1"/>
                <w:sz w:val="18"/>
              </w:rPr>
              <w:t>861,678.02</w:t>
            </w:r>
          </w:p>
        </w:tc>
      </w:tr>
      <w:tr>
        <w:trPr>
          <w:trHeight w:val="268" w:hRule="exact"/>
        </w:trPr>
        <w:tc>
          <w:tcPr>
            <w:tcW w:w="3614" w:type="dxa"/>
            <w:tcBorders>
              <w:top w:val="nil" w:sz="6" w:space="0" w:color="auto"/>
              <w:left w:val="nil" w:sz="6" w:space="0" w:color="auto"/>
              <w:bottom w:val="nil" w:sz="6" w:space="0" w:color="auto"/>
              <w:right w:val="nil" w:sz="6" w:space="0" w:color="auto"/>
            </w:tcBorders>
          </w:tcPr>
          <w:p>
            <w:pPr>
              <w:pStyle w:val="TableParagraph"/>
              <w:spacing w:line="221" w:lineRule="exact"/>
              <w:ind w:left="290"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35"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nil" w:sz="6" w:space="0" w:color="auto"/>
              <w:right w:val="nil" w:sz="6" w:space="0" w:color="auto"/>
            </w:tcBorders>
          </w:tcPr>
          <w:p>
            <w:pPr>
              <w:pStyle w:val="TableParagraph"/>
              <w:spacing w:line="221" w:lineRule="exact"/>
              <w:ind w:right="107"/>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901" w:type="dxa"/>
            <w:tcBorders>
              <w:top w:val="nil" w:sz="6" w:space="0" w:color="auto"/>
              <w:left w:val="nil" w:sz="6" w:space="0" w:color="auto"/>
              <w:bottom w:val="nil" w:sz="6" w:space="0" w:color="auto"/>
              <w:right w:val="nil" w:sz="6" w:space="0" w:color="auto"/>
            </w:tcBorders>
          </w:tcPr>
          <w:p>
            <w:pPr>
              <w:pStyle w:val="TableParagraph"/>
              <w:spacing w:line="221" w:lineRule="exact"/>
              <w:ind w:right="107"/>
              <w:jc w:val="right"/>
              <w:rPr>
                <w:rFonts w:ascii="宋体" w:hAnsi="宋体" w:cs="宋体" w:eastAsia="宋体" w:hint="default"/>
                <w:sz w:val="18"/>
                <w:szCs w:val="18"/>
              </w:rPr>
            </w:pPr>
            <w:r>
              <w:rPr>
                <w:rFonts w:ascii="宋体"/>
                <w:sz w:val="18"/>
              </w:rPr>
              <w:t>-</w:t>
            </w:r>
          </w:p>
        </w:tc>
      </w:tr>
      <w:tr>
        <w:trPr>
          <w:trHeight w:val="298" w:hRule="exact"/>
        </w:trPr>
        <w:tc>
          <w:tcPr>
            <w:tcW w:w="3614" w:type="dxa"/>
            <w:tcBorders>
              <w:top w:val="nil" w:sz="6" w:space="0" w:color="auto"/>
              <w:left w:val="nil" w:sz="6" w:space="0" w:color="auto"/>
              <w:bottom w:val="nil" w:sz="6" w:space="0" w:color="auto"/>
              <w:right w:val="nil" w:sz="6" w:space="0" w:color="auto"/>
            </w:tcBorders>
          </w:tcPr>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5"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Style w:val="TableParagraph"/>
              <w:spacing w:line="261" w:lineRule="exact"/>
              <w:ind w:right="136"/>
              <w:jc w:val="center"/>
              <w:rPr>
                <w:rFonts w:ascii="Times New Roman" w:hAnsi="Times New Roman" w:cs="Times New Roman" w:eastAsia="Times New Roman" w:hint="default"/>
                <w:sz w:val="20"/>
                <w:szCs w:val="20"/>
              </w:rPr>
            </w:pPr>
            <w:r>
              <w:rPr>
                <w:rFonts w:ascii="宋体" w:hAnsi="宋体" w:cs="宋体" w:eastAsia="宋体" w:hint="default"/>
                <w:sz w:val="20"/>
                <w:szCs w:val="20"/>
              </w:rPr>
              <w:t>注释</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21</w:t>
            </w:r>
          </w:p>
        </w:tc>
        <w:tc>
          <w:tcPr>
            <w:tcW w:w="235"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ind w:right="103"/>
              <w:jc w:val="right"/>
              <w:rPr>
                <w:rFonts w:ascii="宋体" w:hAnsi="宋体" w:cs="宋体" w:eastAsia="宋体" w:hint="default"/>
                <w:sz w:val="18"/>
                <w:szCs w:val="18"/>
              </w:rPr>
            </w:pPr>
            <w:r>
              <w:rPr>
                <w:rFonts w:ascii="宋体"/>
                <w:spacing w:val="-1"/>
                <w:sz w:val="18"/>
              </w:rPr>
              <w:t>4,477,977.25</w:t>
            </w:r>
            <w:r>
              <w:rPr>
                <w:rFonts w:ascii="宋体"/>
                <w:sz w:val="18"/>
              </w:rPr>
            </w:r>
          </w:p>
        </w:tc>
        <w:tc>
          <w:tcPr>
            <w:tcW w:w="235" w:type="dxa"/>
            <w:tcBorders>
              <w:top w:val="nil" w:sz="6" w:space="0" w:color="auto"/>
              <w:left w:val="nil" w:sz="6" w:space="0" w:color="auto"/>
              <w:bottom w:val="nil" w:sz="6" w:space="0" w:color="auto"/>
              <w:right w:val="nil" w:sz="6" w:space="0" w:color="auto"/>
            </w:tcBorders>
          </w:tcPr>
          <w:p>
            <w:pPr/>
          </w:p>
        </w:tc>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ind w:right="108"/>
              <w:jc w:val="right"/>
              <w:rPr>
                <w:rFonts w:ascii="宋体" w:hAnsi="宋体" w:cs="宋体" w:eastAsia="宋体" w:hint="default"/>
                <w:sz w:val="18"/>
                <w:szCs w:val="18"/>
              </w:rPr>
            </w:pPr>
            <w:r>
              <w:rPr>
                <w:rFonts w:ascii="宋体"/>
                <w:spacing w:val="-1"/>
                <w:sz w:val="18"/>
              </w:rPr>
              <w:t>1,228,539.08</w:t>
            </w:r>
            <w:r>
              <w:rPr>
                <w:rFonts w:ascii="宋体"/>
                <w:sz w:val="18"/>
              </w:rPr>
            </w:r>
          </w:p>
        </w:tc>
      </w:tr>
      <w:tr>
        <w:trPr>
          <w:trHeight w:val="274" w:hRule="exact"/>
        </w:trPr>
        <w:tc>
          <w:tcPr>
            <w:tcW w:w="3614" w:type="dxa"/>
            <w:tcBorders>
              <w:top w:val="nil" w:sz="6" w:space="0" w:color="auto"/>
              <w:left w:val="nil" w:sz="6" w:space="0" w:color="auto"/>
              <w:bottom w:val="nil" w:sz="6" w:space="0" w:color="auto"/>
              <w:right w:val="nil" w:sz="6" w:space="0" w:color="auto"/>
            </w:tcBorders>
          </w:tcPr>
          <w:p>
            <w:pPr>
              <w:pStyle w:val="TableParagraph"/>
              <w:spacing w:line="221" w:lineRule="exact"/>
              <w:ind w:left="290"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35"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901" w:type="dxa"/>
            <w:tcBorders>
              <w:top w:val="nil" w:sz="6" w:space="0" w:color="auto"/>
              <w:left w:val="nil" w:sz="6" w:space="0" w:color="auto"/>
              <w:bottom w:val="nil" w:sz="6" w:space="0" w:color="auto"/>
              <w:right w:val="nil" w:sz="6" w:space="0" w:color="auto"/>
            </w:tcBorders>
          </w:tcPr>
          <w:p>
            <w:pPr/>
          </w:p>
        </w:tc>
      </w:tr>
      <w:tr>
        <w:trPr>
          <w:trHeight w:val="289" w:hRule="exact"/>
        </w:trPr>
        <w:tc>
          <w:tcPr>
            <w:tcW w:w="3614" w:type="dxa"/>
            <w:tcBorders>
              <w:top w:val="nil" w:sz="6" w:space="0" w:color="auto"/>
              <w:left w:val="nil" w:sz="6" w:space="0" w:color="auto"/>
              <w:bottom w:val="nil" w:sz="6" w:space="0" w:color="auto"/>
              <w:right w:val="nil" w:sz="6" w:space="0" w:color="auto"/>
            </w:tcBorders>
          </w:tcPr>
          <w:p>
            <w:pPr>
              <w:pStyle w:val="TableParagraph"/>
              <w:spacing w:line="233" w:lineRule="exact"/>
              <w:ind w:left="290"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35"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nil" w:sz="6" w:space="0" w:color="auto"/>
              <w:right w:val="nil" w:sz="6" w:space="0" w:color="auto"/>
            </w:tcBorders>
          </w:tcPr>
          <w:p>
            <w:pPr>
              <w:pStyle w:val="TableParagraph"/>
              <w:spacing w:line="233" w:lineRule="exact"/>
              <w:ind w:right="107"/>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901" w:type="dxa"/>
            <w:tcBorders>
              <w:top w:val="nil" w:sz="6" w:space="0" w:color="auto"/>
              <w:left w:val="nil" w:sz="6" w:space="0" w:color="auto"/>
              <w:bottom w:val="nil" w:sz="6" w:space="0" w:color="auto"/>
              <w:right w:val="nil" w:sz="6" w:space="0" w:color="auto"/>
            </w:tcBorders>
          </w:tcPr>
          <w:p>
            <w:pPr>
              <w:pStyle w:val="TableParagraph"/>
              <w:spacing w:line="233" w:lineRule="exact"/>
              <w:ind w:right="107"/>
              <w:jc w:val="right"/>
              <w:rPr>
                <w:rFonts w:ascii="宋体" w:hAnsi="宋体" w:cs="宋体" w:eastAsia="宋体" w:hint="default"/>
                <w:sz w:val="18"/>
                <w:szCs w:val="18"/>
              </w:rPr>
            </w:pPr>
            <w:r>
              <w:rPr>
                <w:rFonts w:ascii="宋体"/>
                <w:sz w:val="18"/>
              </w:rPr>
              <w:t>-</w:t>
            </w:r>
          </w:p>
        </w:tc>
      </w:tr>
      <w:tr>
        <w:trPr>
          <w:trHeight w:val="295" w:hRule="exact"/>
        </w:trPr>
        <w:tc>
          <w:tcPr>
            <w:tcW w:w="3614" w:type="dxa"/>
            <w:tcBorders>
              <w:top w:val="nil" w:sz="6" w:space="0" w:color="auto"/>
              <w:left w:val="nil" w:sz="6" w:space="0" w:color="auto"/>
              <w:bottom w:val="nil" w:sz="6" w:space="0" w:color="auto"/>
              <w:right w:val="nil" w:sz="6" w:space="0" w:color="auto"/>
            </w:tcBorders>
          </w:tcPr>
          <w:p>
            <w:pPr>
              <w:pStyle w:val="TableParagraph"/>
              <w:spacing w:line="240" w:lineRule="auto" w:before="1"/>
              <w:ind w:left="470"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35"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single" w:sz="4" w:space="0" w:color="000000"/>
              <w:right w:val="nil" w:sz="6" w:space="0" w:color="auto"/>
            </w:tcBorders>
          </w:tcPr>
          <w:p>
            <w:pPr>
              <w:pStyle w:val="TableParagraph"/>
              <w:spacing w:line="20" w:lineRule="exact"/>
              <w:ind w:right="-41"/>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1336653" cy="6096"/>
                  <wp:effectExtent l="0" t="0" r="0" b="0"/>
                  <wp:docPr id="5" name="image11.png" descr=""/>
                  <wp:cNvGraphicFramePr>
                    <a:graphicFrameLocks noChangeAspect="1"/>
                  </wp:cNvGraphicFramePr>
                  <a:graphic>
                    <a:graphicData uri="http://schemas.openxmlformats.org/drawingml/2006/picture">
                      <pic:pic>
                        <pic:nvPicPr>
                          <pic:cNvPr id="6" name="image11.png"/>
                          <pic:cNvPicPr/>
                        </pic:nvPicPr>
                        <pic:blipFill>
                          <a:blip r:embed="rId28" cstate="print"/>
                          <a:stretch>
                            <a:fillRect/>
                          </a:stretch>
                        </pic:blipFill>
                        <pic:spPr>
                          <a:xfrm>
                            <a:off x="0" y="0"/>
                            <a:ext cx="1336653" cy="6096"/>
                          </a:xfrm>
                          <a:prstGeom prst="rect">
                            <a:avLst/>
                          </a:prstGeom>
                        </pic:spPr>
                      </pic:pic>
                    </a:graphicData>
                  </a:graphic>
                </wp:inline>
              </w:drawing>
            </w:r>
            <w:r>
              <w:rPr>
                <w:rFonts w:ascii="Times New Roman" w:hAnsi="Times New Roman" w:cs="Times New Roman" w:eastAsia="Times New Roman" w:hint="default"/>
                <w:sz w:val="2"/>
                <w:szCs w:val="2"/>
              </w:rPr>
            </w:r>
          </w:p>
          <w:p>
            <w:pPr>
              <w:pStyle w:val="TableParagraph"/>
              <w:spacing w:line="240" w:lineRule="auto"/>
              <w:ind w:right="108"/>
              <w:jc w:val="right"/>
              <w:rPr>
                <w:rFonts w:ascii="宋体" w:hAnsi="宋体" w:cs="宋体" w:eastAsia="宋体" w:hint="default"/>
                <w:sz w:val="18"/>
                <w:szCs w:val="18"/>
              </w:rPr>
            </w:pPr>
            <w:r>
              <w:rPr>
                <w:rFonts w:ascii="宋体"/>
                <w:spacing w:val="-1"/>
                <w:sz w:val="18"/>
              </w:rPr>
              <w:t>12,905,932.08</w:t>
            </w:r>
            <w:r>
              <w:rPr>
                <w:rFonts w:ascii="宋体"/>
                <w:sz w:val="18"/>
              </w:rPr>
            </w:r>
          </w:p>
        </w:tc>
        <w:tc>
          <w:tcPr>
            <w:tcW w:w="235" w:type="dxa"/>
            <w:tcBorders>
              <w:top w:val="nil" w:sz="6" w:space="0" w:color="auto"/>
              <w:left w:val="nil" w:sz="6" w:space="0" w:color="auto"/>
              <w:bottom w:val="nil" w:sz="6" w:space="0" w:color="auto"/>
              <w:right w:val="nil" w:sz="6" w:space="0" w:color="auto"/>
            </w:tcBorders>
          </w:tcPr>
          <w:p>
            <w:pPr/>
          </w:p>
        </w:tc>
        <w:tc>
          <w:tcPr>
            <w:tcW w:w="1901" w:type="dxa"/>
            <w:tcBorders>
              <w:top w:val="nil" w:sz="6" w:space="0" w:color="auto"/>
              <w:left w:val="nil" w:sz="6" w:space="0" w:color="auto"/>
              <w:bottom w:val="single" w:sz="4" w:space="0" w:color="000000"/>
              <w:right w:val="nil" w:sz="6" w:space="0" w:color="auto"/>
            </w:tcBorders>
          </w:tcPr>
          <w:p>
            <w:pPr>
              <w:pStyle w:val="TableParagraph"/>
              <w:spacing w:line="20" w:lineRule="exact"/>
              <w:ind w:right="-41"/>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1207102" cy="6096"/>
                  <wp:effectExtent l="0" t="0" r="0" b="0"/>
                  <wp:docPr id="7" name="image12.png" descr=""/>
                  <wp:cNvGraphicFramePr>
                    <a:graphicFrameLocks noChangeAspect="1"/>
                  </wp:cNvGraphicFramePr>
                  <a:graphic>
                    <a:graphicData uri="http://schemas.openxmlformats.org/drawingml/2006/picture">
                      <pic:pic>
                        <pic:nvPicPr>
                          <pic:cNvPr id="8" name="image12.png"/>
                          <pic:cNvPicPr/>
                        </pic:nvPicPr>
                        <pic:blipFill>
                          <a:blip r:embed="rId29" cstate="print"/>
                          <a:stretch>
                            <a:fillRect/>
                          </a:stretch>
                        </pic:blipFill>
                        <pic:spPr>
                          <a:xfrm>
                            <a:off x="0" y="0"/>
                            <a:ext cx="1207102" cy="6096"/>
                          </a:xfrm>
                          <a:prstGeom prst="rect">
                            <a:avLst/>
                          </a:prstGeom>
                        </pic:spPr>
                      </pic:pic>
                    </a:graphicData>
                  </a:graphic>
                </wp:inline>
              </w:drawing>
            </w:r>
            <w:r>
              <w:rPr>
                <w:rFonts w:ascii="Times New Roman" w:hAnsi="Times New Roman" w:cs="Times New Roman" w:eastAsia="Times New Roman" w:hint="default"/>
                <w:sz w:val="2"/>
                <w:szCs w:val="2"/>
              </w:rPr>
            </w:r>
          </w:p>
          <w:p>
            <w:pPr>
              <w:pStyle w:val="TableParagraph"/>
              <w:spacing w:line="240" w:lineRule="auto"/>
              <w:ind w:right="107"/>
              <w:jc w:val="right"/>
              <w:rPr>
                <w:rFonts w:ascii="宋体" w:hAnsi="宋体" w:cs="宋体" w:eastAsia="宋体" w:hint="default"/>
                <w:sz w:val="18"/>
                <w:szCs w:val="18"/>
              </w:rPr>
            </w:pPr>
            <w:r>
              <w:rPr>
                <w:rFonts w:ascii="宋体"/>
                <w:spacing w:val="-1"/>
                <w:sz w:val="18"/>
              </w:rPr>
              <w:t>11,017,741.65</w:t>
            </w:r>
          </w:p>
        </w:tc>
      </w:tr>
      <w:tr>
        <w:trPr>
          <w:trHeight w:val="288" w:hRule="exact"/>
        </w:trPr>
        <w:tc>
          <w:tcPr>
            <w:tcW w:w="3614"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7" w:right="0"/>
              <w:jc w:val="left"/>
              <w:rPr>
                <w:rFonts w:ascii="宋体" w:hAnsi="宋体" w:cs="宋体" w:eastAsia="宋体" w:hint="default"/>
                <w:sz w:val="18"/>
                <w:szCs w:val="18"/>
              </w:rPr>
            </w:pPr>
            <w:r>
              <w:rPr>
                <w:rFonts w:ascii="宋体" w:hAnsi="宋体" w:cs="宋体" w:eastAsia="宋体" w:hint="default"/>
                <w:b/>
                <w:bCs/>
                <w:sz w:val="18"/>
                <w:szCs w:val="18"/>
              </w:rPr>
              <w:t>非流动负债：</w:t>
            </w:r>
            <w:r>
              <w:rPr>
                <w:rFonts w:ascii="宋体" w:hAnsi="宋体" w:cs="宋体" w:eastAsia="宋体" w:hint="default"/>
                <w:sz w:val="18"/>
                <w:szCs w:val="18"/>
              </w:rPr>
            </w:r>
          </w:p>
        </w:tc>
        <w:tc>
          <w:tcPr>
            <w:tcW w:w="235"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2105" w:type="dxa"/>
            <w:tcBorders>
              <w:top w:val="single" w:sz="4" w:space="0" w:color="000000"/>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901" w:type="dxa"/>
            <w:tcBorders>
              <w:top w:val="single" w:sz="4" w:space="0" w:color="000000"/>
              <w:left w:val="nil" w:sz="6" w:space="0" w:color="auto"/>
              <w:bottom w:val="nil" w:sz="6" w:space="0" w:color="auto"/>
              <w:right w:val="nil" w:sz="6" w:space="0" w:color="auto"/>
            </w:tcBorders>
          </w:tcPr>
          <w:p>
            <w:pPr/>
          </w:p>
        </w:tc>
      </w:tr>
      <w:tr>
        <w:trPr>
          <w:trHeight w:val="283" w:hRule="exact"/>
        </w:trPr>
        <w:tc>
          <w:tcPr>
            <w:tcW w:w="3614" w:type="dxa"/>
            <w:tcBorders>
              <w:top w:val="nil" w:sz="6" w:space="0" w:color="auto"/>
              <w:left w:val="nil" w:sz="6" w:space="0" w:color="auto"/>
              <w:bottom w:val="nil" w:sz="6" w:space="0" w:color="auto"/>
              <w:right w:val="nil" w:sz="6" w:space="0" w:color="auto"/>
            </w:tcBorders>
          </w:tcPr>
          <w:p>
            <w:pPr>
              <w:pStyle w:val="TableParagraph"/>
              <w:spacing w:line="232" w:lineRule="exact"/>
              <w:ind w:left="290"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35"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901" w:type="dxa"/>
            <w:tcBorders>
              <w:top w:val="nil" w:sz="6" w:space="0" w:color="auto"/>
              <w:left w:val="nil" w:sz="6" w:space="0" w:color="auto"/>
              <w:bottom w:val="nil" w:sz="6" w:space="0" w:color="auto"/>
              <w:right w:val="nil" w:sz="6" w:space="0" w:color="auto"/>
            </w:tcBorders>
          </w:tcPr>
          <w:p>
            <w:pPr/>
          </w:p>
        </w:tc>
      </w:tr>
      <w:tr>
        <w:trPr>
          <w:trHeight w:val="284" w:hRule="exact"/>
        </w:trPr>
        <w:tc>
          <w:tcPr>
            <w:tcW w:w="3614" w:type="dxa"/>
            <w:tcBorders>
              <w:top w:val="nil" w:sz="6" w:space="0" w:color="auto"/>
              <w:left w:val="nil" w:sz="6" w:space="0" w:color="auto"/>
              <w:bottom w:val="nil" w:sz="6" w:space="0" w:color="auto"/>
              <w:right w:val="nil" w:sz="6" w:space="0" w:color="auto"/>
            </w:tcBorders>
          </w:tcPr>
          <w:p>
            <w:pPr>
              <w:pStyle w:val="TableParagraph"/>
              <w:spacing w:line="232" w:lineRule="exact"/>
              <w:ind w:left="290"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35"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901" w:type="dxa"/>
            <w:tcBorders>
              <w:top w:val="nil" w:sz="6" w:space="0" w:color="auto"/>
              <w:left w:val="nil" w:sz="6" w:space="0" w:color="auto"/>
              <w:bottom w:val="nil" w:sz="6" w:space="0" w:color="auto"/>
              <w:right w:val="nil" w:sz="6" w:space="0" w:color="auto"/>
            </w:tcBorders>
          </w:tcPr>
          <w:p>
            <w:pPr/>
          </w:p>
        </w:tc>
      </w:tr>
      <w:tr>
        <w:trPr>
          <w:trHeight w:val="284" w:hRule="exact"/>
        </w:trPr>
        <w:tc>
          <w:tcPr>
            <w:tcW w:w="3614" w:type="dxa"/>
            <w:tcBorders>
              <w:top w:val="nil" w:sz="6" w:space="0" w:color="auto"/>
              <w:left w:val="nil" w:sz="6" w:space="0" w:color="auto"/>
              <w:bottom w:val="nil" w:sz="6" w:space="0" w:color="auto"/>
              <w:right w:val="nil" w:sz="6" w:space="0" w:color="auto"/>
            </w:tcBorders>
          </w:tcPr>
          <w:p>
            <w:pPr>
              <w:pStyle w:val="TableParagraph"/>
              <w:spacing w:line="233" w:lineRule="exact"/>
              <w:ind w:left="290"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35"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nil" w:sz="6" w:space="0" w:color="auto"/>
              <w:right w:val="nil" w:sz="6" w:space="0" w:color="auto"/>
            </w:tcBorders>
          </w:tcPr>
          <w:p>
            <w:pPr>
              <w:pStyle w:val="TableParagraph"/>
              <w:spacing w:line="233" w:lineRule="exact"/>
              <w:ind w:right="107"/>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901" w:type="dxa"/>
            <w:tcBorders>
              <w:top w:val="nil" w:sz="6" w:space="0" w:color="auto"/>
              <w:left w:val="nil" w:sz="6" w:space="0" w:color="auto"/>
              <w:bottom w:val="nil" w:sz="6" w:space="0" w:color="auto"/>
              <w:right w:val="nil" w:sz="6" w:space="0" w:color="auto"/>
            </w:tcBorders>
          </w:tcPr>
          <w:p>
            <w:pPr>
              <w:pStyle w:val="TableParagraph"/>
              <w:spacing w:line="233" w:lineRule="exact"/>
              <w:ind w:right="107"/>
              <w:jc w:val="right"/>
              <w:rPr>
                <w:rFonts w:ascii="宋体" w:hAnsi="宋体" w:cs="宋体" w:eastAsia="宋体" w:hint="default"/>
                <w:sz w:val="18"/>
                <w:szCs w:val="18"/>
              </w:rPr>
            </w:pPr>
            <w:r>
              <w:rPr>
                <w:rFonts w:ascii="宋体"/>
                <w:sz w:val="18"/>
              </w:rPr>
              <w:t>-</w:t>
            </w:r>
          </w:p>
        </w:tc>
      </w:tr>
      <w:tr>
        <w:trPr>
          <w:trHeight w:val="280" w:hRule="exact"/>
        </w:trPr>
        <w:tc>
          <w:tcPr>
            <w:tcW w:w="3614" w:type="dxa"/>
            <w:tcBorders>
              <w:top w:val="nil" w:sz="6" w:space="0" w:color="auto"/>
              <w:left w:val="nil" w:sz="6" w:space="0" w:color="auto"/>
              <w:bottom w:val="nil" w:sz="6" w:space="0" w:color="auto"/>
              <w:right w:val="nil" w:sz="6" w:space="0" w:color="auto"/>
            </w:tcBorders>
          </w:tcPr>
          <w:p>
            <w:pPr>
              <w:pStyle w:val="TableParagraph"/>
              <w:spacing w:line="232" w:lineRule="exact"/>
              <w:ind w:left="290"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35"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901"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w:t>
            </w:r>
          </w:p>
        </w:tc>
      </w:tr>
      <w:tr>
        <w:trPr>
          <w:trHeight w:val="295" w:hRule="exact"/>
        </w:trPr>
        <w:tc>
          <w:tcPr>
            <w:tcW w:w="3614" w:type="dxa"/>
            <w:tcBorders>
              <w:top w:val="nil" w:sz="6" w:space="0" w:color="auto"/>
              <w:left w:val="nil" w:sz="6" w:space="0" w:color="auto"/>
              <w:bottom w:val="nil" w:sz="6" w:space="0" w:color="auto"/>
              <w:right w:val="nil" w:sz="6" w:space="0" w:color="auto"/>
            </w:tcBorders>
          </w:tcPr>
          <w:p>
            <w:pPr>
              <w:pStyle w:val="TableParagraph"/>
              <w:spacing w:line="235" w:lineRule="exact"/>
              <w:ind w:left="290"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5"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Style w:val="TableParagraph"/>
              <w:spacing w:line="263" w:lineRule="exact"/>
              <w:ind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注释</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22</w:t>
            </w:r>
          </w:p>
        </w:tc>
        <w:tc>
          <w:tcPr>
            <w:tcW w:w="235"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nil" w:sz="6" w:space="0" w:color="auto"/>
              <w:right w:val="nil" w:sz="6" w:space="0" w:color="auto"/>
            </w:tcBorders>
          </w:tcPr>
          <w:p>
            <w:pPr>
              <w:pStyle w:val="TableParagraph"/>
              <w:spacing w:line="235" w:lineRule="exact"/>
              <w:ind w:right="103"/>
              <w:jc w:val="right"/>
              <w:rPr>
                <w:rFonts w:ascii="宋体" w:hAnsi="宋体" w:cs="宋体" w:eastAsia="宋体" w:hint="default"/>
                <w:sz w:val="18"/>
                <w:szCs w:val="18"/>
              </w:rPr>
            </w:pPr>
            <w:r>
              <w:rPr>
                <w:rFonts w:ascii="宋体"/>
                <w:spacing w:val="-1"/>
                <w:sz w:val="18"/>
              </w:rPr>
              <w:t>5,405,801.36</w:t>
            </w:r>
            <w:r>
              <w:rPr>
                <w:rFonts w:ascii="宋体"/>
                <w:sz w:val="18"/>
              </w:rPr>
            </w:r>
          </w:p>
        </w:tc>
        <w:tc>
          <w:tcPr>
            <w:tcW w:w="235" w:type="dxa"/>
            <w:tcBorders>
              <w:top w:val="nil" w:sz="6" w:space="0" w:color="auto"/>
              <w:left w:val="nil" w:sz="6" w:space="0" w:color="auto"/>
              <w:bottom w:val="nil" w:sz="6" w:space="0" w:color="auto"/>
              <w:right w:val="nil" w:sz="6" w:space="0" w:color="auto"/>
            </w:tcBorders>
          </w:tcPr>
          <w:p>
            <w:pPr/>
          </w:p>
        </w:tc>
        <w:tc>
          <w:tcPr>
            <w:tcW w:w="1901" w:type="dxa"/>
            <w:tcBorders>
              <w:top w:val="nil" w:sz="6" w:space="0" w:color="auto"/>
              <w:left w:val="nil" w:sz="6" w:space="0" w:color="auto"/>
              <w:bottom w:val="nil" w:sz="6" w:space="0" w:color="auto"/>
              <w:right w:val="nil" w:sz="6" w:space="0" w:color="auto"/>
            </w:tcBorders>
          </w:tcPr>
          <w:p>
            <w:pPr>
              <w:pStyle w:val="TableParagraph"/>
              <w:spacing w:line="235" w:lineRule="exact"/>
              <w:ind w:left="621" w:right="0"/>
              <w:jc w:val="left"/>
              <w:rPr>
                <w:rFonts w:ascii="宋体" w:hAnsi="宋体" w:cs="宋体" w:eastAsia="宋体" w:hint="default"/>
                <w:sz w:val="18"/>
                <w:szCs w:val="18"/>
              </w:rPr>
            </w:pPr>
            <w:r>
              <w:rPr>
                <w:rFonts w:ascii="宋体"/>
                <w:sz w:val="18"/>
              </w:rPr>
              <w:t>4,620,556.01</w:t>
            </w:r>
          </w:p>
        </w:tc>
      </w:tr>
      <w:tr>
        <w:trPr>
          <w:trHeight w:val="288" w:hRule="exact"/>
        </w:trPr>
        <w:tc>
          <w:tcPr>
            <w:tcW w:w="3614" w:type="dxa"/>
            <w:tcBorders>
              <w:top w:val="nil" w:sz="6" w:space="0" w:color="auto"/>
              <w:left w:val="nil" w:sz="6" w:space="0" w:color="auto"/>
              <w:bottom w:val="nil" w:sz="6" w:space="0" w:color="auto"/>
              <w:right w:val="nil" w:sz="6" w:space="0" w:color="auto"/>
            </w:tcBorders>
          </w:tcPr>
          <w:p>
            <w:pPr>
              <w:pStyle w:val="TableParagraph"/>
              <w:spacing w:line="226" w:lineRule="exact"/>
              <w:ind w:left="290"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35"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Style w:val="TableParagraph"/>
              <w:spacing w:line="251" w:lineRule="exact"/>
              <w:ind w:left="59"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注释</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15</w:t>
            </w:r>
          </w:p>
        </w:tc>
        <w:tc>
          <w:tcPr>
            <w:tcW w:w="235"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nil" w:sz="6" w:space="0" w:color="auto"/>
              <w:right w:val="nil" w:sz="6" w:space="0" w:color="auto"/>
            </w:tcBorders>
          </w:tcPr>
          <w:p>
            <w:pPr>
              <w:pStyle w:val="TableParagraph"/>
              <w:spacing w:line="226" w:lineRule="exact"/>
              <w:ind w:right="108"/>
              <w:jc w:val="right"/>
              <w:rPr>
                <w:rFonts w:ascii="宋体" w:hAnsi="宋体" w:cs="宋体" w:eastAsia="宋体" w:hint="default"/>
                <w:sz w:val="18"/>
                <w:szCs w:val="18"/>
              </w:rPr>
            </w:pPr>
            <w:r>
              <w:rPr>
                <w:rFonts w:ascii="宋体"/>
                <w:spacing w:val="-1"/>
                <w:sz w:val="18"/>
              </w:rPr>
              <w:t>196,234,42</w:t>
            </w:r>
            <w:r>
              <w:rPr>
                <w:rFonts w:ascii="宋体"/>
                <w:sz w:val="18"/>
              </w:rPr>
            </w:r>
          </w:p>
        </w:tc>
        <w:tc>
          <w:tcPr>
            <w:tcW w:w="235" w:type="dxa"/>
            <w:tcBorders>
              <w:top w:val="nil" w:sz="6" w:space="0" w:color="auto"/>
              <w:left w:val="nil" w:sz="6" w:space="0" w:color="auto"/>
              <w:bottom w:val="nil" w:sz="6" w:space="0" w:color="auto"/>
              <w:right w:val="nil" w:sz="6" w:space="0" w:color="auto"/>
            </w:tcBorders>
          </w:tcPr>
          <w:p>
            <w:pPr/>
          </w:p>
        </w:tc>
        <w:tc>
          <w:tcPr>
            <w:tcW w:w="1901" w:type="dxa"/>
            <w:tcBorders>
              <w:top w:val="nil" w:sz="6" w:space="0" w:color="auto"/>
              <w:left w:val="nil" w:sz="6" w:space="0" w:color="auto"/>
              <w:bottom w:val="nil" w:sz="6" w:space="0" w:color="auto"/>
              <w:right w:val="nil" w:sz="6" w:space="0" w:color="auto"/>
            </w:tcBorders>
          </w:tcPr>
          <w:p>
            <w:pPr>
              <w:pStyle w:val="TableParagraph"/>
              <w:spacing w:line="226" w:lineRule="exact"/>
              <w:ind w:right="107"/>
              <w:jc w:val="right"/>
              <w:rPr>
                <w:rFonts w:ascii="宋体" w:hAnsi="宋体" w:cs="宋体" w:eastAsia="宋体" w:hint="default"/>
                <w:sz w:val="18"/>
                <w:szCs w:val="18"/>
              </w:rPr>
            </w:pPr>
            <w:r>
              <w:rPr>
                <w:rFonts w:ascii="宋体"/>
                <w:sz w:val="18"/>
              </w:rPr>
              <w:t>-</w:t>
            </w:r>
          </w:p>
        </w:tc>
      </w:tr>
      <w:tr>
        <w:trPr>
          <w:trHeight w:val="278" w:hRule="exact"/>
        </w:trPr>
        <w:tc>
          <w:tcPr>
            <w:tcW w:w="3614" w:type="dxa"/>
            <w:tcBorders>
              <w:top w:val="nil" w:sz="6" w:space="0" w:color="auto"/>
              <w:left w:val="nil" w:sz="6" w:space="0" w:color="auto"/>
              <w:bottom w:val="nil" w:sz="6" w:space="0" w:color="auto"/>
              <w:right w:val="nil" w:sz="6" w:space="0" w:color="auto"/>
            </w:tcBorders>
          </w:tcPr>
          <w:p>
            <w:pPr>
              <w:pStyle w:val="TableParagraph"/>
              <w:spacing w:line="221" w:lineRule="exact"/>
              <w:ind w:left="290"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35"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0" w:lineRule="exact"/>
              <w:ind w:right="-41"/>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1336624" cy="6096"/>
                  <wp:effectExtent l="0" t="0" r="0" b="0"/>
                  <wp:docPr id="9" name="image13.png" descr=""/>
                  <wp:cNvGraphicFramePr>
                    <a:graphicFrameLocks noChangeAspect="1"/>
                  </wp:cNvGraphicFramePr>
                  <a:graphic>
                    <a:graphicData uri="http://schemas.openxmlformats.org/drawingml/2006/picture">
                      <pic:pic>
                        <pic:nvPicPr>
                          <pic:cNvPr id="10" name="image13.png"/>
                          <pic:cNvPicPr/>
                        </pic:nvPicPr>
                        <pic:blipFill>
                          <a:blip r:embed="rId30" cstate="print"/>
                          <a:stretch>
                            <a:fillRect/>
                          </a:stretch>
                        </pic:blipFill>
                        <pic:spPr>
                          <a:xfrm>
                            <a:off x="0" y="0"/>
                            <a:ext cx="1336624" cy="6096"/>
                          </a:xfrm>
                          <a:prstGeom prst="rect">
                            <a:avLst/>
                          </a:prstGeom>
                        </pic:spPr>
                      </pic:pic>
                    </a:graphicData>
                  </a:graphic>
                </wp:inline>
              </w:drawing>
            </w:r>
            <w:r>
              <w:rPr>
                <w:rFonts w:ascii="Times New Roman" w:hAnsi="Times New Roman" w:cs="Times New Roman" w:eastAsia="Times New Roman" w:hint="default"/>
                <w:sz w:val="2"/>
                <w:szCs w:val="2"/>
              </w:rPr>
            </w:r>
          </w:p>
        </w:tc>
        <w:tc>
          <w:tcPr>
            <w:tcW w:w="235" w:type="dxa"/>
            <w:tcBorders>
              <w:top w:val="nil" w:sz="6" w:space="0" w:color="auto"/>
              <w:left w:val="nil" w:sz="6" w:space="0" w:color="auto"/>
              <w:bottom w:val="nil" w:sz="6" w:space="0" w:color="auto"/>
              <w:right w:val="nil" w:sz="6" w:space="0" w:color="auto"/>
            </w:tcBorders>
          </w:tcPr>
          <w:p>
            <w:pPr/>
          </w:p>
        </w:tc>
        <w:tc>
          <w:tcPr>
            <w:tcW w:w="1901" w:type="dxa"/>
            <w:tcBorders>
              <w:top w:val="nil" w:sz="6" w:space="0" w:color="auto"/>
              <w:left w:val="nil" w:sz="6" w:space="0" w:color="auto"/>
              <w:bottom w:val="nil" w:sz="6" w:space="0" w:color="auto"/>
              <w:right w:val="nil" w:sz="6" w:space="0" w:color="auto"/>
            </w:tcBorders>
          </w:tcPr>
          <w:p>
            <w:pPr>
              <w:pStyle w:val="TableParagraph"/>
              <w:spacing w:line="221" w:lineRule="exact"/>
              <w:ind w:right="104"/>
              <w:jc w:val="right"/>
              <w:rPr>
                <w:rFonts w:ascii="宋体" w:hAnsi="宋体" w:cs="宋体" w:eastAsia="宋体" w:hint="default"/>
                <w:sz w:val="18"/>
                <w:szCs w:val="18"/>
              </w:rPr>
            </w:pPr>
            <w:r>
              <w:rPr>
                <w:rFonts w:ascii="宋体"/>
                <w:sz w:val="18"/>
              </w:rPr>
              <w:t>-</w:t>
            </w:r>
          </w:p>
        </w:tc>
      </w:tr>
      <w:tr>
        <w:trPr>
          <w:trHeight w:val="295" w:hRule="exact"/>
        </w:trPr>
        <w:tc>
          <w:tcPr>
            <w:tcW w:w="3614" w:type="dxa"/>
            <w:tcBorders>
              <w:top w:val="nil" w:sz="6" w:space="0" w:color="auto"/>
              <w:left w:val="nil" w:sz="6" w:space="0" w:color="auto"/>
              <w:bottom w:val="nil" w:sz="6" w:space="0" w:color="auto"/>
              <w:right w:val="nil" w:sz="6" w:space="0" w:color="auto"/>
            </w:tcBorders>
          </w:tcPr>
          <w:p>
            <w:pPr>
              <w:pStyle w:val="TableParagraph"/>
              <w:spacing w:line="240" w:lineRule="auto" w:before="1"/>
              <w:ind w:left="470"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35"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195"/>
              <w:jc w:val="right"/>
              <w:rPr>
                <w:rFonts w:ascii="宋体" w:hAnsi="宋体" w:cs="宋体" w:eastAsia="宋体" w:hint="default"/>
                <w:sz w:val="18"/>
                <w:szCs w:val="18"/>
              </w:rPr>
            </w:pPr>
            <w:r>
              <w:rPr>
                <w:rFonts w:ascii="宋体"/>
                <w:spacing w:val="-1"/>
                <w:sz w:val="18"/>
              </w:rPr>
              <w:t>5,602,035.78</w:t>
            </w:r>
          </w:p>
        </w:tc>
        <w:tc>
          <w:tcPr>
            <w:tcW w:w="235" w:type="dxa"/>
            <w:tcBorders>
              <w:top w:val="nil" w:sz="6" w:space="0" w:color="auto"/>
              <w:left w:val="nil" w:sz="6" w:space="0" w:color="auto"/>
              <w:bottom w:val="nil" w:sz="6" w:space="0" w:color="auto"/>
              <w:right w:val="nil" w:sz="6" w:space="0" w:color="auto"/>
            </w:tcBorders>
          </w:tcPr>
          <w:p>
            <w:pPr/>
          </w:p>
        </w:tc>
        <w:tc>
          <w:tcPr>
            <w:tcW w:w="1901" w:type="dxa"/>
            <w:tcBorders>
              <w:top w:val="nil" w:sz="6" w:space="0" w:color="auto"/>
              <w:left w:val="nil" w:sz="6" w:space="0" w:color="auto"/>
              <w:bottom w:val="single" w:sz="4" w:space="0" w:color="000000"/>
              <w:right w:val="nil" w:sz="6" w:space="0" w:color="auto"/>
            </w:tcBorders>
          </w:tcPr>
          <w:p>
            <w:pPr>
              <w:pStyle w:val="TableParagraph"/>
              <w:spacing w:line="20" w:lineRule="exact"/>
              <w:ind w:right="-41"/>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1207076" cy="6096"/>
                  <wp:effectExtent l="0" t="0" r="0" b="0"/>
                  <wp:docPr id="11" name="image14.png" descr=""/>
                  <wp:cNvGraphicFramePr>
                    <a:graphicFrameLocks noChangeAspect="1"/>
                  </wp:cNvGraphicFramePr>
                  <a:graphic>
                    <a:graphicData uri="http://schemas.openxmlformats.org/drawingml/2006/picture">
                      <pic:pic>
                        <pic:nvPicPr>
                          <pic:cNvPr id="12" name="image14.png"/>
                          <pic:cNvPicPr/>
                        </pic:nvPicPr>
                        <pic:blipFill>
                          <a:blip r:embed="rId31" cstate="print"/>
                          <a:stretch>
                            <a:fillRect/>
                          </a:stretch>
                        </pic:blipFill>
                        <pic:spPr>
                          <a:xfrm>
                            <a:off x="0" y="0"/>
                            <a:ext cx="1207076" cy="6096"/>
                          </a:xfrm>
                          <a:prstGeom prst="rect">
                            <a:avLst/>
                          </a:prstGeom>
                        </pic:spPr>
                      </pic:pic>
                    </a:graphicData>
                  </a:graphic>
                </wp:inline>
              </w:drawing>
            </w:r>
            <w:r>
              <w:rPr>
                <w:rFonts w:ascii="Times New Roman" w:hAnsi="Times New Roman" w:cs="Times New Roman" w:eastAsia="Times New Roman" w:hint="default"/>
                <w:sz w:val="2"/>
                <w:szCs w:val="2"/>
              </w:rPr>
            </w:r>
          </w:p>
          <w:p>
            <w:pPr>
              <w:pStyle w:val="TableParagraph"/>
              <w:spacing w:line="240" w:lineRule="auto"/>
              <w:ind w:left="621" w:right="0"/>
              <w:jc w:val="left"/>
              <w:rPr>
                <w:rFonts w:ascii="宋体" w:hAnsi="宋体" w:cs="宋体" w:eastAsia="宋体" w:hint="default"/>
                <w:sz w:val="18"/>
                <w:szCs w:val="18"/>
              </w:rPr>
            </w:pPr>
            <w:r>
              <w:rPr>
                <w:rFonts w:ascii="宋体"/>
                <w:sz w:val="18"/>
              </w:rPr>
              <w:t>4,620,556.01</w:t>
            </w:r>
          </w:p>
        </w:tc>
      </w:tr>
      <w:tr>
        <w:trPr>
          <w:trHeight w:val="312" w:hRule="exact"/>
        </w:trPr>
        <w:tc>
          <w:tcPr>
            <w:tcW w:w="3614" w:type="dxa"/>
            <w:tcBorders>
              <w:top w:val="nil" w:sz="6" w:space="0" w:color="auto"/>
              <w:left w:val="nil" w:sz="6" w:space="0" w:color="auto"/>
              <w:bottom w:val="nil" w:sz="6" w:space="0" w:color="auto"/>
              <w:right w:val="nil" w:sz="6" w:space="0" w:color="auto"/>
            </w:tcBorders>
          </w:tcPr>
          <w:p>
            <w:pPr>
              <w:pStyle w:val="TableParagraph"/>
              <w:spacing w:line="240" w:lineRule="auto" w:before="1"/>
              <w:ind w:left="470"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35"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2105" w:type="dxa"/>
            <w:tcBorders>
              <w:top w:val="single" w:sz="4" w:space="0" w:color="000000"/>
              <w:left w:val="nil" w:sz="6" w:space="0" w:color="auto"/>
              <w:bottom w:val="single" w:sz="17" w:space="0" w:color="000000"/>
              <w:right w:val="nil" w:sz="6" w:space="0" w:color="auto"/>
            </w:tcBorders>
          </w:tcPr>
          <w:p>
            <w:pPr>
              <w:pStyle w:val="TableParagraph"/>
              <w:spacing w:line="232" w:lineRule="exact"/>
              <w:ind w:right="194"/>
              <w:jc w:val="right"/>
              <w:rPr>
                <w:rFonts w:ascii="宋体" w:hAnsi="宋体" w:cs="宋体" w:eastAsia="宋体" w:hint="default"/>
                <w:sz w:val="18"/>
                <w:szCs w:val="18"/>
              </w:rPr>
            </w:pPr>
            <w:r>
              <w:rPr>
                <w:rFonts w:ascii="宋体"/>
                <w:spacing w:val="-1"/>
                <w:sz w:val="18"/>
              </w:rPr>
              <w:t>18,507,967.86</w:t>
            </w:r>
            <w:r>
              <w:rPr>
                <w:rFonts w:ascii="宋体"/>
                <w:sz w:val="18"/>
              </w:rPr>
            </w:r>
          </w:p>
        </w:tc>
        <w:tc>
          <w:tcPr>
            <w:tcW w:w="235" w:type="dxa"/>
            <w:tcBorders>
              <w:top w:val="nil" w:sz="6" w:space="0" w:color="auto"/>
              <w:left w:val="nil" w:sz="6" w:space="0" w:color="auto"/>
              <w:bottom w:val="nil" w:sz="6" w:space="0" w:color="auto"/>
              <w:right w:val="nil" w:sz="6" w:space="0" w:color="auto"/>
            </w:tcBorders>
          </w:tcPr>
          <w:p>
            <w:pPr/>
          </w:p>
        </w:tc>
        <w:tc>
          <w:tcPr>
            <w:tcW w:w="1901" w:type="dxa"/>
            <w:tcBorders>
              <w:top w:val="single" w:sz="4" w:space="0" w:color="000000"/>
              <w:left w:val="nil" w:sz="6" w:space="0" w:color="auto"/>
              <w:bottom w:val="single" w:sz="17" w:space="0" w:color="000000"/>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pacing w:val="-1"/>
                <w:sz w:val="18"/>
              </w:rPr>
              <w:t>15,638,297.66</w:t>
            </w:r>
          </w:p>
        </w:tc>
      </w:tr>
      <w:tr>
        <w:trPr>
          <w:trHeight w:val="301" w:hRule="exact"/>
        </w:trPr>
        <w:tc>
          <w:tcPr>
            <w:tcW w:w="3614"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07" w:right="0"/>
              <w:jc w:val="left"/>
              <w:rPr>
                <w:rFonts w:ascii="宋体" w:hAnsi="宋体" w:cs="宋体" w:eastAsia="宋体" w:hint="default"/>
                <w:sz w:val="18"/>
                <w:szCs w:val="18"/>
              </w:rPr>
            </w:pPr>
            <w:r>
              <w:rPr>
                <w:rFonts w:ascii="宋体" w:hAnsi="宋体" w:cs="宋体" w:eastAsia="宋体" w:hint="default"/>
                <w:b/>
                <w:bCs/>
                <w:sz w:val="18"/>
                <w:szCs w:val="18"/>
              </w:rPr>
              <w:t>股东权益：</w:t>
            </w:r>
            <w:r>
              <w:rPr>
                <w:rFonts w:ascii="宋体" w:hAnsi="宋体" w:cs="宋体" w:eastAsia="宋体" w:hint="default"/>
                <w:sz w:val="18"/>
                <w:szCs w:val="18"/>
              </w:rPr>
            </w:r>
          </w:p>
        </w:tc>
        <w:tc>
          <w:tcPr>
            <w:tcW w:w="235"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2105" w:type="dxa"/>
            <w:tcBorders>
              <w:top w:val="single" w:sz="17" w:space="0" w:color="000000"/>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901" w:type="dxa"/>
            <w:tcBorders>
              <w:top w:val="single" w:sz="17" w:space="0" w:color="000000"/>
              <w:left w:val="nil" w:sz="6" w:space="0" w:color="auto"/>
              <w:bottom w:val="nil" w:sz="6" w:space="0" w:color="auto"/>
              <w:right w:val="nil" w:sz="6" w:space="0" w:color="auto"/>
            </w:tcBorders>
          </w:tcPr>
          <w:p>
            <w:pPr/>
          </w:p>
        </w:tc>
      </w:tr>
      <w:tr>
        <w:trPr>
          <w:trHeight w:val="295" w:hRule="exact"/>
        </w:trPr>
        <w:tc>
          <w:tcPr>
            <w:tcW w:w="3614" w:type="dxa"/>
            <w:tcBorders>
              <w:top w:val="nil" w:sz="6" w:space="0" w:color="auto"/>
              <w:left w:val="nil" w:sz="6" w:space="0" w:color="auto"/>
              <w:bottom w:val="nil" w:sz="6" w:space="0" w:color="auto"/>
              <w:right w:val="nil" w:sz="6" w:space="0" w:color="auto"/>
            </w:tcBorders>
          </w:tcPr>
          <w:p>
            <w:pPr>
              <w:pStyle w:val="TableParagraph"/>
              <w:spacing w:line="235" w:lineRule="exact"/>
              <w:ind w:left="29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35"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Style w:val="TableParagraph"/>
              <w:spacing w:line="263" w:lineRule="exact"/>
              <w:ind w:right="1"/>
              <w:jc w:val="center"/>
              <w:rPr>
                <w:rFonts w:ascii="Times New Roman" w:hAnsi="Times New Roman" w:cs="Times New Roman" w:eastAsia="Times New Roman" w:hint="default"/>
                <w:sz w:val="20"/>
                <w:szCs w:val="20"/>
              </w:rPr>
            </w:pPr>
            <w:r>
              <w:rPr>
                <w:rFonts w:ascii="宋体" w:hAnsi="宋体" w:cs="宋体" w:eastAsia="宋体" w:hint="default"/>
                <w:sz w:val="20"/>
                <w:szCs w:val="20"/>
              </w:rPr>
              <w:t>注释</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23</w:t>
            </w:r>
          </w:p>
        </w:tc>
        <w:tc>
          <w:tcPr>
            <w:tcW w:w="235"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nil" w:sz="6" w:space="0" w:color="auto"/>
              <w:right w:val="nil" w:sz="6" w:space="0" w:color="auto"/>
            </w:tcBorders>
          </w:tcPr>
          <w:p>
            <w:pPr>
              <w:pStyle w:val="TableParagraph"/>
              <w:spacing w:line="235" w:lineRule="exact"/>
              <w:ind w:right="108"/>
              <w:jc w:val="right"/>
              <w:rPr>
                <w:rFonts w:ascii="宋体" w:hAnsi="宋体" w:cs="宋体" w:eastAsia="宋体" w:hint="default"/>
                <w:sz w:val="18"/>
                <w:szCs w:val="18"/>
              </w:rPr>
            </w:pPr>
            <w:r>
              <w:rPr>
                <w:rFonts w:ascii="宋体"/>
                <w:spacing w:val="-1"/>
                <w:sz w:val="18"/>
              </w:rPr>
              <w:t>158,400,000.00</w:t>
            </w:r>
            <w:r>
              <w:rPr>
                <w:rFonts w:ascii="宋体"/>
                <w:sz w:val="18"/>
              </w:rPr>
            </w:r>
          </w:p>
        </w:tc>
        <w:tc>
          <w:tcPr>
            <w:tcW w:w="235" w:type="dxa"/>
            <w:tcBorders>
              <w:top w:val="nil" w:sz="6" w:space="0" w:color="auto"/>
              <w:left w:val="nil" w:sz="6" w:space="0" w:color="auto"/>
              <w:bottom w:val="nil" w:sz="6" w:space="0" w:color="auto"/>
              <w:right w:val="nil" w:sz="6" w:space="0" w:color="auto"/>
            </w:tcBorders>
          </w:tcPr>
          <w:p>
            <w:pPr/>
          </w:p>
        </w:tc>
        <w:tc>
          <w:tcPr>
            <w:tcW w:w="1901" w:type="dxa"/>
            <w:tcBorders>
              <w:top w:val="nil" w:sz="6" w:space="0" w:color="auto"/>
              <w:left w:val="nil" w:sz="6" w:space="0" w:color="auto"/>
              <w:bottom w:val="nil" w:sz="6" w:space="0" w:color="auto"/>
              <w:right w:val="nil" w:sz="6" w:space="0" w:color="auto"/>
            </w:tcBorders>
          </w:tcPr>
          <w:p>
            <w:pPr>
              <w:pStyle w:val="TableParagraph"/>
              <w:spacing w:line="235" w:lineRule="exact"/>
              <w:ind w:right="107"/>
              <w:jc w:val="right"/>
              <w:rPr>
                <w:rFonts w:ascii="宋体" w:hAnsi="宋体" w:cs="宋体" w:eastAsia="宋体" w:hint="default"/>
                <w:sz w:val="18"/>
                <w:szCs w:val="18"/>
              </w:rPr>
            </w:pPr>
            <w:r>
              <w:rPr>
                <w:rFonts w:ascii="宋体"/>
                <w:spacing w:val="-1"/>
                <w:sz w:val="18"/>
              </w:rPr>
              <w:t>88,000,000.00</w:t>
            </w:r>
          </w:p>
        </w:tc>
      </w:tr>
      <w:tr>
        <w:trPr>
          <w:trHeight w:val="288" w:hRule="exact"/>
        </w:trPr>
        <w:tc>
          <w:tcPr>
            <w:tcW w:w="3614" w:type="dxa"/>
            <w:tcBorders>
              <w:top w:val="nil" w:sz="6" w:space="0" w:color="auto"/>
              <w:left w:val="nil" w:sz="6" w:space="0" w:color="auto"/>
              <w:bottom w:val="nil" w:sz="6" w:space="0" w:color="auto"/>
              <w:right w:val="nil" w:sz="6" w:space="0" w:color="auto"/>
            </w:tcBorders>
          </w:tcPr>
          <w:p>
            <w:pPr>
              <w:pStyle w:val="TableParagraph"/>
              <w:spacing w:line="226" w:lineRule="exact"/>
              <w:ind w:left="29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35"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Style w:val="TableParagraph"/>
              <w:spacing w:line="251" w:lineRule="exact"/>
              <w:ind w:right="1"/>
              <w:jc w:val="center"/>
              <w:rPr>
                <w:rFonts w:ascii="Times New Roman" w:hAnsi="Times New Roman" w:cs="Times New Roman" w:eastAsia="Times New Roman" w:hint="default"/>
                <w:sz w:val="20"/>
                <w:szCs w:val="20"/>
              </w:rPr>
            </w:pPr>
            <w:r>
              <w:rPr>
                <w:rFonts w:ascii="宋体" w:hAnsi="宋体" w:cs="宋体" w:eastAsia="宋体" w:hint="default"/>
                <w:sz w:val="20"/>
                <w:szCs w:val="20"/>
              </w:rPr>
              <w:t>注释</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24</w:t>
            </w:r>
          </w:p>
        </w:tc>
        <w:tc>
          <w:tcPr>
            <w:tcW w:w="235"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nil" w:sz="6" w:space="0" w:color="auto"/>
              <w:right w:val="nil" w:sz="6" w:space="0" w:color="auto"/>
            </w:tcBorders>
          </w:tcPr>
          <w:p>
            <w:pPr>
              <w:pStyle w:val="TableParagraph"/>
              <w:spacing w:line="226" w:lineRule="exact"/>
              <w:ind w:right="107"/>
              <w:jc w:val="right"/>
              <w:rPr>
                <w:rFonts w:ascii="宋体" w:hAnsi="宋体" w:cs="宋体" w:eastAsia="宋体" w:hint="default"/>
                <w:sz w:val="18"/>
                <w:szCs w:val="18"/>
              </w:rPr>
            </w:pPr>
            <w:r>
              <w:rPr>
                <w:rFonts w:ascii="宋体"/>
                <w:spacing w:val="-1"/>
                <w:sz w:val="18"/>
              </w:rPr>
              <w:t>62,580,990.76</w:t>
            </w:r>
          </w:p>
        </w:tc>
        <w:tc>
          <w:tcPr>
            <w:tcW w:w="235" w:type="dxa"/>
            <w:tcBorders>
              <w:top w:val="nil" w:sz="6" w:space="0" w:color="auto"/>
              <w:left w:val="nil" w:sz="6" w:space="0" w:color="auto"/>
              <w:bottom w:val="nil" w:sz="6" w:space="0" w:color="auto"/>
              <w:right w:val="nil" w:sz="6" w:space="0" w:color="auto"/>
            </w:tcBorders>
          </w:tcPr>
          <w:p>
            <w:pPr/>
          </w:p>
        </w:tc>
        <w:tc>
          <w:tcPr>
            <w:tcW w:w="1901" w:type="dxa"/>
            <w:tcBorders>
              <w:top w:val="nil" w:sz="6" w:space="0" w:color="auto"/>
              <w:left w:val="nil" w:sz="6" w:space="0" w:color="auto"/>
              <w:bottom w:val="nil" w:sz="6" w:space="0" w:color="auto"/>
              <w:right w:val="nil" w:sz="6" w:space="0" w:color="auto"/>
            </w:tcBorders>
          </w:tcPr>
          <w:p>
            <w:pPr>
              <w:pStyle w:val="TableParagraph"/>
              <w:spacing w:line="226" w:lineRule="exact"/>
              <w:ind w:right="108"/>
              <w:jc w:val="right"/>
              <w:rPr>
                <w:rFonts w:ascii="宋体" w:hAnsi="宋体" w:cs="宋体" w:eastAsia="宋体" w:hint="default"/>
                <w:sz w:val="18"/>
                <w:szCs w:val="18"/>
              </w:rPr>
            </w:pPr>
            <w:r>
              <w:rPr>
                <w:rFonts w:ascii="宋体"/>
                <w:spacing w:val="-1"/>
                <w:sz w:val="18"/>
              </w:rPr>
              <w:t>132,980,990.76</w:t>
            </w:r>
            <w:r>
              <w:rPr>
                <w:rFonts w:ascii="宋体"/>
                <w:sz w:val="18"/>
              </w:rPr>
            </w:r>
          </w:p>
        </w:tc>
      </w:tr>
      <w:tr>
        <w:trPr>
          <w:trHeight w:val="273" w:hRule="exact"/>
        </w:trPr>
        <w:tc>
          <w:tcPr>
            <w:tcW w:w="3614" w:type="dxa"/>
            <w:tcBorders>
              <w:top w:val="nil" w:sz="6" w:space="0" w:color="auto"/>
              <w:left w:val="nil" w:sz="6" w:space="0" w:color="auto"/>
              <w:bottom w:val="nil" w:sz="6" w:space="0" w:color="auto"/>
              <w:right w:val="nil" w:sz="6" w:space="0" w:color="auto"/>
            </w:tcBorders>
          </w:tcPr>
          <w:p>
            <w:pPr>
              <w:pStyle w:val="TableParagraph"/>
              <w:spacing w:line="221" w:lineRule="exact"/>
              <w:ind w:left="290"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35"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nil" w:sz="6" w:space="0" w:color="auto"/>
              <w:right w:val="nil" w:sz="6" w:space="0" w:color="auto"/>
            </w:tcBorders>
          </w:tcPr>
          <w:p>
            <w:pPr>
              <w:pStyle w:val="TableParagraph"/>
              <w:spacing w:line="221" w:lineRule="exact"/>
              <w:ind w:right="107"/>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901" w:type="dxa"/>
            <w:tcBorders>
              <w:top w:val="nil" w:sz="6" w:space="0" w:color="auto"/>
              <w:left w:val="nil" w:sz="6" w:space="0" w:color="auto"/>
              <w:bottom w:val="nil" w:sz="6" w:space="0" w:color="auto"/>
              <w:right w:val="nil" w:sz="6" w:space="0" w:color="auto"/>
            </w:tcBorders>
          </w:tcPr>
          <w:p>
            <w:pPr>
              <w:pStyle w:val="TableParagraph"/>
              <w:spacing w:line="221" w:lineRule="exact"/>
              <w:ind w:right="107"/>
              <w:jc w:val="right"/>
              <w:rPr>
                <w:rFonts w:ascii="宋体" w:hAnsi="宋体" w:cs="宋体" w:eastAsia="宋体" w:hint="default"/>
                <w:sz w:val="18"/>
                <w:szCs w:val="18"/>
              </w:rPr>
            </w:pPr>
            <w:r>
              <w:rPr>
                <w:rFonts w:ascii="宋体"/>
                <w:sz w:val="18"/>
              </w:rPr>
              <w:t>-</w:t>
            </w:r>
          </w:p>
        </w:tc>
      </w:tr>
      <w:tr>
        <w:trPr>
          <w:trHeight w:val="280" w:hRule="exact"/>
        </w:trPr>
        <w:tc>
          <w:tcPr>
            <w:tcW w:w="3614" w:type="dxa"/>
            <w:tcBorders>
              <w:top w:val="nil" w:sz="6" w:space="0" w:color="auto"/>
              <w:left w:val="nil" w:sz="6" w:space="0" w:color="auto"/>
              <w:bottom w:val="nil" w:sz="6" w:space="0" w:color="auto"/>
              <w:right w:val="nil" w:sz="6" w:space="0" w:color="auto"/>
            </w:tcBorders>
          </w:tcPr>
          <w:p>
            <w:pPr>
              <w:pStyle w:val="TableParagraph"/>
              <w:spacing w:line="232" w:lineRule="exact"/>
              <w:ind w:left="290"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35"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901" w:type="dxa"/>
            <w:tcBorders>
              <w:top w:val="nil" w:sz="6" w:space="0" w:color="auto"/>
              <w:left w:val="nil" w:sz="6" w:space="0" w:color="auto"/>
              <w:bottom w:val="nil" w:sz="6" w:space="0" w:color="auto"/>
              <w:right w:val="nil" w:sz="6" w:space="0" w:color="auto"/>
            </w:tcBorders>
          </w:tcPr>
          <w:p>
            <w:pPr/>
          </w:p>
        </w:tc>
      </w:tr>
      <w:tr>
        <w:trPr>
          <w:trHeight w:val="296" w:hRule="exact"/>
        </w:trPr>
        <w:tc>
          <w:tcPr>
            <w:tcW w:w="3614" w:type="dxa"/>
            <w:tcBorders>
              <w:top w:val="nil" w:sz="6" w:space="0" w:color="auto"/>
              <w:left w:val="nil" w:sz="6" w:space="0" w:color="auto"/>
              <w:bottom w:val="nil" w:sz="6" w:space="0" w:color="auto"/>
              <w:right w:val="nil" w:sz="6" w:space="0" w:color="auto"/>
            </w:tcBorders>
          </w:tcPr>
          <w:p>
            <w:pPr>
              <w:pStyle w:val="TableParagraph"/>
              <w:spacing w:line="240" w:lineRule="auto" w:before="2"/>
              <w:ind w:left="29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35"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Style w:val="TableParagraph"/>
              <w:spacing w:line="263" w:lineRule="exact"/>
              <w:ind w:right="1"/>
              <w:jc w:val="center"/>
              <w:rPr>
                <w:rFonts w:ascii="Times New Roman" w:hAnsi="Times New Roman" w:cs="Times New Roman" w:eastAsia="Times New Roman" w:hint="default"/>
                <w:sz w:val="20"/>
                <w:szCs w:val="20"/>
              </w:rPr>
            </w:pPr>
            <w:r>
              <w:rPr>
                <w:rFonts w:ascii="宋体" w:hAnsi="宋体" w:cs="宋体" w:eastAsia="宋体" w:hint="default"/>
                <w:sz w:val="20"/>
                <w:szCs w:val="20"/>
              </w:rPr>
              <w:t>注释</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25</w:t>
            </w:r>
          </w:p>
        </w:tc>
        <w:tc>
          <w:tcPr>
            <w:tcW w:w="235"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7"/>
              <w:jc w:val="right"/>
              <w:rPr>
                <w:rFonts w:ascii="宋体" w:hAnsi="宋体" w:cs="宋体" w:eastAsia="宋体" w:hint="default"/>
                <w:sz w:val="18"/>
                <w:szCs w:val="18"/>
              </w:rPr>
            </w:pPr>
            <w:r>
              <w:rPr>
                <w:rFonts w:ascii="宋体"/>
                <w:spacing w:val="-1"/>
                <w:sz w:val="18"/>
              </w:rPr>
              <w:t>14,026,838.97</w:t>
            </w:r>
          </w:p>
        </w:tc>
        <w:tc>
          <w:tcPr>
            <w:tcW w:w="235" w:type="dxa"/>
            <w:tcBorders>
              <w:top w:val="nil" w:sz="6" w:space="0" w:color="auto"/>
              <w:left w:val="nil" w:sz="6" w:space="0" w:color="auto"/>
              <w:bottom w:val="nil" w:sz="6" w:space="0" w:color="auto"/>
              <w:right w:val="nil" w:sz="6" w:space="0" w:color="auto"/>
            </w:tcBorders>
          </w:tcPr>
          <w:p>
            <w:pPr/>
          </w:p>
        </w:tc>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7"/>
              <w:jc w:val="right"/>
              <w:rPr>
                <w:rFonts w:ascii="宋体" w:hAnsi="宋体" w:cs="宋体" w:eastAsia="宋体" w:hint="default"/>
                <w:sz w:val="18"/>
                <w:szCs w:val="18"/>
              </w:rPr>
            </w:pPr>
            <w:r>
              <w:rPr>
                <w:rFonts w:ascii="宋体"/>
                <w:spacing w:val="-1"/>
                <w:sz w:val="18"/>
              </w:rPr>
              <w:t>11,736,079.47</w:t>
            </w:r>
          </w:p>
        </w:tc>
      </w:tr>
      <w:tr>
        <w:trPr>
          <w:trHeight w:val="288" w:hRule="exact"/>
        </w:trPr>
        <w:tc>
          <w:tcPr>
            <w:tcW w:w="3614" w:type="dxa"/>
            <w:tcBorders>
              <w:top w:val="nil" w:sz="6" w:space="0" w:color="auto"/>
              <w:left w:val="nil" w:sz="6" w:space="0" w:color="auto"/>
              <w:bottom w:val="nil" w:sz="6" w:space="0" w:color="auto"/>
              <w:right w:val="nil" w:sz="6" w:space="0" w:color="auto"/>
            </w:tcBorders>
          </w:tcPr>
          <w:p>
            <w:pPr>
              <w:pStyle w:val="TableParagraph"/>
              <w:spacing w:line="225" w:lineRule="exact"/>
              <w:ind w:left="29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35"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Style w:val="TableParagraph"/>
              <w:spacing w:line="252" w:lineRule="exact"/>
              <w:ind w:right="1"/>
              <w:jc w:val="center"/>
              <w:rPr>
                <w:rFonts w:ascii="Times New Roman" w:hAnsi="Times New Roman" w:cs="Times New Roman" w:eastAsia="Times New Roman" w:hint="default"/>
                <w:sz w:val="20"/>
                <w:szCs w:val="20"/>
              </w:rPr>
            </w:pPr>
            <w:r>
              <w:rPr>
                <w:rFonts w:ascii="宋体" w:hAnsi="宋体" w:cs="宋体" w:eastAsia="宋体" w:hint="default"/>
                <w:sz w:val="20"/>
                <w:szCs w:val="20"/>
              </w:rPr>
              <w:t>注释</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26</w:t>
            </w:r>
          </w:p>
        </w:tc>
        <w:tc>
          <w:tcPr>
            <w:tcW w:w="235"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nil" w:sz="6" w:space="0" w:color="auto"/>
              <w:right w:val="nil" w:sz="6" w:space="0" w:color="auto"/>
            </w:tcBorders>
          </w:tcPr>
          <w:p>
            <w:pPr>
              <w:pStyle w:val="TableParagraph"/>
              <w:spacing w:line="225" w:lineRule="exact"/>
              <w:ind w:right="108"/>
              <w:jc w:val="right"/>
              <w:rPr>
                <w:rFonts w:ascii="宋体" w:hAnsi="宋体" w:cs="宋体" w:eastAsia="宋体" w:hint="default"/>
                <w:sz w:val="18"/>
                <w:szCs w:val="18"/>
              </w:rPr>
            </w:pPr>
            <w:r>
              <w:rPr>
                <w:rFonts w:ascii="宋体"/>
                <w:spacing w:val="-1"/>
                <w:sz w:val="18"/>
              </w:rPr>
              <w:t>101,236,053.71</w:t>
            </w:r>
            <w:r>
              <w:rPr>
                <w:rFonts w:ascii="宋体"/>
                <w:sz w:val="18"/>
              </w:rPr>
            </w:r>
          </w:p>
        </w:tc>
        <w:tc>
          <w:tcPr>
            <w:tcW w:w="235" w:type="dxa"/>
            <w:tcBorders>
              <w:top w:val="nil" w:sz="6" w:space="0" w:color="auto"/>
              <w:left w:val="nil" w:sz="6" w:space="0" w:color="auto"/>
              <w:bottom w:val="nil" w:sz="6" w:space="0" w:color="auto"/>
              <w:right w:val="nil" w:sz="6" w:space="0" w:color="auto"/>
            </w:tcBorders>
          </w:tcPr>
          <w:p>
            <w:pPr/>
          </w:p>
        </w:tc>
        <w:tc>
          <w:tcPr>
            <w:tcW w:w="1901" w:type="dxa"/>
            <w:tcBorders>
              <w:top w:val="nil" w:sz="6" w:space="0" w:color="auto"/>
              <w:left w:val="nil" w:sz="6" w:space="0" w:color="auto"/>
              <w:bottom w:val="nil" w:sz="6" w:space="0" w:color="auto"/>
              <w:right w:val="nil" w:sz="6" w:space="0" w:color="auto"/>
            </w:tcBorders>
          </w:tcPr>
          <w:p>
            <w:pPr>
              <w:pStyle w:val="TableParagraph"/>
              <w:spacing w:line="225" w:lineRule="exact"/>
              <w:ind w:right="107"/>
              <w:jc w:val="right"/>
              <w:rPr>
                <w:rFonts w:ascii="宋体" w:hAnsi="宋体" w:cs="宋体" w:eastAsia="宋体" w:hint="default"/>
                <w:sz w:val="18"/>
                <w:szCs w:val="18"/>
              </w:rPr>
            </w:pPr>
            <w:r>
              <w:rPr>
                <w:rFonts w:ascii="宋体"/>
                <w:spacing w:val="-1"/>
                <w:sz w:val="18"/>
              </w:rPr>
              <w:t>86,282,907.86</w:t>
            </w:r>
          </w:p>
        </w:tc>
      </w:tr>
      <w:tr>
        <w:trPr>
          <w:trHeight w:val="278" w:hRule="exact"/>
        </w:trPr>
        <w:tc>
          <w:tcPr>
            <w:tcW w:w="3614" w:type="dxa"/>
            <w:tcBorders>
              <w:top w:val="nil" w:sz="6" w:space="0" w:color="auto"/>
              <w:left w:val="nil" w:sz="6" w:space="0" w:color="auto"/>
              <w:bottom w:val="nil" w:sz="6" w:space="0" w:color="auto"/>
              <w:right w:val="nil" w:sz="6" w:space="0" w:color="auto"/>
            </w:tcBorders>
          </w:tcPr>
          <w:p>
            <w:pPr>
              <w:pStyle w:val="TableParagraph"/>
              <w:spacing w:line="220" w:lineRule="exact"/>
              <w:ind w:left="290"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235"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nil" w:sz="6" w:space="0" w:color="auto"/>
              <w:right w:val="nil" w:sz="6" w:space="0" w:color="auto"/>
            </w:tcBorders>
          </w:tcPr>
          <w:p>
            <w:pPr>
              <w:pStyle w:val="TableParagraph"/>
              <w:spacing w:line="220" w:lineRule="exact"/>
              <w:ind w:right="104"/>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901" w:type="dxa"/>
            <w:tcBorders>
              <w:top w:val="nil" w:sz="6" w:space="0" w:color="auto"/>
              <w:left w:val="nil" w:sz="6" w:space="0" w:color="auto"/>
              <w:bottom w:val="nil" w:sz="6" w:space="0" w:color="auto"/>
              <w:right w:val="nil" w:sz="6" w:space="0" w:color="auto"/>
            </w:tcBorders>
          </w:tcPr>
          <w:p>
            <w:pPr>
              <w:pStyle w:val="TableParagraph"/>
              <w:spacing w:line="220" w:lineRule="exact"/>
              <w:ind w:right="107"/>
              <w:jc w:val="right"/>
              <w:rPr>
                <w:rFonts w:ascii="宋体" w:hAnsi="宋体" w:cs="宋体" w:eastAsia="宋体" w:hint="default"/>
                <w:sz w:val="18"/>
                <w:szCs w:val="18"/>
              </w:rPr>
            </w:pPr>
            <w:r>
              <w:rPr>
                <w:rFonts w:ascii="宋体"/>
                <w:sz w:val="18"/>
              </w:rPr>
              <w:t>-</w:t>
            </w:r>
          </w:p>
        </w:tc>
      </w:tr>
      <w:tr>
        <w:trPr>
          <w:trHeight w:val="296" w:hRule="exact"/>
        </w:trPr>
        <w:tc>
          <w:tcPr>
            <w:tcW w:w="3614" w:type="dxa"/>
            <w:tcBorders>
              <w:top w:val="nil" w:sz="6" w:space="0" w:color="auto"/>
              <w:left w:val="nil" w:sz="6" w:space="0" w:color="auto"/>
              <w:bottom w:val="nil" w:sz="6" w:space="0" w:color="auto"/>
              <w:right w:val="nil" w:sz="6" w:space="0" w:color="auto"/>
            </w:tcBorders>
          </w:tcPr>
          <w:p>
            <w:pPr>
              <w:pStyle w:val="TableParagraph"/>
              <w:spacing w:line="240" w:lineRule="auto" w:before="2"/>
              <w:ind w:left="290"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235"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single" w:sz="4" w:space="0" w:color="000000"/>
              <w:right w:val="nil" w:sz="6" w:space="0" w:color="auto"/>
            </w:tcBorders>
          </w:tcPr>
          <w:p>
            <w:pPr>
              <w:pStyle w:val="TableParagraph"/>
              <w:spacing w:line="20" w:lineRule="exact"/>
              <w:ind w:right="-8"/>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1315689" cy="6000"/>
                  <wp:effectExtent l="0" t="0" r="0" b="0"/>
                  <wp:docPr id="13" name="image13.png" descr=""/>
                  <wp:cNvGraphicFramePr>
                    <a:graphicFrameLocks noChangeAspect="1"/>
                  </wp:cNvGraphicFramePr>
                  <a:graphic>
                    <a:graphicData uri="http://schemas.openxmlformats.org/drawingml/2006/picture">
                      <pic:pic>
                        <pic:nvPicPr>
                          <pic:cNvPr id="14" name="image13.png"/>
                          <pic:cNvPicPr/>
                        </pic:nvPicPr>
                        <pic:blipFill>
                          <a:blip r:embed="rId30" cstate="print"/>
                          <a:stretch>
                            <a:fillRect/>
                          </a:stretch>
                        </pic:blipFill>
                        <pic:spPr>
                          <a:xfrm>
                            <a:off x="0" y="0"/>
                            <a:ext cx="1315689" cy="6000"/>
                          </a:xfrm>
                          <a:prstGeom prst="rect">
                            <a:avLst/>
                          </a:prstGeom>
                        </pic:spPr>
                      </pic:pic>
                    </a:graphicData>
                  </a:graphic>
                </wp:inline>
              </w:drawing>
            </w:r>
            <w:r>
              <w:rPr>
                <w:rFonts w:ascii="Times New Roman" w:hAnsi="Times New Roman" w:cs="Times New Roman" w:eastAsia="Times New Roman" w:hint="default"/>
                <w:sz w:val="2"/>
                <w:szCs w:val="2"/>
              </w:rPr>
            </w:r>
          </w:p>
          <w:p>
            <w:pPr>
              <w:pStyle w:val="TableParagraph"/>
              <w:spacing w:line="240" w:lineRule="auto"/>
              <w:ind w:right="107"/>
              <w:jc w:val="right"/>
              <w:rPr>
                <w:rFonts w:ascii="宋体" w:hAnsi="宋体" w:cs="宋体" w:eastAsia="宋体" w:hint="default"/>
                <w:sz w:val="18"/>
                <w:szCs w:val="18"/>
              </w:rPr>
            </w:pPr>
            <w:r>
              <w:rPr>
                <w:rFonts w:ascii="宋体"/>
                <w:spacing w:val="-1"/>
                <w:sz w:val="18"/>
              </w:rPr>
              <w:t>336,243,883.44</w:t>
            </w:r>
          </w:p>
        </w:tc>
        <w:tc>
          <w:tcPr>
            <w:tcW w:w="235" w:type="dxa"/>
            <w:tcBorders>
              <w:top w:val="nil" w:sz="6" w:space="0" w:color="auto"/>
              <w:left w:val="nil" w:sz="6" w:space="0" w:color="auto"/>
              <w:bottom w:val="nil" w:sz="6" w:space="0" w:color="auto"/>
              <w:right w:val="nil" w:sz="6" w:space="0" w:color="auto"/>
            </w:tcBorders>
          </w:tcPr>
          <w:p>
            <w:pPr/>
          </w:p>
        </w:tc>
        <w:tc>
          <w:tcPr>
            <w:tcW w:w="1901" w:type="dxa"/>
            <w:tcBorders>
              <w:top w:val="nil" w:sz="6" w:space="0" w:color="auto"/>
              <w:left w:val="nil" w:sz="6" w:space="0" w:color="auto"/>
              <w:bottom w:val="single" w:sz="4" w:space="0" w:color="000000"/>
              <w:right w:val="nil" w:sz="6" w:space="0" w:color="auto"/>
            </w:tcBorders>
          </w:tcPr>
          <w:p>
            <w:pPr>
              <w:pStyle w:val="TableParagraph"/>
              <w:spacing w:line="20" w:lineRule="exact"/>
              <w:ind w:right="-12"/>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1188170" cy="6000"/>
                  <wp:effectExtent l="0" t="0" r="0" b="0"/>
                  <wp:docPr id="15" name="image14.png" descr=""/>
                  <wp:cNvGraphicFramePr>
                    <a:graphicFrameLocks noChangeAspect="1"/>
                  </wp:cNvGraphicFramePr>
                  <a:graphic>
                    <a:graphicData uri="http://schemas.openxmlformats.org/drawingml/2006/picture">
                      <pic:pic>
                        <pic:nvPicPr>
                          <pic:cNvPr id="16" name="image14.png"/>
                          <pic:cNvPicPr/>
                        </pic:nvPicPr>
                        <pic:blipFill>
                          <a:blip r:embed="rId31" cstate="print"/>
                          <a:stretch>
                            <a:fillRect/>
                          </a:stretch>
                        </pic:blipFill>
                        <pic:spPr>
                          <a:xfrm>
                            <a:off x="0" y="0"/>
                            <a:ext cx="1188170" cy="6000"/>
                          </a:xfrm>
                          <a:prstGeom prst="rect">
                            <a:avLst/>
                          </a:prstGeom>
                        </pic:spPr>
                      </pic:pic>
                    </a:graphicData>
                  </a:graphic>
                </wp:inline>
              </w:drawing>
            </w:r>
            <w:r>
              <w:rPr>
                <w:rFonts w:ascii="Times New Roman" w:hAnsi="Times New Roman" w:cs="Times New Roman" w:eastAsia="Times New Roman" w:hint="default"/>
                <w:sz w:val="2"/>
                <w:szCs w:val="2"/>
              </w:rPr>
            </w:r>
          </w:p>
          <w:p>
            <w:pPr>
              <w:pStyle w:val="TableParagraph"/>
              <w:spacing w:line="240" w:lineRule="auto"/>
              <w:ind w:right="108"/>
              <w:jc w:val="right"/>
              <w:rPr>
                <w:rFonts w:ascii="宋体" w:hAnsi="宋体" w:cs="宋体" w:eastAsia="宋体" w:hint="default"/>
                <w:sz w:val="18"/>
                <w:szCs w:val="18"/>
              </w:rPr>
            </w:pPr>
            <w:r>
              <w:rPr>
                <w:rFonts w:ascii="宋体"/>
                <w:spacing w:val="-1"/>
                <w:sz w:val="18"/>
              </w:rPr>
              <w:t>318,999,978.09</w:t>
            </w:r>
            <w:r>
              <w:rPr>
                <w:rFonts w:ascii="宋体"/>
                <w:sz w:val="18"/>
              </w:rPr>
            </w:r>
          </w:p>
        </w:tc>
      </w:tr>
      <w:tr>
        <w:trPr>
          <w:trHeight w:val="292" w:hRule="exact"/>
        </w:trPr>
        <w:tc>
          <w:tcPr>
            <w:tcW w:w="3614" w:type="dxa"/>
            <w:tcBorders>
              <w:top w:val="nil" w:sz="6" w:space="0" w:color="auto"/>
              <w:left w:val="nil" w:sz="6" w:space="0" w:color="auto"/>
              <w:bottom w:val="nil" w:sz="6" w:space="0" w:color="auto"/>
              <w:right w:val="nil" w:sz="6" w:space="0" w:color="auto"/>
            </w:tcBorders>
          </w:tcPr>
          <w:p>
            <w:pPr>
              <w:pStyle w:val="TableParagraph"/>
              <w:spacing w:line="234" w:lineRule="exact"/>
              <w:ind w:left="290"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35"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2105" w:type="dxa"/>
            <w:tcBorders>
              <w:top w:val="single" w:sz="4" w:space="0" w:color="000000"/>
              <w:left w:val="nil" w:sz="6" w:space="0" w:color="auto"/>
              <w:bottom w:val="nil" w:sz="6" w:space="0" w:color="auto"/>
              <w:right w:val="nil" w:sz="6" w:space="0" w:color="auto"/>
            </w:tcBorders>
          </w:tcPr>
          <w:p>
            <w:pPr>
              <w:pStyle w:val="TableParagraph"/>
              <w:spacing w:line="229" w:lineRule="exact"/>
              <w:ind w:right="104"/>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901" w:type="dxa"/>
            <w:tcBorders>
              <w:top w:val="single" w:sz="4" w:space="0" w:color="000000"/>
              <w:left w:val="nil" w:sz="6" w:space="0" w:color="auto"/>
              <w:bottom w:val="nil" w:sz="6" w:space="0" w:color="auto"/>
              <w:right w:val="nil" w:sz="6" w:space="0" w:color="auto"/>
            </w:tcBorders>
          </w:tcPr>
          <w:p>
            <w:pPr>
              <w:pStyle w:val="TableParagraph"/>
              <w:spacing w:line="229" w:lineRule="exact"/>
              <w:ind w:right="107"/>
              <w:jc w:val="right"/>
              <w:rPr>
                <w:rFonts w:ascii="宋体" w:hAnsi="宋体" w:cs="宋体" w:eastAsia="宋体" w:hint="default"/>
                <w:sz w:val="18"/>
                <w:szCs w:val="18"/>
              </w:rPr>
            </w:pPr>
            <w:r>
              <w:rPr>
                <w:rFonts w:ascii="宋体"/>
                <w:sz w:val="18"/>
              </w:rPr>
              <w:t>-</w:t>
            </w:r>
          </w:p>
        </w:tc>
      </w:tr>
      <w:tr>
        <w:trPr>
          <w:trHeight w:val="296" w:hRule="exact"/>
        </w:trPr>
        <w:tc>
          <w:tcPr>
            <w:tcW w:w="3614" w:type="dxa"/>
            <w:tcBorders>
              <w:top w:val="nil" w:sz="6" w:space="0" w:color="auto"/>
              <w:left w:val="nil" w:sz="6" w:space="0" w:color="auto"/>
              <w:bottom w:val="nil" w:sz="6" w:space="0" w:color="auto"/>
              <w:right w:val="nil" w:sz="6" w:space="0" w:color="auto"/>
            </w:tcBorders>
          </w:tcPr>
          <w:p>
            <w:pPr>
              <w:pStyle w:val="TableParagraph"/>
              <w:spacing w:line="240" w:lineRule="auto" w:before="2"/>
              <w:ind w:left="470" w:right="0"/>
              <w:jc w:val="left"/>
              <w:rPr>
                <w:rFonts w:ascii="宋体" w:hAnsi="宋体" w:cs="宋体" w:eastAsia="宋体" w:hint="default"/>
                <w:sz w:val="18"/>
                <w:szCs w:val="18"/>
              </w:rPr>
            </w:pPr>
            <w:r>
              <w:rPr>
                <w:rFonts w:ascii="宋体" w:hAnsi="宋体" w:cs="宋体" w:eastAsia="宋体" w:hint="default"/>
                <w:sz w:val="18"/>
                <w:szCs w:val="18"/>
              </w:rPr>
              <w:t>股东权益合计</w:t>
            </w:r>
          </w:p>
        </w:tc>
        <w:tc>
          <w:tcPr>
            <w:tcW w:w="235"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single" w:sz="4" w:space="0" w:color="000000"/>
              <w:right w:val="nil" w:sz="6" w:space="0" w:color="auto"/>
            </w:tcBorders>
          </w:tcPr>
          <w:p>
            <w:pPr>
              <w:pStyle w:val="TableParagraph"/>
              <w:spacing w:line="20" w:lineRule="exact"/>
              <w:ind w:right="-8"/>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1315676" cy="6000"/>
                  <wp:effectExtent l="0" t="0" r="0" b="0"/>
                  <wp:docPr id="17" name="image11.png" descr=""/>
                  <wp:cNvGraphicFramePr>
                    <a:graphicFrameLocks noChangeAspect="1"/>
                  </wp:cNvGraphicFramePr>
                  <a:graphic>
                    <a:graphicData uri="http://schemas.openxmlformats.org/drawingml/2006/picture">
                      <pic:pic>
                        <pic:nvPicPr>
                          <pic:cNvPr id="18" name="image11.png"/>
                          <pic:cNvPicPr/>
                        </pic:nvPicPr>
                        <pic:blipFill>
                          <a:blip r:embed="rId28" cstate="print"/>
                          <a:stretch>
                            <a:fillRect/>
                          </a:stretch>
                        </pic:blipFill>
                        <pic:spPr>
                          <a:xfrm>
                            <a:off x="0" y="0"/>
                            <a:ext cx="1315676" cy="6000"/>
                          </a:xfrm>
                          <a:prstGeom prst="rect">
                            <a:avLst/>
                          </a:prstGeom>
                        </pic:spPr>
                      </pic:pic>
                    </a:graphicData>
                  </a:graphic>
                </wp:inline>
              </w:drawing>
            </w:r>
            <w:r>
              <w:rPr>
                <w:rFonts w:ascii="Times New Roman" w:hAnsi="Times New Roman" w:cs="Times New Roman" w:eastAsia="Times New Roman" w:hint="default"/>
                <w:sz w:val="2"/>
                <w:szCs w:val="2"/>
              </w:rPr>
            </w:r>
          </w:p>
          <w:p>
            <w:pPr>
              <w:pStyle w:val="TableParagraph"/>
              <w:spacing w:line="240" w:lineRule="auto"/>
              <w:ind w:right="107"/>
              <w:jc w:val="right"/>
              <w:rPr>
                <w:rFonts w:ascii="宋体" w:hAnsi="宋体" w:cs="宋体" w:eastAsia="宋体" w:hint="default"/>
                <w:sz w:val="18"/>
                <w:szCs w:val="18"/>
              </w:rPr>
            </w:pPr>
            <w:r>
              <w:rPr>
                <w:rFonts w:ascii="宋体"/>
                <w:spacing w:val="-1"/>
                <w:sz w:val="18"/>
              </w:rPr>
              <w:t>336,243,883.44</w:t>
            </w:r>
            <w:r>
              <w:rPr>
                <w:rFonts w:ascii="宋体"/>
                <w:sz w:val="18"/>
              </w:rPr>
            </w:r>
          </w:p>
        </w:tc>
        <w:tc>
          <w:tcPr>
            <w:tcW w:w="235" w:type="dxa"/>
            <w:tcBorders>
              <w:top w:val="nil" w:sz="6" w:space="0" w:color="auto"/>
              <w:left w:val="nil" w:sz="6" w:space="0" w:color="auto"/>
              <w:bottom w:val="nil" w:sz="6" w:space="0" w:color="auto"/>
              <w:right w:val="nil" w:sz="6" w:space="0" w:color="auto"/>
            </w:tcBorders>
          </w:tcPr>
          <w:p>
            <w:pPr/>
          </w:p>
        </w:tc>
        <w:tc>
          <w:tcPr>
            <w:tcW w:w="1901" w:type="dxa"/>
            <w:tcBorders>
              <w:top w:val="nil" w:sz="6" w:space="0" w:color="auto"/>
              <w:left w:val="nil" w:sz="6" w:space="0" w:color="auto"/>
              <w:bottom w:val="single" w:sz="4" w:space="0" w:color="000000"/>
              <w:right w:val="nil" w:sz="6" w:space="0" w:color="auto"/>
            </w:tcBorders>
          </w:tcPr>
          <w:p>
            <w:pPr>
              <w:pStyle w:val="TableParagraph"/>
              <w:spacing w:line="20" w:lineRule="exact"/>
              <w:ind w:right="-12"/>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1188158" cy="6000"/>
                  <wp:effectExtent l="0" t="0" r="0" b="0"/>
                  <wp:docPr id="19" name="image12.png" descr=""/>
                  <wp:cNvGraphicFramePr>
                    <a:graphicFrameLocks noChangeAspect="1"/>
                  </wp:cNvGraphicFramePr>
                  <a:graphic>
                    <a:graphicData uri="http://schemas.openxmlformats.org/drawingml/2006/picture">
                      <pic:pic>
                        <pic:nvPicPr>
                          <pic:cNvPr id="20" name="image12.png"/>
                          <pic:cNvPicPr/>
                        </pic:nvPicPr>
                        <pic:blipFill>
                          <a:blip r:embed="rId29" cstate="print"/>
                          <a:stretch>
                            <a:fillRect/>
                          </a:stretch>
                        </pic:blipFill>
                        <pic:spPr>
                          <a:xfrm>
                            <a:off x="0" y="0"/>
                            <a:ext cx="1188158" cy="6000"/>
                          </a:xfrm>
                          <a:prstGeom prst="rect">
                            <a:avLst/>
                          </a:prstGeom>
                        </pic:spPr>
                      </pic:pic>
                    </a:graphicData>
                  </a:graphic>
                </wp:inline>
              </w:drawing>
            </w:r>
            <w:r>
              <w:rPr>
                <w:rFonts w:ascii="Times New Roman" w:hAnsi="Times New Roman" w:cs="Times New Roman" w:eastAsia="Times New Roman" w:hint="default"/>
                <w:sz w:val="2"/>
                <w:szCs w:val="2"/>
              </w:rPr>
            </w:r>
          </w:p>
          <w:p>
            <w:pPr>
              <w:pStyle w:val="TableParagraph"/>
              <w:spacing w:line="240" w:lineRule="auto"/>
              <w:ind w:right="108"/>
              <w:jc w:val="right"/>
              <w:rPr>
                <w:rFonts w:ascii="宋体" w:hAnsi="宋体" w:cs="宋体" w:eastAsia="宋体" w:hint="default"/>
                <w:sz w:val="18"/>
                <w:szCs w:val="18"/>
              </w:rPr>
            </w:pPr>
            <w:r>
              <w:rPr>
                <w:rFonts w:ascii="宋体"/>
                <w:spacing w:val="-1"/>
                <w:sz w:val="18"/>
              </w:rPr>
              <w:t>318,999,978.09</w:t>
            </w:r>
            <w:r>
              <w:rPr>
                <w:rFonts w:ascii="宋体"/>
                <w:sz w:val="18"/>
              </w:rPr>
            </w:r>
          </w:p>
        </w:tc>
      </w:tr>
      <w:tr>
        <w:trPr>
          <w:trHeight w:val="310" w:hRule="exact"/>
        </w:trPr>
        <w:tc>
          <w:tcPr>
            <w:tcW w:w="3614" w:type="dxa"/>
            <w:tcBorders>
              <w:top w:val="nil" w:sz="6" w:space="0" w:color="auto"/>
              <w:left w:val="nil" w:sz="6" w:space="0" w:color="auto"/>
              <w:bottom w:val="nil" w:sz="6" w:space="0" w:color="auto"/>
              <w:right w:val="nil" w:sz="6" w:space="0" w:color="auto"/>
            </w:tcBorders>
          </w:tcPr>
          <w:p>
            <w:pPr>
              <w:pStyle w:val="TableParagraph"/>
              <w:spacing w:line="234"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负债和股东权益总计</w:t>
            </w:r>
            <w:r>
              <w:rPr>
                <w:rFonts w:ascii="宋体" w:hAnsi="宋体" w:cs="宋体" w:eastAsia="宋体" w:hint="default"/>
                <w:sz w:val="18"/>
                <w:szCs w:val="18"/>
              </w:rPr>
            </w:r>
          </w:p>
        </w:tc>
        <w:tc>
          <w:tcPr>
            <w:tcW w:w="235"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2105" w:type="dxa"/>
            <w:tcBorders>
              <w:top w:val="single" w:sz="4" w:space="0" w:color="000000"/>
              <w:left w:val="nil" w:sz="6" w:space="0" w:color="auto"/>
              <w:bottom w:val="nil" w:sz="6" w:space="0" w:color="auto"/>
              <w:right w:val="nil" w:sz="6" w:space="0" w:color="auto"/>
            </w:tcBorders>
          </w:tcPr>
          <w:p>
            <w:pPr>
              <w:pStyle w:val="TableParagraph"/>
              <w:spacing w:line="229" w:lineRule="exact"/>
              <w:ind w:right="107"/>
              <w:jc w:val="right"/>
              <w:rPr>
                <w:rFonts w:ascii="宋体" w:hAnsi="宋体" w:cs="宋体" w:eastAsia="宋体" w:hint="default"/>
                <w:sz w:val="18"/>
                <w:szCs w:val="18"/>
              </w:rPr>
            </w:pPr>
            <w:r>
              <w:rPr>
                <w:rFonts w:ascii="宋体"/>
                <w:spacing w:val="-1"/>
                <w:sz w:val="18"/>
              </w:rPr>
              <w:t>354,751,851.30</w:t>
            </w:r>
            <w:r>
              <w:rPr>
                <w:rFonts w:ascii="宋体"/>
                <w:sz w:val="18"/>
              </w:rPr>
            </w:r>
          </w:p>
        </w:tc>
        <w:tc>
          <w:tcPr>
            <w:tcW w:w="235" w:type="dxa"/>
            <w:tcBorders>
              <w:top w:val="nil" w:sz="6" w:space="0" w:color="auto"/>
              <w:left w:val="nil" w:sz="6" w:space="0" w:color="auto"/>
              <w:bottom w:val="nil" w:sz="6" w:space="0" w:color="auto"/>
              <w:right w:val="nil" w:sz="6" w:space="0" w:color="auto"/>
            </w:tcBorders>
          </w:tcPr>
          <w:p>
            <w:pPr/>
          </w:p>
        </w:tc>
        <w:tc>
          <w:tcPr>
            <w:tcW w:w="1901" w:type="dxa"/>
            <w:tcBorders>
              <w:top w:val="single" w:sz="4" w:space="0" w:color="000000"/>
              <w:left w:val="nil" w:sz="6" w:space="0" w:color="auto"/>
              <w:bottom w:val="single" w:sz="17" w:space="0" w:color="000000"/>
              <w:right w:val="nil" w:sz="6" w:space="0" w:color="auto"/>
            </w:tcBorders>
          </w:tcPr>
          <w:p>
            <w:pPr>
              <w:pStyle w:val="TableParagraph"/>
              <w:spacing w:line="229" w:lineRule="exact"/>
              <w:ind w:right="108"/>
              <w:jc w:val="right"/>
              <w:rPr>
                <w:rFonts w:ascii="宋体" w:hAnsi="宋体" w:cs="宋体" w:eastAsia="宋体" w:hint="default"/>
                <w:sz w:val="18"/>
                <w:szCs w:val="18"/>
              </w:rPr>
            </w:pPr>
            <w:r>
              <w:rPr>
                <w:rFonts w:ascii="宋体"/>
                <w:spacing w:val="-1"/>
                <w:sz w:val="18"/>
              </w:rPr>
              <w:t>334,638,275.75</w:t>
            </w:r>
            <w:r>
              <w:rPr>
                <w:rFonts w:ascii="宋体"/>
                <w:sz w:val="18"/>
              </w:rPr>
            </w:r>
          </w:p>
        </w:tc>
      </w:tr>
      <w:tr>
        <w:trPr>
          <w:trHeight w:val="312" w:hRule="exact"/>
        </w:trPr>
        <w:tc>
          <w:tcPr>
            <w:tcW w:w="3614" w:type="dxa"/>
            <w:tcBorders>
              <w:top w:val="nil" w:sz="6" w:space="0" w:color="auto"/>
              <w:left w:val="nil" w:sz="6" w:space="0" w:color="auto"/>
              <w:bottom w:val="single" w:sz="4" w:space="0" w:color="000000"/>
              <w:right w:val="nil" w:sz="6" w:space="0" w:color="auto"/>
            </w:tcBorders>
          </w:tcPr>
          <w:p>
            <w:pPr/>
          </w:p>
        </w:tc>
        <w:tc>
          <w:tcPr>
            <w:tcW w:w="235" w:type="dxa"/>
            <w:tcBorders>
              <w:top w:val="nil" w:sz="6" w:space="0" w:color="auto"/>
              <w:left w:val="nil" w:sz="6" w:space="0" w:color="auto"/>
              <w:bottom w:val="single" w:sz="4" w:space="0" w:color="000000"/>
              <w:right w:val="nil" w:sz="6" w:space="0" w:color="auto"/>
            </w:tcBorders>
          </w:tcPr>
          <w:p>
            <w:pPr/>
          </w:p>
        </w:tc>
        <w:tc>
          <w:tcPr>
            <w:tcW w:w="1205" w:type="dxa"/>
            <w:tcBorders>
              <w:top w:val="nil" w:sz="6" w:space="0" w:color="auto"/>
              <w:left w:val="nil" w:sz="6" w:space="0" w:color="auto"/>
              <w:bottom w:val="single" w:sz="4" w:space="0" w:color="000000"/>
              <w:right w:val="nil" w:sz="6" w:space="0" w:color="auto"/>
            </w:tcBorders>
          </w:tcPr>
          <w:p>
            <w:pPr/>
          </w:p>
        </w:tc>
        <w:tc>
          <w:tcPr>
            <w:tcW w:w="235" w:type="dxa"/>
            <w:tcBorders>
              <w:top w:val="nil" w:sz="6" w:space="0" w:color="auto"/>
              <w:left w:val="nil" w:sz="6" w:space="0" w:color="auto"/>
              <w:bottom w:val="single" w:sz="4" w:space="0" w:color="000000"/>
              <w:right w:val="nil" w:sz="6" w:space="0" w:color="auto"/>
            </w:tcBorders>
          </w:tcPr>
          <w:p>
            <w:pPr/>
          </w:p>
        </w:tc>
        <w:tc>
          <w:tcPr>
            <w:tcW w:w="2105" w:type="dxa"/>
            <w:tcBorders>
              <w:top w:val="nil" w:sz="6" w:space="0" w:color="auto"/>
              <w:left w:val="nil" w:sz="6" w:space="0" w:color="auto"/>
              <w:bottom w:val="single" w:sz="4" w:space="0" w:color="000000"/>
              <w:right w:val="nil" w:sz="6" w:space="0" w:color="auto"/>
            </w:tcBorders>
          </w:tcPr>
          <w:p>
            <w:pPr/>
          </w:p>
        </w:tc>
        <w:tc>
          <w:tcPr>
            <w:tcW w:w="235" w:type="dxa"/>
            <w:tcBorders>
              <w:top w:val="nil" w:sz="6" w:space="0" w:color="auto"/>
              <w:left w:val="nil" w:sz="6" w:space="0" w:color="auto"/>
              <w:bottom w:val="single" w:sz="4" w:space="0" w:color="000000"/>
              <w:right w:val="nil" w:sz="6" w:space="0" w:color="auto"/>
            </w:tcBorders>
          </w:tcPr>
          <w:p>
            <w:pPr/>
          </w:p>
        </w:tc>
        <w:tc>
          <w:tcPr>
            <w:tcW w:w="1901" w:type="dxa"/>
            <w:tcBorders>
              <w:top w:val="single" w:sz="17" w:space="0" w:color="000000"/>
              <w:left w:val="nil" w:sz="6" w:space="0" w:color="auto"/>
              <w:bottom w:val="single" w:sz="4" w:space="0" w:color="000000"/>
              <w:right w:val="nil" w:sz="6" w:space="0" w:color="auto"/>
            </w:tcBorders>
          </w:tcPr>
          <w:p>
            <w:pPr/>
          </w:p>
        </w:tc>
      </w:tr>
      <w:tr>
        <w:trPr>
          <w:trHeight w:val="558" w:hRule="exact"/>
        </w:trPr>
        <w:tc>
          <w:tcPr>
            <w:tcW w:w="9530" w:type="dxa"/>
            <w:gridSpan w:val="7"/>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tabs>
                <w:tab w:pos="3081" w:val="left" w:leader="none"/>
                <w:tab w:pos="7044" w:val="left" w:leader="none"/>
              </w:tabs>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公司负责人：</w:t>
            </w:r>
            <w:r>
              <w:rPr>
                <w:rFonts w:ascii="宋体" w:hAnsi="宋体" w:cs="宋体" w:eastAsia="宋体" w:hint="default"/>
                <w:spacing w:val="1"/>
                <w:sz w:val="18"/>
                <w:szCs w:val="18"/>
              </w:rPr>
              <w:t> </w:t>
            </w:r>
            <w:r>
              <w:rPr>
                <w:rFonts w:ascii="宋体" w:hAnsi="宋体" w:cs="宋体" w:eastAsia="宋体" w:hint="default"/>
                <w:sz w:val="18"/>
                <w:szCs w:val="18"/>
              </w:rPr>
              <w:t>黄元忠</w:t>
              <w:tab/>
              <w:t>主管会计工作负责人：</w:t>
            </w:r>
            <w:r>
              <w:rPr>
                <w:rFonts w:ascii="宋体" w:hAnsi="宋体" w:cs="宋体" w:eastAsia="宋体" w:hint="default"/>
                <w:spacing w:val="89"/>
                <w:sz w:val="18"/>
                <w:szCs w:val="18"/>
              </w:rPr>
              <w:t> </w:t>
            </w:r>
            <w:r>
              <w:rPr>
                <w:rFonts w:ascii="宋体" w:hAnsi="宋体" w:cs="宋体" w:eastAsia="宋体" w:hint="default"/>
                <w:sz w:val="18"/>
                <w:szCs w:val="18"/>
              </w:rPr>
              <w:t>孙晓玲</w:t>
              <w:tab/>
              <w:t>会计机构负责人：全丽</w:t>
            </w:r>
          </w:p>
        </w:tc>
      </w:tr>
      <w:tr>
        <w:trPr>
          <w:trHeight w:val="322" w:hRule="exact"/>
        </w:trPr>
        <w:tc>
          <w:tcPr>
            <w:tcW w:w="9530"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86"/>
              <w:ind w:left="107" w:right="0"/>
              <w:jc w:val="left"/>
              <w:rPr>
                <w:rFonts w:ascii="宋体" w:hAnsi="宋体" w:cs="宋体" w:eastAsia="宋体" w:hint="default"/>
                <w:sz w:val="18"/>
                <w:szCs w:val="18"/>
              </w:rPr>
            </w:pPr>
            <w:r>
              <w:rPr>
                <w:rFonts w:ascii="宋体" w:hAnsi="宋体" w:cs="宋体" w:eastAsia="宋体" w:hint="default"/>
                <w:sz w:val="18"/>
                <w:szCs w:val="18"/>
              </w:rPr>
              <w:t>（所附附注是合并财务报表的组成部分）</w:t>
            </w:r>
          </w:p>
        </w:tc>
      </w:tr>
    </w:tbl>
    <w:p>
      <w:pPr>
        <w:spacing w:after="0" w:line="240" w:lineRule="auto"/>
        <w:jc w:val="left"/>
        <w:rPr>
          <w:rFonts w:ascii="宋体" w:hAnsi="宋体" w:cs="宋体" w:eastAsia="宋体" w:hint="default"/>
          <w:sz w:val="18"/>
          <w:szCs w:val="18"/>
        </w:rPr>
        <w:sectPr>
          <w:pgSz w:w="11910" w:h="16840"/>
          <w:pgMar w:header="880" w:footer="979" w:top="1060" w:bottom="1160" w:left="1080" w:right="1080"/>
        </w:sectPr>
      </w:pPr>
    </w:p>
    <w:p>
      <w:pPr>
        <w:spacing w:line="240" w:lineRule="auto" w:before="2"/>
        <w:rPr>
          <w:rFonts w:ascii="Times New Roman" w:hAnsi="Times New Roman" w:cs="Times New Roman" w:eastAsia="Times New Roman" w:hint="default"/>
          <w:sz w:val="3"/>
          <w:szCs w:val="3"/>
        </w:rPr>
      </w:pPr>
      <w:r>
        <w:rPr/>
        <w:pict>
          <v:group style="position:absolute;margin-left:440.279999pt;margin-top:452.040009pt;width:96.5pt;height:.5pt;mso-position-horizontal-relative:page;mso-position-vertical-relative:page;z-index:-1160008" coordorigin="8806,9041" coordsize="1930,10">
            <v:shape style="position:absolute;left:8806;top:9041;width:1920;height:10" type="#_x0000_t75" stroked="false">
              <v:imagedata r:id="rId32" o:title=""/>
            </v:shape>
            <v:shape style="position:absolute;left:10721;top:9041;width:14;height:10" type="#_x0000_t75" stroked="false">
              <v:imagedata r:id="rId33" o:title=""/>
            </v:shape>
            <w10:wrap type="none"/>
          </v:group>
        </w:pict>
      </w:r>
    </w:p>
    <w:tbl>
      <w:tblPr>
        <w:tblW w:w="0" w:type="auto"/>
        <w:jc w:val="left"/>
        <w:tblInd w:w="116" w:type="dxa"/>
        <w:tblLayout w:type="fixed"/>
        <w:tblCellMar>
          <w:top w:w="0" w:type="dxa"/>
          <w:left w:w="0" w:type="dxa"/>
          <w:bottom w:w="0" w:type="dxa"/>
          <w:right w:w="0" w:type="dxa"/>
        </w:tblCellMar>
        <w:tblLook w:val="01E0"/>
      </w:tblPr>
      <w:tblGrid>
        <w:gridCol w:w="4178"/>
        <w:gridCol w:w="1200"/>
        <w:gridCol w:w="235"/>
        <w:gridCol w:w="1781"/>
        <w:gridCol w:w="235"/>
        <w:gridCol w:w="1925"/>
      </w:tblGrid>
      <w:tr>
        <w:trPr>
          <w:trHeight w:val="824" w:hRule="exact"/>
        </w:trPr>
        <w:tc>
          <w:tcPr>
            <w:tcW w:w="9554"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7"/>
                <w:szCs w:val="27"/>
              </w:rPr>
            </w:pPr>
          </w:p>
          <w:p>
            <w:pPr>
              <w:pStyle w:val="TableParagraph"/>
              <w:spacing w:line="240" w:lineRule="auto"/>
              <w:ind w:left="2697" w:right="0"/>
              <w:jc w:val="left"/>
              <w:rPr>
                <w:rFonts w:ascii="黑体" w:hAnsi="黑体" w:cs="黑体" w:eastAsia="黑体" w:hint="default"/>
                <w:sz w:val="32"/>
                <w:szCs w:val="32"/>
              </w:rPr>
            </w:pPr>
            <w:r>
              <w:rPr>
                <w:rFonts w:ascii="黑体" w:hAnsi="黑体" w:cs="黑体" w:eastAsia="黑体" w:hint="default"/>
                <w:sz w:val="32"/>
                <w:szCs w:val="32"/>
              </w:rPr>
              <w:t>深圳市方直科技股份有限公司</w:t>
            </w:r>
          </w:p>
        </w:tc>
      </w:tr>
      <w:tr>
        <w:trPr>
          <w:trHeight w:val="519" w:hRule="exact"/>
        </w:trPr>
        <w:tc>
          <w:tcPr>
            <w:tcW w:w="9554" w:type="dxa"/>
            <w:gridSpan w:val="6"/>
            <w:tcBorders>
              <w:top w:val="nil" w:sz="6" w:space="0" w:color="auto"/>
              <w:left w:val="nil" w:sz="6" w:space="0" w:color="auto"/>
              <w:bottom w:val="nil" w:sz="6" w:space="0" w:color="auto"/>
              <w:right w:val="nil" w:sz="6" w:space="0" w:color="auto"/>
            </w:tcBorders>
          </w:tcPr>
          <w:p>
            <w:pPr>
              <w:pStyle w:val="TableParagraph"/>
              <w:spacing w:line="409" w:lineRule="exact"/>
              <w:ind w:right="0"/>
              <w:jc w:val="center"/>
              <w:rPr>
                <w:rFonts w:ascii="黑体" w:hAnsi="黑体" w:cs="黑体" w:eastAsia="黑体" w:hint="default"/>
                <w:sz w:val="32"/>
                <w:szCs w:val="32"/>
              </w:rPr>
            </w:pPr>
            <w:r>
              <w:rPr>
                <w:rFonts w:ascii="黑体" w:hAnsi="黑体" w:cs="黑体" w:eastAsia="黑体" w:hint="default"/>
                <w:sz w:val="32"/>
                <w:szCs w:val="32"/>
              </w:rPr>
              <w:t>合并利润表</w:t>
            </w:r>
          </w:p>
        </w:tc>
      </w:tr>
      <w:tr>
        <w:trPr>
          <w:trHeight w:val="460" w:hRule="exact"/>
        </w:trPr>
        <w:tc>
          <w:tcPr>
            <w:tcW w:w="4178"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42"/>
              <w:ind w:left="129" w:right="0"/>
              <w:jc w:val="left"/>
              <w:rPr>
                <w:rFonts w:ascii="宋体" w:hAnsi="宋体" w:cs="宋体" w:eastAsia="宋体" w:hint="default"/>
                <w:sz w:val="22"/>
                <w:szCs w:val="22"/>
              </w:rPr>
            </w:pPr>
            <w:r>
              <w:rPr>
                <w:rFonts w:ascii="宋体" w:hAnsi="宋体" w:cs="宋体" w:eastAsia="宋体" w:hint="default"/>
                <w:sz w:val="22"/>
                <w:szCs w:val="22"/>
              </w:rPr>
              <w:t>2014</w:t>
            </w:r>
            <w:r>
              <w:rPr>
                <w:rFonts w:ascii="宋体" w:hAnsi="宋体" w:cs="宋体" w:eastAsia="宋体" w:hint="default"/>
                <w:spacing w:val="-52"/>
                <w:sz w:val="22"/>
                <w:szCs w:val="22"/>
              </w:rPr>
              <w:t> </w:t>
            </w:r>
            <w:r>
              <w:rPr>
                <w:rFonts w:ascii="宋体" w:hAnsi="宋体" w:cs="宋体" w:eastAsia="宋体" w:hint="default"/>
                <w:sz w:val="22"/>
                <w:szCs w:val="22"/>
              </w:rPr>
              <w:t>年度</w:t>
            </w:r>
          </w:p>
        </w:tc>
        <w:tc>
          <w:tcPr>
            <w:tcW w:w="235" w:type="dxa"/>
            <w:tcBorders>
              <w:top w:val="nil" w:sz="6" w:space="0" w:color="auto"/>
              <w:left w:val="nil" w:sz="6" w:space="0" w:color="auto"/>
              <w:bottom w:val="nil" w:sz="6" w:space="0" w:color="auto"/>
              <w:right w:val="nil" w:sz="6" w:space="0" w:color="auto"/>
            </w:tcBorders>
          </w:tcPr>
          <w:p>
            <w:pPr/>
          </w:p>
        </w:tc>
        <w:tc>
          <w:tcPr>
            <w:tcW w:w="1781"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nil" w:sz="6" w:space="0" w:color="auto"/>
              <w:right w:val="nil" w:sz="6" w:space="0" w:color="auto"/>
            </w:tcBorders>
          </w:tcPr>
          <w:p>
            <w:pPr/>
          </w:p>
        </w:tc>
      </w:tr>
      <w:tr>
        <w:trPr>
          <w:trHeight w:val="681" w:hRule="exact"/>
        </w:trPr>
        <w:tc>
          <w:tcPr>
            <w:tcW w:w="4178"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781"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3"/>
              <w:jc w:val="right"/>
              <w:rPr>
                <w:rFonts w:ascii="宋体" w:hAnsi="宋体" w:cs="宋体" w:eastAsia="宋体" w:hint="default"/>
                <w:sz w:val="22"/>
                <w:szCs w:val="22"/>
              </w:rPr>
            </w:pPr>
            <w:r>
              <w:rPr>
                <w:rFonts w:ascii="宋体" w:hAnsi="宋体" w:cs="宋体" w:eastAsia="宋体" w:hint="default"/>
                <w:spacing w:val="-1"/>
                <w:sz w:val="22"/>
                <w:szCs w:val="22"/>
              </w:rPr>
              <w:t>单位：人民币元</w:t>
            </w:r>
          </w:p>
        </w:tc>
      </w:tr>
      <w:tr>
        <w:trPr>
          <w:trHeight w:val="569" w:hRule="exact"/>
        </w:trPr>
        <w:tc>
          <w:tcPr>
            <w:tcW w:w="4178"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right="562"/>
              <w:jc w:val="center"/>
              <w:rPr>
                <w:rFonts w:ascii="宋体" w:hAnsi="宋体" w:cs="宋体" w:eastAsia="宋体" w:hint="default"/>
                <w:sz w:val="18"/>
                <w:szCs w:val="18"/>
              </w:rPr>
            </w:pPr>
            <w:r>
              <w:rPr>
                <w:rFonts w:ascii="宋体" w:hAnsi="宋体" w:cs="宋体" w:eastAsia="宋体" w:hint="default"/>
                <w:sz w:val="18"/>
                <w:szCs w:val="18"/>
              </w:rPr>
              <w:t>项目</w:t>
            </w:r>
          </w:p>
        </w:tc>
        <w:tc>
          <w:tcPr>
            <w:tcW w:w="1200"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z w:val="18"/>
                <w:szCs w:val="18"/>
              </w:rPr>
              <w:t>附注</w:t>
            </w:r>
          </w:p>
        </w:tc>
        <w:tc>
          <w:tcPr>
            <w:tcW w:w="235" w:type="dxa"/>
            <w:tcBorders>
              <w:top w:val="nil" w:sz="6" w:space="0" w:color="auto"/>
              <w:left w:val="nil" w:sz="6" w:space="0" w:color="auto"/>
              <w:bottom w:val="nil" w:sz="6" w:space="0" w:color="auto"/>
              <w:right w:val="nil" w:sz="6" w:space="0" w:color="auto"/>
            </w:tcBorders>
          </w:tcPr>
          <w:p>
            <w:pPr/>
          </w:p>
        </w:tc>
        <w:tc>
          <w:tcPr>
            <w:tcW w:w="1781"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35"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88" w:right="0"/>
              <w:jc w:val="center"/>
              <w:rPr>
                <w:rFonts w:ascii="宋体" w:hAnsi="宋体" w:cs="宋体" w:eastAsia="宋体" w:hint="default"/>
                <w:sz w:val="18"/>
                <w:szCs w:val="18"/>
              </w:rPr>
            </w:pPr>
            <w:r>
              <w:rPr>
                <w:rFonts w:ascii="宋体" w:hAnsi="宋体" w:cs="宋体" w:eastAsia="宋体" w:hint="default"/>
                <w:sz w:val="18"/>
                <w:szCs w:val="18"/>
              </w:rPr>
              <w:t>上期数</w:t>
            </w:r>
          </w:p>
        </w:tc>
      </w:tr>
      <w:tr>
        <w:trPr>
          <w:trHeight w:val="579" w:hRule="exact"/>
        </w:trPr>
        <w:tc>
          <w:tcPr>
            <w:tcW w:w="4178"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181.2pt;height:.5pt;mso-position-horizontal-relative:char;mso-position-vertical-relative:line" coordorigin="0,0" coordsize="3624,10">
                  <v:group style="position:absolute;left:5;top:5;width:3615;height:2" coordorigin="5,5" coordsize="3615,2">
                    <v:shape style="position:absolute;left:5;top:5;width:3615;height:2" coordorigin="5,5" coordsize="3615,0" path="m5,5l3619,5e" filled="false" stroked="true" strokeweight=".481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b/>
                <w:bCs/>
                <w:sz w:val="18"/>
                <w:szCs w:val="18"/>
              </w:rPr>
              <w:t>一、营业收入</w:t>
            </w:r>
            <w:r>
              <w:rPr>
                <w:rFonts w:ascii="宋体" w:hAnsi="宋体" w:cs="宋体" w:eastAsia="宋体" w:hint="default"/>
                <w:sz w:val="18"/>
                <w:szCs w:val="18"/>
              </w:rPr>
            </w:r>
          </w:p>
        </w:tc>
        <w:tc>
          <w:tcPr>
            <w:tcW w:w="1200"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110"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注释</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27</w:t>
            </w:r>
          </w:p>
        </w:tc>
        <w:tc>
          <w:tcPr>
            <w:tcW w:w="235" w:type="dxa"/>
            <w:tcBorders>
              <w:top w:val="nil" w:sz="6" w:space="0" w:color="auto"/>
              <w:left w:val="nil" w:sz="6" w:space="0" w:color="auto"/>
              <w:bottom w:val="nil" w:sz="6" w:space="0" w:color="auto"/>
              <w:right w:val="nil" w:sz="6" w:space="0" w:color="auto"/>
            </w:tcBorders>
          </w:tcPr>
          <w:p>
            <w:pPr/>
          </w:p>
        </w:tc>
        <w:tc>
          <w:tcPr>
            <w:tcW w:w="1781"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82,827,812.22</w:t>
            </w:r>
            <w:r>
              <w:rPr>
                <w:rFonts w:ascii="宋体"/>
                <w:sz w:val="18"/>
              </w:rPr>
            </w:r>
          </w:p>
        </w:tc>
        <w:tc>
          <w:tcPr>
            <w:tcW w:w="235" w:type="dxa"/>
            <w:tcBorders>
              <w:top w:val="nil" w:sz="6" w:space="0" w:color="auto"/>
              <w:left w:val="nil" w:sz="6" w:space="0" w:color="auto"/>
              <w:bottom w:val="nil" w:sz="6" w:space="0" w:color="auto"/>
              <w:right w:val="nil" w:sz="6" w:space="0" w:color="auto"/>
            </w:tcBorders>
          </w:tcPr>
          <w:p>
            <w:pPr/>
          </w:p>
        </w:tc>
        <w:tc>
          <w:tcPr>
            <w:tcW w:w="1925"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75,089,058.91</w:t>
            </w:r>
            <w:r>
              <w:rPr>
                <w:rFonts w:ascii="宋体"/>
                <w:sz w:val="18"/>
              </w:rPr>
            </w:r>
          </w:p>
        </w:tc>
      </w:tr>
      <w:tr>
        <w:trPr>
          <w:trHeight w:val="283" w:hRule="exact"/>
        </w:trPr>
        <w:tc>
          <w:tcPr>
            <w:tcW w:w="4178" w:type="dxa"/>
            <w:tcBorders>
              <w:top w:val="nil" w:sz="6" w:space="0" w:color="auto"/>
              <w:left w:val="nil" w:sz="6" w:space="0" w:color="auto"/>
              <w:bottom w:val="nil" w:sz="6" w:space="0" w:color="auto"/>
              <w:right w:val="nil" w:sz="6" w:space="0" w:color="auto"/>
            </w:tcBorders>
          </w:tcPr>
          <w:p>
            <w:pPr>
              <w:pStyle w:val="TableParagraph"/>
              <w:spacing w:line="223" w:lineRule="exact"/>
              <w:ind w:left="290"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1200" w:type="dxa"/>
            <w:tcBorders>
              <w:top w:val="nil" w:sz="6" w:space="0" w:color="auto"/>
              <w:left w:val="nil" w:sz="6" w:space="0" w:color="auto"/>
              <w:bottom w:val="nil" w:sz="6" w:space="0" w:color="auto"/>
              <w:right w:val="nil" w:sz="6" w:space="0" w:color="auto"/>
            </w:tcBorders>
          </w:tcPr>
          <w:p>
            <w:pPr>
              <w:pStyle w:val="TableParagraph"/>
              <w:spacing w:line="251" w:lineRule="exact"/>
              <w:ind w:left="110"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注释</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27</w:t>
            </w:r>
          </w:p>
        </w:tc>
        <w:tc>
          <w:tcPr>
            <w:tcW w:w="235" w:type="dxa"/>
            <w:tcBorders>
              <w:top w:val="nil" w:sz="6" w:space="0" w:color="auto"/>
              <w:left w:val="nil" w:sz="6" w:space="0" w:color="auto"/>
              <w:bottom w:val="nil" w:sz="6" w:space="0" w:color="auto"/>
              <w:right w:val="nil" w:sz="6" w:space="0" w:color="auto"/>
            </w:tcBorders>
          </w:tcPr>
          <w:p>
            <w:pPr/>
          </w:p>
        </w:tc>
        <w:tc>
          <w:tcPr>
            <w:tcW w:w="1781" w:type="dxa"/>
            <w:tcBorders>
              <w:top w:val="nil" w:sz="6" w:space="0" w:color="auto"/>
              <w:left w:val="nil" w:sz="6" w:space="0" w:color="auto"/>
              <w:bottom w:val="nil" w:sz="6" w:space="0" w:color="auto"/>
              <w:right w:val="nil" w:sz="6" w:space="0" w:color="auto"/>
            </w:tcBorders>
          </w:tcPr>
          <w:p>
            <w:pPr>
              <w:pStyle w:val="TableParagraph"/>
              <w:spacing w:line="223" w:lineRule="exact"/>
              <w:ind w:right="103"/>
              <w:jc w:val="right"/>
              <w:rPr>
                <w:rFonts w:ascii="宋体" w:hAnsi="宋体" w:cs="宋体" w:eastAsia="宋体" w:hint="default"/>
                <w:sz w:val="18"/>
                <w:szCs w:val="18"/>
              </w:rPr>
            </w:pPr>
            <w:r>
              <w:rPr>
                <w:rFonts w:ascii="宋体"/>
                <w:spacing w:val="-1"/>
                <w:sz w:val="18"/>
              </w:rPr>
              <w:t>21,566,659.94</w:t>
            </w:r>
            <w:r>
              <w:rPr>
                <w:rFonts w:ascii="宋体"/>
                <w:sz w:val="18"/>
              </w:rPr>
            </w:r>
          </w:p>
        </w:tc>
        <w:tc>
          <w:tcPr>
            <w:tcW w:w="235"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nil" w:sz="6" w:space="0" w:color="auto"/>
              <w:right w:val="nil" w:sz="6" w:space="0" w:color="auto"/>
            </w:tcBorders>
          </w:tcPr>
          <w:p>
            <w:pPr>
              <w:pStyle w:val="TableParagraph"/>
              <w:spacing w:line="223" w:lineRule="exact"/>
              <w:ind w:right="103"/>
              <w:jc w:val="right"/>
              <w:rPr>
                <w:rFonts w:ascii="宋体" w:hAnsi="宋体" w:cs="宋体" w:eastAsia="宋体" w:hint="default"/>
                <w:sz w:val="18"/>
                <w:szCs w:val="18"/>
              </w:rPr>
            </w:pPr>
            <w:r>
              <w:rPr>
                <w:rFonts w:ascii="宋体"/>
                <w:spacing w:val="-1"/>
                <w:sz w:val="18"/>
              </w:rPr>
              <w:t>21,047,545.62</w:t>
            </w:r>
            <w:r>
              <w:rPr>
                <w:rFonts w:ascii="宋体"/>
                <w:sz w:val="18"/>
              </w:rPr>
            </w:r>
          </w:p>
        </w:tc>
      </w:tr>
      <w:tr>
        <w:trPr>
          <w:trHeight w:val="284" w:hRule="exact"/>
        </w:trPr>
        <w:tc>
          <w:tcPr>
            <w:tcW w:w="4178" w:type="dxa"/>
            <w:tcBorders>
              <w:top w:val="nil" w:sz="6" w:space="0" w:color="auto"/>
              <w:left w:val="nil" w:sz="6" w:space="0" w:color="auto"/>
              <w:bottom w:val="nil" w:sz="6" w:space="0" w:color="auto"/>
              <w:right w:val="nil" w:sz="6" w:space="0" w:color="auto"/>
            </w:tcBorders>
          </w:tcPr>
          <w:p>
            <w:pPr>
              <w:pStyle w:val="TableParagraph"/>
              <w:spacing w:line="226" w:lineRule="exact"/>
              <w:ind w:left="650"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200" w:type="dxa"/>
            <w:tcBorders>
              <w:top w:val="nil" w:sz="6" w:space="0" w:color="auto"/>
              <w:left w:val="nil" w:sz="6" w:space="0" w:color="auto"/>
              <w:bottom w:val="nil" w:sz="6" w:space="0" w:color="auto"/>
              <w:right w:val="nil" w:sz="6" w:space="0" w:color="auto"/>
            </w:tcBorders>
          </w:tcPr>
          <w:p>
            <w:pPr>
              <w:pStyle w:val="TableParagraph"/>
              <w:spacing w:line="251" w:lineRule="exact"/>
              <w:ind w:left="110"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注释</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28</w:t>
            </w:r>
          </w:p>
        </w:tc>
        <w:tc>
          <w:tcPr>
            <w:tcW w:w="235" w:type="dxa"/>
            <w:tcBorders>
              <w:top w:val="nil" w:sz="6" w:space="0" w:color="auto"/>
              <w:left w:val="nil" w:sz="6" w:space="0" w:color="auto"/>
              <w:bottom w:val="nil" w:sz="6" w:space="0" w:color="auto"/>
              <w:right w:val="nil" w:sz="6" w:space="0" w:color="auto"/>
            </w:tcBorders>
          </w:tcPr>
          <w:p>
            <w:pPr/>
          </w:p>
        </w:tc>
        <w:tc>
          <w:tcPr>
            <w:tcW w:w="1781" w:type="dxa"/>
            <w:tcBorders>
              <w:top w:val="nil" w:sz="6" w:space="0" w:color="auto"/>
              <w:left w:val="nil" w:sz="6" w:space="0" w:color="auto"/>
              <w:bottom w:val="nil" w:sz="6" w:space="0" w:color="auto"/>
              <w:right w:val="nil" w:sz="6" w:space="0" w:color="auto"/>
            </w:tcBorders>
          </w:tcPr>
          <w:p>
            <w:pPr>
              <w:pStyle w:val="TableParagraph"/>
              <w:spacing w:line="226" w:lineRule="exact"/>
              <w:ind w:right="105"/>
              <w:jc w:val="right"/>
              <w:rPr>
                <w:rFonts w:ascii="宋体" w:hAnsi="宋体" w:cs="宋体" w:eastAsia="宋体" w:hint="default"/>
                <w:sz w:val="18"/>
                <w:szCs w:val="18"/>
              </w:rPr>
            </w:pPr>
            <w:r>
              <w:rPr>
                <w:rFonts w:ascii="宋体"/>
                <w:spacing w:val="-1"/>
                <w:sz w:val="18"/>
              </w:rPr>
              <w:t>907,888.48</w:t>
            </w:r>
            <w:r>
              <w:rPr>
                <w:rFonts w:ascii="宋体"/>
                <w:sz w:val="18"/>
              </w:rPr>
            </w:r>
          </w:p>
        </w:tc>
        <w:tc>
          <w:tcPr>
            <w:tcW w:w="235"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nil" w:sz="6" w:space="0" w:color="auto"/>
              <w:right w:val="nil" w:sz="6" w:space="0" w:color="auto"/>
            </w:tcBorders>
          </w:tcPr>
          <w:p>
            <w:pPr>
              <w:pStyle w:val="TableParagraph"/>
              <w:spacing w:line="226" w:lineRule="exact"/>
              <w:ind w:right="104"/>
              <w:jc w:val="right"/>
              <w:rPr>
                <w:rFonts w:ascii="宋体" w:hAnsi="宋体" w:cs="宋体" w:eastAsia="宋体" w:hint="default"/>
                <w:sz w:val="18"/>
                <w:szCs w:val="18"/>
              </w:rPr>
            </w:pPr>
            <w:r>
              <w:rPr>
                <w:rFonts w:ascii="宋体"/>
                <w:spacing w:val="-1"/>
                <w:sz w:val="18"/>
              </w:rPr>
              <w:t>743,066.33</w:t>
            </w:r>
          </w:p>
        </w:tc>
      </w:tr>
      <w:tr>
        <w:trPr>
          <w:trHeight w:val="284" w:hRule="exact"/>
        </w:trPr>
        <w:tc>
          <w:tcPr>
            <w:tcW w:w="4178" w:type="dxa"/>
            <w:tcBorders>
              <w:top w:val="nil" w:sz="6" w:space="0" w:color="auto"/>
              <w:left w:val="nil" w:sz="6" w:space="0" w:color="auto"/>
              <w:bottom w:val="nil" w:sz="6" w:space="0" w:color="auto"/>
              <w:right w:val="nil" w:sz="6" w:space="0" w:color="auto"/>
            </w:tcBorders>
          </w:tcPr>
          <w:p>
            <w:pPr>
              <w:pStyle w:val="TableParagraph"/>
              <w:spacing w:line="225" w:lineRule="exact"/>
              <w:ind w:left="650"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200" w:type="dxa"/>
            <w:tcBorders>
              <w:top w:val="nil" w:sz="6" w:space="0" w:color="auto"/>
              <w:left w:val="nil" w:sz="6" w:space="0" w:color="auto"/>
              <w:bottom w:val="nil" w:sz="6" w:space="0" w:color="auto"/>
              <w:right w:val="nil" w:sz="6" w:space="0" w:color="auto"/>
            </w:tcBorders>
          </w:tcPr>
          <w:p>
            <w:pPr>
              <w:pStyle w:val="TableParagraph"/>
              <w:spacing w:line="252" w:lineRule="exact"/>
              <w:ind w:left="110"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注释</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29</w:t>
            </w:r>
          </w:p>
        </w:tc>
        <w:tc>
          <w:tcPr>
            <w:tcW w:w="235" w:type="dxa"/>
            <w:tcBorders>
              <w:top w:val="nil" w:sz="6" w:space="0" w:color="auto"/>
              <w:left w:val="nil" w:sz="6" w:space="0" w:color="auto"/>
              <w:bottom w:val="nil" w:sz="6" w:space="0" w:color="auto"/>
              <w:right w:val="nil" w:sz="6" w:space="0" w:color="auto"/>
            </w:tcBorders>
          </w:tcPr>
          <w:p>
            <w:pPr/>
          </w:p>
        </w:tc>
        <w:tc>
          <w:tcPr>
            <w:tcW w:w="1781" w:type="dxa"/>
            <w:tcBorders>
              <w:top w:val="nil" w:sz="6" w:space="0" w:color="auto"/>
              <w:left w:val="nil" w:sz="6" w:space="0" w:color="auto"/>
              <w:bottom w:val="nil" w:sz="6" w:space="0" w:color="auto"/>
              <w:right w:val="nil" w:sz="6" w:space="0" w:color="auto"/>
            </w:tcBorders>
          </w:tcPr>
          <w:p>
            <w:pPr>
              <w:pStyle w:val="TableParagraph"/>
              <w:spacing w:line="225" w:lineRule="exact"/>
              <w:ind w:right="103"/>
              <w:jc w:val="right"/>
              <w:rPr>
                <w:rFonts w:ascii="宋体" w:hAnsi="宋体" w:cs="宋体" w:eastAsia="宋体" w:hint="default"/>
                <w:sz w:val="18"/>
                <w:szCs w:val="18"/>
              </w:rPr>
            </w:pPr>
            <w:r>
              <w:rPr>
                <w:rFonts w:ascii="宋体"/>
                <w:spacing w:val="-1"/>
                <w:sz w:val="18"/>
              </w:rPr>
              <w:t>19,842,376.58</w:t>
            </w:r>
            <w:r>
              <w:rPr>
                <w:rFonts w:ascii="宋体"/>
                <w:sz w:val="18"/>
              </w:rPr>
            </w:r>
          </w:p>
        </w:tc>
        <w:tc>
          <w:tcPr>
            <w:tcW w:w="235"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nil" w:sz="6" w:space="0" w:color="auto"/>
              <w:right w:val="nil" w:sz="6" w:space="0" w:color="auto"/>
            </w:tcBorders>
          </w:tcPr>
          <w:p>
            <w:pPr>
              <w:pStyle w:val="TableParagraph"/>
              <w:spacing w:line="225" w:lineRule="exact"/>
              <w:ind w:right="104"/>
              <w:jc w:val="right"/>
              <w:rPr>
                <w:rFonts w:ascii="宋体" w:hAnsi="宋体" w:cs="宋体" w:eastAsia="宋体" w:hint="default"/>
                <w:sz w:val="18"/>
                <w:szCs w:val="18"/>
              </w:rPr>
            </w:pPr>
            <w:r>
              <w:rPr>
                <w:rFonts w:ascii="宋体"/>
                <w:spacing w:val="-1"/>
                <w:sz w:val="18"/>
              </w:rPr>
              <w:t>15,715,741.04</w:t>
            </w:r>
          </w:p>
        </w:tc>
      </w:tr>
      <w:tr>
        <w:trPr>
          <w:trHeight w:val="283" w:hRule="exact"/>
        </w:trPr>
        <w:tc>
          <w:tcPr>
            <w:tcW w:w="4178" w:type="dxa"/>
            <w:tcBorders>
              <w:top w:val="nil" w:sz="6" w:space="0" w:color="auto"/>
              <w:left w:val="nil" w:sz="6" w:space="0" w:color="auto"/>
              <w:bottom w:val="nil" w:sz="6" w:space="0" w:color="auto"/>
              <w:right w:val="nil" w:sz="6" w:space="0" w:color="auto"/>
            </w:tcBorders>
          </w:tcPr>
          <w:p>
            <w:pPr>
              <w:pStyle w:val="TableParagraph"/>
              <w:spacing w:line="223" w:lineRule="exact"/>
              <w:ind w:left="650"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200" w:type="dxa"/>
            <w:tcBorders>
              <w:top w:val="nil" w:sz="6" w:space="0" w:color="auto"/>
              <w:left w:val="nil" w:sz="6" w:space="0" w:color="auto"/>
              <w:bottom w:val="nil" w:sz="6" w:space="0" w:color="auto"/>
              <w:right w:val="nil" w:sz="6" w:space="0" w:color="auto"/>
            </w:tcBorders>
          </w:tcPr>
          <w:p>
            <w:pPr>
              <w:pStyle w:val="TableParagraph"/>
              <w:spacing w:line="251" w:lineRule="exact"/>
              <w:ind w:left="110"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注释</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30</w:t>
            </w:r>
          </w:p>
        </w:tc>
        <w:tc>
          <w:tcPr>
            <w:tcW w:w="235" w:type="dxa"/>
            <w:tcBorders>
              <w:top w:val="nil" w:sz="6" w:space="0" w:color="auto"/>
              <w:left w:val="nil" w:sz="6" w:space="0" w:color="auto"/>
              <w:bottom w:val="nil" w:sz="6" w:space="0" w:color="auto"/>
              <w:right w:val="nil" w:sz="6" w:space="0" w:color="auto"/>
            </w:tcBorders>
          </w:tcPr>
          <w:p>
            <w:pPr/>
          </w:p>
        </w:tc>
        <w:tc>
          <w:tcPr>
            <w:tcW w:w="1781" w:type="dxa"/>
            <w:tcBorders>
              <w:top w:val="nil" w:sz="6" w:space="0" w:color="auto"/>
              <w:left w:val="nil" w:sz="6" w:space="0" w:color="auto"/>
              <w:bottom w:val="nil" w:sz="6" w:space="0" w:color="auto"/>
              <w:right w:val="nil" w:sz="6" w:space="0" w:color="auto"/>
            </w:tcBorders>
          </w:tcPr>
          <w:p>
            <w:pPr>
              <w:pStyle w:val="TableParagraph"/>
              <w:spacing w:line="223" w:lineRule="exact"/>
              <w:ind w:right="103"/>
              <w:jc w:val="right"/>
              <w:rPr>
                <w:rFonts w:ascii="宋体" w:hAnsi="宋体" w:cs="宋体" w:eastAsia="宋体" w:hint="default"/>
                <w:sz w:val="18"/>
                <w:szCs w:val="18"/>
              </w:rPr>
            </w:pPr>
            <w:r>
              <w:rPr>
                <w:rFonts w:ascii="宋体"/>
                <w:spacing w:val="-1"/>
                <w:sz w:val="18"/>
              </w:rPr>
              <w:t>27,454,266.93</w:t>
            </w:r>
            <w:r>
              <w:rPr>
                <w:rFonts w:ascii="宋体"/>
                <w:sz w:val="18"/>
              </w:rPr>
            </w:r>
          </w:p>
        </w:tc>
        <w:tc>
          <w:tcPr>
            <w:tcW w:w="235"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nil" w:sz="6" w:space="0" w:color="auto"/>
              <w:right w:val="nil" w:sz="6" w:space="0" w:color="auto"/>
            </w:tcBorders>
          </w:tcPr>
          <w:p>
            <w:pPr>
              <w:pStyle w:val="TableParagraph"/>
              <w:spacing w:line="223" w:lineRule="exact"/>
              <w:ind w:right="103"/>
              <w:jc w:val="right"/>
              <w:rPr>
                <w:rFonts w:ascii="宋体" w:hAnsi="宋体" w:cs="宋体" w:eastAsia="宋体" w:hint="default"/>
                <w:sz w:val="18"/>
                <w:szCs w:val="18"/>
              </w:rPr>
            </w:pPr>
            <w:r>
              <w:rPr>
                <w:rFonts w:ascii="宋体"/>
                <w:spacing w:val="-1"/>
                <w:sz w:val="18"/>
              </w:rPr>
              <w:t>25,840,517.20</w:t>
            </w:r>
            <w:r>
              <w:rPr>
                <w:rFonts w:ascii="宋体"/>
                <w:sz w:val="18"/>
              </w:rPr>
            </w:r>
          </w:p>
        </w:tc>
      </w:tr>
      <w:tr>
        <w:trPr>
          <w:trHeight w:val="284" w:hRule="exact"/>
        </w:trPr>
        <w:tc>
          <w:tcPr>
            <w:tcW w:w="4178" w:type="dxa"/>
            <w:tcBorders>
              <w:top w:val="nil" w:sz="6" w:space="0" w:color="auto"/>
              <w:left w:val="nil" w:sz="6" w:space="0" w:color="auto"/>
              <w:bottom w:val="nil" w:sz="6" w:space="0" w:color="auto"/>
              <w:right w:val="nil" w:sz="6" w:space="0" w:color="auto"/>
            </w:tcBorders>
          </w:tcPr>
          <w:p>
            <w:pPr>
              <w:pStyle w:val="TableParagraph"/>
              <w:spacing w:line="226" w:lineRule="exact"/>
              <w:ind w:left="650"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200" w:type="dxa"/>
            <w:tcBorders>
              <w:top w:val="nil" w:sz="6" w:space="0" w:color="auto"/>
              <w:left w:val="nil" w:sz="6" w:space="0" w:color="auto"/>
              <w:bottom w:val="nil" w:sz="6" w:space="0" w:color="auto"/>
              <w:right w:val="nil" w:sz="6" w:space="0" w:color="auto"/>
            </w:tcBorders>
          </w:tcPr>
          <w:p>
            <w:pPr>
              <w:pStyle w:val="TableParagraph"/>
              <w:spacing w:line="251" w:lineRule="exact"/>
              <w:ind w:left="110"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注释</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31</w:t>
            </w:r>
          </w:p>
        </w:tc>
        <w:tc>
          <w:tcPr>
            <w:tcW w:w="235" w:type="dxa"/>
            <w:tcBorders>
              <w:top w:val="nil" w:sz="6" w:space="0" w:color="auto"/>
              <w:left w:val="nil" w:sz="6" w:space="0" w:color="auto"/>
              <w:bottom w:val="nil" w:sz="6" w:space="0" w:color="auto"/>
              <w:right w:val="nil" w:sz="6" w:space="0" w:color="auto"/>
            </w:tcBorders>
          </w:tcPr>
          <w:p>
            <w:pPr/>
          </w:p>
        </w:tc>
        <w:tc>
          <w:tcPr>
            <w:tcW w:w="1781" w:type="dxa"/>
            <w:tcBorders>
              <w:top w:val="nil" w:sz="6" w:space="0" w:color="auto"/>
              <w:left w:val="nil" w:sz="6" w:space="0" w:color="auto"/>
              <w:bottom w:val="nil" w:sz="6" w:space="0" w:color="auto"/>
              <w:right w:val="nil" w:sz="6" w:space="0" w:color="auto"/>
            </w:tcBorders>
          </w:tcPr>
          <w:p>
            <w:pPr>
              <w:pStyle w:val="TableParagraph"/>
              <w:spacing w:line="226" w:lineRule="exact"/>
              <w:ind w:right="104"/>
              <w:jc w:val="right"/>
              <w:rPr>
                <w:rFonts w:ascii="宋体" w:hAnsi="宋体" w:cs="宋体" w:eastAsia="宋体" w:hint="default"/>
                <w:sz w:val="18"/>
                <w:szCs w:val="18"/>
              </w:rPr>
            </w:pPr>
            <w:r>
              <w:rPr>
                <w:rFonts w:ascii="宋体"/>
                <w:spacing w:val="-1"/>
                <w:sz w:val="18"/>
              </w:rPr>
              <w:t>(3,013,132.64)</w:t>
            </w:r>
          </w:p>
        </w:tc>
        <w:tc>
          <w:tcPr>
            <w:tcW w:w="235"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nil" w:sz="6" w:space="0" w:color="auto"/>
              <w:right w:val="nil" w:sz="6" w:space="0" w:color="auto"/>
            </w:tcBorders>
          </w:tcPr>
          <w:p>
            <w:pPr>
              <w:pStyle w:val="TableParagraph"/>
              <w:spacing w:line="226" w:lineRule="exact"/>
              <w:ind w:right="104"/>
              <w:jc w:val="right"/>
              <w:rPr>
                <w:rFonts w:ascii="宋体" w:hAnsi="宋体" w:cs="宋体" w:eastAsia="宋体" w:hint="default"/>
                <w:sz w:val="18"/>
                <w:szCs w:val="18"/>
              </w:rPr>
            </w:pPr>
            <w:r>
              <w:rPr>
                <w:rFonts w:ascii="宋体"/>
                <w:spacing w:val="-1"/>
                <w:sz w:val="18"/>
              </w:rPr>
              <w:t>(3,538,263.33)</w:t>
            </w:r>
          </w:p>
        </w:tc>
      </w:tr>
      <w:tr>
        <w:trPr>
          <w:trHeight w:val="288" w:hRule="exact"/>
        </w:trPr>
        <w:tc>
          <w:tcPr>
            <w:tcW w:w="4178" w:type="dxa"/>
            <w:tcBorders>
              <w:top w:val="nil" w:sz="6" w:space="0" w:color="auto"/>
              <w:left w:val="nil" w:sz="6" w:space="0" w:color="auto"/>
              <w:bottom w:val="nil" w:sz="6" w:space="0" w:color="auto"/>
              <w:right w:val="nil" w:sz="6" w:space="0" w:color="auto"/>
            </w:tcBorders>
          </w:tcPr>
          <w:p>
            <w:pPr>
              <w:pStyle w:val="TableParagraph"/>
              <w:spacing w:line="225" w:lineRule="exact"/>
              <w:ind w:left="650"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200" w:type="dxa"/>
            <w:tcBorders>
              <w:top w:val="nil" w:sz="6" w:space="0" w:color="auto"/>
              <w:left w:val="nil" w:sz="6" w:space="0" w:color="auto"/>
              <w:bottom w:val="nil" w:sz="6" w:space="0" w:color="auto"/>
              <w:right w:val="nil" w:sz="6" w:space="0" w:color="auto"/>
            </w:tcBorders>
          </w:tcPr>
          <w:p>
            <w:pPr>
              <w:pStyle w:val="TableParagraph"/>
              <w:spacing w:line="252" w:lineRule="exact"/>
              <w:ind w:left="110"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注释</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32</w:t>
            </w:r>
          </w:p>
        </w:tc>
        <w:tc>
          <w:tcPr>
            <w:tcW w:w="235" w:type="dxa"/>
            <w:tcBorders>
              <w:top w:val="nil" w:sz="6" w:space="0" w:color="auto"/>
              <w:left w:val="nil" w:sz="6" w:space="0" w:color="auto"/>
              <w:bottom w:val="nil" w:sz="6" w:space="0" w:color="auto"/>
              <w:right w:val="nil" w:sz="6" w:space="0" w:color="auto"/>
            </w:tcBorders>
          </w:tcPr>
          <w:p>
            <w:pPr/>
          </w:p>
        </w:tc>
        <w:tc>
          <w:tcPr>
            <w:tcW w:w="1781" w:type="dxa"/>
            <w:tcBorders>
              <w:top w:val="nil" w:sz="6" w:space="0" w:color="auto"/>
              <w:left w:val="nil" w:sz="6" w:space="0" w:color="auto"/>
              <w:bottom w:val="nil" w:sz="6" w:space="0" w:color="auto"/>
              <w:right w:val="nil" w:sz="6" w:space="0" w:color="auto"/>
            </w:tcBorders>
          </w:tcPr>
          <w:p>
            <w:pPr>
              <w:pStyle w:val="TableParagraph"/>
              <w:spacing w:line="225" w:lineRule="exact"/>
              <w:ind w:right="105"/>
              <w:jc w:val="right"/>
              <w:rPr>
                <w:rFonts w:ascii="宋体" w:hAnsi="宋体" w:cs="宋体" w:eastAsia="宋体" w:hint="default"/>
                <w:sz w:val="18"/>
                <w:szCs w:val="18"/>
              </w:rPr>
            </w:pPr>
            <w:r>
              <w:rPr>
                <w:rFonts w:ascii="宋体"/>
                <w:spacing w:val="-1"/>
                <w:sz w:val="18"/>
              </w:rPr>
              <w:t>1,963,430.54</w:t>
            </w:r>
            <w:r>
              <w:rPr>
                <w:rFonts w:ascii="宋体"/>
                <w:sz w:val="18"/>
              </w:rPr>
            </w:r>
          </w:p>
        </w:tc>
        <w:tc>
          <w:tcPr>
            <w:tcW w:w="235"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nil" w:sz="6" w:space="0" w:color="auto"/>
              <w:right w:val="nil" w:sz="6" w:space="0" w:color="auto"/>
            </w:tcBorders>
          </w:tcPr>
          <w:p>
            <w:pPr>
              <w:pStyle w:val="TableParagraph"/>
              <w:spacing w:line="225" w:lineRule="exact"/>
              <w:ind w:right="104"/>
              <w:jc w:val="right"/>
              <w:rPr>
                <w:rFonts w:ascii="宋体" w:hAnsi="宋体" w:cs="宋体" w:eastAsia="宋体" w:hint="default"/>
                <w:sz w:val="18"/>
                <w:szCs w:val="18"/>
              </w:rPr>
            </w:pPr>
            <w:r>
              <w:rPr>
                <w:rFonts w:ascii="宋体"/>
                <w:spacing w:val="-1"/>
                <w:sz w:val="18"/>
              </w:rPr>
              <w:t>536,047.62</w:t>
            </w:r>
          </w:p>
        </w:tc>
      </w:tr>
      <w:tr>
        <w:trPr>
          <w:trHeight w:val="268" w:hRule="exact"/>
        </w:trPr>
        <w:tc>
          <w:tcPr>
            <w:tcW w:w="4178" w:type="dxa"/>
            <w:tcBorders>
              <w:top w:val="nil" w:sz="6" w:space="0" w:color="auto"/>
              <w:left w:val="nil" w:sz="6" w:space="0" w:color="auto"/>
              <w:bottom w:val="nil" w:sz="6" w:space="0" w:color="auto"/>
              <w:right w:val="nil" w:sz="6" w:space="0" w:color="auto"/>
            </w:tcBorders>
          </w:tcPr>
          <w:p>
            <w:pPr>
              <w:pStyle w:val="TableParagraph"/>
              <w:spacing w:line="220" w:lineRule="exact"/>
              <w:ind w:left="290" w:right="0"/>
              <w:jc w:val="left"/>
              <w:rPr>
                <w:rFonts w:ascii="宋体" w:hAnsi="宋体" w:cs="宋体" w:eastAsia="宋体" w:hint="default"/>
                <w:sz w:val="18"/>
                <w:szCs w:val="18"/>
              </w:rPr>
            </w:pPr>
            <w:r>
              <w:rPr>
                <w:rFonts w:ascii="宋体" w:hAnsi="宋体" w:cs="宋体" w:eastAsia="宋体" w:hint="default"/>
                <w:sz w:val="18"/>
                <w:szCs w:val="18"/>
              </w:rPr>
              <w:t>加：公允价值变动收益</w:t>
            </w:r>
          </w:p>
        </w:tc>
        <w:tc>
          <w:tcPr>
            <w:tcW w:w="1200"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781" w:type="dxa"/>
            <w:tcBorders>
              <w:top w:val="nil" w:sz="6" w:space="0" w:color="auto"/>
              <w:left w:val="nil" w:sz="6" w:space="0" w:color="auto"/>
              <w:bottom w:val="nil" w:sz="6" w:space="0" w:color="auto"/>
              <w:right w:val="nil" w:sz="6" w:space="0" w:color="auto"/>
            </w:tcBorders>
          </w:tcPr>
          <w:p>
            <w:pPr>
              <w:pStyle w:val="TableParagraph"/>
              <w:spacing w:line="220" w:lineRule="exact"/>
              <w:ind w:right="107"/>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nil" w:sz="6" w:space="0" w:color="auto"/>
              <w:right w:val="nil" w:sz="6" w:space="0" w:color="auto"/>
            </w:tcBorders>
          </w:tcPr>
          <w:p>
            <w:pPr>
              <w:pStyle w:val="TableParagraph"/>
              <w:spacing w:line="220" w:lineRule="exact"/>
              <w:ind w:right="107"/>
              <w:jc w:val="right"/>
              <w:rPr>
                <w:rFonts w:ascii="宋体" w:hAnsi="宋体" w:cs="宋体" w:eastAsia="宋体" w:hint="default"/>
                <w:sz w:val="18"/>
                <w:szCs w:val="18"/>
              </w:rPr>
            </w:pPr>
            <w:r>
              <w:rPr>
                <w:rFonts w:ascii="宋体"/>
                <w:sz w:val="18"/>
              </w:rPr>
              <w:t>-</w:t>
            </w:r>
          </w:p>
        </w:tc>
      </w:tr>
      <w:tr>
        <w:trPr>
          <w:trHeight w:val="299" w:hRule="exact"/>
        </w:trPr>
        <w:tc>
          <w:tcPr>
            <w:tcW w:w="4178" w:type="dxa"/>
            <w:tcBorders>
              <w:top w:val="nil" w:sz="6" w:space="0" w:color="auto"/>
              <w:left w:val="nil" w:sz="6" w:space="0" w:color="auto"/>
              <w:bottom w:val="nil" w:sz="6" w:space="0" w:color="auto"/>
              <w:right w:val="nil" w:sz="6" w:space="0" w:color="auto"/>
            </w:tcBorders>
          </w:tcPr>
          <w:p>
            <w:pPr>
              <w:pStyle w:val="TableParagraph"/>
              <w:spacing w:line="240" w:lineRule="auto" w:before="2"/>
              <w:ind w:left="650"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200" w:type="dxa"/>
            <w:tcBorders>
              <w:top w:val="nil" w:sz="6" w:space="0" w:color="auto"/>
              <w:left w:val="nil" w:sz="6" w:space="0" w:color="auto"/>
              <w:bottom w:val="nil" w:sz="6" w:space="0" w:color="auto"/>
              <w:right w:val="nil" w:sz="6" w:space="0" w:color="auto"/>
            </w:tcBorders>
          </w:tcPr>
          <w:p>
            <w:pPr>
              <w:pStyle w:val="TableParagraph"/>
              <w:spacing w:line="263" w:lineRule="exact"/>
              <w:ind w:left="110"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注释</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33</w:t>
            </w:r>
          </w:p>
        </w:tc>
        <w:tc>
          <w:tcPr>
            <w:tcW w:w="235" w:type="dxa"/>
            <w:tcBorders>
              <w:top w:val="nil" w:sz="6" w:space="0" w:color="auto"/>
              <w:left w:val="nil" w:sz="6" w:space="0" w:color="auto"/>
              <w:bottom w:val="nil" w:sz="6" w:space="0" w:color="auto"/>
              <w:right w:val="nil" w:sz="6" w:space="0" w:color="auto"/>
            </w:tcBorders>
          </w:tcPr>
          <w:p>
            <w:pPr/>
          </w:p>
        </w:tc>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5"/>
              <w:jc w:val="right"/>
              <w:rPr>
                <w:rFonts w:ascii="宋体" w:hAnsi="宋体" w:cs="宋体" w:eastAsia="宋体" w:hint="default"/>
                <w:sz w:val="18"/>
                <w:szCs w:val="18"/>
              </w:rPr>
            </w:pPr>
            <w:r>
              <w:rPr>
                <w:rFonts w:ascii="宋体"/>
                <w:spacing w:val="-1"/>
                <w:sz w:val="18"/>
              </w:rPr>
              <w:t>4,424,106.13</w:t>
            </w:r>
            <w:r>
              <w:rPr>
                <w:rFonts w:ascii="宋体"/>
                <w:sz w:val="18"/>
              </w:rPr>
            </w:r>
          </w:p>
        </w:tc>
        <w:tc>
          <w:tcPr>
            <w:tcW w:w="235"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4"/>
              <w:jc w:val="right"/>
              <w:rPr>
                <w:rFonts w:ascii="宋体" w:hAnsi="宋体" w:cs="宋体" w:eastAsia="宋体" w:hint="default"/>
                <w:sz w:val="18"/>
                <w:szCs w:val="18"/>
              </w:rPr>
            </w:pPr>
            <w:r>
              <w:rPr>
                <w:rFonts w:ascii="宋体"/>
                <w:spacing w:val="-1"/>
                <w:sz w:val="18"/>
              </w:rPr>
              <w:t>2,776,904.09</w:t>
            </w:r>
          </w:p>
        </w:tc>
      </w:tr>
      <w:tr>
        <w:trPr>
          <w:trHeight w:val="279" w:hRule="exact"/>
        </w:trPr>
        <w:tc>
          <w:tcPr>
            <w:tcW w:w="4178" w:type="dxa"/>
            <w:tcBorders>
              <w:top w:val="nil" w:sz="6" w:space="0" w:color="auto"/>
              <w:left w:val="nil" w:sz="6" w:space="0" w:color="auto"/>
              <w:bottom w:val="nil" w:sz="6" w:space="0" w:color="auto"/>
              <w:right w:val="nil" w:sz="6" w:space="0" w:color="auto"/>
            </w:tcBorders>
          </w:tcPr>
          <w:p>
            <w:pPr>
              <w:pStyle w:val="TableParagraph"/>
              <w:spacing w:line="221" w:lineRule="exact"/>
              <w:ind w:left="199"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1200"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781" w:type="dxa"/>
            <w:tcBorders>
              <w:top w:val="nil" w:sz="6" w:space="0" w:color="auto"/>
              <w:left w:val="nil" w:sz="6" w:space="0" w:color="auto"/>
              <w:bottom w:val="nil" w:sz="6" w:space="0" w:color="auto"/>
              <w:right w:val="nil" w:sz="6" w:space="0" w:color="auto"/>
            </w:tcBorders>
          </w:tcPr>
          <w:p>
            <w:pPr>
              <w:pStyle w:val="TableParagraph"/>
              <w:spacing w:line="221" w:lineRule="exact"/>
              <w:ind w:right="107"/>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nil" w:sz="6" w:space="0" w:color="auto"/>
              <w:right w:val="nil" w:sz="6" w:space="0" w:color="auto"/>
            </w:tcBorders>
          </w:tcPr>
          <w:p>
            <w:pPr>
              <w:pStyle w:val="TableParagraph"/>
              <w:spacing w:line="221" w:lineRule="exact"/>
              <w:ind w:right="107"/>
              <w:jc w:val="right"/>
              <w:rPr>
                <w:rFonts w:ascii="宋体" w:hAnsi="宋体" w:cs="宋体" w:eastAsia="宋体" w:hint="default"/>
                <w:sz w:val="18"/>
                <w:szCs w:val="18"/>
              </w:rPr>
            </w:pPr>
            <w:r>
              <w:rPr>
                <w:rFonts w:ascii="宋体"/>
                <w:sz w:val="18"/>
              </w:rPr>
              <w:t>-</w:t>
            </w:r>
          </w:p>
        </w:tc>
      </w:tr>
      <w:tr>
        <w:trPr>
          <w:trHeight w:val="294" w:hRule="exact"/>
        </w:trPr>
        <w:tc>
          <w:tcPr>
            <w:tcW w:w="4178" w:type="dxa"/>
            <w:tcBorders>
              <w:top w:val="nil" w:sz="6" w:space="0" w:color="auto"/>
              <w:left w:val="nil" w:sz="6" w:space="0" w:color="auto"/>
              <w:bottom w:val="nil" w:sz="6" w:space="0" w:color="auto"/>
              <w:right w:val="nil" w:sz="6" w:space="0" w:color="auto"/>
            </w:tcBorders>
          </w:tcPr>
          <w:p>
            <w:pPr>
              <w:pStyle w:val="TableParagraph"/>
              <w:spacing w:line="240" w:lineRule="auto" w:before="2"/>
              <w:ind w:left="108" w:right="0"/>
              <w:jc w:val="left"/>
              <w:rPr>
                <w:rFonts w:ascii="宋体" w:hAnsi="宋体" w:cs="宋体" w:eastAsia="宋体" w:hint="default"/>
                <w:sz w:val="18"/>
                <w:szCs w:val="18"/>
              </w:rPr>
            </w:pPr>
            <w:r>
              <w:rPr>
                <w:rFonts w:ascii="宋体" w:hAnsi="宋体" w:cs="宋体" w:eastAsia="宋体" w:hint="default"/>
                <w:b/>
                <w:bCs/>
                <w:sz w:val="18"/>
                <w:szCs w:val="18"/>
              </w:rPr>
              <w:t>二、营业利润</w:t>
            </w:r>
            <w:r>
              <w:rPr>
                <w:rFonts w:ascii="宋体" w:hAnsi="宋体" w:cs="宋体" w:eastAsia="宋体" w:hint="default"/>
                <w:sz w:val="18"/>
                <w:szCs w:val="18"/>
              </w:rPr>
            </w:r>
          </w:p>
        </w:tc>
        <w:tc>
          <w:tcPr>
            <w:tcW w:w="1200"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781" w:type="dxa"/>
            <w:tcBorders>
              <w:top w:val="nil" w:sz="6" w:space="0" w:color="auto"/>
              <w:left w:val="nil" w:sz="6" w:space="0" w:color="auto"/>
              <w:bottom w:val="single" w:sz="4" w:space="0" w:color="000000"/>
              <w:right w:val="nil" w:sz="6" w:space="0" w:color="auto"/>
            </w:tcBorders>
          </w:tcPr>
          <w:p>
            <w:pPr>
              <w:pStyle w:val="TableParagraph"/>
              <w:spacing w:line="20" w:lineRule="exact"/>
              <w:ind w:right="-41"/>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1130819" cy="6096"/>
                  <wp:effectExtent l="0" t="0" r="0" b="0"/>
                  <wp:docPr id="21" name="image17.png" descr=""/>
                  <wp:cNvGraphicFramePr>
                    <a:graphicFrameLocks noChangeAspect="1"/>
                  </wp:cNvGraphicFramePr>
                  <a:graphic>
                    <a:graphicData uri="http://schemas.openxmlformats.org/drawingml/2006/picture">
                      <pic:pic>
                        <pic:nvPicPr>
                          <pic:cNvPr id="22" name="image17.png"/>
                          <pic:cNvPicPr/>
                        </pic:nvPicPr>
                        <pic:blipFill>
                          <a:blip r:embed="rId34" cstate="print"/>
                          <a:stretch>
                            <a:fillRect/>
                          </a:stretch>
                        </pic:blipFill>
                        <pic:spPr>
                          <a:xfrm>
                            <a:off x="0" y="0"/>
                            <a:ext cx="1130819" cy="6096"/>
                          </a:xfrm>
                          <a:prstGeom prst="rect">
                            <a:avLst/>
                          </a:prstGeom>
                        </pic:spPr>
                      </pic:pic>
                    </a:graphicData>
                  </a:graphic>
                </wp:inline>
              </w:drawing>
            </w:r>
            <w:r>
              <w:rPr>
                <w:rFonts w:ascii="Times New Roman" w:hAnsi="Times New Roman" w:cs="Times New Roman" w:eastAsia="Times New Roman" w:hint="default"/>
                <w:sz w:val="2"/>
                <w:szCs w:val="2"/>
              </w:rPr>
            </w:r>
          </w:p>
          <w:p>
            <w:pPr>
              <w:pStyle w:val="TableParagraph"/>
              <w:spacing w:line="240" w:lineRule="auto"/>
              <w:ind w:right="104"/>
              <w:jc w:val="right"/>
              <w:rPr>
                <w:rFonts w:ascii="宋体" w:hAnsi="宋体" w:cs="宋体" w:eastAsia="宋体" w:hint="default"/>
                <w:sz w:val="18"/>
                <w:szCs w:val="18"/>
              </w:rPr>
            </w:pPr>
            <w:r>
              <w:rPr>
                <w:rFonts w:ascii="宋体"/>
                <w:spacing w:val="-1"/>
                <w:sz w:val="18"/>
              </w:rPr>
              <w:t>18,530,428.52</w:t>
            </w:r>
          </w:p>
        </w:tc>
        <w:tc>
          <w:tcPr>
            <w:tcW w:w="235"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single" w:sz="4" w:space="0" w:color="000000"/>
              <w:right w:val="nil" w:sz="6" w:space="0" w:color="auto"/>
            </w:tcBorders>
          </w:tcPr>
          <w:p>
            <w:pPr>
              <w:pStyle w:val="TableParagraph"/>
              <w:spacing w:line="20" w:lineRule="exact"/>
              <w:ind w:right="-56"/>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96.5pt;height:.5pt;mso-position-horizontal-relative:char;mso-position-vertical-relative:line" coordorigin="0,0" coordsize="1930,10">
                  <v:shape style="position:absolute;left:0;top:0;width:1920;height:10" type="#_x0000_t75" stroked="false">
                    <v:imagedata r:id="rId35" o:title=""/>
                  </v:shape>
                  <v:shape style="position:absolute;left:1915;top:0;width:14;height:10" type="#_x0000_t75" stroked="false">
                    <v:imagedata r:id="rId36" o:title=""/>
                  </v:shape>
                </v:group>
              </w:pict>
            </w:r>
            <w:r>
              <w:rPr>
                <w:rFonts w:ascii="Times New Roman" w:hAnsi="Times New Roman" w:cs="Times New Roman" w:eastAsia="Times New Roman" w:hint="default"/>
                <w:sz w:val="2"/>
                <w:szCs w:val="2"/>
              </w:rPr>
            </w:r>
          </w:p>
          <w:p>
            <w:pPr>
              <w:pStyle w:val="TableParagraph"/>
              <w:spacing w:line="240" w:lineRule="auto"/>
              <w:ind w:right="103"/>
              <w:jc w:val="right"/>
              <w:rPr>
                <w:rFonts w:ascii="宋体" w:hAnsi="宋体" w:cs="宋体" w:eastAsia="宋体" w:hint="default"/>
                <w:sz w:val="18"/>
                <w:szCs w:val="18"/>
              </w:rPr>
            </w:pPr>
            <w:r>
              <w:rPr>
                <w:rFonts w:ascii="宋体"/>
                <w:spacing w:val="-1"/>
                <w:sz w:val="18"/>
              </w:rPr>
              <w:t>17,521,308.52</w:t>
            </w:r>
            <w:r>
              <w:rPr>
                <w:rFonts w:ascii="宋体"/>
                <w:sz w:val="18"/>
              </w:rPr>
            </w:r>
          </w:p>
        </w:tc>
      </w:tr>
      <w:tr>
        <w:trPr>
          <w:trHeight w:val="296" w:hRule="exact"/>
        </w:trPr>
        <w:tc>
          <w:tcPr>
            <w:tcW w:w="4178" w:type="dxa"/>
            <w:tcBorders>
              <w:top w:val="nil" w:sz="6" w:space="0" w:color="auto"/>
              <w:left w:val="nil" w:sz="6" w:space="0" w:color="auto"/>
              <w:bottom w:val="nil" w:sz="6" w:space="0" w:color="auto"/>
              <w:right w:val="nil" w:sz="6" w:space="0" w:color="auto"/>
            </w:tcBorders>
          </w:tcPr>
          <w:p>
            <w:pPr>
              <w:pStyle w:val="TableParagraph"/>
              <w:spacing w:line="240" w:lineRule="auto" w:before="1"/>
              <w:ind w:left="470"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200" w:type="dxa"/>
            <w:tcBorders>
              <w:top w:val="nil" w:sz="6" w:space="0" w:color="auto"/>
              <w:left w:val="nil" w:sz="6" w:space="0" w:color="auto"/>
              <w:bottom w:val="nil" w:sz="6" w:space="0" w:color="auto"/>
              <w:right w:val="nil" w:sz="6" w:space="0" w:color="auto"/>
            </w:tcBorders>
          </w:tcPr>
          <w:p>
            <w:pPr>
              <w:pStyle w:val="TableParagraph"/>
              <w:spacing w:line="264" w:lineRule="exact"/>
              <w:ind w:left="110"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注释</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34</w:t>
            </w:r>
          </w:p>
        </w:tc>
        <w:tc>
          <w:tcPr>
            <w:tcW w:w="235" w:type="dxa"/>
            <w:tcBorders>
              <w:top w:val="nil" w:sz="6" w:space="0" w:color="auto"/>
              <w:left w:val="nil" w:sz="6" w:space="0" w:color="auto"/>
              <w:bottom w:val="nil" w:sz="6" w:space="0" w:color="auto"/>
              <w:right w:val="nil" w:sz="6" w:space="0" w:color="auto"/>
            </w:tcBorders>
          </w:tcPr>
          <w:p>
            <w:pPr/>
          </w:p>
        </w:tc>
        <w:tc>
          <w:tcPr>
            <w:tcW w:w="1781" w:type="dxa"/>
            <w:tcBorders>
              <w:top w:val="single" w:sz="4" w:space="0" w:color="000000"/>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7,386,670.98</w:t>
            </w:r>
            <w:r>
              <w:rPr>
                <w:rFonts w:ascii="宋体"/>
                <w:sz w:val="18"/>
              </w:rPr>
            </w:r>
          </w:p>
        </w:tc>
        <w:tc>
          <w:tcPr>
            <w:tcW w:w="235" w:type="dxa"/>
            <w:tcBorders>
              <w:top w:val="nil" w:sz="6" w:space="0" w:color="auto"/>
              <w:left w:val="nil" w:sz="6" w:space="0" w:color="auto"/>
              <w:bottom w:val="nil" w:sz="6" w:space="0" w:color="auto"/>
              <w:right w:val="nil" w:sz="6" w:space="0" w:color="auto"/>
            </w:tcBorders>
          </w:tcPr>
          <w:p>
            <w:pPr/>
          </w:p>
        </w:tc>
        <w:tc>
          <w:tcPr>
            <w:tcW w:w="1925" w:type="dxa"/>
            <w:tcBorders>
              <w:top w:val="single" w:sz="4" w:space="0" w:color="000000"/>
              <w:left w:val="nil" w:sz="6" w:space="0" w:color="auto"/>
              <w:bottom w:val="nil" w:sz="6" w:space="0" w:color="auto"/>
              <w:right w:val="nil" w:sz="6" w:space="0" w:color="auto"/>
            </w:tcBorders>
          </w:tcPr>
          <w:p>
            <w:pPr>
              <w:pStyle w:val="TableParagraph"/>
              <w:spacing w:line="232" w:lineRule="exact"/>
              <w:ind w:right="104"/>
              <w:jc w:val="right"/>
              <w:rPr>
                <w:rFonts w:ascii="宋体" w:hAnsi="宋体" w:cs="宋体" w:eastAsia="宋体" w:hint="default"/>
                <w:sz w:val="18"/>
                <w:szCs w:val="18"/>
              </w:rPr>
            </w:pPr>
            <w:r>
              <w:rPr>
                <w:rFonts w:ascii="宋体"/>
                <w:spacing w:val="-1"/>
                <w:sz w:val="18"/>
              </w:rPr>
              <w:t>9,795,438.46</w:t>
            </w:r>
          </w:p>
        </w:tc>
      </w:tr>
      <w:tr>
        <w:trPr>
          <w:trHeight w:val="288" w:hRule="exact"/>
        </w:trPr>
        <w:tc>
          <w:tcPr>
            <w:tcW w:w="4178" w:type="dxa"/>
            <w:tcBorders>
              <w:top w:val="nil" w:sz="6" w:space="0" w:color="auto"/>
              <w:left w:val="nil" w:sz="6" w:space="0" w:color="auto"/>
              <w:bottom w:val="nil" w:sz="6" w:space="0" w:color="auto"/>
              <w:right w:val="nil" w:sz="6" w:space="0" w:color="auto"/>
            </w:tcBorders>
          </w:tcPr>
          <w:p>
            <w:pPr>
              <w:pStyle w:val="TableParagraph"/>
              <w:spacing w:line="223" w:lineRule="exact"/>
              <w:ind w:left="470"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200" w:type="dxa"/>
            <w:tcBorders>
              <w:top w:val="nil" w:sz="6" w:space="0" w:color="auto"/>
              <w:left w:val="nil" w:sz="6" w:space="0" w:color="auto"/>
              <w:bottom w:val="nil" w:sz="6" w:space="0" w:color="auto"/>
              <w:right w:val="nil" w:sz="6" w:space="0" w:color="auto"/>
            </w:tcBorders>
          </w:tcPr>
          <w:p>
            <w:pPr>
              <w:pStyle w:val="TableParagraph"/>
              <w:spacing w:line="251" w:lineRule="exact"/>
              <w:ind w:left="110"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注释</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35</w:t>
            </w:r>
          </w:p>
        </w:tc>
        <w:tc>
          <w:tcPr>
            <w:tcW w:w="235" w:type="dxa"/>
            <w:tcBorders>
              <w:top w:val="nil" w:sz="6" w:space="0" w:color="auto"/>
              <w:left w:val="nil" w:sz="6" w:space="0" w:color="auto"/>
              <w:bottom w:val="nil" w:sz="6" w:space="0" w:color="auto"/>
              <w:right w:val="nil" w:sz="6" w:space="0" w:color="auto"/>
            </w:tcBorders>
          </w:tcPr>
          <w:p>
            <w:pPr/>
          </w:p>
        </w:tc>
        <w:tc>
          <w:tcPr>
            <w:tcW w:w="1781" w:type="dxa"/>
            <w:tcBorders>
              <w:top w:val="nil" w:sz="6" w:space="0" w:color="auto"/>
              <w:left w:val="nil" w:sz="6" w:space="0" w:color="auto"/>
              <w:bottom w:val="nil" w:sz="6" w:space="0" w:color="auto"/>
              <w:right w:val="nil" w:sz="6" w:space="0" w:color="auto"/>
            </w:tcBorders>
          </w:tcPr>
          <w:p>
            <w:pPr>
              <w:pStyle w:val="TableParagraph"/>
              <w:spacing w:line="223" w:lineRule="exact"/>
              <w:ind w:right="104"/>
              <w:jc w:val="right"/>
              <w:rPr>
                <w:rFonts w:ascii="宋体" w:hAnsi="宋体" w:cs="宋体" w:eastAsia="宋体" w:hint="default"/>
                <w:sz w:val="18"/>
                <w:szCs w:val="18"/>
              </w:rPr>
            </w:pPr>
            <w:r>
              <w:rPr>
                <w:rFonts w:ascii="宋体"/>
                <w:spacing w:val="-1"/>
                <w:sz w:val="18"/>
              </w:rPr>
              <w:t>7,770.68</w:t>
            </w:r>
          </w:p>
        </w:tc>
        <w:tc>
          <w:tcPr>
            <w:tcW w:w="235"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nil" w:sz="6" w:space="0" w:color="auto"/>
              <w:right w:val="nil" w:sz="6" w:space="0" w:color="auto"/>
            </w:tcBorders>
          </w:tcPr>
          <w:p>
            <w:pPr>
              <w:pStyle w:val="TableParagraph"/>
              <w:spacing w:line="223" w:lineRule="exact"/>
              <w:ind w:right="104"/>
              <w:jc w:val="right"/>
              <w:rPr>
                <w:rFonts w:ascii="宋体" w:hAnsi="宋体" w:cs="宋体" w:eastAsia="宋体" w:hint="default"/>
                <w:sz w:val="18"/>
                <w:szCs w:val="18"/>
              </w:rPr>
            </w:pPr>
            <w:r>
              <w:rPr>
                <w:rFonts w:ascii="宋体"/>
                <w:spacing w:val="-1"/>
                <w:sz w:val="18"/>
              </w:rPr>
              <w:t>224,151.65</w:t>
            </w:r>
          </w:p>
        </w:tc>
      </w:tr>
      <w:tr>
        <w:trPr>
          <w:trHeight w:val="278" w:hRule="exact"/>
        </w:trPr>
        <w:tc>
          <w:tcPr>
            <w:tcW w:w="4178" w:type="dxa"/>
            <w:tcBorders>
              <w:top w:val="nil" w:sz="6" w:space="0" w:color="auto"/>
              <w:left w:val="nil" w:sz="6" w:space="0" w:color="auto"/>
              <w:bottom w:val="nil" w:sz="6" w:space="0" w:color="auto"/>
              <w:right w:val="nil" w:sz="6" w:space="0" w:color="auto"/>
            </w:tcBorders>
          </w:tcPr>
          <w:p>
            <w:pPr>
              <w:pStyle w:val="TableParagraph"/>
              <w:spacing w:line="221" w:lineRule="exact"/>
              <w:ind w:left="381"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1200"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781" w:type="dxa"/>
            <w:tcBorders>
              <w:top w:val="nil" w:sz="6" w:space="0" w:color="auto"/>
              <w:left w:val="nil" w:sz="6" w:space="0" w:color="auto"/>
              <w:bottom w:val="nil" w:sz="6" w:space="0" w:color="auto"/>
              <w:right w:val="nil" w:sz="6" w:space="0" w:color="auto"/>
            </w:tcBorders>
          </w:tcPr>
          <w:p>
            <w:pPr>
              <w:pStyle w:val="TableParagraph"/>
              <w:spacing w:line="221" w:lineRule="exact"/>
              <w:ind w:right="104"/>
              <w:jc w:val="right"/>
              <w:rPr>
                <w:rFonts w:ascii="宋体" w:hAnsi="宋体" w:cs="宋体" w:eastAsia="宋体" w:hint="default"/>
                <w:sz w:val="18"/>
                <w:szCs w:val="18"/>
              </w:rPr>
            </w:pPr>
            <w:r>
              <w:rPr>
                <w:rFonts w:ascii="宋体"/>
                <w:spacing w:val="-1"/>
                <w:sz w:val="18"/>
              </w:rPr>
              <w:t>7,770.68</w:t>
            </w:r>
          </w:p>
        </w:tc>
        <w:tc>
          <w:tcPr>
            <w:tcW w:w="235"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nil" w:sz="6" w:space="0" w:color="auto"/>
              <w:right w:val="nil" w:sz="6" w:space="0" w:color="auto"/>
            </w:tcBorders>
          </w:tcPr>
          <w:p>
            <w:pPr>
              <w:pStyle w:val="TableParagraph"/>
              <w:spacing w:line="221" w:lineRule="exact"/>
              <w:ind w:right="104"/>
              <w:jc w:val="right"/>
              <w:rPr>
                <w:rFonts w:ascii="宋体" w:hAnsi="宋体" w:cs="宋体" w:eastAsia="宋体" w:hint="default"/>
                <w:sz w:val="18"/>
                <w:szCs w:val="18"/>
              </w:rPr>
            </w:pPr>
            <w:r>
              <w:rPr>
                <w:rFonts w:ascii="宋体"/>
                <w:spacing w:val="-1"/>
                <w:sz w:val="18"/>
              </w:rPr>
              <w:t>3,571.51</w:t>
            </w:r>
          </w:p>
        </w:tc>
      </w:tr>
      <w:tr>
        <w:trPr>
          <w:trHeight w:val="295" w:hRule="exact"/>
        </w:trPr>
        <w:tc>
          <w:tcPr>
            <w:tcW w:w="4178"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8" w:right="0"/>
              <w:jc w:val="left"/>
              <w:rPr>
                <w:rFonts w:ascii="宋体" w:hAnsi="宋体" w:cs="宋体" w:eastAsia="宋体" w:hint="default"/>
                <w:sz w:val="18"/>
                <w:szCs w:val="18"/>
              </w:rPr>
            </w:pPr>
            <w:r>
              <w:rPr>
                <w:rFonts w:ascii="宋体" w:hAnsi="宋体" w:cs="宋体" w:eastAsia="宋体" w:hint="default"/>
                <w:b/>
                <w:bCs/>
                <w:sz w:val="18"/>
                <w:szCs w:val="18"/>
              </w:rPr>
              <w:t>三、利润总额</w:t>
            </w:r>
            <w:r>
              <w:rPr>
                <w:rFonts w:ascii="宋体" w:hAnsi="宋体" w:cs="宋体" w:eastAsia="宋体" w:hint="default"/>
                <w:sz w:val="18"/>
                <w:szCs w:val="18"/>
              </w:rPr>
            </w:r>
          </w:p>
        </w:tc>
        <w:tc>
          <w:tcPr>
            <w:tcW w:w="1200"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781" w:type="dxa"/>
            <w:tcBorders>
              <w:top w:val="nil" w:sz="6" w:space="0" w:color="auto"/>
              <w:left w:val="nil" w:sz="6" w:space="0" w:color="auto"/>
              <w:bottom w:val="single" w:sz="4" w:space="0" w:color="000000"/>
              <w:right w:val="nil" w:sz="6" w:space="0" w:color="auto"/>
            </w:tcBorders>
          </w:tcPr>
          <w:p>
            <w:pPr>
              <w:pStyle w:val="TableParagraph"/>
              <w:spacing w:line="20" w:lineRule="exact"/>
              <w:ind w:right="-41"/>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1130817" cy="6096"/>
                  <wp:effectExtent l="0" t="0" r="0" b="0"/>
                  <wp:docPr id="23" name="image20.png" descr=""/>
                  <wp:cNvGraphicFramePr>
                    <a:graphicFrameLocks noChangeAspect="1"/>
                  </wp:cNvGraphicFramePr>
                  <a:graphic>
                    <a:graphicData uri="http://schemas.openxmlformats.org/drawingml/2006/picture">
                      <pic:pic>
                        <pic:nvPicPr>
                          <pic:cNvPr id="24" name="image20.png"/>
                          <pic:cNvPicPr/>
                        </pic:nvPicPr>
                        <pic:blipFill>
                          <a:blip r:embed="rId37" cstate="print"/>
                          <a:stretch>
                            <a:fillRect/>
                          </a:stretch>
                        </pic:blipFill>
                        <pic:spPr>
                          <a:xfrm>
                            <a:off x="0" y="0"/>
                            <a:ext cx="1130817" cy="6096"/>
                          </a:xfrm>
                          <a:prstGeom prst="rect">
                            <a:avLst/>
                          </a:prstGeom>
                        </pic:spPr>
                      </pic:pic>
                    </a:graphicData>
                  </a:graphic>
                </wp:inline>
              </w:drawing>
            </w:r>
            <w:r>
              <w:rPr>
                <w:rFonts w:ascii="Times New Roman" w:hAnsi="Times New Roman" w:cs="Times New Roman" w:eastAsia="Times New Roman" w:hint="default"/>
                <w:sz w:val="2"/>
                <w:szCs w:val="2"/>
              </w:rPr>
            </w:r>
          </w:p>
          <w:p>
            <w:pPr>
              <w:pStyle w:val="TableParagraph"/>
              <w:spacing w:line="240" w:lineRule="auto"/>
              <w:ind w:right="103"/>
              <w:jc w:val="right"/>
              <w:rPr>
                <w:rFonts w:ascii="宋体" w:hAnsi="宋体" w:cs="宋体" w:eastAsia="宋体" w:hint="default"/>
                <w:sz w:val="18"/>
                <w:szCs w:val="18"/>
              </w:rPr>
            </w:pPr>
            <w:r>
              <w:rPr>
                <w:rFonts w:ascii="宋体"/>
                <w:spacing w:val="-1"/>
                <w:sz w:val="18"/>
              </w:rPr>
              <w:t>25,909,328.82</w:t>
            </w:r>
            <w:r>
              <w:rPr>
                <w:rFonts w:ascii="宋体"/>
                <w:sz w:val="18"/>
              </w:rPr>
            </w:r>
          </w:p>
        </w:tc>
        <w:tc>
          <w:tcPr>
            <w:tcW w:w="235"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single" w:sz="4" w:space="0" w:color="000000"/>
              <w:right w:val="nil" w:sz="6" w:space="0" w:color="auto"/>
            </w:tcBorders>
          </w:tcPr>
          <w:p>
            <w:pPr>
              <w:pStyle w:val="TableParagraph"/>
              <w:spacing w:line="20" w:lineRule="exact"/>
              <w:ind w:right="-56"/>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96.5pt;height:.5pt;mso-position-horizontal-relative:char;mso-position-vertical-relative:line" coordorigin="0,0" coordsize="1930,10">
                  <v:shape style="position:absolute;left:0;top:0;width:1920;height:10" type="#_x0000_t75" stroked="false">
                    <v:imagedata r:id="rId32" o:title=""/>
                  </v:shape>
                  <v:shape style="position:absolute;left:1915;top:0;width:14;height:10" type="#_x0000_t75" stroked="false">
                    <v:imagedata r:id="rId36" o:title=""/>
                  </v:shape>
                </v:group>
              </w:pict>
            </w:r>
            <w:r>
              <w:rPr>
                <w:rFonts w:ascii="Times New Roman" w:hAnsi="Times New Roman" w:cs="Times New Roman" w:eastAsia="Times New Roman" w:hint="default"/>
                <w:sz w:val="2"/>
                <w:szCs w:val="2"/>
              </w:rPr>
            </w:r>
          </w:p>
          <w:p>
            <w:pPr>
              <w:pStyle w:val="TableParagraph"/>
              <w:spacing w:line="240" w:lineRule="auto"/>
              <w:ind w:right="103"/>
              <w:jc w:val="right"/>
              <w:rPr>
                <w:rFonts w:ascii="宋体" w:hAnsi="宋体" w:cs="宋体" w:eastAsia="宋体" w:hint="default"/>
                <w:sz w:val="18"/>
                <w:szCs w:val="18"/>
              </w:rPr>
            </w:pPr>
            <w:r>
              <w:rPr>
                <w:rFonts w:ascii="宋体"/>
                <w:spacing w:val="-1"/>
                <w:sz w:val="18"/>
              </w:rPr>
              <w:t>27,092,595.33</w:t>
            </w:r>
            <w:r>
              <w:rPr>
                <w:rFonts w:ascii="宋体"/>
                <w:sz w:val="18"/>
              </w:rPr>
            </w:r>
          </w:p>
        </w:tc>
      </w:tr>
      <w:tr>
        <w:trPr>
          <w:trHeight w:val="303" w:hRule="exact"/>
        </w:trPr>
        <w:tc>
          <w:tcPr>
            <w:tcW w:w="4178" w:type="dxa"/>
            <w:tcBorders>
              <w:top w:val="nil" w:sz="6" w:space="0" w:color="auto"/>
              <w:left w:val="nil" w:sz="6" w:space="0" w:color="auto"/>
              <w:bottom w:val="nil" w:sz="6" w:space="0" w:color="auto"/>
              <w:right w:val="nil" w:sz="6" w:space="0" w:color="auto"/>
            </w:tcBorders>
          </w:tcPr>
          <w:p>
            <w:pPr>
              <w:pStyle w:val="TableParagraph"/>
              <w:spacing w:line="240" w:lineRule="auto" w:before="1"/>
              <w:ind w:left="470"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200" w:type="dxa"/>
            <w:tcBorders>
              <w:top w:val="nil" w:sz="6" w:space="0" w:color="auto"/>
              <w:left w:val="nil" w:sz="6" w:space="0" w:color="auto"/>
              <w:bottom w:val="nil" w:sz="6" w:space="0" w:color="auto"/>
              <w:right w:val="nil" w:sz="6" w:space="0" w:color="auto"/>
            </w:tcBorders>
          </w:tcPr>
          <w:p>
            <w:pPr>
              <w:pStyle w:val="TableParagraph"/>
              <w:spacing w:line="262" w:lineRule="exact"/>
              <w:ind w:left="110"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注释</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36</w:t>
            </w:r>
          </w:p>
        </w:tc>
        <w:tc>
          <w:tcPr>
            <w:tcW w:w="235" w:type="dxa"/>
            <w:tcBorders>
              <w:top w:val="nil" w:sz="6" w:space="0" w:color="auto"/>
              <w:left w:val="nil" w:sz="6" w:space="0" w:color="auto"/>
              <w:bottom w:val="nil" w:sz="6" w:space="0" w:color="auto"/>
              <w:right w:val="nil" w:sz="6" w:space="0" w:color="auto"/>
            </w:tcBorders>
          </w:tcPr>
          <w:p>
            <w:pPr/>
          </w:p>
        </w:tc>
        <w:tc>
          <w:tcPr>
            <w:tcW w:w="1781" w:type="dxa"/>
            <w:tcBorders>
              <w:top w:val="single" w:sz="4" w:space="0" w:color="000000"/>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pacing w:val="-1"/>
                <w:sz w:val="18"/>
              </w:rPr>
              <w:t>3,385,423.47</w:t>
            </w:r>
            <w:r>
              <w:rPr>
                <w:rFonts w:ascii="宋体"/>
                <w:sz w:val="18"/>
              </w:rPr>
            </w:r>
          </w:p>
          <w:p>
            <w:pPr>
              <w:pStyle w:val="TableParagraph"/>
              <w:spacing w:line="240" w:lineRule="auto" w:before="8"/>
              <w:ind w:right="0"/>
              <w:jc w:val="left"/>
              <w:rPr>
                <w:rFonts w:ascii="Times New Roman" w:hAnsi="Times New Roman" w:cs="Times New Roman" w:eastAsia="Times New Roman" w:hint="default"/>
                <w:sz w:val="4"/>
                <w:szCs w:val="4"/>
              </w:rPr>
            </w:pPr>
          </w:p>
          <w:p>
            <w:pPr>
              <w:pStyle w:val="TableParagraph"/>
              <w:spacing w:line="20" w:lineRule="exact"/>
              <w:ind w:right="-41"/>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1130832" cy="6096"/>
                  <wp:effectExtent l="0" t="0" r="0" b="0"/>
                  <wp:docPr id="25" name="image20.png" descr=""/>
                  <wp:cNvGraphicFramePr>
                    <a:graphicFrameLocks noChangeAspect="1"/>
                  </wp:cNvGraphicFramePr>
                  <a:graphic>
                    <a:graphicData uri="http://schemas.openxmlformats.org/drawingml/2006/picture">
                      <pic:pic>
                        <pic:nvPicPr>
                          <pic:cNvPr id="26" name="image20.png"/>
                          <pic:cNvPicPr/>
                        </pic:nvPicPr>
                        <pic:blipFill>
                          <a:blip r:embed="rId37" cstate="print"/>
                          <a:stretch>
                            <a:fillRect/>
                          </a:stretch>
                        </pic:blipFill>
                        <pic:spPr>
                          <a:xfrm>
                            <a:off x="0" y="0"/>
                            <a:ext cx="1130832" cy="6096"/>
                          </a:xfrm>
                          <a:prstGeom prst="rect">
                            <a:avLst/>
                          </a:prstGeom>
                        </pic:spPr>
                      </pic:pic>
                    </a:graphicData>
                  </a:graphic>
                </wp:inline>
              </w:drawing>
            </w:r>
            <w:r>
              <w:rPr>
                <w:rFonts w:ascii="Times New Roman" w:hAnsi="Times New Roman" w:cs="Times New Roman" w:eastAsia="Times New Roman" w:hint="default"/>
                <w:sz w:val="2"/>
                <w:szCs w:val="2"/>
              </w:rPr>
            </w:r>
          </w:p>
        </w:tc>
        <w:tc>
          <w:tcPr>
            <w:tcW w:w="235" w:type="dxa"/>
            <w:tcBorders>
              <w:top w:val="nil" w:sz="6" w:space="0" w:color="auto"/>
              <w:left w:val="nil" w:sz="6" w:space="0" w:color="auto"/>
              <w:bottom w:val="nil" w:sz="6" w:space="0" w:color="auto"/>
              <w:right w:val="nil" w:sz="6" w:space="0" w:color="auto"/>
            </w:tcBorders>
          </w:tcPr>
          <w:p>
            <w:pPr/>
          </w:p>
        </w:tc>
        <w:tc>
          <w:tcPr>
            <w:tcW w:w="1925" w:type="dxa"/>
            <w:tcBorders>
              <w:top w:val="single" w:sz="4" w:space="0" w:color="000000"/>
              <w:left w:val="nil" w:sz="6" w:space="0" w:color="auto"/>
              <w:bottom w:val="nil" w:sz="6" w:space="0" w:color="auto"/>
              <w:right w:val="nil" w:sz="6" w:space="0" w:color="auto"/>
            </w:tcBorders>
          </w:tcPr>
          <w:p>
            <w:pPr>
              <w:pStyle w:val="TableParagraph"/>
              <w:spacing w:line="232" w:lineRule="exact"/>
              <w:ind w:right="104"/>
              <w:jc w:val="right"/>
              <w:rPr>
                <w:rFonts w:ascii="宋体" w:hAnsi="宋体" w:cs="宋体" w:eastAsia="宋体" w:hint="default"/>
                <w:sz w:val="18"/>
                <w:szCs w:val="18"/>
              </w:rPr>
            </w:pPr>
            <w:r>
              <w:rPr>
                <w:rFonts w:ascii="宋体"/>
                <w:spacing w:val="-1"/>
                <w:sz w:val="18"/>
              </w:rPr>
              <w:t>3,780,605.01</w:t>
            </w:r>
          </w:p>
        </w:tc>
      </w:tr>
      <w:tr>
        <w:trPr>
          <w:trHeight w:val="285" w:hRule="exact"/>
        </w:trPr>
        <w:tc>
          <w:tcPr>
            <w:tcW w:w="4178" w:type="dxa"/>
            <w:tcBorders>
              <w:top w:val="nil" w:sz="6" w:space="0" w:color="auto"/>
              <w:left w:val="nil" w:sz="6" w:space="0" w:color="auto"/>
              <w:bottom w:val="nil" w:sz="6" w:space="0" w:color="auto"/>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四、净利润</w:t>
            </w:r>
            <w:r>
              <w:rPr>
                <w:rFonts w:ascii="宋体" w:hAnsi="宋体" w:cs="宋体" w:eastAsia="宋体" w:hint="default"/>
                <w:sz w:val="18"/>
                <w:szCs w:val="18"/>
              </w:rPr>
            </w:r>
          </w:p>
        </w:tc>
        <w:tc>
          <w:tcPr>
            <w:tcW w:w="1200"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781" w:type="dxa"/>
            <w:tcBorders>
              <w:top w:val="nil" w:sz="6" w:space="0" w:color="auto"/>
              <w:left w:val="nil" w:sz="6" w:space="0" w:color="auto"/>
              <w:bottom w:val="single" w:sz="4" w:space="0" w:color="000000"/>
              <w:right w:val="nil" w:sz="6" w:space="0" w:color="auto"/>
            </w:tcBorders>
          </w:tcPr>
          <w:p>
            <w:pPr>
              <w:pStyle w:val="TableParagraph"/>
              <w:spacing w:line="226" w:lineRule="exact"/>
              <w:ind w:right="104"/>
              <w:jc w:val="right"/>
              <w:rPr>
                <w:rFonts w:ascii="宋体" w:hAnsi="宋体" w:cs="宋体" w:eastAsia="宋体" w:hint="default"/>
                <w:sz w:val="18"/>
                <w:szCs w:val="18"/>
              </w:rPr>
            </w:pPr>
            <w:r>
              <w:rPr>
                <w:rFonts w:ascii="宋体"/>
                <w:spacing w:val="-1"/>
                <w:sz w:val="18"/>
              </w:rPr>
              <w:t>22,523,905.35</w:t>
            </w:r>
          </w:p>
        </w:tc>
        <w:tc>
          <w:tcPr>
            <w:tcW w:w="235"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single" w:sz="4" w:space="0" w:color="000000"/>
              <w:right w:val="nil" w:sz="6" w:space="0" w:color="auto"/>
            </w:tcBorders>
          </w:tcPr>
          <w:p>
            <w:pPr>
              <w:pStyle w:val="TableParagraph"/>
              <w:spacing w:line="226" w:lineRule="exact"/>
              <w:ind w:right="103"/>
              <w:jc w:val="right"/>
              <w:rPr>
                <w:rFonts w:ascii="宋体" w:hAnsi="宋体" w:cs="宋体" w:eastAsia="宋体" w:hint="default"/>
                <w:sz w:val="18"/>
                <w:szCs w:val="18"/>
              </w:rPr>
            </w:pPr>
            <w:r>
              <w:rPr>
                <w:rFonts w:ascii="宋体"/>
                <w:spacing w:val="-1"/>
                <w:sz w:val="18"/>
              </w:rPr>
              <w:t>23,311,990.32</w:t>
            </w:r>
            <w:r>
              <w:rPr>
                <w:rFonts w:ascii="宋体"/>
                <w:sz w:val="18"/>
              </w:rPr>
            </w:r>
          </w:p>
        </w:tc>
      </w:tr>
      <w:tr>
        <w:trPr>
          <w:trHeight w:val="288" w:hRule="exact"/>
        </w:trPr>
        <w:tc>
          <w:tcPr>
            <w:tcW w:w="4178"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8" w:right="0"/>
              <w:jc w:val="left"/>
              <w:rPr>
                <w:rFonts w:ascii="宋体" w:hAnsi="宋体" w:cs="宋体" w:eastAsia="宋体" w:hint="default"/>
                <w:sz w:val="18"/>
                <w:szCs w:val="18"/>
              </w:rPr>
            </w:pPr>
            <w:r>
              <w:rPr>
                <w:rFonts w:ascii="宋体" w:hAnsi="宋体" w:cs="宋体" w:eastAsia="宋体" w:hint="default"/>
                <w:sz w:val="18"/>
                <w:szCs w:val="18"/>
              </w:rPr>
              <w:t>其中：同一控制下被合并方在合并前实现的净利润</w:t>
            </w:r>
          </w:p>
        </w:tc>
        <w:tc>
          <w:tcPr>
            <w:tcW w:w="1200"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781" w:type="dxa"/>
            <w:tcBorders>
              <w:top w:val="single" w:sz="4" w:space="0" w:color="000000"/>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925" w:type="dxa"/>
            <w:tcBorders>
              <w:top w:val="single" w:sz="4" w:space="0" w:color="000000"/>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w:t>
            </w:r>
          </w:p>
        </w:tc>
      </w:tr>
      <w:tr>
        <w:trPr>
          <w:trHeight w:val="283" w:hRule="exact"/>
        </w:trPr>
        <w:tc>
          <w:tcPr>
            <w:tcW w:w="4178" w:type="dxa"/>
            <w:tcBorders>
              <w:top w:val="nil" w:sz="6" w:space="0" w:color="auto"/>
              <w:left w:val="nil" w:sz="6" w:space="0" w:color="auto"/>
              <w:bottom w:val="nil" w:sz="6" w:space="0" w:color="auto"/>
              <w:right w:val="nil" w:sz="6" w:space="0" w:color="auto"/>
            </w:tcBorders>
          </w:tcPr>
          <w:p>
            <w:pPr>
              <w:pStyle w:val="TableParagraph"/>
              <w:spacing w:line="232" w:lineRule="exact"/>
              <w:ind w:left="650"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1200"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781"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w:t>
            </w:r>
          </w:p>
        </w:tc>
      </w:tr>
      <w:tr>
        <w:trPr>
          <w:trHeight w:val="284" w:hRule="exact"/>
        </w:trPr>
        <w:tc>
          <w:tcPr>
            <w:tcW w:w="4178" w:type="dxa"/>
            <w:tcBorders>
              <w:top w:val="nil" w:sz="6" w:space="0" w:color="auto"/>
              <w:left w:val="nil" w:sz="6" w:space="0" w:color="auto"/>
              <w:bottom w:val="nil" w:sz="6" w:space="0" w:color="auto"/>
              <w:right w:val="nil" w:sz="6" w:space="0" w:color="auto"/>
            </w:tcBorders>
          </w:tcPr>
          <w:p>
            <w:pPr>
              <w:pStyle w:val="TableParagraph"/>
              <w:spacing w:line="232" w:lineRule="exact"/>
              <w:ind w:left="650" w:right="0"/>
              <w:jc w:val="left"/>
              <w:rPr>
                <w:rFonts w:ascii="宋体" w:hAnsi="宋体" w:cs="宋体" w:eastAsia="宋体" w:hint="default"/>
                <w:sz w:val="18"/>
                <w:szCs w:val="18"/>
              </w:rPr>
            </w:pPr>
            <w:r>
              <w:rPr>
                <w:rFonts w:ascii="宋体" w:hAnsi="宋体" w:cs="宋体" w:eastAsia="宋体" w:hint="default"/>
                <w:sz w:val="18"/>
                <w:szCs w:val="18"/>
              </w:rPr>
              <w:t>归属于母公司股东的净利润</w:t>
            </w:r>
          </w:p>
        </w:tc>
        <w:tc>
          <w:tcPr>
            <w:tcW w:w="1200"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781" w:type="dxa"/>
            <w:tcBorders>
              <w:top w:val="nil" w:sz="6" w:space="0" w:color="auto"/>
              <w:left w:val="nil" w:sz="6" w:space="0" w:color="auto"/>
              <w:bottom w:val="nil" w:sz="6" w:space="0" w:color="auto"/>
              <w:right w:val="nil" w:sz="6" w:space="0" w:color="auto"/>
            </w:tcBorders>
          </w:tcPr>
          <w:p>
            <w:pPr>
              <w:pStyle w:val="TableParagraph"/>
              <w:spacing w:line="232" w:lineRule="exact"/>
              <w:ind w:right="104"/>
              <w:jc w:val="right"/>
              <w:rPr>
                <w:rFonts w:ascii="宋体" w:hAnsi="宋体" w:cs="宋体" w:eastAsia="宋体" w:hint="default"/>
                <w:sz w:val="18"/>
                <w:szCs w:val="18"/>
              </w:rPr>
            </w:pPr>
            <w:r>
              <w:rPr>
                <w:rFonts w:ascii="宋体"/>
                <w:spacing w:val="-1"/>
                <w:sz w:val="18"/>
              </w:rPr>
              <w:t>22,523,905.35</w:t>
            </w:r>
          </w:p>
        </w:tc>
        <w:tc>
          <w:tcPr>
            <w:tcW w:w="235"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nil" w:sz="6" w:space="0" w:color="auto"/>
              <w:right w:val="nil" w:sz="6" w:space="0" w:color="auto"/>
            </w:tcBorders>
          </w:tcPr>
          <w:p>
            <w:pPr>
              <w:pStyle w:val="TableParagraph"/>
              <w:spacing w:line="232" w:lineRule="exact"/>
              <w:ind w:right="102"/>
              <w:jc w:val="right"/>
              <w:rPr>
                <w:rFonts w:ascii="宋体" w:hAnsi="宋体" w:cs="宋体" w:eastAsia="宋体" w:hint="default"/>
                <w:sz w:val="18"/>
                <w:szCs w:val="18"/>
              </w:rPr>
            </w:pPr>
            <w:r>
              <w:rPr>
                <w:rFonts w:ascii="宋体"/>
                <w:spacing w:val="-1"/>
                <w:sz w:val="18"/>
              </w:rPr>
              <w:t>23,311,990.32</w:t>
            </w:r>
            <w:r>
              <w:rPr>
                <w:rFonts w:ascii="宋体"/>
                <w:sz w:val="18"/>
              </w:rPr>
            </w:r>
          </w:p>
        </w:tc>
      </w:tr>
      <w:tr>
        <w:trPr>
          <w:trHeight w:val="284" w:hRule="exact"/>
        </w:trPr>
        <w:tc>
          <w:tcPr>
            <w:tcW w:w="4178"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五、每股收益：</w:t>
            </w:r>
            <w:r>
              <w:rPr>
                <w:rFonts w:ascii="宋体" w:hAnsi="宋体" w:cs="宋体" w:eastAsia="宋体" w:hint="default"/>
                <w:sz w:val="18"/>
                <w:szCs w:val="18"/>
              </w:rPr>
            </w:r>
          </w:p>
        </w:tc>
        <w:tc>
          <w:tcPr>
            <w:tcW w:w="1200"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781"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nil" w:sz="6" w:space="0" w:color="auto"/>
              <w:right w:val="nil" w:sz="6" w:space="0" w:color="auto"/>
            </w:tcBorders>
          </w:tcPr>
          <w:p>
            <w:pPr/>
          </w:p>
        </w:tc>
      </w:tr>
      <w:tr>
        <w:trPr>
          <w:trHeight w:val="290" w:hRule="exact"/>
        </w:trPr>
        <w:tc>
          <w:tcPr>
            <w:tcW w:w="4178" w:type="dxa"/>
            <w:tcBorders>
              <w:top w:val="nil" w:sz="6" w:space="0" w:color="auto"/>
              <w:left w:val="nil" w:sz="6" w:space="0" w:color="auto"/>
              <w:bottom w:val="nil" w:sz="6" w:space="0" w:color="auto"/>
              <w:right w:val="nil" w:sz="6" w:space="0" w:color="auto"/>
            </w:tcBorders>
          </w:tcPr>
          <w:p>
            <w:pPr>
              <w:pStyle w:val="TableParagraph"/>
              <w:spacing w:line="232" w:lineRule="exact"/>
              <w:ind w:left="38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1200"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781" w:type="dxa"/>
            <w:tcBorders>
              <w:top w:val="nil" w:sz="6" w:space="0" w:color="auto"/>
              <w:left w:val="nil" w:sz="6" w:space="0" w:color="auto"/>
              <w:bottom w:val="single" w:sz="4" w:space="0" w:color="000000"/>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0.14</w:t>
            </w:r>
            <w:r>
              <w:rPr>
                <w:rFonts w:ascii="宋体"/>
                <w:sz w:val="18"/>
              </w:rPr>
            </w:r>
          </w:p>
        </w:tc>
        <w:tc>
          <w:tcPr>
            <w:tcW w:w="235"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single" w:sz="4" w:space="0" w:color="000000"/>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0.15</w:t>
            </w:r>
            <w:r>
              <w:rPr>
                <w:rFonts w:ascii="宋体"/>
                <w:sz w:val="18"/>
              </w:rPr>
            </w:r>
          </w:p>
        </w:tc>
      </w:tr>
      <w:tr>
        <w:trPr>
          <w:trHeight w:val="293" w:hRule="exact"/>
        </w:trPr>
        <w:tc>
          <w:tcPr>
            <w:tcW w:w="4178" w:type="dxa"/>
            <w:tcBorders>
              <w:top w:val="nil" w:sz="6" w:space="0" w:color="auto"/>
              <w:left w:val="nil" w:sz="6" w:space="0" w:color="auto"/>
              <w:bottom w:val="nil" w:sz="6" w:space="0" w:color="auto"/>
              <w:right w:val="nil" w:sz="6" w:space="0" w:color="auto"/>
            </w:tcBorders>
          </w:tcPr>
          <w:p>
            <w:pPr>
              <w:pStyle w:val="TableParagraph"/>
              <w:spacing w:line="240" w:lineRule="auto" w:before="1"/>
              <w:ind w:left="38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1200"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781" w:type="dxa"/>
            <w:tcBorders>
              <w:top w:val="single" w:sz="4" w:space="0" w:color="000000"/>
              <w:left w:val="nil" w:sz="6" w:space="0" w:color="auto"/>
              <w:bottom w:val="single" w:sz="4" w:space="0" w:color="000000"/>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0.14</w:t>
            </w:r>
            <w:r>
              <w:rPr>
                <w:rFonts w:ascii="宋体"/>
                <w:sz w:val="18"/>
              </w:rPr>
            </w:r>
          </w:p>
        </w:tc>
        <w:tc>
          <w:tcPr>
            <w:tcW w:w="235" w:type="dxa"/>
            <w:tcBorders>
              <w:top w:val="nil" w:sz="6" w:space="0" w:color="auto"/>
              <w:left w:val="nil" w:sz="6" w:space="0" w:color="auto"/>
              <w:bottom w:val="nil" w:sz="6" w:space="0" w:color="auto"/>
              <w:right w:val="nil" w:sz="6" w:space="0" w:color="auto"/>
            </w:tcBorders>
          </w:tcPr>
          <w:p>
            <w:pPr/>
          </w:p>
        </w:tc>
        <w:tc>
          <w:tcPr>
            <w:tcW w:w="1925" w:type="dxa"/>
            <w:tcBorders>
              <w:top w:val="single" w:sz="4" w:space="0" w:color="000000"/>
              <w:left w:val="nil" w:sz="6" w:space="0" w:color="auto"/>
              <w:bottom w:val="single" w:sz="4" w:space="0" w:color="000000"/>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0.15</w:t>
            </w:r>
            <w:r>
              <w:rPr>
                <w:rFonts w:ascii="宋体"/>
                <w:sz w:val="18"/>
              </w:rPr>
            </w:r>
          </w:p>
        </w:tc>
      </w:tr>
      <w:tr>
        <w:trPr>
          <w:trHeight w:val="295" w:hRule="exact"/>
        </w:trPr>
        <w:tc>
          <w:tcPr>
            <w:tcW w:w="4178"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8" w:right="0"/>
              <w:jc w:val="left"/>
              <w:rPr>
                <w:rFonts w:ascii="宋体" w:hAnsi="宋体" w:cs="宋体" w:eastAsia="宋体" w:hint="default"/>
                <w:sz w:val="18"/>
                <w:szCs w:val="18"/>
              </w:rPr>
            </w:pPr>
            <w:r>
              <w:rPr>
                <w:rFonts w:ascii="宋体" w:hAnsi="宋体" w:cs="宋体" w:eastAsia="宋体" w:hint="default"/>
                <w:b/>
                <w:bCs/>
                <w:sz w:val="18"/>
                <w:szCs w:val="18"/>
              </w:rPr>
              <w:t>六、其他综合收益</w:t>
            </w:r>
            <w:r>
              <w:rPr>
                <w:rFonts w:ascii="宋体" w:hAnsi="宋体" w:cs="宋体" w:eastAsia="宋体" w:hint="default"/>
                <w:sz w:val="18"/>
                <w:szCs w:val="18"/>
              </w:rPr>
            </w:r>
          </w:p>
        </w:tc>
        <w:tc>
          <w:tcPr>
            <w:tcW w:w="1200"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781" w:type="dxa"/>
            <w:tcBorders>
              <w:top w:val="single" w:sz="4" w:space="0" w:color="000000"/>
              <w:left w:val="nil" w:sz="6" w:space="0" w:color="auto"/>
              <w:bottom w:val="single" w:sz="4" w:space="0" w:color="000000"/>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nil" w:sz="6" w:space="0" w:color="auto"/>
              <w:right w:val="nil" w:sz="6" w:space="0" w:color="auto"/>
            </w:tcBorders>
          </w:tcPr>
          <w:p>
            <w:pPr/>
          </w:p>
        </w:tc>
        <w:tc>
          <w:tcPr>
            <w:tcW w:w="1925" w:type="dxa"/>
            <w:tcBorders>
              <w:top w:val="single" w:sz="4" w:space="0" w:color="000000"/>
              <w:left w:val="nil" w:sz="6" w:space="0" w:color="auto"/>
              <w:bottom w:val="single" w:sz="4" w:space="0" w:color="000000"/>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w:t>
            </w:r>
          </w:p>
        </w:tc>
      </w:tr>
      <w:tr>
        <w:trPr>
          <w:trHeight w:val="310" w:hRule="exact"/>
        </w:trPr>
        <w:tc>
          <w:tcPr>
            <w:tcW w:w="4178"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8" w:right="0"/>
              <w:jc w:val="left"/>
              <w:rPr>
                <w:rFonts w:ascii="宋体" w:hAnsi="宋体" w:cs="宋体" w:eastAsia="宋体" w:hint="default"/>
                <w:sz w:val="18"/>
                <w:szCs w:val="18"/>
              </w:rPr>
            </w:pPr>
            <w:r>
              <w:rPr>
                <w:rFonts w:ascii="宋体" w:hAnsi="宋体" w:cs="宋体" w:eastAsia="宋体" w:hint="default"/>
                <w:b/>
                <w:bCs/>
                <w:sz w:val="18"/>
                <w:szCs w:val="18"/>
              </w:rPr>
              <w:t>七、综合收益总额</w:t>
            </w:r>
            <w:r>
              <w:rPr>
                <w:rFonts w:ascii="宋体" w:hAnsi="宋体" w:cs="宋体" w:eastAsia="宋体" w:hint="default"/>
                <w:sz w:val="18"/>
                <w:szCs w:val="18"/>
              </w:rPr>
            </w:r>
          </w:p>
        </w:tc>
        <w:tc>
          <w:tcPr>
            <w:tcW w:w="1200"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781" w:type="dxa"/>
            <w:tcBorders>
              <w:top w:val="single" w:sz="4" w:space="0" w:color="000000"/>
              <w:left w:val="nil" w:sz="6" w:space="0" w:color="auto"/>
              <w:bottom w:val="single" w:sz="17" w:space="0" w:color="000000"/>
              <w:right w:val="nil" w:sz="6" w:space="0" w:color="auto"/>
            </w:tcBorders>
          </w:tcPr>
          <w:p>
            <w:pPr>
              <w:pStyle w:val="TableParagraph"/>
              <w:spacing w:line="232" w:lineRule="exact"/>
              <w:ind w:right="104"/>
              <w:jc w:val="right"/>
              <w:rPr>
                <w:rFonts w:ascii="宋体" w:hAnsi="宋体" w:cs="宋体" w:eastAsia="宋体" w:hint="default"/>
                <w:sz w:val="18"/>
                <w:szCs w:val="18"/>
              </w:rPr>
            </w:pPr>
            <w:r>
              <w:rPr>
                <w:rFonts w:ascii="宋体"/>
                <w:spacing w:val="-1"/>
                <w:sz w:val="18"/>
              </w:rPr>
              <w:t>22,523,905.35</w:t>
            </w:r>
          </w:p>
        </w:tc>
        <w:tc>
          <w:tcPr>
            <w:tcW w:w="235" w:type="dxa"/>
            <w:tcBorders>
              <w:top w:val="nil" w:sz="6" w:space="0" w:color="auto"/>
              <w:left w:val="nil" w:sz="6" w:space="0" w:color="auto"/>
              <w:bottom w:val="nil" w:sz="6" w:space="0" w:color="auto"/>
              <w:right w:val="nil" w:sz="6" w:space="0" w:color="auto"/>
            </w:tcBorders>
          </w:tcPr>
          <w:p>
            <w:pPr/>
          </w:p>
        </w:tc>
        <w:tc>
          <w:tcPr>
            <w:tcW w:w="1925" w:type="dxa"/>
            <w:tcBorders>
              <w:top w:val="single" w:sz="4" w:space="0" w:color="000000"/>
              <w:left w:val="nil" w:sz="6" w:space="0" w:color="auto"/>
              <w:bottom w:val="single" w:sz="17" w:space="0" w:color="000000"/>
              <w:right w:val="nil" w:sz="6" w:space="0" w:color="auto"/>
            </w:tcBorders>
          </w:tcPr>
          <w:p>
            <w:pPr>
              <w:pStyle w:val="TableParagraph"/>
              <w:spacing w:line="232" w:lineRule="exact"/>
              <w:ind w:right="104"/>
              <w:jc w:val="right"/>
              <w:rPr>
                <w:rFonts w:ascii="宋体" w:hAnsi="宋体" w:cs="宋体" w:eastAsia="宋体" w:hint="default"/>
                <w:sz w:val="18"/>
                <w:szCs w:val="18"/>
              </w:rPr>
            </w:pPr>
            <w:r>
              <w:rPr>
                <w:rFonts w:ascii="宋体"/>
                <w:spacing w:val="-1"/>
                <w:sz w:val="18"/>
              </w:rPr>
              <w:t>23,311,990.32</w:t>
            </w:r>
          </w:p>
        </w:tc>
      </w:tr>
      <w:tr>
        <w:trPr>
          <w:trHeight w:val="307" w:hRule="exact"/>
        </w:trPr>
        <w:tc>
          <w:tcPr>
            <w:tcW w:w="417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470" w:right="0"/>
              <w:jc w:val="left"/>
              <w:rPr>
                <w:rFonts w:ascii="宋体" w:hAnsi="宋体" w:cs="宋体" w:eastAsia="宋体" w:hint="default"/>
                <w:sz w:val="18"/>
                <w:szCs w:val="18"/>
              </w:rPr>
            </w:pPr>
            <w:r>
              <w:rPr>
                <w:rFonts w:ascii="宋体" w:hAnsi="宋体" w:cs="宋体" w:eastAsia="宋体" w:hint="default"/>
                <w:sz w:val="18"/>
                <w:szCs w:val="18"/>
              </w:rPr>
              <w:t>归属于母公司股东的综合收益总额</w:t>
            </w:r>
          </w:p>
        </w:tc>
        <w:tc>
          <w:tcPr>
            <w:tcW w:w="1200"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781" w:type="dxa"/>
            <w:tcBorders>
              <w:top w:val="single" w:sz="17" w:space="0" w:color="000000"/>
              <w:left w:val="nil" w:sz="6" w:space="0" w:color="auto"/>
              <w:bottom w:val="nil" w:sz="6" w:space="0" w:color="auto"/>
              <w:right w:val="nil" w:sz="6" w:space="0" w:color="auto"/>
            </w:tcBorders>
          </w:tcPr>
          <w:p>
            <w:pPr>
              <w:pStyle w:val="TableParagraph"/>
              <w:spacing w:line="234" w:lineRule="exact"/>
              <w:ind w:right="107"/>
              <w:jc w:val="right"/>
              <w:rPr>
                <w:rFonts w:ascii="宋体" w:hAnsi="宋体" w:cs="宋体" w:eastAsia="宋体" w:hint="default"/>
                <w:sz w:val="18"/>
                <w:szCs w:val="18"/>
              </w:rPr>
            </w:pPr>
            <w:r>
              <w:rPr>
                <w:rFonts w:ascii="宋体"/>
                <w:spacing w:val="-1"/>
                <w:sz w:val="18"/>
              </w:rPr>
              <w:t>22,523,905.35</w:t>
            </w:r>
          </w:p>
        </w:tc>
        <w:tc>
          <w:tcPr>
            <w:tcW w:w="235" w:type="dxa"/>
            <w:tcBorders>
              <w:top w:val="nil" w:sz="6" w:space="0" w:color="auto"/>
              <w:left w:val="nil" w:sz="6" w:space="0" w:color="auto"/>
              <w:bottom w:val="nil" w:sz="6" w:space="0" w:color="auto"/>
              <w:right w:val="nil" w:sz="6" w:space="0" w:color="auto"/>
            </w:tcBorders>
          </w:tcPr>
          <w:p>
            <w:pPr/>
          </w:p>
        </w:tc>
        <w:tc>
          <w:tcPr>
            <w:tcW w:w="1925" w:type="dxa"/>
            <w:tcBorders>
              <w:top w:val="single" w:sz="17" w:space="0" w:color="000000"/>
              <w:left w:val="nil" w:sz="6" w:space="0" w:color="auto"/>
              <w:bottom w:val="nil" w:sz="6" w:space="0" w:color="auto"/>
              <w:right w:val="nil" w:sz="6" w:space="0" w:color="auto"/>
            </w:tcBorders>
          </w:tcPr>
          <w:p>
            <w:pPr>
              <w:pStyle w:val="TableParagraph"/>
              <w:spacing w:line="234" w:lineRule="exact"/>
              <w:ind w:right="104"/>
              <w:jc w:val="right"/>
              <w:rPr>
                <w:rFonts w:ascii="宋体" w:hAnsi="宋体" w:cs="宋体" w:eastAsia="宋体" w:hint="default"/>
                <w:sz w:val="18"/>
                <w:szCs w:val="18"/>
              </w:rPr>
            </w:pPr>
            <w:r>
              <w:rPr>
                <w:rFonts w:ascii="宋体"/>
                <w:spacing w:val="-1"/>
                <w:sz w:val="18"/>
              </w:rPr>
              <w:t>23,311,990.32</w:t>
            </w:r>
          </w:p>
        </w:tc>
      </w:tr>
      <w:tr>
        <w:trPr>
          <w:trHeight w:val="573" w:hRule="exact"/>
        </w:trPr>
        <w:tc>
          <w:tcPr>
            <w:tcW w:w="4178" w:type="dxa"/>
            <w:tcBorders>
              <w:top w:val="nil" w:sz="6" w:space="0" w:color="auto"/>
              <w:left w:val="nil" w:sz="6" w:space="0" w:color="auto"/>
              <w:bottom w:val="single" w:sz="4" w:space="0" w:color="000000"/>
              <w:right w:val="nil" w:sz="6" w:space="0" w:color="auto"/>
            </w:tcBorders>
          </w:tcPr>
          <w:p>
            <w:pPr>
              <w:pStyle w:val="TableParagraph"/>
              <w:spacing w:line="232" w:lineRule="exact"/>
              <w:ind w:left="470"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1200" w:type="dxa"/>
            <w:tcBorders>
              <w:top w:val="nil" w:sz="6" w:space="0" w:color="auto"/>
              <w:left w:val="nil" w:sz="6" w:space="0" w:color="auto"/>
              <w:bottom w:val="single" w:sz="4" w:space="0" w:color="000000"/>
              <w:right w:val="nil" w:sz="6" w:space="0" w:color="auto"/>
            </w:tcBorders>
          </w:tcPr>
          <w:p>
            <w:pPr/>
          </w:p>
        </w:tc>
        <w:tc>
          <w:tcPr>
            <w:tcW w:w="235" w:type="dxa"/>
            <w:tcBorders>
              <w:top w:val="nil" w:sz="6" w:space="0" w:color="auto"/>
              <w:left w:val="nil" w:sz="6" w:space="0" w:color="auto"/>
              <w:bottom w:val="single" w:sz="4" w:space="0" w:color="000000"/>
              <w:right w:val="nil" w:sz="6" w:space="0" w:color="auto"/>
            </w:tcBorders>
          </w:tcPr>
          <w:p>
            <w:pPr/>
          </w:p>
        </w:tc>
        <w:tc>
          <w:tcPr>
            <w:tcW w:w="1781" w:type="dxa"/>
            <w:tcBorders>
              <w:top w:val="nil" w:sz="6" w:space="0" w:color="auto"/>
              <w:left w:val="nil" w:sz="6" w:space="0" w:color="auto"/>
              <w:bottom w:val="single" w:sz="4" w:space="0" w:color="000000"/>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w:t>
            </w:r>
          </w:p>
        </w:tc>
        <w:tc>
          <w:tcPr>
            <w:tcW w:w="235" w:type="dxa"/>
            <w:tcBorders>
              <w:top w:val="nil" w:sz="6" w:space="0" w:color="auto"/>
              <w:left w:val="nil" w:sz="6" w:space="0" w:color="auto"/>
              <w:bottom w:val="single" w:sz="4" w:space="0" w:color="000000"/>
              <w:right w:val="nil" w:sz="6" w:space="0" w:color="auto"/>
            </w:tcBorders>
          </w:tcPr>
          <w:p>
            <w:pPr/>
          </w:p>
        </w:tc>
        <w:tc>
          <w:tcPr>
            <w:tcW w:w="1925" w:type="dxa"/>
            <w:tcBorders>
              <w:top w:val="nil" w:sz="6" w:space="0" w:color="auto"/>
              <w:left w:val="nil" w:sz="6" w:space="0" w:color="auto"/>
              <w:bottom w:val="single" w:sz="4" w:space="0" w:color="000000"/>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w:t>
            </w:r>
          </w:p>
        </w:tc>
      </w:tr>
      <w:tr>
        <w:trPr>
          <w:trHeight w:val="714" w:hRule="exact"/>
        </w:trPr>
        <w:tc>
          <w:tcPr>
            <w:tcW w:w="9554" w:type="dxa"/>
            <w:gridSpan w:val="6"/>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tabs>
                <w:tab w:pos="3081" w:val="left" w:leader="none"/>
                <w:tab w:pos="7044" w:val="left" w:leader="none"/>
              </w:tabs>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公司负责人：</w:t>
            </w:r>
            <w:r>
              <w:rPr>
                <w:rFonts w:ascii="宋体" w:hAnsi="宋体" w:cs="宋体" w:eastAsia="宋体" w:hint="default"/>
                <w:spacing w:val="1"/>
                <w:sz w:val="18"/>
                <w:szCs w:val="18"/>
              </w:rPr>
              <w:t> </w:t>
            </w:r>
            <w:r>
              <w:rPr>
                <w:rFonts w:ascii="宋体" w:hAnsi="宋体" w:cs="宋体" w:eastAsia="宋体" w:hint="default"/>
                <w:sz w:val="18"/>
                <w:szCs w:val="18"/>
              </w:rPr>
              <w:t>黄元忠</w:t>
              <w:tab/>
              <w:t>主管会计工作负责人：</w:t>
            </w:r>
            <w:r>
              <w:rPr>
                <w:rFonts w:ascii="宋体" w:hAnsi="宋体" w:cs="宋体" w:eastAsia="宋体" w:hint="default"/>
                <w:spacing w:val="89"/>
                <w:sz w:val="18"/>
                <w:szCs w:val="18"/>
              </w:rPr>
              <w:t> </w:t>
            </w:r>
            <w:r>
              <w:rPr>
                <w:rFonts w:ascii="宋体" w:hAnsi="宋体" w:cs="宋体" w:eastAsia="宋体" w:hint="default"/>
                <w:sz w:val="18"/>
                <w:szCs w:val="18"/>
              </w:rPr>
              <w:t>孙晓玲</w:t>
              <w:tab/>
              <w:t>会计机构负责人：全丽</w:t>
            </w:r>
          </w:p>
        </w:tc>
      </w:tr>
      <w:tr>
        <w:trPr>
          <w:trHeight w:val="374" w:hRule="exact"/>
        </w:trPr>
        <w:tc>
          <w:tcPr>
            <w:tcW w:w="4178"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108" w:right="0"/>
              <w:jc w:val="left"/>
              <w:rPr>
                <w:rFonts w:ascii="宋体" w:hAnsi="宋体" w:cs="宋体" w:eastAsia="宋体" w:hint="default"/>
                <w:sz w:val="18"/>
                <w:szCs w:val="18"/>
              </w:rPr>
            </w:pPr>
            <w:r>
              <w:rPr>
                <w:rFonts w:ascii="宋体" w:hAnsi="宋体" w:cs="宋体" w:eastAsia="宋体" w:hint="default"/>
                <w:sz w:val="18"/>
                <w:szCs w:val="18"/>
              </w:rPr>
              <w:t>（所附附注是合并财务报表的组成部分）</w:t>
            </w:r>
          </w:p>
        </w:tc>
        <w:tc>
          <w:tcPr>
            <w:tcW w:w="1200"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781"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880" w:footer="979" w:top="1060" w:bottom="1160" w:left="1060" w:right="1060"/>
        </w:sectPr>
      </w:pPr>
    </w:p>
    <w:p>
      <w:pPr>
        <w:spacing w:line="240" w:lineRule="auto" w:before="2"/>
        <w:rPr>
          <w:rFonts w:ascii="Times New Roman" w:hAnsi="Times New Roman" w:cs="Times New Roman" w:eastAsia="Times New Roman" w:hint="default"/>
          <w:sz w:val="3"/>
          <w:szCs w:val="3"/>
        </w:rPr>
      </w:pPr>
      <w:r>
        <w:rPr/>
        <w:pict>
          <v:group style="position:absolute;margin-left:212.279999pt;margin-top:506.160004pt;width:73pt;height:2.2pt;mso-position-horizontal-relative:page;mso-position-vertical-relative:page;z-index:-1159960" coordorigin="4246,10123" coordsize="1460,44">
            <v:group style="position:absolute;left:4253;top:10130;width:1445;height:2" coordorigin="4253,10130" coordsize="1445,2">
              <v:shape style="position:absolute;left:4253;top:10130;width:1445;height:2" coordorigin="4253,10130" coordsize="1445,0" path="m4253,10130l5698,10130e" filled="false" stroked="true" strokeweight=".72pt" strokecolor="#000000">
                <v:path arrowok="t"/>
              </v:shape>
            </v:group>
            <v:group style="position:absolute;left:4253;top:10159;width:1445;height:2" coordorigin="4253,10159" coordsize="1445,2">
              <v:shape style="position:absolute;left:4253;top:10159;width:1445;height:2" coordorigin="4253,10159" coordsize="1445,0" path="m4253,10159l5698,10159e" filled="false" stroked="true" strokeweight=".72pt" strokecolor="#000000">
                <v:path arrowok="t"/>
              </v:shape>
            </v:group>
            <w10:wrap type="none"/>
          </v:group>
        </w:pict>
      </w:r>
      <w:r>
        <w:rPr/>
        <w:pict>
          <v:group style="position:absolute;margin-left:290.160004pt;margin-top:506.160004pt;width:80.05pt;height:2.2pt;mso-position-horizontal-relative:page;mso-position-vertical-relative:page;z-index:-1159936" coordorigin="5803,10123" coordsize="1601,44">
            <v:group style="position:absolute;left:5810;top:10130;width:1587;height:2" coordorigin="5810,10130" coordsize="1587,2">
              <v:shape style="position:absolute;left:5810;top:10130;width:1587;height:2" coordorigin="5810,10130" coordsize="1587,0" path="m5810,10130l7397,10130e" filled="false" stroked="true" strokeweight=".72pt" strokecolor="#000000">
                <v:path arrowok="t"/>
              </v:shape>
            </v:group>
            <v:group style="position:absolute;left:5810;top:10159;width:1587;height:2" coordorigin="5810,10159" coordsize="1587,2">
              <v:shape style="position:absolute;left:5810;top:10159;width:1587;height:2" coordorigin="5810,10159" coordsize="1587,0" path="m5810,10159l7397,10159e" filled="false" stroked="true" strokeweight=".72pt" strokecolor="#000000">
                <v:path arrowok="t"/>
              </v:shape>
            </v:group>
            <w10:wrap type="none"/>
          </v:group>
        </w:pict>
      </w:r>
      <w:r>
        <w:rPr/>
        <w:pict>
          <v:group style="position:absolute;margin-left:376.559998pt;margin-top:506.160004pt;width:92.55pt;height:2.2pt;mso-position-horizontal-relative:page;mso-position-vertical-relative:page;z-index:-1159912" coordorigin="7531,10123" coordsize="1851,44">
            <v:group style="position:absolute;left:7538;top:10130;width:884;height:2" coordorigin="7538,10130" coordsize="884,2">
              <v:shape style="position:absolute;left:7538;top:10130;width:884;height:2" coordorigin="7538,10130" coordsize="884,0" path="m7538,10130l8422,10130e" filled="false" stroked="true" strokeweight=".72pt" strokecolor="#000000">
                <v:path arrowok="t"/>
              </v:shape>
            </v:group>
            <v:group style="position:absolute;left:7538;top:10159;width:884;height:2" coordorigin="7538,10159" coordsize="884,2">
              <v:shape style="position:absolute;left:7538;top:10159;width:884;height:2" coordorigin="7538,10159" coordsize="884,0" path="m7538,10159l8422,10159e" filled="false" stroked="true" strokeweight=".72pt" strokecolor="#000000">
                <v:path arrowok="t"/>
              </v:shape>
            </v:group>
            <v:group style="position:absolute;left:8498;top:10130;width:876;height:2" coordorigin="8498,10130" coordsize="876,2">
              <v:shape style="position:absolute;left:8498;top:10130;width:876;height:2" coordorigin="8498,10130" coordsize="876,0" path="m8498,10130l9374,10130e" filled="false" stroked="true" strokeweight=".72pt" strokecolor="#000000">
                <v:path arrowok="t"/>
              </v:shape>
            </v:group>
            <v:group style="position:absolute;left:8498;top:10159;width:876;height:2" coordorigin="8498,10159" coordsize="876,2">
              <v:shape style="position:absolute;left:8498;top:10159;width:876;height:2" coordorigin="8498,10159" coordsize="876,0" path="m8498,10159l9374,10159e" filled="false" stroked="true" strokeweight=".72pt" strokecolor="#000000">
                <v:path arrowok="t"/>
              </v:shape>
            </v:group>
            <w10:wrap type="none"/>
          </v:group>
        </w:pict>
      </w:r>
      <w:r>
        <w:rPr/>
        <w:pict>
          <v:group style="position:absolute;margin-left:475.559998pt;margin-top:506.160004pt;width:134.550pt;height:2.2pt;mso-position-horizontal-relative:page;mso-position-vertical-relative:page;z-index:-1159888" coordorigin="9511,10123" coordsize="2691,44">
            <v:group style="position:absolute;left:9518;top:10130;width:1280;height:2" coordorigin="9518,10130" coordsize="1280,2">
              <v:shape style="position:absolute;left:9518;top:10130;width:1280;height:2" coordorigin="9518,10130" coordsize="1280,0" path="m9518,10130l10798,10130e" filled="false" stroked="true" strokeweight=".72pt" strokecolor="#000000">
                <v:path arrowok="t"/>
              </v:shape>
            </v:group>
            <v:group style="position:absolute;left:9518;top:10159;width:1280;height:2" coordorigin="9518,10159" coordsize="1280,2">
              <v:shape style="position:absolute;left:9518;top:10159;width:1280;height:2" coordorigin="9518,10159" coordsize="1280,0" path="m9518,10159l10798,10159e" filled="false" stroked="true" strokeweight=".72pt" strokecolor="#000000">
                <v:path arrowok="t"/>
              </v:shape>
            </v:group>
            <v:group style="position:absolute;left:10874;top:10130;width:1320;height:2" coordorigin="10874,10130" coordsize="1320,2">
              <v:shape style="position:absolute;left:10874;top:10130;width:1320;height:2" coordorigin="10874,10130" coordsize="1320,0" path="m10874,10130l12194,10130e" filled="false" stroked="true" strokeweight=".72pt" strokecolor="#000000">
                <v:path arrowok="t"/>
              </v:shape>
            </v:group>
            <v:group style="position:absolute;left:10874;top:10159;width:1320;height:2" coordorigin="10874,10159" coordsize="1320,2">
              <v:shape style="position:absolute;left:10874;top:10159;width:1320;height:2" coordorigin="10874,10159" coordsize="1320,0" path="m10874,10159l12194,10159e" filled="false" stroked="true" strokeweight=".72pt" strokecolor="#000000">
                <v:path arrowok="t"/>
              </v:shape>
            </v:group>
            <w10:wrap type="none"/>
          </v:group>
        </w:pict>
      </w:r>
      <w:r>
        <w:rPr/>
        <w:pict>
          <v:group style="position:absolute;margin-left:616.080017pt;margin-top:506.160004pt;width:71.9pt;height:2.2pt;mso-position-horizontal-relative:page;mso-position-vertical-relative:page;z-index:-1159864" coordorigin="12322,10123" coordsize="1438,44">
            <v:group style="position:absolute;left:12329;top:10130;width:1424;height:2" coordorigin="12329,10130" coordsize="1424,2">
              <v:shape style="position:absolute;left:12329;top:10130;width:1424;height:2" coordorigin="12329,10130" coordsize="1424,0" path="m12329,10130l13752,10130e" filled="false" stroked="true" strokeweight=".72pt" strokecolor="#000000">
                <v:path arrowok="t"/>
              </v:shape>
            </v:group>
            <v:group style="position:absolute;left:12329;top:10159;width:1424;height:2" coordorigin="12329,10159" coordsize="1424,2">
              <v:shape style="position:absolute;left:12329;top:10159;width:1424;height:2" coordorigin="12329,10159" coordsize="1424,0" path="m12329,10159l13752,10159e" filled="false" stroked="true" strokeweight=".72pt" strokecolor="#000000">
                <v:path arrowok="t"/>
              </v:shape>
            </v:group>
            <w10:wrap type="none"/>
          </v:group>
        </w:pict>
      </w:r>
    </w:p>
    <w:tbl>
      <w:tblPr>
        <w:tblW w:w="0" w:type="auto"/>
        <w:jc w:val="left"/>
        <w:tblInd w:w="117" w:type="dxa"/>
        <w:tblLayout w:type="fixed"/>
        <w:tblCellMar>
          <w:top w:w="0" w:type="dxa"/>
          <w:left w:w="0" w:type="dxa"/>
          <w:bottom w:w="0" w:type="dxa"/>
          <w:right w:w="0" w:type="dxa"/>
        </w:tblCellMar>
        <w:tblLook w:val="01E0"/>
      </w:tblPr>
      <w:tblGrid>
        <w:gridCol w:w="108"/>
        <w:gridCol w:w="2621"/>
        <w:gridCol w:w="2431"/>
        <w:gridCol w:w="113"/>
        <w:gridCol w:w="1586"/>
        <w:gridCol w:w="142"/>
        <w:gridCol w:w="883"/>
        <w:gridCol w:w="953"/>
        <w:gridCol w:w="144"/>
        <w:gridCol w:w="1279"/>
        <w:gridCol w:w="1397"/>
        <w:gridCol w:w="134"/>
        <w:gridCol w:w="1423"/>
        <w:gridCol w:w="132"/>
        <w:gridCol w:w="1145"/>
        <w:gridCol w:w="1558"/>
      </w:tblGrid>
      <w:tr>
        <w:trPr>
          <w:trHeight w:val="555" w:hRule="exact"/>
        </w:trPr>
        <w:tc>
          <w:tcPr>
            <w:tcW w:w="16049" w:type="dxa"/>
            <w:gridSpan w:val="16"/>
            <w:tcBorders>
              <w:top w:val="nil" w:sz="6" w:space="0" w:color="auto"/>
              <w:left w:val="nil" w:sz="6" w:space="0" w:color="auto"/>
              <w:bottom w:val="nil" w:sz="6" w:space="0" w:color="auto"/>
              <w:right w:val="nil" w:sz="6" w:space="0" w:color="auto"/>
            </w:tcBorders>
          </w:tcPr>
          <w:p>
            <w:pPr>
              <w:pStyle w:val="TableParagraph"/>
              <w:spacing w:line="240" w:lineRule="auto" w:before="173"/>
              <w:ind w:left="107" w:right="0"/>
              <w:jc w:val="center"/>
              <w:rPr>
                <w:rFonts w:ascii="宋体" w:hAnsi="宋体" w:cs="宋体" w:eastAsia="宋体" w:hint="default"/>
                <w:sz w:val="24"/>
                <w:szCs w:val="24"/>
              </w:rPr>
            </w:pPr>
            <w:r>
              <w:rPr>
                <w:rFonts w:ascii="宋体" w:hAnsi="宋体" w:cs="宋体" w:eastAsia="宋体" w:hint="default"/>
                <w:sz w:val="24"/>
                <w:szCs w:val="24"/>
              </w:rPr>
              <w:t>深圳市方直科技股份有限公司</w:t>
            </w:r>
          </w:p>
        </w:tc>
      </w:tr>
      <w:tr>
        <w:trPr>
          <w:trHeight w:val="387" w:hRule="exact"/>
        </w:trPr>
        <w:tc>
          <w:tcPr>
            <w:tcW w:w="16049" w:type="dxa"/>
            <w:gridSpan w:val="16"/>
            <w:tcBorders>
              <w:top w:val="nil" w:sz="6" w:space="0" w:color="auto"/>
              <w:left w:val="nil" w:sz="6" w:space="0" w:color="auto"/>
              <w:bottom w:val="nil" w:sz="6" w:space="0" w:color="auto"/>
              <w:right w:val="nil" w:sz="6" w:space="0" w:color="auto"/>
            </w:tcBorders>
          </w:tcPr>
          <w:p>
            <w:pPr>
              <w:pStyle w:val="TableParagraph"/>
              <w:spacing w:line="307" w:lineRule="exact"/>
              <w:ind w:left="107" w:right="0"/>
              <w:jc w:val="center"/>
              <w:rPr>
                <w:rFonts w:ascii="宋体" w:hAnsi="宋体" w:cs="宋体" w:eastAsia="宋体" w:hint="default"/>
                <w:sz w:val="24"/>
                <w:szCs w:val="24"/>
              </w:rPr>
            </w:pPr>
            <w:r>
              <w:rPr>
                <w:rFonts w:ascii="宋体" w:hAnsi="宋体" w:cs="宋体" w:eastAsia="宋体" w:hint="default"/>
                <w:sz w:val="24"/>
                <w:szCs w:val="24"/>
              </w:rPr>
              <w:t>合并股东权益变动表</w:t>
            </w:r>
          </w:p>
        </w:tc>
      </w:tr>
      <w:tr>
        <w:trPr>
          <w:trHeight w:val="308" w:hRule="exact"/>
        </w:trPr>
        <w:tc>
          <w:tcPr>
            <w:tcW w:w="108" w:type="dxa"/>
            <w:tcBorders>
              <w:top w:val="nil" w:sz="6" w:space="0" w:color="auto"/>
              <w:left w:val="nil" w:sz="6" w:space="0" w:color="auto"/>
              <w:bottom w:val="nil" w:sz="6" w:space="0" w:color="auto"/>
              <w:right w:val="nil" w:sz="6" w:space="0" w:color="auto"/>
            </w:tcBorders>
          </w:tcPr>
          <w:p>
            <w:pPr/>
          </w:p>
        </w:tc>
        <w:tc>
          <w:tcPr>
            <w:tcW w:w="2621" w:type="dxa"/>
            <w:tcBorders>
              <w:top w:val="nil" w:sz="6" w:space="0" w:color="auto"/>
              <w:left w:val="nil" w:sz="6" w:space="0" w:color="auto"/>
              <w:bottom w:val="nil" w:sz="6" w:space="0" w:color="auto"/>
              <w:right w:val="nil" w:sz="6" w:space="0" w:color="auto"/>
            </w:tcBorders>
          </w:tcPr>
          <w:p>
            <w:pPr/>
          </w:p>
        </w:tc>
        <w:tc>
          <w:tcPr>
            <w:tcW w:w="2431" w:type="dxa"/>
            <w:tcBorders>
              <w:top w:val="nil" w:sz="6" w:space="0" w:color="auto"/>
              <w:left w:val="nil" w:sz="6" w:space="0" w:color="auto"/>
              <w:bottom w:val="nil" w:sz="6" w:space="0" w:color="auto"/>
              <w:right w:val="nil" w:sz="6" w:space="0" w:color="auto"/>
            </w:tcBorders>
          </w:tcPr>
          <w:p>
            <w:pPr/>
          </w:p>
        </w:tc>
        <w:tc>
          <w:tcPr>
            <w:tcW w:w="113" w:type="dxa"/>
            <w:tcBorders>
              <w:top w:val="nil" w:sz="6" w:space="0" w:color="auto"/>
              <w:left w:val="nil" w:sz="6" w:space="0" w:color="auto"/>
              <w:bottom w:val="nil" w:sz="6" w:space="0" w:color="auto"/>
              <w:right w:val="nil" w:sz="6" w:space="0" w:color="auto"/>
            </w:tcBorders>
          </w:tcPr>
          <w:p>
            <w:pPr/>
          </w:p>
        </w:tc>
        <w:tc>
          <w:tcPr>
            <w:tcW w:w="1586" w:type="dxa"/>
            <w:tcBorders>
              <w:top w:val="nil" w:sz="6" w:space="0" w:color="auto"/>
              <w:left w:val="nil" w:sz="6" w:space="0" w:color="auto"/>
              <w:bottom w:val="nil" w:sz="6" w:space="0" w:color="auto"/>
              <w:right w:val="nil" w:sz="6" w:space="0" w:color="auto"/>
            </w:tcBorders>
          </w:tcPr>
          <w:p>
            <w:pPr/>
          </w:p>
        </w:tc>
        <w:tc>
          <w:tcPr>
            <w:tcW w:w="197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24"/>
              <w:ind w:left="679"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年度</w:t>
            </w:r>
          </w:p>
        </w:tc>
        <w:tc>
          <w:tcPr>
            <w:tcW w:w="144" w:type="dxa"/>
            <w:tcBorders>
              <w:top w:val="nil" w:sz="6" w:space="0" w:color="auto"/>
              <w:left w:val="nil" w:sz="6" w:space="0" w:color="auto"/>
              <w:bottom w:val="nil" w:sz="6" w:space="0" w:color="auto"/>
              <w:right w:val="nil" w:sz="6" w:space="0" w:color="auto"/>
            </w:tcBorders>
          </w:tcPr>
          <w:p>
            <w:pPr/>
          </w:p>
        </w:tc>
        <w:tc>
          <w:tcPr>
            <w:tcW w:w="1279" w:type="dxa"/>
            <w:tcBorders>
              <w:top w:val="nil" w:sz="6" w:space="0" w:color="auto"/>
              <w:left w:val="nil" w:sz="6" w:space="0" w:color="auto"/>
              <w:bottom w:val="nil" w:sz="6" w:space="0" w:color="auto"/>
              <w:right w:val="nil" w:sz="6" w:space="0" w:color="auto"/>
            </w:tcBorders>
          </w:tcPr>
          <w:p>
            <w:pPr/>
          </w:p>
        </w:tc>
        <w:tc>
          <w:tcPr>
            <w:tcW w:w="1397"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145"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24"/>
              <w:jc w:val="right"/>
              <w:rPr>
                <w:rFonts w:ascii="宋体" w:hAnsi="宋体" w:cs="宋体" w:eastAsia="宋体" w:hint="default"/>
                <w:sz w:val="18"/>
                <w:szCs w:val="18"/>
              </w:rPr>
            </w:pPr>
            <w:r>
              <w:rPr>
                <w:rFonts w:ascii="宋体" w:hAnsi="宋体" w:cs="宋体" w:eastAsia="宋体" w:hint="default"/>
                <w:sz w:val="18"/>
                <w:szCs w:val="18"/>
              </w:rPr>
              <w:t>单位：人民币元</w:t>
            </w:r>
          </w:p>
        </w:tc>
      </w:tr>
      <w:tr>
        <w:trPr>
          <w:trHeight w:val="275" w:hRule="exact"/>
        </w:trPr>
        <w:tc>
          <w:tcPr>
            <w:tcW w:w="108" w:type="dxa"/>
            <w:tcBorders>
              <w:top w:val="nil" w:sz="6" w:space="0" w:color="auto"/>
              <w:left w:val="nil" w:sz="6" w:space="0" w:color="auto"/>
              <w:bottom w:val="nil" w:sz="6" w:space="0" w:color="auto"/>
              <w:right w:val="nil" w:sz="6" w:space="0" w:color="auto"/>
            </w:tcBorders>
          </w:tcPr>
          <w:p>
            <w:pPr/>
          </w:p>
        </w:tc>
        <w:tc>
          <w:tcPr>
            <w:tcW w:w="2621" w:type="dxa"/>
            <w:tcBorders>
              <w:top w:val="nil" w:sz="6" w:space="0" w:color="auto"/>
              <w:left w:val="nil" w:sz="6" w:space="0" w:color="auto"/>
              <w:bottom w:val="single" w:sz="4" w:space="0" w:color="000000"/>
              <w:right w:val="nil" w:sz="6" w:space="0" w:color="auto"/>
            </w:tcBorders>
          </w:tcPr>
          <w:p>
            <w:pPr>
              <w:pStyle w:val="TableParagraph"/>
              <w:spacing w:line="228" w:lineRule="exact"/>
              <w:ind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2431"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left="165" w:right="0"/>
              <w:jc w:val="left"/>
              <w:rPr>
                <w:rFonts w:ascii="宋体" w:hAnsi="宋体" w:cs="宋体" w:eastAsia="宋体" w:hint="default"/>
                <w:sz w:val="15"/>
                <w:szCs w:val="15"/>
              </w:rPr>
            </w:pPr>
            <w:r>
              <w:rPr>
                <w:rFonts w:ascii="宋体" w:hAnsi="宋体" w:cs="宋体" w:eastAsia="宋体" w:hint="default"/>
                <w:sz w:val="15"/>
                <w:szCs w:val="15"/>
              </w:rPr>
              <w:t>附注六</w:t>
            </w:r>
          </w:p>
        </w:tc>
        <w:tc>
          <w:tcPr>
            <w:tcW w:w="113" w:type="dxa"/>
            <w:tcBorders>
              <w:top w:val="nil" w:sz="6" w:space="0" w:color="auto"/>
              <w:left w:val="nil" w:sz="6" w:space="0" w:color="auto"/>
              <w:bottom w:val="single" w:sz="4" w:space="0" w:color="000000"/>
              <w:right w:val="nil" w:sz="6" w:space="0" w:color="auto"/>
            </w:tcBorders>
          </w:tcPr>
          <w:p>
            <w:pPr/>
          </w:p>
        </w:tc>
        <w:tc>
          <w:tcPr>
            <w:tcW w:w="1586" w:type="dxa"/>
            <w:tcBorders>
              <w:top w:val="nil" w:sz="6" w:space="0" w:color="auto"/>
              <w:left w:val="nil" w:sz="6" w:space="0" w:color="auto"/>
              <w:bottom w:val="single" w:sz="4" w:space="0" w:color="000000"/>
              <w:right w:val="nil" w:sz="6" w:space="0" w:color="auto"/>
            </w:tcBorders>
          </w:tcPr>
          <w:p>
            <w:pPr/>
          </w:p>
        </w:tc>
        <w:tc>
          <w:tcPr>
            <w:tcW w:w="142" w:type="dxa"/>
            <w:tcBorders>
              <w:top w:val="nil" w:sz="6" w:space="0" w:color="auto"/>
              <w:left w:val="nil" w:sz="6" w:space="0" w:color="auto"/>
              <w:bottom w:val="single" w:sz="4" w:space="0" w:color="000000"/>
              <w:right w:val="nil" w:sz="6" w:space="0" w:color="auto"/>
            </w:tcBorders>
          </w:tcPr>
          <w:p>
            <w:pPr/>
          </w:p>
        </w:tc>
        <w:tc>
          <w:tcPr>
            <w:tcW w:w="883" w:type="dxa"/>
            <w:tcBorders>
              <w:top w:val="nil" w:sz="6" w:space="0" w:color="auto"/>
              <w:left w:val="nil" w:sz="6" w:space="0" w:color="auto"/>
              <w:bottom w:val="single" w:sz="4" w:space="0" w:color="000000"/>
              <w:right w:val="nil" w:sz="6" w:space="0" w:color="auto"/>
            </w:tcBorders>
          </w:tcPr>
          <w:p>
            <w:pPr/>
          </w:p>
        </w:tc>
        <w:tc>
          <w:tcPr>
            <w:tcW w:w="953" w:type="dxa"/>
            <w:tcBorders>
              <w:top w:val="nil" w:sz="6" w:space="0" w:color="auto"/>
              <w:left w:val="nil" w:sz="6" w:space="0" w:color="auto"/>
              <w:bottom w:val="single" w:sz="4" w:space="0" w:color="000000"/>
              <w:right w:val="nil" w:sz="6" w:space="0" w:color="auto"/>
            </w:tcBorders>
          </w:tcPr>
          <w:p>
            <w:pPr/>
          </w:p>
        </w:tc>
        <w:tc>
          <w:tcPr>
            <w:tcW w:w="2820" w:type="dxa"/>
            <w:gridSpan w:val="3"/>
            <w:tcBorders>
              <w:top w:val="nil" w:sz="6" w:space="0" w:color="auto"/>
              <w:left w:val="nil" w:sz="6" w:space="0" w:color="auto"/>
              <w:bottom w:val="single" w:sz="4" w:space="0" w:color="000000"/>
              <w:right w:val="nil" w:sz="6" w:space="0" w:color="auto"/>
            </w:tcBorders>
          </w:tcPr>
          <w:p>
            <w:pPr>
              <w:pStyle w:val="TableParagraph"/>
              <w:spacing w:line="228" w:lineRule="exact"/>
              <w:ind w:left="146"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134" w:type="dxa"/>
            <w:tcBorders>
              <w:top w:val="nil" w:sz="6" w:space="0" w:color="auto"/>
              <w:left w:val="nil" w:sz="6" w:space="0" w:color="auto"/>
              <w:bottom w:val="single" w:sz="4" w:space="0" w:color="000000"/>
              <w:right w:val="nil" w:sz="6" w:space="0" w:color="auto"/>
            </w:tcBorders>
          </w:tcPr>
          <w:p>
            <w:pPr/>
          </w:p>
        </w:tc>
        <w:tc>
          <w:tcPr>
            <w:tcW w:w="1423" w:type="dxa"/>
            <w:tcBorders>
              <w:top w:val="nil" w:sz="6" w:space="0" w:color="auto"/>
              <w:left w:val="nil" w:sz="6" w:space="0" w:color="auto"/>
              <w:bottom w:val="single" w:sz="4" w:space="0" w:color="000000"/>
              <w:right w:val="nil" w:sz="6" w:space="0" w:color="auto"/>
            </w:tcBorders>
          </w:tcPr>
          <w:p>
            <w:pPr/>
          </w:p>
        </w:tc>
        <w:tc>
          <w:tcPr>
            <w:tcW w:w="132" w:type="dxa"/>
            <w:tcBorders>
              <w:top w:val="nil" w:sz="6" w:space="0" w:color="auto"/>
              <w:left w:val="nil" w:sz="6" w:space="0" w:color="auto"/>
              <w:bottom w:val="single" w:sz="4" w:space="0" w:color="000000"/>
              <w:right w:val="nil" w:sz="6" w:space="0" w:color="auto"/>
            </w:tcBorders>
          </w:tcPr>
          <w:p>
            <w:pPr/>
          </w:p>
        </w:tc>
        <w:tc>
          <w:tcPr>
            <w:tcW w:w="1145" w:type="dxa"/>
            <w:tcBorders>
              <w:top w:val="nil" w:sz="6" w:space="0" w:color="auto"/>
              <w:left w:val="nil" w:sz="6" w:space="0" w:color="auto"/>
              <w:bottom w:val="single" w:sz="4" w:space="0" w:color="000000"/>
              <w:right w:val="nil" w:sz="6" w:space="0" w:color="auto"/>
            </w:tcBorders>
          </w:tcPr>
          <w:p>
            <w:pPr/>
          </w:p>
        </w:tc>
        <w:tc>
          <w:tcPr>
            <w:tcW w:w="1558" w:type="dxa"/>
            <w:tcBorders>
              <w:top w:val="nil" w:sz="6" w:space="0" w:color="auto"/>
              <w:left w:val="nil" w:sz="6" w:space="0" w:color="auto"/>
              <w:bottom w:val="single" w:sz="4" w:space="0" w:color="000000"/>
              <w:right w:val="nil" w:sz="6" w:space="0" w:color="auto"/>
            </w:tcBorders>
          </w:tcPr>
          <w:p>
            <w:pPr/>
          </w:p>
        </w:tc>
      </w:tr>
      <w:tr>
        <w:trPr>
          <w:trHeight w:val="432" w:hRule="exact"/>
        </w:trPr>
        <w:tc>
          <w:tcPr>
            <w:tcW w:w="108" w:type="dxa"/>
            <w:tcBorders>
              <w:top w:val="nil" w:sz="6" w:space="0" w:color="auto"/>
              <w:left w:val="nil" w:sz="6" w:space="0" w:color="auto"/>
              <w:bottom w:val="nil" w:sz="6" w:space="0" w:color="auto"/>
              <w:right w:val="nil" w:sz="6" w:space="0" w:color="auto"/>
            </w:tcBorders>
          </w:tcPr>
          <w:p>
            <w:pPr/>
          </w:p>
        </w:tc>
        <w:tc>
          <w:tcPr>
            <w:tcW w:w="2621" w:type="dxa"/>
            <w:tcBorders>
              <w:top w:val="single" w:sz="4" w:space="0" w:color="000000"/>
              <w:left w:val="nil" w:sz="6" w:space="0" w:color="auto"/>
              <w:bottom w:val="nil" w:sz="6" w:space="0" w:color="auto"/>
              <w:right w:val="nil" w:sz="6" w:space="0" w:color="auto"/>
            </w:tcBorders>
          </w:tcPr>
          <w:p>
            <w:pPr/>
          </w:p>
        </w:tc>
        <w:tc>
          <w:tcPr>
            <w:tcW w:w="2431" w:type="dxa"/>
            <w:tcBorders>
              <w:top w:val="single" w:sz="4" w:space="0" w:color="000000"/>
              <w:left w:val="nil" w:sz="6" w:space="0" w:color="auto"/>
              <w:bottom w:val="single" w:sz="4" w:space="0" w:color="000000"/>
              <w:right w:val="nil" w:sz="6" w:space="0" w:color="auto"/>
            </w:tcBorders>
          </w:tcPr>
          <w:p>
            <w:pPr>
              <w:pStyle w:val="TableParagraph"/>
              <w:spacing w:line="20" w:lineRule="exact"/>
              <w:ind w:left="72"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31.8pt;height:.5pt;mso-position-horizontal-relative:char;mso-position-vertical-relative:line" coordorigin="0,0" coordsize="636,10">
                  <v:group style="position:absolute;left:5;top:5;width:627;height:2" coordorigin="5,5" coordsize="627,2">
                    <v:shape style="position:absolute;left:5;top:5;width:627;height:2" coordorigin="5,5" coordsize="627,0" path="m5,5l631,5e" filled="false" stroked="true" strokeweight=".48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before="50"/>
              <w:ind w:left="1528"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13" w:type="dxa"/>
            <w:tcBorders>
              <w:top w:val="single" w:sz="4" w:space="0" w:color="000000"/>
              <w:left w:val="nil" w:sz="6" w:space="0" w:color="auto"/>
              <w:bottom w:val="nil" w:sz="6" w:space="0" w:color="auto"/>
              <w:right w:val="nil" w:sz="6" w:space="0" w:color="auto"/>
            </w:tcBorders>
          </w:tcPr>
          <w:p>
            <w:pPr/>
          </w:p>
        </w:tc>
        <w:tc>
          <w:tcPr>
            <w:tcW w:w="1586" w:type="dxa"/>
            <w:tcBorders>
              <w:top w:val="single" w:sz="4" w:space="0" w:color="000000"/>
              <w:left w:val="nil" w:sz="6" w:space="0" w:color="auto"/>
              <w:bottom w:val="single" w:sz="4" w:space="0" w:color="000000"/>
              <w:right w:val="nil" w:sz="6" w:space="0" w:color="auto"/>
            </w:tcBorders>
          </w:tcPr>
          <w:p>
            <w:pPr>
              <w:pStyle w:val="TableParagraph"/>
              <w:spacing w:line="240" w:lineRule="auto" w:before="61"/>
              <w:ind w:left="43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42" w:type="dxa"/>
            <w:tcBorders>
              <w:top w:val="single" w:sz="4" w:space="0" w:color="000000"/>
              <w:left w:val="nil" w:sz="6" w:space="0" w:color="auto"/>
              <w:bottom w:val="nil" w:sz="6" w:space="0" w:color="auto"/>
              <w:right w:val="nil" w:sz="6" w:space="0" w:color="auto"/>
            </w:tcBorders>
          </w:tcPr>
          <w:p>
            <w:pPr/>
          </w:p>
        </w:tc>
        <w:tc>
          <w:tcPr>
            <w:tcW w:w="883" w:type="dxa"/>
            <w:tcBorders>
              <w:top w:val="single" w:sz="4" w:space="0" w:color="000000"/>
              <w:left w:val="nil" w:sz="6" w:space="0" w:color="auto"/>
              <w:bottom w:val="single" w:sz="4" w:space="0" w:color="000000"/>
              <w:right w:val="nil" w:sz="6" w:space="0" w:color="auto"/>
            </w:tcBorders>
          </w:tcPr>
          <w:p>
            <w:pPr>
              <w:pStyle w:val="TableParagraph"/>
              <w:spacing w:line="240" w:lineRule="auto" w:before="61"/>
              <w:ind w:right="24"/>
              <w:jc w:val="right"/>
              <w:rPr>
                <w:rFonts w:ascii="宋体" w:hAnsi="宋体" w:cs="宋体" w:eastAsia="宋体" w:hint="default"/>
                <w:sz w:val="18"/>
                <w:szCs w:val="18"/>
              </w:rPr>
            </w:pPr>
            <w:r>
              <w:rPr>
                <w:rFonts w:ascii="宋体" w:hAnsi="宋体" w:cs="宋体" w:eastAsia="宋体" w:hint="default"/>
                <w:spacing w:val="-15"/>
                <w:sz w:val="18"/>
                <w:szCs w:val="18"/>
              </w:rPr>
              <w:t>减：库存股</w:t>
            </w:r>
          </w:p>
        </w:tc>
        <w:tc>
          <w:tcPr>
            <w:tcW w:w="953" w:type="dxa"/>
            <w:tcBorders>
              <w:top w:val="single" w:sz="4" w:space="0" w:color="000000"/>
              <w:left w:val="nil" w:sz="6" w:space="0" w:color="auto"/>
              <w:bottom w:val="single" w:sz="4" w:space="0" w:color="000000"/>
              <w:right w:val="nil" w:sz="6" w:space="0" w:color="auto"/>
            </w:tcBorders>
          </w:tcPr>
          <w:p>
            <w:pPr>
              <w:pStyle w:val="TableParagraph"/>
              <w:spacing w:line="240" w:lineRule="auto" w:before="61"/>
              <w:ind w:right="77"/>
              <w:jc w:val="right"/>
              <w:rPr>
                <w:rFonts w:ascii="宋体" w:hAnsi="宋体" w:cs="宋体" w:eastAsia="宋体" w:hint="default"/>
                <w:sz w:val="18"/>
                <w:szCs w:val="18"/>
              </w:rPr>
            </w:pPr>
            <w:r>
              <w:rPr>
                <w:rFonts w:ascii="宋体" w:hAnsi="宋体" w:cs="宋体" w:eastAsia="宋体" w:hint="default"/>
                <w:sz w:val="18"/>
                <w:szCs w:val="18"/>
              </w:rPr>
              <w:t>专项储备</w:t>
            </w:r>
          </w:p>
        </w:tc>
        <w:tc>
          <w:tcPr>
            <w:tcW w:w="144" w:type="dxa"/>
            <w:tcBorders>
              <w:top w:val="single" w:sz="4" w:space="0" w:color="000000"/>
              <w:left w:val="nil" w:sz="6" w:space="0" w:color="auto"/>
              <w:bottom w:val="nil" w:sz="6" w:space="0" w:color="auto"/>
              <w:right w:val="nil" w:sz="6" w:space="0" w:color="auto"/>
            </w:tcBorders>
          </w:tcPr>
          <w:p>
            <w:pPr/>
          </w:p>
        </w:tc>
        <w:tc>
          <w:tcPr>
            <w:tcW w:w="1279" w:type="dxa"/>
            <w:tcBorders>
              <w:top w:val="single" w:sz="4" w:space="0" w:color="000000"/>
              <w:left w:val="nil" w:sz="6" w:space="0" w:color="auto"/>
              <w:bottom w:val="single" w:sz="4" w:space="0" w:color="000000"/>
              <w:right w:val="nil" w:sz="6" w:space="0" w:color="auto"/>
            </w:tcBorders>
          </w:tcPr>
          <w:p>
            <w:pPr>
              <w:pStyle w:val="TableParagraph"/>
              <w:spacing w:line="240" w:lineRule="auto" w:before="61"/>
              <w:ind w:left="28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397" w:type="dxa"/>
            <w:tcBorders>
              <w:top w:val="single" w:sz="4" w:space="0" w:color="000000"/>
              <w:left w:val="nil" w:sz="6" w:space="0" w:color="auto"/>
              <w:bottom w:val="single" w:sz="4" w:space="0" w:color="000000"/>
              <w:right w:val="nil" w:sz="6" w:space="0" w:color="auto"/>
            </w:tcBorders>
          </w:tcPr>
          <w:p>
            <w:pPr>
              <w:pStyle w:val="TableParagraph"/>
              <w:spacing w:line="240" w:lineRule="auto" w:before="61"/>
              <w:ind w:left="196"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34" w:type="dxa"/>
            <w:tcBorders>
              <w:top w:val="single" w:sz="4" w:space="0" w:color="000000"/>
              <w:left w:val="nil" w:sz="6" w:space="0" w:color="auto"/>
              <w:bottom w:val="nil" w:sz="6" w:space="0" w:color="auto"/>
              <w:right w:val="nil" w:sz="6" w:space="0" w:color="auto"/>
            </w:tcBorders>
          </w:tcPr>
          <w:p>
            <w:pPr/>
          </w:p>
        </w:tc>
        <w:tc>
          <w:tcPr>
            <w:tcW w:w="1423" w:type="dxa"/>
            <w:tcBorders>
              <w:top w:val="single" w:sz="4" w:space="0" w:color="000000"/>
              <w:left w:val="nil" w:sz="6" w:space="0" w:color="auto"/>
              <w:bottom w:val="single" w:sz="4" w:space="0" w:color="000000"/>
              <w:right w:val="nil" w:sz="6" w:space="0" w:color="auto"/>
            </w:tcBorders>
          </w:tcPr>
          <w:p>
            <w:pPr>
              <w:pStyle w:val="TableParagraph"/>
              <w:spacing w:line="240" w:lineRule="auto" w:before="61"/>
              <w:ind w:left="26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32" w:type="dxa"/>
            <w:tcBorders>
              <w:top w:val="single" w:sz="4" w:space="0" w:color="000000"/>
              <w:left w:val="nil" w:sz="6" w:space="0" w:color="auto"/>
              <w:bottom w:val="nil" w:sz="6" w:space="0" w:color="auto"/>
              <w:right w:val="nil" w:sz="6" w:space="0" w:color="auto"/>
            </w:tcBorders>
          </w:tcPr>
          <w:p>
            <w:pPr/>
          </w:p>
        </w:tc>
        <w:tc>
          <w:tcPr>
            <w:tcW w:w="1145" w:type="dxa"/>
            <w:tcBorders>
              <w:top w:val="single" w:sz="4" w:space="0" w:color="000000"/>
              <w:left w:val="nil" w:sz="6" w:space="0" w:color="auto"/>
              <w:bottom w:val="single" w:sz="4" w:space="0" w:color="000000"/>
              <w:right w:val="nil" w:sz="6" w:space="0" w:color="auto"/>
            </w:tcBorders>
          </w:tcPr>
          <w:p>
            <w:pPr>
              <w:pStyle w:val="TableParagraph"/>
              <w:spacing w:line="240" w:lineRule="auto" w:before="61"/>
              <w:ind w:right="31"/>
              <w:jc w:val="right"/>
              <w:rPr>
                <w:rFonts w:ascii="宋体" w:hAnsi="宋体" w:cs="宋体" w:eastAsia="宋体" w:hint="default"/>
                <w:sz w:val="18"/>
                <w:szCs w:val="18"/>
              </w:rPr>
            </w:pPr>
            <w:r>
              <w:rPr>
                <w:rFonts w:ascii="宋体" w:hAnsi="宋体" w:cs="宋体" w:eastAsia="宋体" w:hint="default"/>
                <w:sz w:val="18"/>
                <w:szCs w:val="18"/>
              </w:rPr>
              <w:t>少数股东权益</w:t>
            </w:r>
          </w:p>
        </w:tc>
        <w:tc>
          <w:tcPr>
            <w:tcW w:w="1558" w:type="dxa"/>
            <w:tcBorders>
              <w:top w:val="single" w:sz="4" w:space="0" w:color="000000"/>
              <w:left w:val="nil" w:sz="6" w:space="0" w:color="auto"/>
              <w:bottom w:val="single" w:sz="4" w:space="0" w:color="000000"/>
              <w:right w:val="nil" w:sz="6" w:space="0" w:color="auto"/>
            </w:tcBorders>
          </w:tcPr>
          <w:p>
            <w:pPr>
              <w:pStyle w:val="TableParagraph"/>
              <w:spacing w:line="240" w:lineRule="auto" w:before="61"/>
              <w:ind w:left="275" w:right="0"/>
              <w:jc w:val="left"/>
              <w:rPr>
                <w:rFonts w:ascii="宋体" w:hAnsi="宋体" w:cs="宋体" w:eastAsia="宋体" w:hint="default"/>
                <w:sz w:val="18"/>
                <w:szCs w:val="18"/>
              </w:rPr>
            </w:pPr>
            <w:r>
              <w:rPr>
                <w:rFonts w:ascii="宋体" w:hAnsi="宋体" w:cs="宋体" w:eastAsia="宋体" w:hint="default"/>
                <w:sz w:val="18"/>
                <w:szCs w:val="18"/>
              </w:rPr>
              <w:t>股东权益合计</w:t>
            </w:r>
          </w:p>
        </w:tc>
      </w:tr>
      <w:tr>
        <w:trPr>
          <w:trHeight w:val="264" w:hRule="exact"/>
        </w:trPr>
        <w:tc>
          <w:tcPr>
            <w:tcW w:w="108" w:type="dxa"/>
            <w:tcBorders>
              <w:top w:val="nil" w:sz="6" w:space="0" w:color="auto"/>
              <w:left w:val="nil" w:sz="6" w:space="0" w:color="auto"/>
              <w:bottom w:val="nil" w:sz="6" w:space="0" w:color="auto"/>
              <w:right w:val="nil" w:sz="6" w:space="0" w:color="auto"/>
            </w:tcBorders>
          </w:tcPr>
          <w:p>
            <w:pPr/>
          </w:p>
        </w:tc>
        <w:tc>
          <w:tcPr>
            <w:tcW w:w="2621" w:type="dxa"/>
            <w:tcBorders>
              <w:top w:val="nil" w:sz="6" w:space="0" w:color="auto"/>
              <w:left w:val="nil" w:sz="6" w:space="0" w:color="auto"/>
              <w:bottom w:val="nil" w:sz="6" w:space="0" w:color="auto"/>
              <w:right w:val="nil" w:sz="6" w:space="0" w:color="auto"/>
            </w:tcBorders>
          </w:tcPr>
          <w:p>
            <w:pPr>
              <w:pStyle w:val="TableParagraph"/>
              <w:spacing w:line="217" w:lineRule="exact"/>
              <w:ind w:left="28" w:right="0"/>
              <w:jc w:val="left"/>
              <w:rPr>
                <w:rFonts w:ascii="宋体" w:hAnsi="宋体" w:cs="宋体" w:eastAsia="宋体" w:hint="default"/>
                <w:sz w:val="18"/>
                <w:szCs w:val="18"/>
              </w:rPr>
            </w:pPr>
            <w:r>
              <w:rPr>
                <w:rFonts w:ascii="宋体" w:hAnsi="宋体" w:cs="宋体" w:eastAsia="宋体" w:hint="default"/>
                <w:b/>
                <w:bCs/>
                <w:sz w:val="18"/>
                <w:szCs w:val="18"/>
              </w:rPr>
              <w:t>一、上年年末余额</w:t>
            </w:r>
            <w:r>
              <w:rPr>
                <w:rFonts w:ascii="宋体" w:hAnsi="宋体" w:cs="宋体" w:eastAsia="宋体" w:hint="default"/>
                <w:sz w:val="18"/>
                <w:szCs w:val="18"/>
              </w:rPr>
            </w:r>
          </w:p>
        </w:tc>
        <w:tc>
          <w:tcPr>
            <w:tcW w:w="2431" w:type="dxa"/>
            <w:tcBorders>
              <w:top w:val="single" w:sz="4" w:space="0" w:color="000000"/>
              <w:left w:val="nil" w:sz="6" w:space="0" w:color="auto"/>
              <w:bottom w:val="single" w:sz="4" w:space="0" w:color="000000"/>
              <w:right w:val="nil" w:sz="6" w:space="0" w:color="auto"/>
            </w:tcBorders>
          </w:tcPr>
          <w:p>
            <w:pPr>
              <w:pStyle w:val="TableParagraph"/>
              <w:spacing w:line="215" w:lineRule="exact"/>
              <w:ind w:right="21"/>
              <w:jc w:val="right"/>
              <w:rPr>
                <w:rFonts w:ascii="宋体" w:hAnsi="宋体" w:cs="宋体" w:eastAsia="宋体" w:hint="default"/>
                <w:sz w:val="18"/>
                <w:szCs w:val="18"/>
              </w:rPr>
            </w:pPr>
            <w:r>
              <w:rPr>
                <w:rFonts w:ascii="宋体"/>
                <w:spacing w:val="-1"/>
                <w:sz w:val="18"/>
              </w:rPr>
              <w:t>88,000,000.00</w:t>
            </w:r>
            <w:r>
              <w:rPr>
                <w:rFonts w:ascii="宋体"/>
                <w:sz w:val="18"/>
              </w:rPr>
            </w:r>
          </w:p>
        </w:tc>
        <w:tc>
          <w:tcPr>
            <w:tcW w:w="113" w:type="dxa"/>
            <w:tcBorders>
              <w:top w:val="nil" w:sz="6" w:space="0" w:color="auto"/>
              <w:left w:val="nil" w:sz="6" w:space="0" w:color="auto"/>
              <w:bottom w:val="nil" w:sz="6" w:space="0" w:color="auto"/>
              <w:right w:val="nil" w:sz="6" w:space="0" w:color="auto"/>
            </w:tcBorders>
          </w:tcPr>
          <w:p>
            <w:pPr/>
          </w:p>
        </w:tc>
        <w:tc>
          <w:tcPr>
            <w:tcW w:w="1586" w:type="dxa"/>
            <w:tcBorders>
              <w:top w:val="single" w:sz="4" w:space="0" w:color="000000"/>
              <w:left w:val="nil" w:sz="6" w:space="0" w:color="auto"/>
              <w:bottom w:val="single" w:sz="4" w:space="0" w:color="000000"/>
              <w:right w:val="nil" w:sz="6" w:space="0" w:color="auto"/>
            </w:tcBorders>
          </w:tcPr>
          <w:p>
            <w:pPr>
              <w:pStyle w:val="TableParagraph"/>
              <w:spacing w:line="215" w:lineRule="exact"/>
              <w:ind w:right="23"/>
              <w:jc w:val="right"/>
              <w:rPr>
                <w:rFonts w:ascii="宋体" w:hAnsi="宋体" w:cs="宋体" w:eastAsia="宋体" w:hint="default"/>
                <w:sz w:val="18"/>
                <w:szCs w:val="18"/>
              </w:rPr>
            </w:pPr>
            <w:r>
              <w:rPr>
                <w:rFonts w:ascii="宋体"/>
                <w:spacing w:val="-1"/>
                <w:sz w:val="18"/>
              </w:rPr>
              <w:t>132,980,990.76</w:t>
            </w:r>
          </w:p>
        </w:tc>
        <w:tc>
          <w:tcPr>
            <w:tcW w:w="142" w:type="dxa"/>
            <w:tcBorders>
              <w:top w:val="nil" w:sz="6" w:space="0" w:color="auto"/>
              <w:left w:val="nil" w:sz="6" w:space="0" w:color="auto"/>
              <w:bottom w:val="nil" w:sz="6" w:space="0" w:color="auto"/>
              <w:right w:val="nil" w:sz="6" w:space="0" w:color="auto"/>
            </w:tcBorders>
          </w:tcPr>
          <w:p>
            <w:pPr/>
          </w:p>
        </w:tc>
        <w:tc>
          <w:tcPr>
            <w:tcW w:w="883" w:type="dxa"/>
            <w:tcBorders>
              <w:top w:val="single" w:sz="4" w:space="0" w:color="000000"/>
              <w:left w:val="nil" w:sz="6" w:space="0" w:color="auto"/>
              <w:bottom w:val="single" w:sz="4" w:space="0" w:color="000000"/>
              <w:right w:val="nil" w:sz="6" w:space="0" w:color="auto"/>
            </w:tcBorders>
          </w:tcPr>
          <w:p>
            <w:pPr>
              <w:pStyle w:val="TableParagraph"/>
              <w:spacing w:line="215" w:lineRule="exact"/>
              <w:ind w:right="25"/>
              <w:jc w:val="right"/>
              <w:rPr>
                <w:rFonts w:ascii="宋体" w:hAnsi="宋体" w:cs="宋体" w:eastAsia="宋体" w:hint="default"/>
                <w:sz w:val="18"/>
                <w:szCs w:val="18"/>
              </w:rPr>
            </w:pPr>
            <w:r>
              <w:rPr>
                <w:rFonts w:ascii="宋体"/>
                <w:sz w:val="18"/>
              </w:rPr>
              <w:t>-</w:t>
            </w:r>
          </w:p>
        </w:tc>
        <w:tc>
          <w:tcPr>
            <w:tcW w:w="953" w:type="dxa"/>
            <w:tcBorders>
              <w:top w:val="single" w:sz="4" w:space="0" w:color="000000"/>
              <w:left w:val="nil" w:sz="6" w:space="0" w:color="auto"/>
              <w:bottom w:val="single" w:sz="4" w:space="0" w:color="000000"/>
              <w:right w:val="nil" w:sz="6" w:space="0" w:color="auto"/>
            </w:tcBorders>
          </w:tcPr>
          <w:p>
            <w:pPr>
              <w:pStyle w:val="TableParagraph"/>
              <w:spacing w:line="215" w:lineRule="exact"/>
              <w:ind w:right="29"/>
              <w:jc w:val="right"/>
              <w:rPr>
                <w:rFonts w:ascii="宋体" w:hAnsi="宋体" w:cs="宋体" w:eastAsia="宋体" w:hint="default"/>
                <w:sz w:val="18"/>
                <w:szCs w:val="18"/>
              </w:rPr>
            </w:pPr>
            <w:r>
              <w:rPr>
                <w:rFonts w:ascii="宋体"/>
                <w:sz w:val="18"/>
              </w:rPr>
              <w:t>-</w:t>
            </w:r>
          </w:p>
        </w:tc>
        <w:tc>
          <w:tcPr>
            <w:tcW w:w="144" w:type="dxa"/>
            <w:tcBorders>
              <w:top w:val="nil" w:sz="6" w:space="0" w:color="auto"/>
              <w:left w:val="nil" w:sz="6" w:space="0" w:color="auto"/>
              <w:bottom w:val="nil" w:sz="6" w:space="0" w:color="auto"/>
              <w:right w:val="nil" w:sz="6" w:space="0" w:color="auto"/>
            </w:tcBorders>
          </w:tcPr>
          <w:p>
            <w:pPr/>
          </w:p>
        </w:tc>
        <w:tc>
          <w:tcPr>
            <w:tcW w:w="1279" w:type="dxa"/>
            <w:tcBorders>
              <w:top w:val="single" w:sz="4" w:space="0" w:color="000000"/>
              <w:left w:val="nil" w:sz="6" w:space="0" w:color="auto"/>
              <w:bottom w:val="single" w:sz="4" w:space="0" w:color="000000"/>
              <w:right w:val="nil" w:sz="6" w:space="0" w:color="auto"/>
            </w:tcBorders>
          </w:tcPr>
          <w:p>
            <w:pPr>
              <w:pStyle w:val="TableParagraph"/>
              <w:spacing w:line="215" w:lineRule="exact"/>
              <w:ind w:right="21"/>
              <w:jc w:val="right"/>
              <w:rPr>
                <w:rFonts w:ascii="宋体" w:hAnsi="宋体" w:cs="宋体" w:eastAsia="宋体" w:hint="default"/>
                <w:sz w:val="18"/>
                <w:szCs w:val="18"/>
              </w:rPr>
            </w:pPr>
            <w:r>
              <w:rPr>
                <w:rFonts w:ascii="宋体"/>
                <w:spacing w:val="-1"/>
                <w:sz w:val="18"/>
              </w:rPr>
              <w:t>11,736,079.47</w:t>
            </w:r>
            <w:r>
              <w:rPr>
                <w:rFonts w:ascii="宋体"/>
                <w:sz w:val="18"/>
              </w:rPr>
            </w:r>
          </w:p>
        </w:tc>
        <w:tc>
          <w:tcPr>
            <w:tcW w:w="1397" w:type="dxa"/>
            <w:tcBorders>
              <w:top w:val="single" w:sz="4" w:space="0" w:color="000000"/>
              <w:left w:val="nil" w:sz="6" w:space="0" w:color="auto"/>
              <w:bottom w:val="single" w:sz="4" w:space="0" w:color="000000"/>
              <w:right w:val="nil" w:sz="6" w:space="0" w:color="auto"/>
            </w:tcBorders>
          </w:tcPr>
          <w:p>
            <w:pPr>
              <w:pStyle w:val="TableParagraph"/>
              <w:spacing w:line="215" w:lineRule="exact"/>
              <w:ind w:right="28"/>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1423" w:type="dxa"/>
            <w:tcBorders>
              <w:top w:val="single" w:sz="4" w:space="0" w:color="000000"/>
              <w:left w:val="nil" w:sz="6" w:space="0" w:color="auto"/>
              <w:bottom w:val="single" w:sz="4" w:space="0" w:color="000000"/>
              <w:right w:val="nil" w:sz="6" w:space="0" w:color="auto"/>
            </w:tcBorders>
          </w:tcPr>
          <w:p>
            <w:pPr>
              <w:pStyle w:val="TableParagraph"/>
              <w:spacing w:line="215" w:lineRule="exact"/>
              <w:ind w:right="21"/>
              <w:jc w:val="right"/>
              <w:rPr>
                <w:rFonts w:ascii="宋体" w:hAnsi="宋体" w:cs="宋体" w:eastAsia="宋体" w:hint="default"/>
                <w:sz w:val="18"/>
                <w:szCs w:val="18"/>
              </w:rPr>
            </w:pPr>
            <w:r>
              <w:rPr>
                <w:rFonts w:ascii="宋体"/>
                <w:spacing w:val="-1"/>
                <w:sz w:val="18"/>
              </w:rPr>
              <w:t>86,282,907.86</w:t>
            </w:r>
            <w:r>
              <w:rPr>
                <w:rFonts w:ascii="宋体"/>
                <w:sz w:val="18"/>
              </w:rPr>
            </w:r>
          </w:p>
        </w:tc>
        <w:tc>
          <w:tcPr>
            <w:tcW w:w="132" w:type="dxa"/>
            <w:tcBorders>
              <w:top w:val="nil" w:sz="6" w:space="0" w:color="auto"/>
              <w:left w:val="nil" w:sz="6" w:space="0" w:color="auto"/>
              <w:bottom w:val="nil" w:sz="6" w:space="0" w:color="auto"/>
              <w:right w:val="nil" w:sz="6" w:space="0" w:color="auto"/>
            </w:tcBorders>
          </w:tcPr>
          <w:p>
            <w:pPr/>
          </w:p>
        </w:tc>
        <w:tc>
          <w:tcPr>
            <w:tcW w:w="1145" w:type="dxa"/>
            <w:tcBorders>
              <w:top w:val="single" w:sz="4" w:space="0" w:color="000000"/>
              <w:left w:val="nil" w:sz="6" w:space="0" w:color="auto"/>
              <w:bottom w:val="single" w:sz="4" w:space="0" w:color="000000"/>
              <w:right w:val="nil" w:sz="6" w:space="0" w:color="auto"/>
            </w:tcBorders>
          </w:tcPr>
          <w:p>
            <w:pPr>
              <w:pStyle w:val="TableParagraph"/>
              <w:spacing w:line="215" w:lineRule="exact"/>
              <w:ind w:right="29"/>
              <w:jc w:val="right"/>
              <w:rPr>
                <w:rFonts w:ascii="宋体" w:hAnsi="宋体" w:cs="宋体" w:eastAsia="宋体" w:hint="default"/>
                <w:sz w:val="18"/>
                <w:szCs w:val="18"/>
              </w:rPr>
            </w:pPr>
            <w:r>
              <w:rPr>
                <w:rFonts w:ascii="宋体"/>
                <w:sz w:val="18"/>
              </w:rPr>
              <w:t>-</w:t>
            </w:r>
          </w:p>
        </w:tc>
        <w:tc>
          <w:tcPr>
            <w:tcW w:w="1558" w:type="dxa"/>
            <w:tcBorders>
              <w:top w:val="single" w:sz="4" w:space="0" w:color="000000"/>
              <w:left w:val="nil" w:sz="6" w:space="0" w:color="auto"/>
              <w:bottom w:val="single" w:sz="4" w:space="0" w:color="000000"/>
              <w:right w:val="nil" w:sz="6" w:space="0" w:color="auto"/>
            </w:tcBorders>
          </w:tcPr>
          <w:p>
            <w:pPr>
              <w:pStyle w:val="TableParagraph"/>
              <w:spacing w:line="215" w:lineRule="exact"/>
              <w:ind w:right="23"/>
              <w:jc w:val="right"/>
              <w:rPr>
                <w:rFonts w:ascii="宋体" w:hAnsi="宋体" w:cs="宋体" w:eastAsia="宋体" w:hint="default"/>
                <w:sz w:val="18"/>
                <w:szCs w:val="18"/>
              </w:rPr>
            </w:pPr>
            <w:r>
              <w:rPr>
                <w:rFonts w:ascii="宋体"/>
                <w:spacing w:val="-1"/>
                <w:sz w:val="18"/>
              </w:rPr>
              <w:t>318,999,978.09</w:t>
            </w:r>
          </w:p>
        </w:tc>
      </w:tr>
      <w:tr>
        <w:trPr>
          <w:trHeight w:val="258" w:hRule="exact"/>
        </w:trPr>
        <w:tc>
          <w:tcPr>
            <w:tcW w:w="108" w:type="dxa"/>
            <w:tcBorders>
              <w:top w:val="nil" w:sz="6" w:space="0" w:color="auto"/>
              <w:left w:val="nil" w:sz="6" w:space="0" w:color="auto"/>
              <w:bottom w:val="nil" w:sz="6" w:space="0" w:color="auto"/>
              <w:right w:val="nil" w:sz="6" w:space="0" w:color="auto"/>
            </w:tcBorders>
          </w:tcPr>
          <w:p>
            <w:pPr/>
          </w:p>
        </w:tc>
        <w:tc>
          <w:tcPr>
            <w:tcW w:w="2621" w:type="dxa"/>
            <w:tcBorders>
              <w:top w:val="nil" w:sz="6" w:space="0" w:color="auto"/>
              <w:left w:val="nil" w:sz="6" w:space="0" w:color="auto"/>
              <w:bottom w:val="nil" w:sz="6" w:space="0" w:color="auto"/>
              <w:right w:val="nil" w:sz="6" w:space="0" w:color="auto"/>
            </w:tcBorders>
          </w:tcPr>
          <w:p>
            <w:pPr>
              <w:pStyle w:val="TableParagraph"/>
              <w:spacing w:line="220" w:lineRule="exact"/>
              <w:ind w:left="28"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2431" w:type="dxa"/>
            <w:tcBorders>
              <w:top w:val="single" w:sz="4" w:space="0" w:color="000000"/>
              <w:left w:val="nil" w:sz="6" w:space="0" w:color="auto"/>
              <w:bottom w:val="nil" w:sz="6" w:space="0" w:color="auto"/>
              <w:right w:val="nil" w:sz="6" w:space="0" w:color="auto"/>
            </w:tcBorders>
          </w:tcPr>
          <w:p>
            <w:pPr>
              <w:pStyle w:val="TableParagraph"/>
              <w:spacing w:line="217" w:lineRule="exact"/>
              <w:ind w:right="25"/>
              <w:jc w:val="right"/>
              <w:rPr>
                <w:rFonts w:ascii="宋体" w:hAnsi="宋体" w:cs="宋体" w:eastAsia="宋体" w:hint="default"/>
                <w:sz w:val="18"/>
                <w:szCs w:val="18"/>
              </w:rPr>
            </w:pPr>
            <w:r>
              <w:rPr>
                <w:rFonts w:ascii="宋体"/>
                <w:sz w:val="18"/>
              </w:rPr>
              <w:t>-</w:t>
            </w:r>
          </w:p>
        </w:tc>
        <w:tc>
          <w:tcPr>
            <w:tcW w:w="113" w:type="dxa"/>
            <w:tcBorders>
              <w:top w:val="nil" w:sz="6" w:space="0" w:color="auto"/>
              <w:left w:val="nil" w:sz="6" w:space="0" w:color="auto"/>
              <w:bottom w:val="nil" w:sz="6" w:space="0" w:color="auto"/>
              <w:right w:val="nil" w:sz="6" w:space="0" w:color="auto"/>
            </w:tcBorders>
          </w:tcPr>
          <w:p>
            <w:pPr/>
          </w:p>
        </w:tc>
        <w:tc>
          <w:tcPr>
            <w:tcW w:w="1586" w:type="dxa"/>
            <w:tcBorders>
              <w:top w:val="single" w:sz="4" w:space="0" w:color="000000"/>
              <w:left w:val="nil" w:sz="6" w:space="0" w:color="auto"/>
              <w:bottom w:val="nil" w:sz="6" w:space="0" w:color="auto"/>
              <w:right w:val="nil" w:sz="6" w:space="0" w:color="auto"/>
            </w:tcBorders>
          </w:tcPr>
          <w:p>
            <w:pPr>
              <w:pStyle w:val="TableParagraph"/>
              <w:spacing w:line="217" w:lineRule="exact"/>
              <w:ind w:right="25"/>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883" w:type="dxa"/>
            <w:tcBorders>
              <w:top w:val="single" w:sz="4" w:space="0" w:color="000000"/>
              <w:left w:val="nil" w:sz="6" w:space="0" w:color="auto"/>
              <w:bottom w:val="nil" w:sz="6" w:space="0" w:color="auto"/>
              <w:right w:val="nil" w:sz="6" w:space="0" w:color="auto"/>
            </w:tcBorders>
          </w:tcPr>
          <w:p>
            <w:pPr>
              <w:pStyle w:val="TableParagraph"/>
              <w:spacing w:line="217" w:lineRule="exact"/>
              <w:ind w:right="25"/>
              <w:jc w:val="right"/>
              <w:rPr>
                <w:rFonts w:ascii="宋体" w:hAnsi="宋体" w:cs="宋体" w:eastAsia="宋体" w:hint="default"/>
                <w:sz w:val="18"/>
                <w:szCs w:val="18"/>
              </w:rPr>
            </w:pPr>
            <w:r>
              <w:rPr>
                <w:rFonts w:ascii="宋体"/>
                <w:sz w:val="18"/>
              </w:rPr>
              <w:t>-</w:t>
            </w:r>
          </w:p>
        </w:tc>
        <w:tc>
          <w:tcPr>
            <w:tcW w:w="953" w:type="dxa"/>
            <w:tcBorders>
              <w:top w:val="single" w:sz="4" w:space="0" w:color="000000"/>
              <w:left w:val="nil" w:sz="6" w:space="0" w:color="auto"/>
              <w:bottom w:val="nil" w:sz="6" w:space="0" w:color="auto"/>
              <w:right w:val="nil" w:sz="6" w:space="0" w:color="auto"/>
            </w:tcBorders>
          </w:tcPr>
          <w:p>
            <w:pPr>
              <w:pStyle w:val="TableParagraph"/>
              <w:spacing w:line="217" w:lineRule="exact"/>
              <w:ind w:right="29"/>
              <w:jc w:val="right"/>
              <w:rPr>
                <w:rFonts w:ascii="宋体" w:hAnsi="宋体" w:cs="宋体" w:eastAsia="宋体" w:hint="default"/>
                <w:sz w:val="18"/>
                <w:szCs w:val="18"/>
              </w:rPr>
            </w:pPr>
            <w:r>
              <w:rPr>
                <w:rFonts w:ascii="宋体"/>
                <w:sz w:val="18"/>
              </w:rPr>
              <w:t>-</w:t>
            </w:r>
          </w:p>
        </w:tc>
        <w:tc>
          <w:tcPr>
            <w:tcW w:w="144" w:type="dxa"/>
            <w:tcBorders>
              <w:top w:val="nil" w:sz="6" w:space="0" w:color="auto"/>
              <w:left w:val="nil" w:sz="6" w:space="0" w:color="auto"/>
              <w:bottom w:val="nil" w:sz="6" w:space="0" w:color="auto"/>
              <w:right w:val="nil" w:sz="6" w:space="0" w:color="auto"/>
            </w:tcBorders>
          </w:tcPr>
          <w:p>
            <w:pPr/>
          </w:p>
        </w:tc>
        <w:tc>
          <w:tcPr>
            <w:tcW w:w="1279" w:type="dxa"/>
            <w:tcBorders>
              <w:top w:val="single" w:sz="4" w:space="0" w:color="000000"/>
              <w:left w:val="nil" w:sz="6" w:space="0" w:color="auto"/>
              <w:bottom w:val="nil" w:sz="6" w:space="0" w:color="auto"/>
              <w:right w:val="nil" w:sz="6" w:space="0" w:color="auto"/>
            </w:tcBorders>
          </w:tcPr>
          <w:p>
            <w:pPr>
              <w:pStyle w:val="TableParagraph"/>
              <w:spacing w:line="217" w:lineRule="exact"/>
              <w:ind w:right="25"/>
              <w:jc w:val="right"/>
              <w:rPr>
                <w:rFonts w:ascii="宋体" w:hAnsi="宋体" w:cs="宋体" w:eastAsia="宋体" w:hint="default"/>
                <w:sz w:val="18"/>
                <w:szCs w:val="18"/>
              </w:rPr>
            </w:pPr>
            <w:r>
              <w:rPr>
                <w:rFonts w:ascii="宋体"/>
                <w:sz w:val="18"/>
              </w:rPr>
              <w:t>-</w:t>
            </w:r>
          </w:p>
        </w:tc>
        <w:tc>
          <w:tcPr>
            <w:tcW w:w="1397" w:type="dxa"/>
            <w:tcBorders>
              <w:top w:val="single" w:sz="4" w:space="0" w:color="000000"/>
              <w:left w:val="nil" w:sz="6" w:space="0" w:color="auto"/>
              <w:bottom w:val="nil" w:sz="6" w:space="0" w:color="auto"/>
              <w:right w:val="nil" w:sz="6" w:space="0" w:color="auto"/>
            </w:tcBorders>
          </w:tcPr>
          <w:p>
            <w:pPr>
              <w:pStyle w:val="TableParagraph"/>
              <w:spacing w:line="217" w:lineRule="exact"/>
              <w:ind w:right="28"/>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1423" w:type="dxa"/>
            <w:tcBorders>
              <w:top w:val="single" w:sz="4" w:space="0" w:color="000000"/>
              <w:left w:val="nil" w:sz="6" w:space="0" w:color="auto"/>
              <w:bottom w:val="nil" w:sz="6" w:space="0" w:color="auto"/>
              <w:right w:val="nil" w:sz="6" w:space="0" w:color="auto"/>
            </w:tcBorders>
          </w:tcPr>
          <w:p>
            <w:pPr>
              <w:pStyle w:val="TableParagraph"/>
              <w:spacing w:line="217" w:lineRule="exact"/>
              <w:ind w:right="25"/>
              <w:jc w:val="right"/>
              <w:rPr>
                <w:rFonts w:ascii="宋体" w:hAnsi="宋体" w:cs="宋体" w:eastAsia="宋体" w:hint="default"/>
                <w:sz w:val="18"/>
                <w:szCs w:val="18"/>
              </w:rPr>
            </w:pPr>
            <w:r>
              <w:rPr>
                <w:rFonts w:ascii="宋体"/>
                <w:sz w:val="18"/>
              </w:rPr>
              <w:t>-</w:t>
            </w:r>
          </w:p>
        </w:tc>
        <w:tc>
          <w:tcPr>
            <w:tcW w:w="132" w:type="dxa"/>
            <w:tcBorders>
              <w:top w:val="nil" w:sz="6" w:space="0" w:color="auto"/>
              <w:left w:val="nil" w:sz="6" w:space="0" w:color="auto"/>
              <w:bottom w:val="nil" w:sz="6" w:space="0" w:color="auto"/>
              <w:right w:val="nil" w:sz="6" w:space="0" w:color="auto"/>
            </w:tcBorders>
          </w:tcPr>
          <w:p>
            <w:pPr/>
          </w:p>
        </w:tc>
        <w:tc>
          <w:tcPr>
            <w:tcW w:w="1145" w:type="dxa"/>
            <w:tcBorders>
              <w:top w:val="single" w:sz="4" w:space="0" w:color="000000"/>
              <w:left w:val="nil" w:sz="6" w:space="0" w:color="auto"/>
              <w:bottom w:val="nil" w:sz="6" w:space="0" w:color="auto"/>
              <w:right w:val="nil" w:sz="6" w:space="0" w:color="auto"/>
            </w:tcBorders>
          </w:tcPr>
          <w:p>
            <w:pPr>
              <w:pStyle w:val="TableParagraph"/>
              <w:spacing w:line="217" w:lineRule="exact"/>
              <w:ind w:right="29"/>
              <w:jc w:val="right"/>
              <w:rPr>
                <w:rFonts w:ascii="宋体" w:hAnsi="宋体" w:cs="宋体" w:eastAsia="宋体" w:hint="default"/>
                <w:sz w:val="18"/>
                <w:szCs w:val="18"/>
              </w:rPr>
            </w:pPr>
            <w:r>
              <w:rPr>
                <w:rFonts w:ascii="宋体"/>
                <w:sz w:val="18"/>
              </w:rPr>
              <w:t>-</w:t>
            </w:r>
          </w:p>
        </w:tc>
        <w:tc>
          <w:tcPr>
            <w:tcW w:w="1558" w:type="dxa"/>
            <w:tcBorders>
              <w:top w:val="single" w:sz="4" w:space="0" w:color="000000"/>
              <w:left w:val="nil" w:sz="6" w:space="0" w:color="auto"/>
              <w:bottom w:val="nil" w:sz="6" w:space="0" w:color="auto"/>
              <w:right w:val="nil" w:sz="6" w:space="0" w:color="auto"/>
            </w:tcBorders>
          </w:tcPr>
          <w:p>
            <w:pPr>
              <w:pStyle w:val="TableParagraph"/>
              <w:spacing w:line="217" w:lineRule="exact"/>
              <w:ind w:right="25"/>
              <w:jc w:val="right"/>
              <w:rPr>
                <w:rFonts w:ascii="宋体" w:hAnsi="宋体" w:cs="宋体" w:eastAsia="宋体" w:hint="default"/>
                <w:sz w:val="18"/>
                <w:szCs w:val="18"/>
              </w:rPr>
            </w:pPr>
            <w:r>
              <w:rPr>
                <w:rFonts w:ascii="宋体"/>
                <w:sz w:val="18"/>
              </w:rPr>
              <w:t>-</w:t>
            </w:r>
          </w:p>
        </w:tc>
      </w:tr>
      <w:tr>
        <w:trPr>
          <w:trHeight w:val="254" w:hRule="exact"/>
        </w:trPr>
        <w:tc>
          <w:tcPr>
            <w:tcW w:w="108" w:type="dxa"/>
            <w:tcBorders>
              <w:top w:val="nil" w:sz="6" w:space="0" w:color="auto"/>
              <w:left w:val="nil" w:sz="6" w:space="0" w:color="auto"/>
              <w:bottom w:val="nil" w:sz="6" w:space="0" w:color="auto"/>
              <w:right w:val="nil" w:sz="6" w:space="0" w:color="auto"/>
            </w:tcBorders>
          </w:tcPr>
          <w:p>
            <w:pPr/>
          </w:p>
        </w:tc>
        <w:tc>
          <w:tcPr>
            <w:tcW w:w="2621" w:type="dxa"/>
            <w:tcBorders>
              <w:top w:val="nil" w:sz="6" w:space="0" w:color="auto"/>
              <w:left w:val="nil" w:sz="6" w:space="0" w:color="auto"/>
              <w:bottom w:val="nil" w:sz="6" w:space="0" w:color="auto"/>
              <w:right w:val="nil" w:sz="6" w:space="0" w:color="auto"/>
            </w:tcBorders>
          </w:tcPr>
          <w:p>
            <w:pPr>
              <w:pStyle w:val="TableParagraph"/>
              <w:spacing w:line="216" w:lineRule="exact"/>
              <w:ind w:left="39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2431" w:type="dxa"/>
            <w:tcBorders>
              <w:top w:val="nil" w:sz="6" w:space="0" w:color="auto"/>
              <w:left w:val="nil" w:sz="6" w:space="0" w:color="auto"/>
              <w:bottom w:val="nil" w:sz="6" w:space="0" w:color="auto"/>
              <w:right w:val="nil" w:sz="6" w:space="0" w:color="auto"/>
            </w:tcBorders>
          </w:tcPr>
          <w:p>
            <w:pPr>
              <w:pStyle w:val="TableParagraph"/>
              <w:spacing w:line="218" w:lineRule="exact"/>
              <w:ind w:right="25"/>
              <w:jc w:val="right"/>
              <w:rPr>
                <w:rFonts w:ascii="宋体" w:hAnsi="宋体" w:cs="宋体" w:eastAsia="宋体" w:hint="default"/>
                <w:sz w:val="18"/>
                <w:szCs w:val="18"/>
              </w:rPr>
            </w:pPr>
            <w:r>
              <w:rPr>
                <w:rFonts w:ascii="宋体"/>
                <w:sz w:val="18"/>
              </w:rPr>
              <w:t>-</w:t>
            </w:r>
          </w:p>
        </w:tc>
        <w:tc>
          <w:tcPr>
            <w:tcW w:w="113" w:type="dxa"/>
            <w:tcBorders>
              <w:top w:val="nil" w:sz="6" w:space="0" w:color="auto"/>
              <w:left w:val="nil" w:sz="6" w:space="0" w:color="auto"/>
              <w:bottom w:val="nil" w:sz="6" w:space="0" w:color="auto"/>
              <w:right w:val="nil" w:sz="6" w:space="0" w:color="auto"/>
            </w:tcBorders>
          </w:tcPr>
          <w:p>
            <w:pPr/>
          </w:p>
        </w:tc>
        <w:tc>
          <w:tcPr>
            <w:tcW w:w="1586" w:type="dxa"/>
            <w:tcBorders>
              <w:top w:val="nil" w:sz="6" w:space="0" w:color="auto"/>
              <w:left w:val="nil" w:sz="6" w:space="0" w:color="auto"/>
              <w:bottom w:val="nil" w:sz="6" w:space="0" w:color="auto"/>
              <w:right w:val="nil" w:sz="6" w:space="0" w:color="auto"/>
            </w:tcBorders>
          </w:tcPr>
          <w:p>
            <w:pPr>
              <w:pStyle w:val="TableParagraph"/>
              <w:spacing w:line="218" w:lineRule="exact"/>
              <w:ind w:right="25"/>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883" w:type="dxa"/>
            <w:tcBorders>
              <w:top w:val="nil" w:sz="6" w:space="0" w:color="auto"/>
              <w:left w:val="nil" w:sz="6" w:space="0" w:color="auto"/>
              <w:bottom w:val="nil" w:sz="6" w:space="0" w:color="auto"/>
              <w:right w:val="nil" w:sz="6" w:space="0" w:color="auto"/>
            </w:tcBorders>
          </w:tcPr>
          <w:p>
            <w:pPr>
              <w:pStyle w:val="TableParagraph"/>
              <w:spacing w:line="218" w:lineRule="exact"/>
              <w:ind w:right="25"/>
              <w:jc w:val="right"/>
              <w:rPr>
                <w:rFonts w:ascii="宋体" w:hAnsi="宋体" w:cs="宋体" w:eastAsia="宋体" w:hint="default"/>
                <w:sz w:val="18"/>
                <w:szCs w:val="18"/>
              </w:rPr>
            </w:pPr>
            <w:r>
              <w:rPr>
                <w:rFonts w:ascii="宋体"/>
                <w:sz w:val="18"/>
              </w:rPr>
              <w:t>-</w:t>
            </w:r>
          </w:p>
        </w:tc>
        <w:tc>
          <w:tcPr>
            <w:tcW w:w="953" w:type="dxa"/>
            <w:tcBorders>
              <w:top w:val="nil" w:sz="6" w:space="0" w:color="auto"/>
              <w:left w:val="nil" w:sz="6" w:space="0" w:color="auto"/>
              <w:bottom w:val="nil" w:sz="6" w:space="0" w:color="auto"/>
              <w:right w:val="nil" w:sz="6" w:space="0" w:color="auto"/>
            </w:tcBorders>
          </w:tcPr>
          <w:p>
            <w:pPr>
              <w:pStyle w:val="TableParagraph"/>
              <w:spacing w:line="218" w:lineRule="exact"/>
              <w:ind w:right="29"/>
              <w:jc w:val="right"/>
              <w:rPr>
                <w:rFonts w:ascii="宋体" w:hAnsi="宋体" w:cs="宋体" w:eastAsia="宋体" w:hint="default"/>
                <w:sz w:val="18"/>
                <w:szCs w:val="18"/>
              </w:rPr>
            </w:pPr>
            <w:r>
              <w:rPr>
                <w:rFonts w:ascii="宋体"/>
                <w:sz w:val="18"/>
              </w:rPr>
              <w:t>-</w:t>
            </w:r>
          </w:p>
        </w:tc>
        <w:tc>
          <w:tcPr>
            <w:tcW w:w="144" w:type="dxa"/>
            <w:tcBorders>
              <w:top w:val="nil" w:sz="6" w:space="0" w:color="auto"/>
              <w:left w:val="nil" w:sz="6" w:space="0" w:color="auto"/>
              <w:bottom w:val="nil" w:sz="6" w:space="0" w:color="auto"/>
              <w:right w:val="nil" w:sz="6" w:space="0" w:color="auto"/>
            </w:tcBorders>
          </w:tcPr>
          <w:p>
            <w:pPr/>
          </w:p>
        </w:tc>
        <w:tc>
          <w:tcPr>
            <w:tcW w:w="1279" w:type="dxa"/>
            <w:tcBorders>
              <w:top w:val="nil" w:sz="6" w:space="0" w:color="auto"/>
              <w:left w:val="nil" w:sz="6" w:space="0" w:color="auto"/>
              <w:bottom w:val="nil" w:sz="6" w:space="0" w:color="auto"/>
              <w:right w:val="nil" w:sz="6" w:space="0" w:color="auto"/>
            </w:tcBorders>
          </w:tcPr>
          <w:p>
            <w:pPr>
              <w:pStyle w:val="TableParagraph"/>
              <w:spacing w:line="218" w:lineRule="exact"/>
              <w:ind w:right="25"/>
              <w:jc w:val="right"/>
              <w:rPr>
                <w:rFonts w:ascii="宋体" w:hAnsi="宋体" w:cs="宋体" w:eastAsia="宋体" w:hint="default"/>
                <w:sz w:val="18"/>
                <w:szCs w:val="18"/>
              </w:rPr>
            </w:pPr>
            <w:r>
              <w:rPr>
                <w:rFonts w:ascii="宋体"/>
                <w:sz w:val="18"/>
              </w:rPr>
              <w:t>-</w:t>
            </w:r>
          </w:p>
        </w:tc>
        <w:tc>
          <w:tcPr>
            <w:tcW w:w="1397" w:type="dxa"/>
            <w:tcBorders>
              <w:top w:val="nil" w:sz="6" w:space="0" w:color="auto"/>
              <w:left w:val="nil" w:sz="6" w:space="0" w:color="auto"/>
              <w:bottom w:val="nil" w:sz="6" w:space="0" w:color="auto"/>
              <w:right w:val="nil" w:sz="6" w:space="0" w:color="auto"/>
            </w:tcBorders>
          </w:tcPr>
          <w:p>
            <w:pPr>
              <w:pStyle w:val="TableParagraph"/>
              <w:spacing w:line="218" w:lineRule="exact"/>
              <w:ind w:right="28"/>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nil" w:sz="6" w:space="0" w:color="auto"/>
              <w:right w:val="nil" w:sz="6" w:space="0" w:color="auto"/>
            </w:tcBorders>
          </w:tcPr>
          <w:p>
            <w:pPr>
              <w:pStyle w:val="TableParagraph"/>
              <w:spacing w:line="218" w:lineRule="exact"/>
              <w:ind w:right="25"/>
              <w:jc w:val="right"/>
              <w:rPr>
                <w:rFonts w:ascii="宋体" w:hAnsi="宋体" w:cs="宋体" w:eastAsia="宋体" w:hint="default"/>
                <w:sz w:val="18"/>
                <w:szCs w:val="18"/>
              </w:rPr>
            </w:pPr>
            <w:r>
              <w:rPr>
                <w:rFonts w:ascii="宋体"/>
                <w:sz w:val="18"/>
              </w:rPr>
              <w:t>-</w:t>
            </w:r>
          </w:p>
        </w:tc>
        <w:tc>
          <w:tcPr>
            <w:tcW w:w="132" w:type="dxa"/>
            <w:tcBorders>
              <w:top w:val="nil" w:sz="6" w:space="0" w:color="auto"/>
              <w:left w:val="nil" w:sz="6" w:space="0" w:color="auto"/>
              <w:bottom w:val="nil" w:sz="6" w:space="0" w:color="auto"/>
              <w:right w:val="nil" w:sz="6" w:space="0" w:color="auto"/>
            </w:tcBorders>
          </w:tcPr>
          <w:p>
            <w:pPr/>
          </w:p>
        </w:tc>
        <w:tc>
          <w:tcPr>
            <w:tcW w:w="1145" w:type="dxa"/>
            <w:tcBorders>
              <w:top w:val="nil" w:sz="6" w:space="0" w:color="auto"/>
              <w:left w:val="nil" w:sz="6" w:space="0" w:color="auto"/>
              <w:bottom w:val="nil" w:sz="6" w:space="0" w:color="auto"/>
              <w:right w:val="nil" w:sz="6" w:space="0" w:color="auto"/>
            </w:tcBorders>
          </w:tcPr>
          <w:p>
            <w:pPr>
              <w:pStyle w:val="TableParagraph"/>
              <w:spacing w:line="218" w:lineRule="exact"/>
              <w:ind w:right="29"/>
              <w:jc w:val="right"/>
              <w:rPr>
                <w:rFonts w:ascii="宋体" w:hAnsi="宋体" w:cs="宋体" w:eastAsia="宋体" w:hint="default"/>
                <w:sz w:val="18"/>
                <w:szCs w:val="18"/>
              </w:rPr>
            </w:pPr>
            <w:r>
              <w:rPr>
                <w:rFonts w:ascii="宋体"/>
                <w:sz w:val="18"/>
              </w:rPr>
              <w:t>-</w:t>
            </w:r>
          </w:p>
        </w:tc>
        <w:tc>
          <w:tcPr>
            <w:tcW w:w="1558" w:type="dxa"/>
            <w:tcBorders>
              <w:top w:val="nil" w:sz="6" w:space="0" w:color="auto"/>
              <w:left w:val="nil" w:sz="6" w:space="0" w:color="auto"/>
              <w:bottom w:val="nil" w:sz="6" w:space="0" w:color="auto"/>
              <w:right w:val="nil" w:sz="6" w:space="0" w:color="auto"/>
            </w:tcBorders>
          </w:tcPr>
          <w:p>
            <w:pPr>
              <w:pStyle w:val="TableParagraph"/>
              <w:spacing w:line="218" w:lineRule="exact"/>
              <w:ind w:right="25"/>
              <w:jc w:val="right"/>
              <w:rPr>
                <w:rFonts w:ascii="宋体" w:hAnsi="宋体" w:cs="宋体" w:eastAsia="宋体" w:hint="default"/>
                <w:sz w:val="18"/>
                <w:szCs w:val="18"/>
              </w:rPr>
            </w:pPr>
            <w:r>
              <w:rPr>
                <w:rFonts w:ascii="宋体"/>
                <w:sz w:val="18"/>
              </w:rPr>
              <w:t>-</w:t>
            </w:r>
          </w:p>
        </w:tc>
      </w:tr>
      <w:tr>
        <w:trPr>
          <w:trHeight w:val="263" w:hRule="exact"/>
        </w:trPr>
        <w:tc>
          <w:tcPr>
            <w:tcW w:w="108" w:type="dxa"/>
            <w:tcBorders>
              <w:top w:val="nil" w:sz="6" w:space="0" w:color="auto"/>
              <w:left w:val="nil" w:sz="6" w:space="0" w:color="auto"/>
              <w:bottom w:val="nil" w:sz="6" w:space="0" w:color="auto"/>
              <w:right w:val="nil" w:sz="6" w:space="0" w:color="auto"/>
            </w:tcBorders>
          </w:tcPr>
          <w:p>
            <w:pPr/>
          </w:p>
        </w:tc>
        <w:tc>
          <w:tcPr>
            <w:tcW w:w="2621" w:type="dxa"/>
            <w:tcBorders>
              <w:top w:val="nil" w:sz="6" w:space="0" w:color="auto"/>
              <w:left w:val="nil" w:sz="6" w:space="0" w:color="auto"/>
              <w:bottom w:val="nil" w:sz="6" w:space="0" w:color="auto"/>
              <w:right w:val="nil" w:sz="6" w:space="0" w:color="auto"/>
            </w:tcBorders>
          </w:tcPr>
          <w:p>
            <w:pPr>
              <w:pStyle w:val="TableParagraph"/>
              <w:spacing w:line="216" w:lineRule="exact"/>
              <w:ind w:left="28" w:right="0"/>
              <w:jc w:val="left"/>
              <w:rPr>
                <w:rFonts w:ascii="宋体" w:hAnsi="宋体" w:cs="宋体" w:eastAsia="宋体" w:hint="default"/>
                <w:sz w:val="18"/>
                <w:szCs w:val="18"/>
              </w:rPr>
            </w:pPr>
            <w:r>
              <w:rPr>
                <w:rFonts w:ascii="宋体" w:hAnsi="宋体" w:cs="宋体" w:eastAsia="宋体" w:hint="default"/>
                <w:b/>
                <w:bCs/>
                <w:sz w:val="18"/>
                <w:szCs w:val="18"/>
              </w:rPr>
              <w:t>二、本年年初余额</w:t>
            </w:r>
            <w:r>
              <w:rPr>
                <w:rFonts w:ascii="宋体" w:hAnsi="宋体" w:cs="宋体" w:eastAsia="宋体" w:hint="default"/>
                <w:sz w:val="18"/>
                <w:szCs w:val="18"/>
              </w:rPr>
            </w:r>
          </w:p>
        </w:tc>
        <w:tc>
          <w:tcPr>
            <w:tcW w:w="2431" w:type="dxa"/>
            <w:tcBorders>
              <w:top w:val="nil" w:sz="6" w:space="0" w:color="auto"/>
              <w:left w:val="nil" w:sz="6" w:space="0" w:color="auto"/>
              <w:bottom w:val="single" w:sz="4" w:space="0" w:color="000000"/>
              <w:right w:val="nil" w:sz="6" w:space="0" w:color="auto"/>
            </w:tcBorders>
          </w:tcPr>
          <w:p>
            <w:pPr>
              <w:pStyle w:val="TableParagraph"/>
              <w:spacing w:line="218" w:lineRule="exact"/>
              <w:ind w:right="21"/>
              <w:jc w:val="right"/>
              <w:rPr>
                <w:rFonts w:ascii="宋体" w:hAnsi="宋体" w:cs="宋体" w:eastAsia="宋体" w:hint="default"/>
                <w:sz w:val="18"/>
                <w:szCs w:val="18"/>
              </w:rPr>
            </w:pPr>
            <w:r>
              <w:rPr>
                <w:rFonts w:ascii="宋体"/>
                <w:spacing w:val="-1"/>
                <w:sz w:val="18"/>
              </w:rPr>
              <w:t>88,000,000.00</w:t>
            </w:r>
            <w:r>
              <w:rPr>
                <w:rFonts w:ascii="宋体"/>
                <w:sz w:val="18"/>
              </w:rPr>
            </w:r>
          </w:p>
        </w:tc>
        <w:tc>
          <w:tcPr>
            <w:tcW w:w="113" w:type="dxa"/>
            <w:tcBorders>
              <w:top w:val="nil" w:sz="6" w:space="0" w:color="auto"/>
              <w:left w:val="nil" w:sz="6" w:space="0" w:color="auto"/>
              <w:bottom w:val="nil" w:sz="6" w:space="0" w:color="auto"/>
              <w:right w:val="nil" w:sz="6" w:space="0" w:color="auto"/>
            </w:tcBorders>
          </w:tcPr>
          <w:p>
            <w:pPr/>
          </w:p>
        </w:tc>
        <w:tc>
          <w:tcPr>
            <w:tcW w:w="1586" w:type="dxa"/>
            <w:tcBorders>
              <w:top w:val="nil" w:sz="6" w:space="0" w:color="auto"/>
              <w:left w:val="nil" w:sz="6" w:space="0" w:color="auto"/>
              <w:bottom w:val="single" w:sz="4" w:space="0" w:color="000000"/>
              <w:right w:val="nil" w:sz="6" w:space="0" w:color="auto"/>
            </w:tcBorders>
          </w:tcPr>
          <w:p>
            <w:pPr>
              <w:pStyle w:val="TableParagraph"/>
              <w:spacing w:line="218" w:lineRule="exact"/>
              <w:ind w:right="23"/>
              <w:jc w:val="right"/>
              <w:rPr>
                <w:rFonts w:ascii="宋体" w:hAnsi="宋体" w:cs="宋体" w:eastAsia="宋体" w:hint="default"/>
                <w:sz w:val="18"/>
                <w:szCs w:val="18"/>
              </w:rPr>
            </w:pPr>
            <w:r>
              <w:rPr>
                <w:rFonts w:ascii="宋体"/>
                <w:spacing w:val="-1"/>
                <w:sz w:val="18"/>
              </w:rPr>
              <w:t>132,980,990.76</w:t>
            </w:r>
          </w:p>
        </w:tc>
        <w:tc>
          <w:tcPr>
            <w:tcW w:w="142" w:type="dxa"/>
            <w:tcBorders>
              <w:top w:val="nil" w:sz="6" w:space="0" w:color="auto"/>
              <w:left w:val="nil" w:sz="6" w:space="0" w:color="auto"/>
              <w:bottom w:val="nil" w:sz="6" w:space="0" w:color="auto"/>
              <w:right w:val="nil" w:sz="6" w:space="0" w:color="auto"/>
            </w:tcBorders>
          </w:tcPr>
          <w:p>
            <w:pPr/>
          </w:p>
        </w:tc>
        <w:tc>
          <w:tcPr>
            <w:tcW w:w="883" w:type="dxa"/>
            <w:tcBorders>
              <w:top w:val="nil" w:sz="6" w:space="0" w:color="auto"/>
              <w:left w:val="nil" w:sz="6" w:space="0" w:color="auto"/>
              <w:bottom w:val="single" w:sz="4" w:space="0" w:color="000000"/>
              <w:right w:val="nil" w:sz="6" w:space="0" w:color="auto"/>
            </w:tcBorders>
          </w:tcPr>
          <w:p>
            <w:pPr>
              <w:pStyle w:val="TableParagraph"/>
              <w:spacing w:line="218" w:lineRule="exact"/>
              <w:ind w:right="25"/>
              <w:jc w:val="right"/>
              <w:rPr>
                <w:rFonts w:ascii="宋体" w:hAnsi="宋体" w:cs="宋体" w:eastAsia="宋体" w:hint="default"/>
                <w:sz w:val="18"/>
                <w:szCs w:val="18"/>
              </w:rPr>
            </w:pPr>
            <w:r>
              <w:rPr>
                <w:rFonts w:ascii="宋体"/>
                <w:sz w:val="18"/>
              </w:rPr>
              <w:t>-</w:t>
            </w:r>
          </w:p>
        </w:tc>
        <w:tc>
          <w:tcPr>
            <w:tcW w:w="953" w:type="dxa"/>
            <w:tcBorders>
              <w:top w:val="nil" w:sz="6" w:space="0" w:color="auto"/>
              <w:left w:val="nil" w:sz="6" w:space="0" w:color="auto"/>
              <w:bottom w:val="single" w:sz="4" w:space="0" w:color="000000"/>
              <w:right w:val="nil" w:sz="6" w:space="0" w:color="auto"/>
            </w:tcBorders>
          </w:tcPr>
          <w:p>
            <w:pPr>
              <w:pStyle w:val="TableParagraph"/>
              <w:spacing w:line="218" w:lineRule="exact"/>
              <w:ind w:right="29"/>
              <w:jc w:val="right"/>
              <w:rPr>
                <w:rFonts w:ascii="宋体" w:hAnsi="宋体" w:cs="宋体" w:eastAsia="宋体" w:hint="default"/>
                <w:sz w:val="18"/>
                <w:szCs w:val="18"/>
              </w:rPr>
            </w:pPr>
            <w:r>
              <w:rPr>
                <w:rFonts w:ascii="宋体"/>
                <w:sz w:val="18"/>
              </w:rPr>
              <w:t>-</w:t>
            </w:r>
          </w:p>
        </w:tc>
        <w:tc>
          <w:tcPr>
            <w:tcW w:w="144" w:type="dxa"/>
            <w:tcBorders>
              <w:top w:val="nil" w:sz="6" w:space="0" w:color="auto"/>
              <w:left w:val="nil" w:sz="6" w:space="0" w:color="auto"/>
              <w:bottom w:val="nil" w:sz="6" w:space="0" w:color="auto"/>
              <w:right w:val="nil" w:sz="6" w:space="0" w:color="auto"/>
            </w:tcBorders>
          </w:tcPr>
          <w:p>
            <w:pPr/>
          </w:p>
        </w:tc>
        <w:tc>
          <w:tcPr>
            <w:tcW w:w="1279" w:type="dxa"/>
            <w:tcBorders>
              <w:top w:val="nil" w:sz="6" w:space="0" w:color="auto"/>
              <w:left w:val="nil" w:sz="6" w:space="0" w:color="auto"/>
              <w:bottom w:val="single" w:sz="4" w:space="0" w:color="000000"/>
              <w:right w:val="nil" w:sz="6" w:space="0" w:color="auto"/>
            </w:tcBorders>
          </w:tcPr>
          <w:p>
            <w:pPr>
              <w:pStyle w:val="TableParagraph"/>
              <w:spacing w:line="218" w:lineRule="exact"/>
              <w:ind w:right="74"/>
              <w:jc w:val="right"/>
              <w:rPr>
                <w:rFonts w:ascii="宋体" w:hAnsi="宋体" w:cs="宋体" w:eastAsia="宋体" w:hint="default"/>
                <w:sz w:val="18"/>
                <w:szCs w:val="18"/>
              </w:rPr>
            </w:pPr>
            <w:r>
              <w:rPr>
                <w:rFonts w:ascii="宋体"/>
                <w:spacing w:val="-1"/>
                <w:sz w:val="18"/>
              </w:rPr>
              <w:t>11,736,079.47</w:t>
            </w:r>
            <w:r>
              <w:rPr>
                <w:rFonts w:ascii="宋体"/>
                <w:sz w:val="18"/>
              </w:rPr>
            </w:r>
          </w:p>
        </w:tc>
        <w:tc>
          <w:tcPr>
            <w:tcW w:w="1397" w:type="dxa"/>
            <w:tcBorders>
              <w:top w:val="nil" w:sz="6" w:space="0" w:color="auto"/>
              <w:left w:val="nil" w:sz="6" w:space="0" w:color="auto"/>
              <w:bottom w:val="single" w:sz="4" w:space="0" w:color="000000"/>
              <w:right w:val="nil" w:sz="6" w:space="0" w:color="auto"/>
            </w:tcBorders>
          </w:tcPr>
          <w:p>
            <w:pPr>
              <w:pStyle w:val="TableParagraph"/>
              <w:spacing w:line="218" w:lineRule="exact"/>
              <w:ind w:right="28"/>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single" w:sz="4" w:space="0" w:color="000000"/>
              <w:right w:val="nil" w:sz="6" w:space="0" w:color="auto"/>
            </w:tcBorders>
          </w:tcPr>
          <w:p>
            <w:pPr>
              <w:pStyle w:val="TableParagraph"/>
              <w:spacing w:line="218" w:lineRule="exact"/>
              <w:ind w:left="28" w:right="0"/>
              <w:jc w:val="left"/>
              <w:rPr>
                <w:rFonts w:ascii="宋体" w:hAnsi="宋体" w:cs="宋体" w:eastAsia="宋体" w:hint="default"/>
                <w:sz w:val="18"/>
                <w:szCs w:val="18"/>
              </w:rPr>
            </w:pPr>
            <w:r>
              <w:rPr>
                <w:rFonts w:ascii="宋体"/>
                <w:sz w:val="18"/>
              </w:rPr>
              <w:t>86,282,907.86</w:t>
            </w:r>
          </w:p>
        </w:tc>
        <w:tc>
          <w:tcPr>
            <w:tcW w:w="132" w:type="dxa"/>
            <w:tcBorders>
              <w:top w:val="nil" w:sz="6" w:space="0" w:color="auto"/>
              <w:left w:val="nil" w:sz="6" w:space="0" w:color="auto"/>
              <w:bottom w:val="nil" w:sz="6" w:space="0" w:color="auto"/>
              <w:right w:val="nil" w:sz="6" w:space="0" w:color="auto"/>
            </w:tcBorders>
          </w:tcPr>
          <w:p>
            <w:pPr/>
          </w:p>
        </w:tc>
        <w:tc>
          <w:tcPr>
            <w:tcW w:w="1145" w:type="dxa"/>
            <w:tcBorders>
              <w:top w:val="nil" w:sz="6" w:space="0" w:color="auto"/>
              <w:left w:val="nil" w:sz="6" w:space="0" w:color="auto"/>
              <w:bottom w:val="single" w:sz="4" w:space="0" w:color="000000"/>
              <w:right w:val="nil" w:sz="6" w:space="0" w:color="auto"/>
            </w:tcBorders>
          </w:tcPr>
          <w:p>
            <w:pPr/>
          </w:p>
        </w:tc>
        <w:tc>
          <w:tcPr>
            <w:tcW w:w="1558" w:type="dxa"/>
            <w:tcBorders>
              <w:top w:val="nil" w:sz="6" w:space="0" w:color="auto"/>
              <w:left w:val="nil" w:sz="6" w:space="0" w:color="auto"/>
              <w:bottom w:val="single" w:sz="4" w:space="0" w:color="000000"/>
              <w:right w:val="nil" w:sz="6" w:space="0" w:color="auto"/>
            </w:tcBorders>
          </w:tcPr>
          <w:p>
            <w:pPr>
              <w:pStyle w:val="TableParagraph"/>
              <w:spacing w:line="218" w:lineRule="exact"/>
              <w:ind w:right="21"/>
              <w:jc w:val="right"/>
              <w:rPr>
                <w:rFonts w:ascii="宋体" w:hAnsi="宋体" w:cs="宋体" w:eastAsia="宋体" w:hint="default"/>
                <w:sz w:val="18"/>
                <w:szCs w:val="18"/>
              </w:rPr>
            </w:pPr>
            <w:r>
              <w:rPr>
                <w:rFonts w:ascii="宋体" w:hAnsi="宋体" w:cs="宋体" w:eastAsia="宋体" w:hint="default"/>
                <w:spacing w:val="-2"/>
                <w:sz w:val="18"/>
                <w:szCs w:val="18"/>
              </w:rPr>
              <w:t>318</w:t>
            </w:r>
            <w:r>
              <w:rPr>
                <w:rFonts w:ascii="宋体" w:hAnsi="宋体" w:cs="宋体" w:eastAsia="宋体" w:hint="default"/>
                <w:spacing w:val="-2"/>
                <w:sz w:val="18"/>
                <w:szCs w:val="18"/>
              </w:rPr>
              <w:t>，</w:t>
            </w:r>
            <w:r>
              <w:rPr>
                <w:rFonts w:ascii="宋体" w:hAnsi="宋体" w:cs="宋体" w:eastAsia="宋体" w:hint="default"/>
                <w:spacing w:val="-2"/>
                <w:sz w:val="18"/>
                <w:szCs w:val="18"/>
              </w:rPr>
              <w:t>999</w:t>
            </w:r>
            <w:r>
              <w:rPr>
                <w:rFonts w:ascii="宋体" w:hAnsi="宋体" w:cs="宋体" w:eastAsia="宋体" w:hint="default"/>
                <w:spacing w:val="-2"/>
                <w:sz w:val="18"/>
                <w:szCs w:val="18"/>
              </w:rPr>
              <w:t>，</w:t>
            </w:r>
            <w:r>
              <w:rPr>
                <w:rFonts w:ascii="宋体" w:hAnsi="宋体" w:cs="宋体" w:eastAsia="宋体" w:hint="default"/>
                <w:spacing w:val="-2"/>
                <w:sz w:val="18"/>
                <w:szCs w:val="18"/>
              </w:rPr>
              <w:t>978.09</w:t>
            </w:r>
            <w:r>
              <w:rPr>
                <w:rFonts w:ascii="宋体" w:hAnsi="宋体" w:cs="宋体" w:eastAsia="宋体" w:hint="default"/>
                <w:sz w:val="18"/>
                <w:szCs w:val="18"/>
              </w:rPr>
            </w:r>
          </w:p>
        </w:tc>
      </w:tr>
      <w:tr>
        <w:trPr>
          <w:trHeight w:val="264" w:hRule="exact"/>
        </w:trPr>
        <w:tc>
          <w:tcPr>
            <w:tcW w:w="108" w:type="dxa"/>
            <w:tcBorders>
              <w:top w:val="nil" w:sz="6" w:space="0" w:color="auto"/>
              <w:left w:val="nil" w:sz="6" w:space="0" w:color="auto"/>
              <w:bottom w:val="nil" w:sz="6" w:space="0" w:color="auto"/>
              <w:right w:val="nil" w:sz="6" w:space="0" w:color="auto"/>
            </w:tcBorders>
          </w:tcPr>
          <w:p>
            <w:pPr/>
          </w:p>
        </w:tc>
        <w:tc>
          <w:tcPr>
            <w:tcW w:w="2621" w:type="dxa"/>
            <w:tcBorders>
              <w:top w:val="nil" w:sz="6" w:space="0" w:color="auto"/>
              <w:left w:val="nil" w:sz="6" w:space="0" w:color="auto"/>
              <w:bottom w:val="nil" w:sz="6" w:space="0" w:color="auto"/>
              <w:right w:val="nil" w:sz="6" w:space="0" w:color="auto"/>
            </w:tcBorders>
          </w:tcPr>
          <w:p>
            <w:pPr>
              <w:pStyle w:val="TableParagraph"/>
              <w:spacing w:line="220" w:lineRule="exact"/>
              <w:ind w:left="28" w:right="0"/>
              <w:jc w:val="left"/>
              <w:rPr>
                <w:rFonts w:ascii="宋体" w:hAnsi="宋体" w:cs="宋体" w:eastAsia="宋体" w:hint="default"/>
                <w:sz w:val="18"/>
                <w:szCs w:val="18"/>
              </w:rPr>
            </w:pPr>
            <w:r>
              <w:rPr>
                <w:rFonts w:ascii="宋体" w:hAnsi="宋体" w:cs="宋体" w:eastAsia="宋体" w:hint="default"/>
                <w:b/>
                <w:bCs/>
                <w:sz w:val="18"/>
                <w:szCs w:val="18"/>
              </w:rPr>
              <w:t>三、本年增减变动金额</w:t>
            </w:r>
            <w:r>
              <w:rPr>
                <w:rFonts w:ascii="宋体" w:hAnsi="宋体" w:cs="宋体" w:eastAsia="宋体" w:hint="default"/>
                <w:sz w:val="18"/>
                <w:szCs w:val="18"/>
              </w:rPr>
            </w:r>
          </w:p>
        </w:tc>
        <w:tc>
          <w:tcPr>
            <w:tcW w:w="2431" w:type="dxa"/>
            <w:tcBorders>
              <w:top w:val="single" w:sz="4" w:space="0" w:color="000000"/>
              <w:left w:val="nil" w:sz="6" w:space="0" w:color="auto"/>
              <w:bottom w:val="single" w:sz="4" w:space="0" w:color="000000"/>
              <w:right w:val="nil" w:sz="6" w:space="0" w:color="auto"/>
            </w:tcBorders>
          </w:tcPr>
          <w:p>
            <w:pPr>
              <w:pStyle w:val="TableParagraph"/>
              <w:spacing w:line="215" w:lineRule="exact"/>
              <w:ind w:right="21"/>
              <w:jc w:val="right"/>
              <w:rPr>
                <w:rFonts w:ascii="宋体" w:hAnsi="宋体" w:cs="宋体" w:eastAsia="宋体" w:hint="default"/>
                <w:sz w:val="18"/>
                <w:szCs w:val="18"/>
              </w:rPr>
            </w:pPr>
            <w:r>
              <w:rPr>
                <w:rFonts w:ascii="宋体"/>
                <w:spacing w:val="-1"/>
                <w:sz w:val="18"/>
              </w:rPr>
              <w:t>70,400,000.00</w:t>
            </w:r>
            <w:r>
              <w:rPr>
                <w:rFonts w:ascii="宋体"/>
                <w:sz w:val="18"/>
              </w:rPr>
            </w:r>
          </w:p>
        </w:tc>
        <w:tc>
          <w:tcPr>
            <w:tcW w:w="113" w:type="dxa"/>
            <w:tcBorders>
              <w:top w:val="nil" w:sz="6" w:space="0" w:color="auto"/>
              <w:left w:val="nil" w:sz="6" w:space="0" w:color="auto"/>
              <w:bottom w:val="nil" w:sz="6" w:space="0" w:color="auto"/>
              <w:right w:val="nil" w:sz="6" w:space="0" w:color="auto"/>
            </w:tcBorders>
          </w:tcPr>
          <w:p>
            <w:pPr/>
          </w:p>
        </w:tc>
        <w:tc>
          <w:tcPr>
            <w:tcW w:w="1586" w:type="dxa"/>
            <w:tcBorders>
              <w:top w:val="single" w:sz="4" w:space="0" w:color="000000"/>
              <w:left w:val="nil" w:sz="6" w:space="0" w:color="auto"/>
              <w:bottom w:val="single" w:sz="4" w:space="0" w:color="000000"/>
              <w:right w:val="nil" w:sz="6" w:space="0" w:color="auto"/>
            </w:tcBorders>
          </w:tcPr>
          <w:p>
            <w:pPr>
              <w:pStyle w:val="TableParagraph"/>
              <w:spacing w:line="215" w:lineRule="exact"/>
              <w:ind w:right="21"/>
              <w:jc w:val="right"/>
              <w:rPr>
                <w:rFonts w:ascii="宋体" w:hAnsi="宋体" w:cs="宋体" w:eastAsia="宋体" w:hint="default"/>
                <w:sz w:val="18"/>
                <w:szCs w:val="18"/>
              </w:rPr>
            </w:pPr>
            <w:r>
              <w:rPr>
                <w:rFonts w:ascii="宋体" w:hAnsi="宋体" w:cs="宋体" w:eastAsia="宋体" w:hint="default"/>
                <w:spacing w:val="-1"/>
                <w:sz w:val="18"/>
                <w:szCs w:val="18"/>
              </w:rPr>
              <w:t>（</w:t>
            </w:r>
            <w:r>
              <w:rPr>
                <w:rFonts w:ascii="宋体" w:hAnsi="宋体" w:cs="宋体" w:eastAsia="宋体" w:hint="default"/>
                <w:spacing w:val="-1"/>
                <w:sz w:val="18"/>
                <w:szCs w:val="18"/>
              </w:rPr>
              <w:t>70,400,000.00</w:t>
            </w:r>
            <w:r>
              <w:rPr>
                <w:rFonts w:ascii="宋体" w:hAnsi="宋体" w:cs="宋体" w:eastAsia="宋体" w:hint="default"/>
                <w:spacing w:val="-1"/>
                <w:sz w:val="18"/>
                <w:szCs w:val="18"/>
              </w:rPr>
              <w:t>）</w:t>
            </w:r>
          </w:p>
        </w:tc>
        <w:tc>
          <w:tcPr>
            <w:tcW w:w="142" w:type="dxa"/>
            <w:tcBorders>
              <w:top w:val="nil" w:sz="6" w:space="0" w:color="auto"/>
              <w:left w:val="nil" w:sz="6" w:space="0" w:color="auto"/>
              <w:bottom w:val="nil" w:sz="6" w:space="0" w:color="auto"/>
              <w:right w:val="nil" w:sz="6" w:space="0" w:color="auto"/>
            </w:tcBorders>
          </w:tcPr>
          <w:p>
            <w:pPr/>
          </w:p>
        </w:tc>
        <w:tc>
          <w:tcPr>
            <w:tcW w:w="883" w:type="dxa"/>
            <w:tcBorders>
              <w:top w:val="single" w:sz="4" w:space="0" w:color="000000"/>
              <w:left w:val="nil" w:sz="6" w:space="0" w:color="auto"/>
              <w:bottom w:val="single" w:sz="4" w:space="0" w:color="000000"/>
              <w:right w:val="nil" w:sz="6" w:space="0" w:color="auto"/>
            </w:tcBorders>
          </w:tcPr>
          <w:p>
            <w:pPr>
              <w:pStyle w:val="TableParagraph"/>
              <w:spacing w:line="215" w:lineRule="exact"/>
              <w:ind w:right="25"/>
              <w:jc w:val="right"/>
              <w:rPr>
                <w:rFonts w:ascii="宋体" w:hAnsi="宋体" w:cs="宋体" w:eastAsia="宋体" w:hint="default"/>
                <w:sz w:val="18"/>
                <w:szCs w:val="18"/>
              </w:rPr>
            </w:pPr>
            <w:r>
              <w:rPr>
                <w:rFonts w:ascii="宋体"/>
                <w:sz w:val="18"/>
              </w:rPr>
              <w:t>-</w:t>
            </w:r>
          </w:p>
        </w:tc>
        <w:tc>
          <w:tcPr>
            <w:tcW w:w="953" w:type="dxa"/>
            <w:tcBorders>
              <w:top w:val="single" w:sz="4" w:space="0" w:color="000000"/>
              <w:left w:val="nil" w:sz="6" w:space="0" w:color="auto"/>
              <w:bottom w:val="single" w:sz="4" w:space="0" w:color="000000"/>
              <w:right w:val="nil" w:sz="6" w:space="0" w:color="auto"/>
            </w:tcBorders>
          </w:tcPr>
          <w:p>
            <w:pPr>
              <w:pStyle w:val="TableParagraph"/>
              <w:spacing w:line="215" w:lineRule="exact"/>
              <w:ind w:right="29"/>
              <w:jc w:val="right"/>
              <w:rPr>
                <w:rFonts w:ascii="宋体" w:hAnsi="宋体" w:cs="宋体" w:eastAsia="宋体" w:hint="default"/>
                <w:sz w:val="18"/>
                <w:szCs w:val="18"/>
              </w:rPr>
            </w:pPr>
            <w:r>
              <w:rPr>
                <w:rFonts w:ascii="宋体"/>
                <w:sz w:val="18"/>
              </w:rPr>
              <w:t>-</w:t>
            </w:r>
          </w:p>
        </w:tc>
        <w:tc>
          <w:tcPr>
            <w:tcW w:w="144" w:type="dxa"/>
            <w:tcBorders>
              <w:top w:val="nil" w:sz="6" w:space="0" w:color="auto"/>
              <w:left w:val="nil" w:sz="6" w:space="0" w:color="auto"/>
              <w:bottom w:val="nil" w:sz="6" w:space="0" w:color="auto"/>
              <w:right w:val="nil" w:sz="6" w:space="0" w:color="auto"/>
            </w:tcBorders>
          </w:tcPr>
          <w:p>
            <w:pPr/>
          </w:p>
        </w:tc>
        <w:tc>
          <w:tcPr>
            <w:tcW w:w="1279" w:type="dxa"/>
            <w:tcBorders>
              <w:top w:val="single" w:sz="4" w:space="0" w:color="000000"/>
              <w:left w:val="nil" w:sz="6" w:space="0" w:color="auto"/>
              <w:bottom w:val="single" w:sz="4" w:space="0" w:color="000000"/>
              <w:right w:val="nil" w:sz="6" w:space="0" w:color="auto"/>
            </w:tcBorders>
          </w:tcPr>
          <w:p>
            <w:pPr>
              <w:pStyle w:val="TableParagraph"/>
              <w:spacing w:line="215" w:lineRule="exact"/>
              <w:ind w:right="25"/>
              <w:jc w:val="right"/>
              <w:rPr>
                <w:rFonts w:ascii="宋体" w:hAnsi="宋体" w:cs="宋体" w:eastAsia="宋体" w:hint="default"/>
                <w:sz w:val="18"/>
                <w:szCs w:val="18"/>
              </w:rPr>
            </w:pPr>
            <w:r>
              <w:rPr>
                <w:rFonts w:ascii="宋体"/>
                <w:spacing w:val="-1"/>
                <w:sz w:val="18"/>
              </w:rPr>
              <w:t>2,290,759.50</w:t>
            </w:r>
          </w:p>
        </w:tc>
        <w:tc>
          <w:tcPr>
            <w:tcW w:w="1397" w:type="dxa"/>
            <w:tcBorders>
              <w:top w:val="single" w:sz="4" w:space="0" w:color="000000"/>
              <w:left w:val="nil" w:sz="6" w:space="0" w:color="auto"/>
              <w:bottom w:val="single" w:sz="4" w:space="0" w:color="000000"/>
              <w:right w:val="nil" w:sz="6" w:space="0" w:color="auto"/>
            </w:tcBorders>
          </w:tcPr>
          <w:p>
            <w:pPr>
              <w:pStyle w:val="TableParagraph"/>
              <w:spacing w:line="215" w:lineRule="exact"/>
              <w:ind w:right="28"/>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1423" w:type="dxa"/>
            <w:tcBorders>
              <w:top w:val="single" w:sz="4" w:space="0" w:color="000000"/>
              <w:left w:val="nil" w:sz="6" w:space="0" w:color="auto"/>
              <w:bottom w:val="single" w:sz="4" w:space="0" w:color="000000"/>
              <w:right w:val="nil" w:sz="6" w:space="0" w:color="auto"/>
            </w:tcBorders>
          </w:tcPr>
          <w:p>
            <w:pPr>
              <w:pStyle w:val="TableParagraph"/>
              <w:spacing w:line="215" w:lineRule="exact"/>
              <w:ind w:right="21"/>
              <w:jc w:val="right"/>
              <w:rPr>
                <w:rFonts w:ascii="宋体" w:hAnsi="宋体" w:cs="宋体" w:eastAsia="宋体" w:hint="default"/>
                <w:sz w:val="18"/>
                <w:szCs w:val="18"/>
              </w:rPr>
            </w:pPr>
            <w:r>
              <w:rPr>
                <w:rFonts w:ascii="宋体"/>
                <w:spacing w:val="-1"/>
                <w:sz w:val="18"/>
              </w:rPr>
              <w:t>14,953,145.85</w:t>
            </w:r>
            <w:r>
              <w:rPr>
                <w:rFonts w:ascii="宋体"/>
                <w:sz w:val="18"/>
              </w:rPr>
            </w:r>
          </w:p>
        </w:tc>
        <w:tc>
          <w:tcPr>
            <w:tcW w:w="132" w:type="dxa"/>
            <w:tcBorders>
              <w:top w:val="nil" w:sz="6" w:space="0" w:color="auto"/>
              <w:left w:val="nil" w:sz="6" w:space="0" w:color="auto"/>
              <w:bottom w:val="nil" w:sz="6" w:space="0" w:color="auto"/>
              <w:right w:val="nil" w:sz="6" w:space="0" w:color="auto"/>
            </w:tcBorders>
          </w:tcPr>
          <w:p>
            <w:pPr/>
          </w:p>
        </w:tc>
        <w:tc>
          <w:tcPr>
            <w:tcW w:w="1145" w:type="dxa"/>
            <w:tcBorders>
              <w:top w:val="single" w:sz="4" w:space="0" w:color="000000"/>
              <w:left w:val="nil" w:sz="6" w:space="0" w:color="auto"/>
              <w:bottom w:val="single" w:sz="4" w:space="0" w:color="000000"/>
              <w:right w:val="nil" w:sz="6" w:space="0" w:color="auto"/>
            </w:tcBorders>
          </w:tcPr>
          <w:p>
            <w:pPr>
              <w:pStyle w:val="TableParagraph"/>
              <w:spacing w:line="215" w:lineRule="exact"/>
              <w:ind w:right="29"/>
              <w:jc w:val="right"/>
              <w:rPr>
                <w:rFonts w:ascii="宋体" w:hAnsi="宋体" w:cs="宋体" w:eastAsia="宋体" w:hint="default"/>
                <w:sz w:val="18"/>
                <w:szCs w:val="18"/>
              </w:rPr>
            </w:pPr>
            <w:r>
              <w:rPr>
                <w:rFonts w:ascii="宋体"/>
                <w:sz w:val="18"/>
              </w:rPr>
              <w:t>-</w:t>
            </w:r>
          </w:p>
        </w:tc>
        <w:tc>
          <w:tcPr>
            <w:tcW w:w="1558" w:type="dxa"/>
            <w:tcBorders>
              <w:top w:val="single" w:sz="4" w:space="0" w:color="000000"/>
              <w:left w:val="nil" w:sz="6" w:space="0" w:color="auto"/>
              <w:bottom w:val="single" w:sz="4" w:space="0" w:color="000000"/>
              <w:right w:val="nil" w:sz="6" w:space="0" w:color="auto"/>
            </w:tcBorders>
          </w:tcPr>
          <w:p>
            <w:pPr>
              <w:pStyle w:val="TableParagraph"/>
              <w:spacing w:line="215" w:lineRule="exact"/>
              <w:ind w:right="21"/>
              <w:jc w:val="right"/>
              <w:rPr>
                <w:rFonts w:ascii="宋体" w:hAnsi="宋体" w:cs="宋体" w:eastAsia="宋体" w:hint="default"/>
                <w:sz w:val="18"/>
                <w:szCs w:val="18"/>
              </w:rPr>
            </w:pPr>
            <w:r>
              <w:rPr>
                <w:rFonts w:ascii="宋体"/>
                <w:spacing w:val="-1"/>
                <w:sz w:val="18"/>
              </w:rPr>
              <w:t>17,243,905.35</w:t>
            </w:r>
            <w:r>
              <w:rPr>
                <w:rFonts w:ascii="宋体"/>
                <w:sz w:val="18"/>
              </w:rPr>
            </w:r>
          </w:p>
        </w:tc>
      </w:tr>
      <w:tr>
        <w:trPr>
          <w:trHeight w:val="258" w:hRule="exact"/>
        </w:trPr>
        <w:tc>
          <w:tcPr>
            <w:tcW w:w="108" w:type="dxa"/>
            <w:tcBorders>
              <w:top w:val="nil" w:sz="6" w:space="0" w:color="auto"/>
              <w:left w:val="nil" w:sz="6" w:space="0" w:color="auto"/>
              <w:bottom w:val="nil" w:sz="6" w:space="0" w:color="auto"/>
              <w:right w:val="nil" w:sz="6" w:space="0" w:color="auto"/>
            </w:tcBorders>
          </w:tcPr>
          <w:p>
            <w:pPr/>
          </w:p>
        </w:tc>
        <w:tc>
          <w:tcPr>
            <w:tcW w:w="2621" w:type="dxa"/>
            <w:tcBorders>
              <w:top w:val="nil" w:sz="6" w:space="0" w:color="auto"/>
              <w:left w:val="nil" w:sz="6" w:space="0" w:color="auto"/>
              <w:bottom w:val="nil" w:sz="6" w:space="0" w:color="auto"/>
              <w:right w:val="nil" w:sz="6" w:space="0" w:color="auto"/>
            </w:tcBorders>
          </w:tcPr>
          <w:p>
            <w:pPr>
              <w:pStyle w:val="TableParagraph"/>
              <w:spacing w:line="220" w:lineRule="exact"/>
              <w:ind w:left="28"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2431" w:type="dxa"/>
            <w:tcBorders>
              <w:top w:val="single" w:sz="4" w:space="0" w:color="000000"/>
              <w:left w:val="nil" w:sz="6" w:space="0" w:color="auto"/>
              <w:bottom w:val="nil" w:sz="6" w:space="0" w:color="auto"/>
              <w:right w:val="nil" w:sz="6" w:space="0" w:color="auto"/>
            </w:tcBorders>
          </w:tcPr>
          <w:p>
            <w:pPr>
              <w:pStyle w:val="TableParagraph"/>
              <w:spacing w:line="217" w:lineRule="exact"/>
              <w:ind w:right="25"/>
              <w:jc w:val="right"/>
              <w:rPr>
                <w:rFonts w:ascii="宋体" w:hAnsi="宋体" w:cs="宋体" w:eastAsia="宋体" w:hint="default"/>
                <w:sz w:val="18"/>
                <w:szCs w:val="18"/>
              </w:rPr>
            </w:pPr>
            <w:r>
              <w:rPr>
                <w:rFonts w:ascii="宋体"/>
                <w:sz w:val="18"/>
              </w:rPr>
              <w:t>-</w:t>
            </w:r>
          </w:p>
        </w:tc>
        <w:tc>
          <w:tcPr>
            <w:tcW w:w="113" w:type="dxa"/>
            <w:tcBorders>
              <w:top w:val="nil" w:sz="6" w:space="0" w:color="auto"/>
              <w:left w:val="nil" w:sz="6" w:space="0" w:color="auto"/>
              <w:bottom w:val="nil" w:sz="6" w:space="0" w:color="auto"/>
              <w:right w:val="nil" w:sz="6" w:space="0" w:color="auto"/>
            </w:tcBorders>
          </w:tcPr>
          <w:p>
            <w:pPr/>
          </w:p>
        </w:tc>
        <w:tc>
          <w:tcPr>
            <w:tcW w:w="1586" w:type="dxa"/>
            <w:tcBorders>
              <w:top w:val="single" w:sz="4" w:space="0" w:color="000000"/>
              <w:left w:val="nil" w:sz="6" w:space="0" w:color="auto"/>
              <w:bottom w:val="nil" w:sz="6" w:space="0" w:color="auto"/>
              <w:right w:val="nil" w:sz="6" w:space="0" w:color="auto"/>
            </w:tcBorders>
          </w:tcPr>
          <w:p>
            <w:pPr>
              <w:pStyle w:val="TableParagraph"/>
              <w:spacing w:line="217" w:lineRule="exact"/>
              <w:ind w:right="25"/>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883" w:type="dxa"/>
            <w:tcBorders>
              <w:top w:val="single" w:sz="4" w:space="0" w:color="000000"/>
              <w:left w:val="nil" w:sz="6" w:space="0" w:color="auto"/>
              <w:bottom w:val="nil" w:sz="6" w:space="0" w:color="auto"/>
              <w:right w:val="nil" w:sz="6" w:space="0" w:color="auto"/>
            </w:tcBorders>
          </w:tcPr>
          <w:p>
            <w:pPr>
              <w:pStyle w:val="TableParagraph"/>
              <w:spacing w:line="217" w:lineRule="exact"/>
              <w:ind w:right="25"/>
              <w:jc w:val="right"/>
              <w:rPr>
                <w:rFonts w:ascii="宋体" w:hAnsi="宋体" w:cs="宋体" w:eastAsia="宋体" w:hint="default"/>
                <w:sz w:val="18"/>
                <w:szCs w:val="18"/>
              </w:rPr>
            </w:pPr>
            <w:r>
              <w:rPr>
                <w:rFonts w:ascii="宋体"/>
                <w:sz w:val="18"/>
              </w:rPr>
              <w:t>-</w:t>
            </w:r>
          </w:p>
        </w:tc>
        <w:tc>
          <w:tcPr>
            <w:tcW w:w="953" w:type="dxa"/>
            <w:tcBorders>
              <w:top w:val="single" w:sz="4" w:space="0" w:color="000000"/>
              <w:left w:val="nil" w:sz="6" w:space="0" w:color="auto"/>
              <w:bottom w:val="nil" w:sz="6" w:space="0" w:color="auto"/>
              <w:right w:val="nil" w:sz="6" w:space="0" w:color="auto"/>
            </w:tcBorders>
          </w:tcPr>
          <w:p>
            <w:pPr>
              <w:pStyle w:val="TableParagraph"/>
              <w:spacing w:line="217" w:lineRule="exact"/>
              <w:ind w:right="29"/>
              <w:jc w:val="right"/>
              <w:rPr>
                <w:rFonts w:ascii="宋体" w:hAnsi="宋体" w:cs="宋体" w:eastAsia="宋体" w:hint="default"/>
                <w:sz w:val="18"/>
                <w:szCs w:val="18"/>
              </w:rPr>
            </w:pPr>
            <w:r>
              <w:rPr>
                <w:rFonts w:ascii="宋体"/>
                <w:sz w:val="18"/>
              </w:rPr>
              <w:t>-</w:t>
            </w:r>
          </w:p>
        </w:tc>
        <w:tc>
          <w:tcPr>
            <w:tcW w:w="144" w:type="dxa"/>
            <w:tcBorders>
              <w:top w:val="nil" w:sz="6" w:space="0" w:color="auto"/>
              <w:left w:val="nil" w:sz="6" w:space="0" w:color="auto"/>
              <w:bottom w:val="nil" w:sz="6" w:space="0" w:color="auto"/>
              <w:right w:val="nil" w:sz="6" w:space="0" w:color="auto"/>
            </w:tcBorders>
          </w:tcPr>
          <w:p>
            <w:pPr/>
          </w:p>
        </w:tc>
        <w:tc>
          <w:tcPr>
            <w:tcW w:w="1279" w:type="dxa"/>
            <w:tcBorders>
              <w:top w:val="single" w:sz="4" w:space="0" w:color="000000"/>
              <w:left w:val="nil" w:sz="6" w:space="0" w:color="auto"/>
              <w:bottom w:val="nil" w:sz="6" w:space="0" w:color="auto"/>
              <w:right w:val="nil" w:sz="6" w:space="0" w:color="auto"/>
            </w:tcBorders>
          </w:tcPr>
          <w:p>
            <w:pPr>
              <w:pStyle w:val="TableParagraph"/>
              <w:spacing w:line="217" w:lineRule="exact"/>
              <w:ind w:right="25"/>
              <w:jc w:val="right"/>
              <w:rPr>
                <w:rFonts w:ascii="宋体" w:hAnsi="宋体" w:cs="宋体" w:eastAsia="宋体" w:hint="default"/>
                <w:sz w:val="18"/>
                <w:szCs w:val="18"/>
              </w:rPr>
            </w:pPr>
            <w:r>
              <w:rPr>
                <w:rFonts w:ascii="宋体"/>
                <w:sz w:val="18"/>
              </w:rPr>
              <w:t>-</w:t>
            </w:r>
          </w:p>
        </w:tc>
        <w:tc>
          <w:tcPr>
            <w:tcW w:w="1397" w:type="dxa"/>
            <w:tcBorders>
              <w:top w:val="single" w:sz="4" w:space="0" w:color="000000"/>
              <w:left w:val="nil" w:sz="6" w:space="0" w:color="auto"/>
              <w:bottom w:val="nil" w:sz="6" w:space="0" w:color="auto"/>
              <w:right w:val="nil" w:sz="6" w:space="0" w:color="auto"/>
            </w:tcBorders>
          </w:tcPr>
          <w:p>
            <w:pPr>
              <w:pStyle w:val="TableParagraph"/>
              <w:spacing w:line="217" w:lineRule="exact"/>
              <w:ind w:right="28"/>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1423" w:type="dxa"/>
            <w:tcBorders>
              <w:top w:val="single" w:sz="4" w:space="0" w:color="000000"/>
              <w:left w:val="nil" w:sz="6" w:space="0" w:color="auto"/>
              <w:bottom w:val="nil" w:sz="6" w:space="0" w:color="auto"/>
              <w:right w:val="nil" w:sz="6" w:space="0" w:color="auto"/>
            </w:tcBorders>
          </w:tcPr>
          <w:p>
            <w:pPr>
              <w:pStyle w:val="TableParagraph"/>
              <w:spacing w:line="217" w:lineRule="exact"/>
              <w:ind w:right="21"/>
              <w:jc w:val="right"/>
              <w:rPr>
                <w:rFonts w:ascii="宋体" w:hAnsi="宋体" w:cs="宋体" w:eastAsia="宋体" w:hint="default"/>
                <w:sz w:val="18"/>
                <w:szCs w:val="18"/>
              </w:rPr>
            </w:pPr>
            <w:r>
              <w:rPr>
                <w:rFonts w:ascii="宋体"/>
                <w:spacing w:val="-1"/>
                <w:sz w:val="18"/>
              </w:rPr>
              <w:t>22,523,905.35</w:t>
            </w:r>
            <w:r>
              <w:rPr>
                <w:rFonts w:ascii="宋体"/>
                <w:sz w:val="18"/>
              </w:rPr>
            </w:r>
          </w:p>
        </w:tc>
        <w:tc>
          <w:tcPr>
            <w:tcW w:w="132" w:type="dxa"/>
            <w:tcBorders>
              <w:top w:val="nil" w:sz="6" w:space="0" w:color="auto"/>
              <w:left w:val="nil" w:sz="6" w:space="0" w:color="auto"/>
              <w:bottom w:val="nil" w:sz="6" w:space="0" w:color="auto"/>
              <w:right w:val="nil" w:sz="6" w:space="0" w:color="auto"/>
            </w:tcBorders>
          </w:tcPr>
          <w:p>
            <w:pPr/>
          </w:p>
        </w:tc>
        <w:tc>
          <w:tcPr>
            <w:tcW w:w="1145" w:type="dxa"/>
            <w:tcBorders>
              <w:top w:val="single" w:sz="4" w:space="0" w:color="000000"/>
              <w:left w:val="nil" w:sz="6" w:space="0" w:color="auto"/>
              <w:bottom w:val="nil" w:sz="6" w:space="0" w:color="auto"/>
              <w:right w:val="nil" w:sz="6" w:space="0" w:color="auto"/>
            </w:tcBorders>
          </w:tcPr>
          <w:p>
            <w:pPr>
              <w:pStyle w:val="TableParagraph"/>
              <w:spacing w:line="217" w:lineRule="exact"/>
              <w:ind w:right="29"/>
              <w:jc w:val="right"/>
              <w:rPr>
                <w:rFonts w:ascii="宋体" w:hAnsi="宋体" w:cs="宋体" w:eastAsia="宋体" w:hint="default"/>
                <w:sz w:val="18"/>
                <w:szCs w:val="18"/>
              </w:rPr>
            </w:pPr>
            <w:r>
              <w:rPr>
                <w:rFonts w:ascii="宋体"/>
                <w:sz w:val="18"/>
              </w:rPr>
              <w:t>-</w:t>
            </w:r>
          </w:p>
        </w:tc>
        <w:tc>
          <w:tcPr>
            <w:tcW w:w="1558" w:type="dxa"/>
            <w:tcBorders>
              <w:top w:val="single" w:sz="4" w:space="0" w:color="000000"/>
              <w:left w:val="nil" w:sz="6" w:space="0" w:color="auto"/>
              <w:bottom w:val="nil" w:sz="6" w:space="0" w:color="auto"/>
              <w:right w:val="nil" w:sz="6" w:space="0" w:color="auto"/>
            </w:tcBorders>
          </w:tcPr>
          <w:p>
            <w:pPr>
              <w:pStyle w:val="TableParagraph"/>
              <w:spacing w:line="217" w:lineRule="exact"/>
              <w:ind w:right="21"/>
              <w:jc w:val="right"/>
              <w:rPr>
                <w:rFonts w:ascii="宋体" w:hAnsi="宋体" w:cs="宋体" w:eastAsia="宋体" w:hint="default"/>
                <w:sz w:val="18"/>
                <w:szCs w:val="18"/>
              </w:rPr>
            </w:pPr>
            <w:r>
              <w:rPr>
                <w:rFonts w:ascii="宋体"/>
                <w:spacing w:val="-1"/>
                <w:sz w:val="18"/>
              </w:rPr>
              <w:t>22,523,905.35</w:t>
            </w:r>
            <w:r>
              <w:rPr>
                <w:rFonts w:ascii="宋体"/>
                <w:sz w:val="18"/>
              </w:rPr>
            </w:r>
          </w:p>
        </w:tc>
      </w:tr>
      <w:tr>
        <w:trPr>
          <w:trHeight w:val="254" w:hRule="exact"/>
        </w:trPr>
        <w:tc>
          <w:tcPr>
            <w:tcW w:w="108" w:type="dxa"/>
            <w:tcBorders>
              <w:top w:val="nil" w:sz="6" w:space="0" w:color="auto"/>
              <w:left w:val="nil" w:sz="6" w:space="0" w:color="auto"/>
              <w:bottom w:val="nil" w:sz="6" w:space="0" w:color="auto"/>
              <w:right w:val="nil" w:sz="6" w:space="0" w:color="auto"/>
            </w:tcBorders>
          </w:tcPr>
          <w:p>
            <w:pPr/>
          </w:p>
        </w:tc>
        <w:tc>
          <w:tcPr>
            <w:tcW w:w="2621" w:type="dxa"/>
            <w:tcBorders>
              <w:top w:val="nil" w:sz="6" w:space="0" w:color="auto"/>
              <w:left w:val="nil" w:sz="6" w:space="0" w:color="auto"/>
              <w:bottom w:val="nil" w:sz="6" w:space="0" w:color="auto"/>
              <w:right w:val="nil" w:sz="6" w:space="0" w:color="auto"/>
            </w:tcBorders>
          </w:tcPr>
          <w:p>
            <w:pPr>
              <w:pStyle w:val="TableParagraph"/>
              <w:spacing w:line="216" w:lineRule="exact"/>
              <w:ind w:left="28"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2431" w:type="dxa"/>
            <w:tcBorders>
              <w:top w:val="nil" w:sz="6" w:space="0" w:color="auto"/>
              <w:left w:val="nil" w:sz="6" w:space="0" w:color="auto"/>
              <w:bottom w:val="nil" w:sz="6" w:space="0" w:color="auto"/>
              <w:right w:val="nil" w:sz="6" w:space="0" w:color="auto"/>
            </w:tcBorders>
          </w:tcPr>
          <w:p>
            <w:pPr>
              <w:pStyle w:val="TableParagraph"/>
              <w:spacing w:line="218" w:lineRule="exact"/>
              <w:ind w:right="25"/>
              <w:jc w:val="right"/>
              <w:rPr>
                <w:rFonts w:ascii="宋体" w:hAnsi="宋体" w:cs="宋体" w:eastAsia="宋体" w:hint="default"/>
                <w:sz w:val="18"/>
                <w:szCs w:val="18"/>
              </w:rPr>
            </w:pPr>
            <w:r>
              <w:rPr>
                <w:rFonts w:ascii="宋体"/>
                <w:sz w:val="18"/>
              </w:rPr>
              <w:t>-</w:t>
            </w:r>
          </w:p>
        </w:tc>
        <w:tc>
          <w:tcPr>
            <w:tcW w:w="113" w:type="dxa"/>
            <w:tcBorders>
              <w:top w:val="nil" w:sz="6" w:space="0" w:color="auto"/>
              <w:left w:val="nil" w:sz="6" w:space="0" w:color="auto"/>
              <w:bottom w:val="nil" w:sz="6" w:space="0" w:color="auto"/>
              <w:right w:val="nil" w:sz="6" w:space="0" w:color="auto"/>
            </w:tcBorders>
          </w:tcPr>
          <w:p>
            <w:pPr/>
          </w:p>
        </w:tc>
        <w:tc>
          <w:tcPr>
            <w:tcW w:w="1586" w:type="dxa"/>
            <w:tcBorders>
              <w:top w:val="nil" w:sz="6" w:space="0" w:color="auto"/>
              <w:left w:val="nil" w:sz="6" w:space="0" w:color="auto"/>
              <w:bottom w:val="nil" w:sz="6" w:space="0" w:color="auto"/>
              <w:right w:val="nil" w:sz="6" w:space="0" w:color="auto"/>
            </w:tcBorders>
          </w:tcPr>
          <w:p>
            <w:pPr>
              <w:pStyle w:val="TableParagraph"/>
              <w:spacing w:line="218" w:lineRule="exact"/>
              <w:ind w:right="25"/>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883" w:type="dxa"/>
            <w:tcBorders>
              <w:top w:val="nil" w:sz="6" w:space="0" w:color="auto"/>
              <w:left w:val="nil" w:sz="6" w:space="0" w:color="auto"/>
              <w:bottom w:val="nil" w:sz="6" w:space="0" w:color="auto"/>
              <w:right w:val="nil" w:sz="6" w:space="0" w:color="auto"/>
            </w:tcBorders>
          </w:tcPr>
          <w:p>
            <w:pPr>
              <w:pStyle w:val="TableParagraph"/>
              <w:spacing w:line="218" w:lineRule="exact"/>
              <w:ind w:right="25"/>
              <w:jc w:val="right"/>
              <w:rPr>
                <w:rFonts w:ascii="宋体" w:hAnsi="宋体" w:cs="宋体" w:eastAsia="宋体" w:hint="default"/>
                <w:sz w:val="18"/>
                <w:szCs w:val="18"/>
              </w:rPr>
            </w:pPr>
            <w:r>
              <w:rPr>
                <w:rFonts w:ascii="宋体"/>
                <w:sz w:val="18"/>
              </w:rPr>
              <w:t>-</w:t>
            </w:r>
          </w:p>
        </w:tc>
        <w:tc>
          <w:tcPr>
            <w:tcW w:w="953" w:type="dxa"/>
            <w:tcBorders>
              <w:top w:val="nil" w:sz="6" w:space="0" w:color="auto"/>
              <w:left w:val="nil" w:sz="6" w:space="0" w:color="auto"/>
              <w:bottom w:val="nil" w:sz="6" w:space="0" w:color="auto"/>
              <w:right w:val="nil" w:sz="6" w:space="0" w:color="auto"/>
            </w:tcBorders>
          </w:tcPr>
          <w:p>
            <w:pPr>
              <w:pStyle w:val="TableParagraph"/>
              <w:spacing w:line="218" w:lineRule="exact"/>
              <w:ind w:right="29"/>
              <w:jc w:val="right"/>
              <w:rPr>
                <w:rFonts w:ascii="宋体" w:hAnsi="宋体" w:cs="宋体" w:eastAsia="宋体" w:hint="default"/>
                <w:sz w:val="18"/>
                <w:szCs w:val="18"/>
              </w:rPr>
            </w:pPr>
            <w:r>
              <w:rPr>
                <w:rFonts w:ascii="宋体"/>
                <w:sz w:val="18"/>
              </w:rPr>
              <w:t>-</w:t>
            </w:r>
          </w:p>
        </w:tc>
        <w:tc>
          <w:tcPr>
            <w:tcW w:w="144" w:type="dxa"/>
            <w:tcBorders>
              <w:top w:val="nil" w:sz="6" w:space="0" w:color="auto"/>
              <w:left w:val="nil" w:sz="6" w:space="0" w:color="auto"/>
              <w:bottom w:val="nil" w:sz="6" w:space="0" w:color="auto"/>
              <w:right w:val="nil" w:sz="6" w:space="0" w:color="auto"/>
            </w:tcBorders>
          </w:tcPr>
          <w:p>
            <w:pPr/>
          </w:p>
        </w:tc>
        <w:tc>
          <w:tcPr>
            <w:tcW w:w="1279" w:type="dxa"/>
            <w:tcBorders>
              <w:top w:val="nil" w:sz="6" w:space="0" w:color="auto"/>
              <w:left w:val="nil" w:sz="6" w:space="0" w:color="auto"/>
              <w:bottom w:val="nil" w:sz="6" w:space="0" w:color="auto"/>
              <w:right w:val="nil" w:sz="6" w:space="0" w:color="auto"/>
            </w:tcBorders>
          </w:tcPr>
          <w:p>
            <w:pPr>
              <w:pStyle w:val="TableParagraph"/>
              <w:spacing w:line="218" w:lineRule="exact"/>
              <w:ind w:right="25"/>
              <w:jc w:val="right"/>
              <w:rPr>
                <w:rFonts w:ascii="宋体" w:hAnsi="宋体" w:cs="宋体" w:eastAsia="宋体" w:hint="default"/>
                <w:sz w:val="18"/>
                <w:szCs w:val="18"/>
              </w:rPr>
            </w:pPr>
            <w:r>
              <w:rPr>
                <w:rFonts w:ascii="宋体"/>
                <w:sz w:val="18"/>
              </w:rPr>
              <w:t>-</w:t>
            </w:r>
          </w:p>
        </w:tc>
        <w:tc>
          <w:tcPr>
            <w:tcW w:w="1397" w:type="dxa"/>
            <w:tcBorders>
              <w:top w:val="nil" w:sz="6" w:space="0" w:color="auto"/>
              <w:left w:val="nil" w:sz="6" w:space="0" w:color="auto"/>
              <w:bottom w:val="nil" w:sz="6" w:space="0" w:color="auto"/>
              <w:right w:val="nil" w:sz="6" w:space="0" w:color="auto"/>
            </w:tcBorders>
          </w:tcPr>
          <w:p>
            <w:pPr>
              <w:pStyle w:val="TableParagraph"/>
              <w:spacing w:line="218" w:lineRule="exact"/>
              <w:ind w:right="28"/>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nil" w:sz="6" w:space="0" w:color="auto"/>
              <w:right w:val="nil" w:sz="6" w:space="0" w:color="auto"/>
            </w:tcBorders>
          </w:tcPr>
          <w:p>
            <w:pPr>
              <w:pStyle w:val="TableParagraph"/>
              <w:spacing w:line="218" w:lineRule="exact"/>
              <w:ind w:right="25"/>
              <w:jc w:val="right"/>
              <w:rPr>
                <w:rFonts w:ascii="宋体" w:hAnsi="宋体" w:cs="宋体" w:eastAsia="宋体" w:hint="default"/>
                <w:sz w:val="18"/>
                <w:szCs w:val="18"/>
              </w:rPr>
            </w:pPr>
            <w:r>
              <w:rPr>
                <w:rFonts w:ascii="宋体"/>
                <w:sz w:val="18"/>
              </w:rPr>
              <w:t>-</w:t>
            </w:r>
          </w:p>
        </w:tc>
        <w:tc>
          <w:tcPr>
            <w:tcW w:w="132" w:type="dxa"/>
            <w:tcBorders>
              <w:top w:val="nil" w:sz="6" w:space="0" w:color="auto"/>
              <w:left w:val="nil" w:sz="6" w:space="0" w:color="auto"/>
              <w:bottom w:val="nil" w:sz="6" w:space="0" w:color="auto"/>
              <w:right w:val="nil" w:sz="6" w:space="0" w:color="auto"/>
            </w:tcBorders>
          </w:tcPr>
          <w:p>
            <w:pPr/>
          </w:p>
        </w:tc>
        <w:tc>
          <w:tcPr>
            <w:tcW w:w="1145" w:type="dxa"/>
            <w:tcBorders>
              <w:top w:val="nil" w:sz="6" w:space="0" w:color="auto"/>
              <w:left w:val="nil" w:sz="6" w:space="0" w:color="auto"/>
              <w:bottom w:val="nil" w:sz="6" w:space="0" w:color="auto"/>
              <w:right w:val="nil" w:sz="6" w:space="0" w:color="auto"/>
            </w:tcBorders>
          </w:tcPr>
          <w:p>
            <w:pPr>
              <w:pStyle w:val="TableParagraph"/>
              <w:spacing w:line="218" w:lineRule="exact"/>
              <w:ind w:right="29"/>
              <w:jc w:val="right"/>
              <w:rPr>
                <w:rFonts w:ascii="宋体" w:hAnsi="宋体" w:cs="宋体" w:eastAsia="宋体" w:hint="default"/>
                <w:sz w:val="18"/>
                <w:szCs w:val="18"/>
              </w:rPr>
            </w:pPr>
            <w:r>
              <w:rPr>
                <w:rFonts w:ascii="宋体"/>
                <w:sz w:val="18"/>
              </w:rPr>
              <w:t>-</w:t>
            </w:r>
          </w:p>
        </w:tc>
        <w:tc>
          <w:tcPr>
            <w:tcW w:w="1558" w:type="dxa"/>
            <w:tcBorders>
              <w:top w:val="nil" w:sz="6" w:space="0" w:color="auto"/>
              <w:left w:val="nil" w:sz="6" w:space="0" w:color="auto"/>
              <w:bottom w:val="nil" w:sz="6" w:space="0" w:color="auto"/>
              <w:right w:val="nil" w:sz="6" w:space="0" w:color="auto"/>
            </w:tcBorders>
          </w:tcPr>
          <w:p>
            <w:pPr>
              <w:pStyle w:val="TableParagraph"/>
              <w:spacing w:line="218" w:lineRule="exact"/>
              <w:ind w:right="25"/>
              <w:jc w:val="right"/>
              <w:rPr>
                <w:rFonts w:ascii="宋体" w:hAnsi="宋体" w:cs="宋体" w:eastAsia="宋体" w:hint="default"/>
                <w:sz w:val="18"/>
                <w:szCs w:val="18"/>
              </w:rPr>
            </w:pPr>
            <w:r>
              <w:rPr>
                <w:rFonts w:ascii="宋体"/>
                <w:sz w:val="18"/>
              </w:rPr>
              <w:t>-</w:t>
            </w:r>
          </w:p>
        </w:tc>
      </w:tr>
      <w:tr>
        <w:trPr>
          <w:trHeight w:val="256" w:hRule="exact"/>
        </w:trPr>
        <w:tc>
          <w:tcPr>
            <w:tcW w:w="108" w:type="dxa"/>
            <w:tcBorders>
              <w:top w:val="nil" w:sz="6" w:space="0" w:color="auto"/>
              <w:left w:val="nil" w:sz="6" w:space="0" w:color="auto"/>
              <w:bottom w:val="nil" w:sz="6" w:space="0" w:color="auto"/>
              <w:right w:val="nil" w:sz="6" w:space="0" w:color="auto"/>
            </w:tcBorders>
          </w:tcPr>
          <w:p>
            <w:pPr/>
          </w:p>
        </w:tc>
        <w:tc>
          <w:tcPr>
            <w:tcW w:w="2621" w:type="dxa"/>
            <w:tcBorders>
              <w:top w:val="nil" w:sz="6" w:space="0" w:color="auto"/>
              <w:left w:val="nil" w:sz="6" w:space="0" w:color="auto"/>
              <w:bottom w:val="nil" w:sz="6" w:space="0" w:color="auto"/>
              <w:right w:val="nil" w:sz="6" w:space="0" w:color="auto"/>
            </w:tcBorders>
          </w:tcPr>
          <w:p>
            <w:pPr>
              <w:pStyle w:val="TableParagraph"/>
              <w:spacing w:line="216" w:lineRule="exact"/>
              <w:ind w:left="28"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2431" w:type="dxa"/>
            <w:tcBorders>
              <w:top w:val="nil" w:sz="6" w:space="0" w:color="auto"/>
              <w:left w:val="nil" w:sz="6" w:space="0" w:color="auto"/>
              <w:bottom w:val="nil" w:sz="6" w:space="0" w:color="auto"/>
              <w:right w:val="nil" w:sz="6" w:space="0" w:color="auto"/>
            </w:tcBorders>
          </w:tcPr>
          <w:p>
            <w:pPr>
              <w:pStyle w:val="TableParagraph"/>
              <w:spacing w:line="218" w:lineRule="exact"/>
              <w:ind w:right="25"/>
              <w:jc w:val="right"/>
              <w:rPr>
                <w:rFonts w:ascii="宋体" w:hAnsi="宋体" w:cs="宋体" w:eastAsia="宋体" w:hint="default"/>
                <w:sz w:val="18"/>
                <w:szCs w:val="18"/>
              </w:rPr>
            </w:pPr>
            <w:r>
              <w:rPr>
                <w:rFonts w:ascii="宋体"/>
                <w:sz w:val="18"/>
              </w:rPr>
              <w:t>-</w:t>
            </w:r>
          </w:p>
        </w:tc>
        <w:tc>
          <w:tcPr>
            <w:tcW w:w="113" w:type="dxa"/>
            <w:tcBorders>
              <w:top w:val="nil" w:sz="6" w:space="0" w:color="auto"/>
              <w:left w:val="nil" w:sz="6" w:space="0" w:color="auto"/>
              <w:bottom w:val="nil" w:sz="6" w:space="0" w:color="auto"/>
              <w:right w:val="nil" w:sz="6" w:space="0" w:color="auto"/>
            </w:tcBorders>
          </w:tcPr>
          <w:p>
            <w:pPr/>
          </w:p>
        </w:tc>
        <w:tc>
          <w:tcPr>
            <w:tcW w:w="1586" w:type="dxa"/>
            <w:tcBorders>
              <w:top w:val="nil" w:sz="6" w:space="0" w:color="auto"/>
              <w:left w:val="nil" w:sz="6" w:space="0" w:color="auto"/>
              <w:bottom w:val="nil" w:sz="6" w:space="0" w:color="auto"/>
              <w:right w:val="nil" w:sz="6" w:space="0" w:color="auto"/>
            </w:tcBorders>
          </w:tcPr>
          <w:p>
            <w:pPr>
              <w:pStyle w:val="TableParagraph"/>
              <w:spacing w:line="218" w:lineRule="exact"/>
              <w:ind w:right="25"/>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883" w:type="dxa"/>
            <w:tcBorders>
              <w:top w:val="nil" w:sz="6" w:space="0" w:color="auto"/>
              <w:left w:val="nil" w:sz="6" w:space="0" w:color="auto"/>
              <w:bottom w:val="nil" w:sz="6" w:space="0" w:color="auto"/>
              <w:right w:val="nil" w:sz="6" w:space="0" w:color="auto"/>
            </w:tcBorders>
          </w:tcPr>
          <w:p>
            <w:pPr>
              <w:pStyle w:val="TableParagraph"/>
              <w:spacing w:line="218" w:lineRule="exact"/>
              <w:ind w:right="25"/>
              <w:jc w:val="right"/>
              <w:rPr>
                <w:rFonts w:ascii="宋体" w:hAnsi="宋体" w:cs="宋体" w:eastAsia="宋体" w:hint="default"/>
                <w:sz w:val="18"/>
                <w:szCs w:val="18"/>
              </w:rPr>
            </w:pPr>
            <w:r>
              <w:rPr>
                <w:rFonts w:ascii="宋体"/>
                <w:sz w:val="18"/>
              </w:rPr>
              <w:t>-</w:t>
            </w:r>
          </w:p>
        </w:tc>
        <w:tc>
          <w:tcPr>
            <w:tcW w:w="953" w:type="dxa"/>
            <w:tcBorders>
              <w:top w:val="nil" w:sz="6" w:space="0" w:color="auto"/>
              <w:left w:val="nil" w:sz="6" w:space="0" w:color="auto"/>
              <w:bottom w:val="nil" w:sz="6" w:space="0" w:color="auto"/>
              <w:right w:val="nil" w:sz="6" w:space="0" w:color="auto"/>
            </w:tcBorders>
          </w:tcPr>
          <w:p>
            <w:pPr>
              <w:pStyle w:val="TableParagraph"/>
              <w:spacing w:line="218" w:lineRule="exact"/>
              <w:ind w:right="29"/>
              <w:jc w:val="right"/>
              <w:rPr>
                <w:rFonts w:ascii="宋体" w:hAnsi="宋体" w:cs="宋体" w:eastAsia="宋体" w:hint="default"/>
                <w:sz w:val="18"/>
                <w:szCs w:val="18"/>
              </w:rPr>
            </w:pPr>
            <w:r>
              <w:rPr>
                <w:rFonts w:ascii="宋体"/>
                <w:sz w:val="18"/>
              </w:rPr>
              <w:t>-</w:t>
            </w:r>
          </w:p>
        </w:tc>
        <w:tc>
          <w:tcPr>
            <w:tcW w:w="144" w:type="dxa"/>
            <w:tcBorders>
              <w:top w:val="nil" w:sz="6" w:space="0" w:color="auto"/>
              <w:left w:val="nil" w:sz="6" w:space="0" w:color="auto"/>
              <w:bottom w:val="nil" w:sz="6" w:space="0" w:color="auto"/>
              <w:right w:val="nil" w:sz="6" w:space="0" w:color="auto"/>
            </w:tcBorders>
          </w:tcPr>
          <w:p>
            <w:pPr/>
          </w:p>
        </w:tc>
        <w:tc>
          <w:tcPr>
            <w:tcW w:w="1279" w:type="dxa"/>
            <w:tcBorders>
              <w:top w:val="nil" w:sz="6" w:space="0" w:color="auto"/>
              <w:left w:val="nil" w:sz="6" w:space="0" w:color="auto"/>
              <w:bottom w:val="nil" w:sz="6" w:space="0" w:color="auto"/>
              <w:right w:val="nil" w:sz="6" w:space="0" w:color="auto"/>
            </w:tcBorders>
          </w:tcPr>
          <w:p>
            <w:pPr>
              <w:pStyle w:val="TableParagraph"/>
              <w:spacing w:line="218" w:lineRule="exact"/>
              <w:ind w:right="25"/>
              <w:jc w:val="right"/>
              <w:rPr>
                <w:rFonts w:ascii="宋体" w:hAnsi="宋体" w:cs="宋体" w:eastAsia="宋体" w:hint="default"/>
                <w:sz w:val="18"/>
                <w:szCs w:val="18"/>
              </w:rPr>
            </w:pPr>
            <w:r>
              <w:rPr>
                <w:rFonts w:ascii="宋体"/>
                <w:sz w:val="18"/>
              </w:rPr>
              <w:t>-</w:t>
            </w:r>
          </w:p>
        </w:tc>
        <w:tc>
          <w:tcPr>
            <w:tcW w:w="1397" w:type="dxa"/>
            <w:tcBorders>
              <w:top w:val="nil" w:sz="6" w:space="0" w:color="auto"/>
              <w:left w:val="nil" w:sz="6" w:space="0" w:color="auto"/>
              <w:bottom w:val="nil" w:sz="6" w:space="0" w:color="auto"/>
              <w:right w:val="nil" w:sz="6" w:space="0" w:color="auto"/>
            </w:tcBorders>
          </w:tcPr>
          <w:p>
            <w:pPr>
              <w:pStyle w:val="TableParagraph"/>
              <w:spacing w:line="218" w:lineRule="exact"/>
              <w:ind w:right="28"/>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nil" w:sz="6" w:space="0" w:color="auto"/>
              <w:right w:val="nil" w:sz="6" w:space="0" w:color="auto"/>
            </w:tcBorders>
          </w:tcPr>
          <w:p>
            <w:pPr>
              <w:pStyle w:val="TableParagraph"/>
              <w:spacing w:line="218" w:lineRule="exact"/>
              <w:ind w:right="21"/>
              <w:jc w:val="right"/>
              <w:rPr>
                <w:rFonts w:ascii="宋体" w:hAnsi="宋体" w:cs="宋体" w:eastAsia="宋体" w:hint="default"/>
                <w:sz w:val="18"/>
                <w:szCs w:val="18"/>
              </w:rPr>
            </w:pPr>
            <w:r>
              <w:rPr>
                <w:rFonts w:ascii="宋体"/>
                <w:spacing w:val="-1"/>
                <w:sz w:val="18"/>
              </w:rPr>
              <w:t>22,523,905.35</w:t>
            </w:r>
            <w:r>
              <w:rPr>
                <w:rFonts w:ascii="宋体"/>
                <w:sz w:val="18"/>
              </w:rPr>
            </w:r>
          </w:p>
        </w:tc>
        <w:tc>
          <w:tcPr>
            <w:tcW w:w="132" w:type="dxa"/>
            <w:tcBorders>
              <w:top w:val="nil" w:sz="6" w:space="0" w:color="auto"/>
              <w:left w:val="nil" w:sz="6" w:space="0" w:color="auto"/>
              <w:bottom w:val="nil" w:sz="6" w:space="0" w:color="auto"/>
              <w:right w:val="nil" w:sz="6" w:space="0" w:color="auto"/>
            </w:tcBorders>
          </w:tcPr>
          <w:p>
            <w:pPr/>
          </w:p>
        </w:tc>
        <w:tc>
          <w:tcPr>
            <w:tcW w:w="1145" w:type="dxa"/>
            <w:tcBorders>
              <w:top w:val="nil" w:sz="6" w:space="0" w:color="auto"/>
              <w:left w:val="nil" w:sz="6" w:space="0" w:color="auto"/>
              <w:bottom w:val="nil" w:sz="6" w:space="0" w:color="auto"/>
              <w:right w:val="nil" w:sz="6" w:space="0" w:color="auto"/>
            </w:tcBorders>
          </w:tcPr>
          <w:p>
            <w:pPr>
              <w:pStyle w:val="TableParagraph"/>
              <w:spacing w:line="218" w:lineRule="exact"/>
              <w:ind w:right="29"/>
              <w:jc w:val="right"/>
              <w:rPr>
                <w:rFonts w:ascii="宋体" w:hAnsi="宋体" w:cs="宋体" w:eastAsia="宋体" w:hint="default"/>
                <w:sz w:val="18"/>
                <w:szCs w:val="18"/>
              </w:rPr>
            </w:pPr>
            <w:r>
              <w:rPr>
                <w:rFonts w:ascii="宋体"/>
                <w:sz w:val="18"/>
              </w:rPr>
              <w:t>-</w:t>
            </w:r>
          </w:p>
        </w:tc>
        <w:tc>
          <w:tcPr>
            <w:tcW w:w="1558" w:type="dxa"/>
            <w:tcBorders>
              <w:top w:val="nil" w:sz="6" w:space="0" w:color="auto"/>
              <w:left w:val="nil" w:sz="6" w:space="0" w:color="auto"/>
              <w:bottom w:val="nil" w:sz="6" w:space="0" w:color="auto"/>
              <w:right w:val="nil" w:sz="6" w:space="0" w:color="auto"/>
            </w:tcBorders>
          </w:tcPr>
          <w:p>
            <w:pPr>
              <w:pStyle w:val="TableParagraph"/>
              <w:spacing w:line="218" w:lineRule="exact"/>
              <w:ind w:right="21"/>
              <w:jc w:val="right"/>
              <w:rPr>
                <w:rFonts w:ascii="宋体" w:hAnsi="宋体" w:cs="宋体" w:eastAsia="宋体" w:hint="default"/>
                <w:sz w:val="18"/>
                <w:szCs w:val="18"/>
              </w:rPr>
            </w:pPr>
            <w:r>
              <w:rPr>
                <w:rFonts w:ascii="宋体"/>
                <w:spacing w:val="-1"/>
                <w:sz w:val="18"/>
              </w:rPr>
              <w:t>22,523,905.35</w:t>
            </w:r>
            <w:r>
              <w:rPr>
                <w:rFonts w:ascii="宋体"/>
                <w:sz w:val="18"/>
              </w:rPr>
            </w:r>
          </w:p>
        </w:tc>
      </w:tr>
      <w:tr>
        <w:trPr>
          <w:trHeight w:val="251" w:hRule="exact"/>
        </w:trPr>
        <w:tc>
          <w:tcPr>
            <w:tcW w:w="108" w:type="dxa"/>
            <w:tcBorders>
              <w:top w:val="nil" w:sz="6" w:space="0" w:color="auto"/>
              <w:left w:val="nil" w:sz="6" w:space="0" w:color="auto"/>
              <w:bottom w:val="nil" w:sz="6" w:space="0" w:color="auto"/>
              <w:right w:val="nil" w:sz="6" w:space="0" w:color="auto"/>
            </w:tcBorders>
          </w:tcPr>
          <w:p>
            <w:pPr/>
          </w:p>
        </w:tc>
        <w:tc>
          <w:tcPr>
            <w:tcW w:w="2621" w:type="dxa"/>
            <w:tcBorders>
              <w:top w:val="nil" w:sz="6" w:space="0" w:color="auto"/>
              <w:left w:val="nil" w:sz="6" w:space="0" w:color="auto"/>
              <w:bottom w:val="nil" w:sz="6" w:space="0" w:color="auto"/>
              <w:right w:val="nil" w:sz="6" w:space="0" w:color="auto"/>
            </w:tcBorders>
          </w:tcPr>
          <w:p>
            <w:pPr>
              <w:pStyle w:val="TableParagraph"/>
              <w:spacing w:line="217" w:lineRule="exact"/>
              <w:ind w:left="28" w:right="0"/>
              <w:jc w:val="left"/>
              <w:rPr>
                <w:rFonts w:ascii="宋体" w:hAnsi="宋体" w:cs="宋体" w:eastAsia="宋体" w:hint="default"/>
                <w:sz w:val="18"/>
                <w:szCs w:val="18"/>
              </w:rPr>
            </w:pPr>
            <w:r>
              <w:rPr>
                <w:rFonts w:ascii="宋体" w:hAnsi="宋体" w:cs="宋体" w:eastAsia="宋体" w:hint="default"/>
                <w:sz w:val="18"/>
                <w:szCs w:val="18"/>
              </w:rPr>
              <w:t>（三）股东投入和减少股本</w:t>
            </w:r>
          </w:p>
        </w:tc>
        <w:tc>
          <w:tcPr>
            <w:tcW w:w="2431" w:type="dxa"/>
            <w:tcBorders>
              <w:top w:val="nil" w:sz="6" w:space="0" w:color="auto"/>
              <w:left w:val="nil" w:sz="6" w:space="0" w:color="auto"/>
              <w:bottom w:val="nil" w:sz="6" w:space="0" w:color="auto"/>
              <w:right w:val="nil" w:sz="6" w:space="0" w:color="auto"/>
            </w:tcBorders>
          </w:tcPr>
          <w:p>
            <w:pPr>
              <w:pStyle w:val="TableParagraph"/>
              <w:spacing w:line="220" w:lineRule="exact"/>
              <w:ind w:right="25"/>
              <w:jc w:val="right"/>
              <w:rPr>
                <w:rFonts w:ascii="宋体" w:hAnsi="宋体" w:cs="宋体" w:eastAsia="宋体" w:hint="default"/>
                <w:sz w:val="18"/>
                <w:szCs w:val="18"/>
              </w:rPr>
            </w:pPr>
            <w:r>
              <w:rPr>
                <w:rFonts w:ascii="宋体"/>
                <w:sz w:val="18"/>
              </w:rPr>
              <w:t>-</w:t>
            </w:r>
          </w:p>
        </w:tc>
        <w:tc>
          <w:tcPr>
            <w:tcW w:w="113" w:type="dxa"/>
            <w:tcBorders>
              <w:top w:val="nil" w:sz="6" w:space="0" w:color="auto"/>
              <w:left w:val="nil" w:sz="6" w:space="0" w:color="auto"/>
              <w:bottom w:val="nil" w:sz="6" w:space="0" w:color="auto"/>
              <w:right w:val="nil" w:sz="6" w:space="0" w:color="auto"/>
            </w:tcBorders>
          </w:tcPr>
          <w:p>
            <w:pPr/>
          </w:p>
        </w:tc>
        <w:tc>
          <w:tcPr>
            <w:tcW w:w="1586" w:type="dxa"/>
            <w:tcBorders>
              <w:top w:val="nil" w:sz="6" w:space="0" w:color="auto"/>
              <w:left w:val="nil" w:sz="6" w:space="0" w:color="auto"/>
              <w:bottom w:val="nil" w:sz="6" w:space="0" w:color="auto"/>
              <w:right w:val="nil" w:sz="6" w:space="0" w:color="auto"/>
            </w:tcBorders>
          </w:tcPr>
          <w:p>
            <w:pPr>
              <w:pStyle w:val="TableParagraph"/>
              <w:spacing w:line="220" w:lineRule="exact"/>
              <w:ind w:right="25"/>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883" w:type="dxa"/>
            <w:tcBorders>
              <w:top w:val="nil" w:sz="6" w:space="0" w:color="auto"/>
              <w:left w:val="nil" w:sz="6" w:space="0" w:color="auto"/>
              <w:bottom w:val="nil" w:sz="6" w:space="0" w:color="auto"/>
              <w:right w:val="nil" w:sz="6" w:space="0" w:color="auto"/>
            </w:tcBorders>
          </w:tcPr>
          <w:p>
            <w:pPr>
              <w:pStyle w:val="TableParagraph"/>
              <w:spacing w:line="220" w:lineRule="exact"/>
              <w:ind w:right="25"/>
              <w:jc w:val="right"/>
              <w:rPr>
                <w:rFonts w:ascii="宋体" w:hAnsi="宋体" w:cs="宋体" w:eastAsia="宋体" w:hint="default"/>
                <w:sz w:val="18"/>
                <w:szCs w:val="18"/>
              </w:rPr>
            </w:pPr>
            <w:r>
              <w:rPr>
                <w:rFonts w:ascii="宋体"/>
                <w:sz w:val="18"/>
              </w:rPr>
              <w:t>-</w:t>
            </w:r>
          </w:p>
        </w:tc>
        <w:tc>
          <w:tcPr>
            <w:tcW w:w="953" w:type="dxa"/>
            <w:tcBorders>
              <w:top w:val="nil" w:sz="6" w:space="0" w:color="auto"/>
              <w:left w:val="nil" w:sz="6" w:space="0" w:color="auto"/>
              <w:bottom w:val="nil" w:sz="6" w:space="0" w:color="auto"/>
              <w:right w:val="nil" w:sz="6" w:space="0" w:color="auto"/>
            </w:tcBorders>
          </w:tcPr>
          <w:p>
            <w:pPr>
              <w:pStyle w:val="TableParagraph"/>
              <w:spacing w:line="220" w:lineRule="exact"/>
              <w:ind w:right="29"/>
              <w:jc w:val="right"/>
              <w:rPr>
                <w:rFonts w:ascii="宋体" w:hAnsi="宋体" w:cs="宋体" w:eastAsia="宋体" w:hint="default"/>
                <w:sz w:val="18"/>
                <w:szCs w:val="18"/>
              </w:rPr>
            </w:pPr>
            <w:r>
              <w:rPr>
                <w:rFonts w:ascii="宋体"/>
                <w:sz w:val="18"/>
              </w:rPr>
              <w:t>-</w:t>
            </w:r>
          </w:p>
        </w:tc>
        <w:tc>
          <w:tcPr>
            <w:tcW w:w="144" w:type="dxa"/>
            <w:tcBorders>
              <w:top w:val="nil" w:sz="6" w:space="0" w:color="auto"/>
              <w:left w:val="nil" w:sz="6" w:space="0" w:color="auto"/>
              <w:bottom w:val="nil" w:sz="6" w:space="0" w:color="auto"/>
              <w:right w:val="nil" w:sz="6" w:space="0" w:color="auto"/>
            </w:tcBorders>
          </w:tcPr>
          <w:p>
            <w:pPr/>
          </w:p>
        </w:tc>
        <w:tc>
          <w:tcPr>
            <w:tcW w:w="1279" w:type="dxa"/>
            <w:tcBorders>
              <w:top w:val="nil" w:sz="6" w:space="0" w:color="auto"/>
              <w:left w:val="nil" w:sz="6" w:space="0" w:color="auto"/>
              <w:bottom w:val="nil" w:sz="6" w:space="0" w:color="auto"/>
              <w:right w:val="nil" w:sz="6" w:space="0" w:color="auto"/>
            </w:tcBorders>
          </w:tcPr>
          <w:p>
            <w:pPr>
              <w:pStyle w:val="TableParagraph"/>
              <w:spacing w:line="220" w:lineRule="exact"/>
              <w:ind w:right="25"/>
              <w:jc w:val="right"/>
              <w:rPr>
                <w:rFonts w:ascii="宋体" w:hAnsi="宋体" w:cs="宋体" w:eastAsia="宋体" w:hint="default"/>
                <w:sz w:val="18"/>
                <w:szCs w:val="18"/>
              </w:rPr>
            </w:pPr>
            <w:r>
              <w:rPr>
                <w:rFonts w:ascii="宋体"/>
                <w:sz w:val="18"/>
              </w:rPr>
              <w:t>-</w:t>
            </w:r>
          </w:p>
        </w:tc>
        <w:tc>
          <w:tcPr>
            <w:tcW w:w="1397" w:type="dxa"/>
            <w:tcBorders>
              <w:top w:val="nil" w:sz="6" w:space="0" w:color="auto"/>
              <w:left w:val="nil" w:sz="6" w:space="0" w:color="auto"/>
              <w:bottom w:val="nil" w:sz="6" w:space="0" w:color="auto"/>
              <w:right w:val="nil" w:sz="6" w:space="0" w:color="auto"/>
            </w:tcBorders>
          </w:tcPr>
          <w:p>
            <w:pPr>
              <w:pStyle w:val="TableParagraph"/>
              <w:spacing w:line="220" w:lineRule="exact"/>
              <w:ind w:right="28"/>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nil" w:sz="6" w:space="0" w:color="auto"/>
              <w:right w:val="nil" w:sz="6" w:space="0" w:color="auto"/>
            </w:tcBorders>
          </w:tcPr>
          <w:p>
            <w:pPr>
              <w:pStyle w:val="TableParagraph"/>
              <w:spacing w:line="220" w:lineRule="exact"/>
              <w:ind w:right="25"/>
              <w:jc w:val="right"/>
              <w:rPr>
                <w:rFonts w:ascii="宋体" w:hAnsi="宋体" w:cs="宋体" w:eastAsia="宋体" w:hint="default"/>
                <w:sz w:val="18"/>
                <w:szCs w:val="18"/>
              </w:rPr>
            </w:pPr>
            <w:r>
              <w:rPr>
                <w:rFonts w:ascii="宋体"/>
                <w:sz w:val="18"/>
              </w:rPr>
              <w:t>-</w:t>
            </w:r>
          </w:p>
        </w:tc>
        <w:tc>
          <w:tcPr>
            <w:tcW w:w="132" w:type="dxa"/>
            <w:tcBorders>
              <w:top w:val="nil" w:sz="6" w:space="0" w:color="auto"/>
              <w:left w:val="nil" w:sz="6" w:space="0" w:color="auto"/>
              <w:bottom w:val="nil" w:sz="6" w:space="0" w:color="auto"/>
              <w:right w:val="nil" w:sz="6" w:space="0" w:color="auto"/>
            </w:tcBorders>
          </w:tcPr>
          <w:p>
            <w:pPr/>
          </w:p>
        </w:tc>
        <w:tc>
          <w:tcPr>
            <w:tcW w:w="1145" w:type="dxa"/>
            <w:tcBorders>
              <w:top w:val="nil" w:sz="6" w:space="0" w:color="auto"/>
              <w:left w:val="nil" w:sz="6" w:space="0" w:color="auto"/>
              <w:bottom w:val="nil" w:sz="6" w:space="0" w:color="auto"/>
              <w:right w:val="nil" w:sz="6" w:space="0" w:color="auto"/>
            </w:tcBorders>
          </w:tcPr>
          <w:p>
            <w:pPr>
              <w:pStyle w:val="TableParagraph"/>
              <w:spacing w:line="220" w:lineRule="exact"/>
              <w:ind w:right="29"/>
              <w:jc w:val="right"/>
              <w:rPr>
                <w:rFonts w:ascii="宋体" w:hAnsi="宋体" w:cs="宋体" w:eastAsia="宋体" w:hint="default"/>
                <w:sz w:val="18"/>
                <w:szCs w:val="18"/>
              </w:rPr>
            </w:pPr>
            <w:r>
              <w:rPr>
                <w:rFonts w:ascii="宋体"/>
                <w:sz w:val="18"/>
              </w:rPr>
              <w:t>-</w:t>
            </w:r>
          </w:p>
        </w:tc>
        <w:tc>
          <w:tcPr>
            <w:tcW w:w="1558" w:type="dxa"/>
            <w:tcBorders>
              <w:top w:val="nil" w:sz="6" w:space="0" w:color="auto"/>
              <w:left w:val="nil" w:sz="6" w:space="0" w:color="auto"/>
              <w:bottom w:val="nil" w:sz="6" w:space="0" w:color="auto"/>
              <w:right w:val="nil" w:sz="6" w:space="0" w:color="auto"/>
            </w:tcBorders>
          </w:tcPr>
          <w:p>
            <w:pPr>
              <w:pStyle w:val="TableParagraph"/>
              <w:spacing w:line="220" w:lineRule="exact"/>
              <w:ind w:right="25"/>
              <w:jc w:val="right"/>
              <w:rPr>
                <w:rFonts w:ascii="宋体" w:hAnsi="宋体" w:cs="宋体" w:eastAsia="宋体" w:hint="default"/>
                <w:sz w:val="18"/>
                <w:szCs w:val="18"/>
              </w:rPr>
            </w:pPr>
            <w:r>
              <w:rPr>
                <w:rFonts w:ascii="宋体"/>
                <w:sz w:val="18"/>
              </w:rPr>
              <w:t>-</w:t>
            </w:r>
          </w:p>
        </w:tc>
      </w:tr>
      <w:tr>
        <w:trPr>
          <w:trHeight w:val="230" w:hRule="exact"/>
        </w:trPr>
        <w:tc>
          <w:tcPr>
            <w:tcW w:w="108" w:type="dxa"/>
            <w:tcBorders>
              <w:top w:val="nil" w:sz="6" w:space="0" w:color="auto"/>
              <w:left w:val="nil" w:sz="6" w:space="0" w:color="auto"/>
              <w:bottom w:val="nil" w:sz="6" w:space="0" w:color="auto"/>
              <w:right w:val="nil" w:sz="6" w:space="0" w:color="auto"/>
            </w:tcBorders>
          </w:tcPr>
          <w:p>
            <w:pPr/>
          </w:p>
        </w:tc>
        <w:tc>
          <w:tcPr>
            <w:tcW w:w="2621" w:type="dxa"/>
            <w:tcBorders>
              <w:top w:val="nil" w:sz="6" w:space="0" w:color="auto"/>
              <w:left w:val="nil" w:sz="6" w:space="0" w:color="auto"/>
              <w:bottom w:val="nil" w:sz="6" w:space="0" w:color="auto"/>
              <w:right w:val="nil" w:sz="6" w:space="0" w:color="auto"/>
            </w:tcBorders>
          </w:tcPr>
          <w:p>
            <w:pPr>
              <w:pStyle w:val="TableParagraph"/>
              <w:spacing w:line="211" w:lineRule="exact"/>
              <w:ind w:left="391" w:right="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股东投入股本</w:t>
            </w:r>
          </w:p>
        </w:tc>
        <w:tc>
          <w:tcPr>
            <w:tcW w:w="2431" w:type="dxa"/>
            <w:tcBorders>
              <w:top w:val="nil" w:sz="6" w:space="0" w:color="auto"/>
              <w:left w:val="nil" w:sz="6" w:space="0" w:color="auto"/>
              <w:bottom w:val="nil" w:sz="6" w:space="0" w:color="auto"/>
              <w:right w:val="nil" w:sz="6" w:space="0" w:color="auto"/>
            </w:tcBorders>
          </w:tcPr>
          <w:p>
            <w:pPr>
              <w:pStyle w:val="TableParagraph"/>
              <w:spacing w:line="214" w:lineRule="exact"/>
              <w:ind w:right="25"/>
              <w:jc w:val="right"/>
              <w:rPr>
                <w:rFonts w:ascii="宋体" w:hAnsi="宋体" w:cs="宋体" w:eastAsia="宋体" w:hint="default"/>
                <w:sz w:val="18"/>
                <w:szCs w:val="18"/>
              </w:rPr>
            </w:pPr>
            <w:r>
              <w:rPr>
                <w:rFonts w:ascii="宋体"/>
                <w:sz w:val="18"/>
              </w:rPr>
              <w:t>-</w:t>
            </w:r>
          </w:p>
        </w:tc>
        <w:tc>
          <w:tcPr>
            <w:tcW w:w="113" w:type="dxa"/>
            <w:tcBorders>
              <w:top w:val="nil" w:sz="6" w:space="0" w:color="auto"/>
              <w:left w:val="nil" w:sz="6" w:space="0" w:color="auto"/>
              <w:bottom w:val="nil" w:sz="6" w:space="0" w:color="auto"/>
              <w:right w:val="nil" w:sz="6" w:space="0" w:color="auto"/>
            </w:tcBorders>
          </w:tcPr>
          <w:p>
            <w:pPr/>
          </w:p>
        </w:tc>
        <w:tc>
          <w:tcPr>
            <w:tcW w:w="1586" w:type="dxa"/>
            <w:tcBorders>
              <w:top w:val="nil" w:sz="6" w:space="0" w:color="auto"/>
              <w:left w:val="nil" w:sz="6" w:space="0" w:color="auto"/>
              <w:bottom w:val="nil" w:sz="6" w:space="0" w:color="auto"/>
              <w:right w:val="nil" w:sz="6" w:space="0" w:color="auto"/>
            </w:tcBorders>
          </w:tcPr>
          <w:p>
            <w:pPr>
              <w:pStyle w:val="TableParagraph"/>
              <w:spacing w:line="214" w:lineRule="exact"/>
              <w:ind w:right="25"/>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883" w:type="dxa"/>
            <w:tcBorders>
              <w:top w:val="nil" w:sz="6" w:space="0" w:color="auto"/>
              <w:left w:val="nil" w:sz="6" w:space="0" w:color="auto"/>
              <w:bottom w:val="nil" w:sz="6" w:space="0" w:color="auto"/>
              <w:right w:val="nil" w:sz="6" w:space="0" w:color="auto"/>
            </w:tcBorders>
          </w:tcPr>
          <w:p>
            <w:pPr>
              <w:pStyle w:val="TableParagraph"/>
              <w:spacing w:line="214" w:lineRule="exact"/>
              <w:ind w:right="25"/>
              <w:jc w:val="right"/>
              <w:rPr>
                <w:rFonts w:ascii="宋体" w:hAnsi="宋体" w:cs="宋体" w:eastAsia="宋体" w:hint="default"/>
                <w:sz w:val="18"/>
                <w:szCs w:val="18"/>
              </w:rPr>
            </w:pPr>
            <w:r>
              <w:rPr>
                <w:rFonts w:ascii="宋体"/>
                <w:sz w:val="18"/>
              </w:rPr>
              <w:t>-</w:t>
            </w:r>
          </w:p>
        </w:tc>
        <w:tc>
          <w:tcPr>
            <w:tcW w:w="953" w:type="dxa"/>
            <w:tcBorders>
              <w:top w:val="nil" w:sz="6" w:space="0" w:color="auto"/>
              <w:left w:val="nil" w:sz="6" w:space="0" w:color="auto"/>
              <w:bottom w:val="nil" w:sz="6" w:space="0" w:color="auto"/>
              <w:right w:val="nil" w:sz="6" w:space="0" w:color="auto"/>
            </w:tcBorders>
          </w:tcPr>
          <w:p>
            <w:pPr>
              <w:pStyle w:val="TableParagraph"/>
              <w:spacing w:line="214" w:lineRule="exact"/>
              <w:ind w:right="29"/>
              <w:jc w:val="right"/>
              <w:rPr>
                <w:rFonts w:ascii="宋体" w:hAnsi="宋体" w:cs="宋体" w:eastAsia="宋体" w:hint="default"/>
                <w:sz w:val="18"/>
                <w:szCs w:val="18"/>
              </w:rPr>
            </w:pPr>
            <w:r>
              <w:rPr>
                <w:rFonts w:ascii="宋体"/>
                <w:sz w:val="18"/>
              </w:rPr>
              <w:t>-</w:t>
            </w:r>
          </w:p>
        </w:tc>
        <w:tc>
          <w:tcPr>
            <w:tcW w:w="144" w:type="dxa"/>
            <w:tcBorders>
              <w:top w:val="nil" w:sz="6" w:space="0" w:color="auto"/>
              <w:left w:val="nil" w:sz="6" w:space="0" w:color="auto"/>
              <w:bottom w:val="nil" w:sz="6" w:space="0" w:color="auto"/>
              <w:right w:val="nil" w:sz="6" w:space="0" w:color="auto"/>
            </w:tcBorders>
          </w:tcPr>
          <w:p>
            <w:pPr/>
          </w:p>
        </w:tc>
        <w:tc>
          <w:tcPr>
            <w:tcW w:w="1279" w:type="dxa"/>
            <w:tcBorders>
              <w:top w:val="nil" w:sz="6" w:space="0" w:color="auto"/>
              <w:left w:val="nil" w:sz="6" w:space="0" w:color="auto"/>
              <w:bottom w:val="nil" w:sz="6" w:space="0" w:color="auto"/>
              <w:right w:val="nil" w:sz="6" w:space="0" w:color="auto"/>
            </w:tcBorders>
          </w:tcPr>
          <w:p>
            <w:pPr>
              <w:pStyle w:val="TableParagraph"/>
              <w:spacing w:line="214" w:lineRule="exact"/>
              <w:ind w:right="25"/>
              <w:jc w:val="right"/>
              <w:rPr>
                <w:rFonts w:ascii="宋体" w:hAnsi="宋体" w:cs="宋体" w:eastAsia="宋体" w:hint="default"/>
                <w:sz w:val="18"/>
                <w:szCs w:val="18"/>
              </w:rPr>
            </w:pPr>
            <w:r>
              <w:rPr>
                <w:rFonts w:ascii="宋体"/>
                <w:sz w:val="18"/>
              </w:rPr>
              <w:t>-</w:t>
            </w:r>
          </w:p>
        </w:tc>
        <w:tc>
          <w:tcPr>
            <w:tcW w:w="1397" w:type="dxa"/>
            <w:tcBorders>
              <w:top w:val="nil" w:sz="6" w:space="0" w:color="auto"/>
              <w:left w:val="nil" w:sz="6" w:space="0" w:color="auto"/>
              <w:bottom w:val="nil" w:sz="6" w:space="0" w:color="auto"/>
              <w:right w:val="nil" w:sz="6" w:space="0" w:color="auto"/>
            </w:tcBorders>
          </w:tcPr>
          <w:p>
            <w:pPr>
              <w:pStyle w:val="TableParagraph"/>
              <w:spacing w:line="214" w:lineRule="exact"/>
              <w:ind w:right="28"/>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nil" w:sz="6" w:space="0" w:color="auto"/>
              <w:right w:val="nil" w:sz="6" w:space="0" w:color="auto"/>
            </w:tcBorders>
          </w:tcPr>
          <w:p>
            <w:pPr>
              <w:pStyle w:val="TableParagraph"/>
              <w:spacing w:line="214" w:lineRule="exact"/>
              <w:ind w:right="25"/>
              <w:jc w:val="right"/>
              <w:rPr>
                <w:rFonts w:ascii="宋体" w:hAnsi="宋体" w:cs="宋体" w:eastAsia="宋体" w:hint="default"/>
                <w:sz w:val="18"/>
                <w:szCs w:val="18"/>
              </w:rPr>
            </w:pPr>
            <w:r>
              <w:rPr>
                <w:rFonts w:ascii="宋体"/>
                <w:sz w:val="18"/>
              </w:rPr>
              <w:t>-</w:t>
            </w:r>
          </w:p>
        </w:tc>
        <w:tc>
          <w:tcPr>
            <w:tcW w:w="132" w:type="dxa"/>
            <w:tcBorders>
              <w:top w:val="nil" w:sz="6" w:space="0" w:color="auto"/>
              <w:left w:val="nil" w:sz="6" w:space="0" w:color="auto"/>
              <w:bottom w:val="nil" w:sz="6" w:space="0" w:color="auto"/>
              <w:right w:val="nil" w:sz="6" w:space="0" w:color="auto"/>
            </w:tcBorders>
          </w:tcPr>
          <w:p>
            <w:pPr/>
          </w:p>
        </w:tc>
        <w:tc>
          <w:tcPr>
            <w:tcW w:w="1145" w:type="dxa"/>
            <w:tcBorders>
              <w:top w:val="nil" w:sz="6" w:space="0" w:color="auto"/>
              <w:left w:val="nil" w:sz="6" w:space="0" w:color="auto"/>
              <w:bottom w:val="nil" w:sz="6" w:space="0" w:color="auto"/>
              <w:right w:val="nil" w:sz="6" w:space="0" w:color="auto"/>
            </w:tcBorders>
          </w:tcPr>
          <w:p>
            <w:pPr>
              <w:pStyle w:val="TableParagraph"/>
              <w:spacing w:line="214" w:lineRule="exact"/>
              <w:ind w:right="29"/>
              <w:jc w:val="right"/>
              <w:rPr>
                <w:rFonts w:ascii="宋体" w:hAnsi="宋体" w:cs="宋体" w:eastAsia="宋体" w:hint="default"/>
                <w:sz w:val="18"/>
                <w:szCs w:val="18"/>
              </w:rPr>
            </w:pPr>
            <w:r>
              <w:rPr>
                <w:rFonts w:ascii="宋体"/>
                <w:sz w:val="18"/>
              </w:rPr>
              <w:t>-</w:t>
            </w:r>
          </w:p>
        </w:tc>
        <w:tc>
          <w:tcPr>
            <w:tcW w:w="1558" w:type="dxa"/>
            <w:tcBorders>
              <w:top w:val="nil" w:sz="6" w:space="0" w:color="auto"/>
              <w:left w:val="nil" w:sz="6" w:space="0" w:color="auto"/>
              <w:bottom w:val="nil" w:sz="6" w:space="0" w:color="auto"/>
              <w:right w:val="nil" w:sz="6" w:space="0" w:color="auto"/>
            </w:tcBorders>
          </w:tcPr>
          <w:p>
            <w:pPr>
              <w:pStyle w:val="TableParagraph"/>
              <w:spacing w:line="214" w:lineRule="exact"/>
              <w:ind w:right="25"/>
              <w:jc w:val="right"/>
              <w:rPr>
                <w:rFonts w:ascii="宋体" w:hAnsi="宋体" w:cs="宋体" w:eastAsia="宋体" w:hint="default"/>
                <w:sz w:val="18"/>
                <w:szCs w:val="18"/>
              </w:rPr>
            </w:pPr>
            <w:r>
              <w:rPr>
                <w:rFonts w:ascii="宋体"/>
                <w:sz w:val="18"/>
              </w:rPr>
              <w:t>-</w:t>
            </w:r>
          </w:p>
        </w:tc>
      </w:tr>
      <w:tr>
        <w:trPr>
          <w:trHeight w:val="420" w:hRule="exact"/>
        </w:trPr>
        <w:tc>
          <w:tcPr>
            <w:tcW w:w="108" w:type="dxa"/>
            <w:tcBorders>
              <w:top w:val="nil" w:sz="6" w:space="0" w:color="auto"/>
              <w:left w:val="nil" w:sz="6" w:space="0" w:color="auto"/>
              <w:bottom w:val="nil" w:sz="6" w:space="0" w:color="auto"/>
              <w:right w:val="nil" w:sz="6" w:space="0" w:color="auto"/>
            </w:tcBorders>
          </w:tcPr>
          <w:p>
            <w:pPr/>
          </w:p>
        </w:tc>
        <w:tc>
          <w:tcPr>
            <w:tcW w:w="2621" w:type="dxa"/>
            <w:tcBorders>
              <w:top w:val="nil" w:sz="6" w:space="0" w:color="auto"/>
              <w:left w:val="nil" w:sz="6" w:space="0" w:color="auto"/>
              <w:bottom w:val="nil" w:sz="6" w:space="0" w:color="auto"/>
              <w:right w:val="nil" w:sz="6" w:space="0" w:color="auto"/>
            </w:tcBorders>
          </w:tcPr>
          <w:p>
            <w:pPr>
              <w:pStyle w:val="TableParagraph"/>
              <w:spacing w:line="179" w:lineRule="exact"/>
              <w:ind w:left="391" w:right="0"/>
              <w:jc w:val="left"/>
              <w:rPr>
                <w:rFonts w:ascii="宋体" w:hAnsi="宋体" w:cs="宋体" w:eastAsia="宋体" w:hint="default"/>
                <w:sz w:val="18"/>
                <w:szCs w:val="18"/>
              </w:rPr>
            </w:pPr>
            <w:r>
              <w:rPr>
                <w:rFonts w:ascii="宋体" w:hAnsi="宋体" w:cs="宋体" w:eastAsia="宋体" w:hint="default"/>
                <w:spacing w:val="-4"/>
                <w:sz w:val="18"/>
                <w:szCs w:val="18"/>
              </w:rPr>
              <w:t>2</w:t>
            </w:r>
            <w:r>
              <w:rPr>
                <w:rFonts w:ascii="宋体" w:hAnsi="宋体" w:cs="宋体" w:eastAsia="宋体" w:hint="default"/>
                <w:spacing w:val="-4"/>
                <w:sz w:val="18"/>
                <w:szCs w:val="18"/>
              </w:rPr>
              <w:t>．股份支付计入股东权益的</w:t>
            </w:r>
          </w:p>
          <w:p>
            <w:pPr>
              <w:pStyle w:val="TableParagraph"/>
              <w:spacing w:line="217" w:lineRule="exact"/>
              <w:ind w:left="2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243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5"/>
              <w:jc w:val="right"/>
              <w:rPr>
                <w:rFonts w:ascii="宋体" w:hAnsi="宋体" w:cs="宋体" w:eastAsia="宋体" w:hint="default"/>
                <w:sz w:val="18"/>
                <w:szCs w:val="18"/>
              </w:rPr>
            </w:pPr>
            <w:r>
              <w:rPr>
                <w:rFonts w:ascii="宋体"/>
                <w:sz w:val="18"/>
              </w:rPr>
              <w:t>-</w:t>
            </w:r>
          </w:p>
        </w:tc>
        <w:tc>
          <w:tcPr>
            <w:tcW w:w="113" w:type="dxa"/>
            <w:tcBorders>
              <w:top w:val="nil" w:sz="6" w:space="0" w:color="auto"/>
              <w:left w:val="nil" w:sz="6" w:space="0" w:color="auto"/>
              <w:bottom w:val="nil" w:sz="6" w:space="0" w:color="auto"/>
              <w:right w:val="nil" w:sz="6" w:space="0" w:color="auto"/>
            </w:tcBorders>
          </w:tcPr>
          <w:p>
            <w:pP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5"/>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88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5"/>
              <w:jc w:val="right"/>
              <w:rPr>
                <w:rFonts w:ascii="宋体" w:hAnsi="宋体" w:cs="宋体" w:eastAsia="宋体" w:hint="default"/>
                <w:sz w:val="18"/>
                <w:szCs w:val="18"/>
              </w:rPr>
            </w:pPr>
            <w:r>
              <w:rPr>
                <w:rFonts w:ascii="宋体"/>
                <w:sz w:val="18"/>
              </w:rPr>
              <w:t>-</w:t>
            </w: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9"/>
              <w:jc w:val="right"/>
              <w:rPr>
                <w:rFonts w:ascii="宋体" w:hAnsi="宋体" w:cs="宋体" w:eastAsia="宋体" w:hint="default"/>
                <w:sz w:val="18"/>
                <w:szCs w:val="18"/>
              </w:rPr>
            </w:pPr>
            <w:r>
              <w:rPr>
                <w:rFonts w:ascii="宋体"/>
                <w:sz w:val="18"/>
              </w:rPr>
              <w:t>-</w:t>
            </w:r>
          </w:p>
        </w:tc>
        <w:tc>
          <w:tcPr>
            <w:tcW w:w="144" w:type="dxa"/>
            <w:tcBorders>
              <w:top w:val="nil" w:sz="6" w:space="0" w:color="auto"/>
              <w:left w:val="nil" w:sz="6" w:space="0" w:color="auto"/>
              <w:bottom w:val="nil" w:sz="6" w:space="0" w:color="auto"/>
              <w:right w:val="nil" w:sz="6" w:space="0" w:color="auto"/>
            </w:tcBorders>
          </w:tcPr>
          <w:p>
            <w:pP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5"/>
              <w:jc w:val="right"/>
              <w:rPr>
                <w:rFonts w:ascii="宋体" w:hAnsi="宋体" w:cs="宋体" w:eastAsia="宋体" w:hint="default"/>
                <w:sz w:val="18"/>
                <w:szCs w:val="18"/>
              </w:rPr>
            </w:pPr>
            <w:r>
              <w:rPr>
                <w:rFonts w:ascii="宋体"/>
                <w:sz w:val="18"/>
              </w:rPr>
              <w:t>-</w:t>
            </w:r>
          </w:p>
        </w:tc>
        <w:tc>
          <w:tcPr>
            <w:tcW w:w="139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8"/>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5"/>
              <w:jc w:val="right"/>
              <w:rPr>
                <w:rFonts w:ascii="宋体" w:hAnsi="宋体" w:cs="宋体" w:eastAsia="宋体" w:hint="default"/>
                <w:sz w:val="18"/>
                <w:szCs w:val="18"/>
              </w:rPr>
            </w:pPr>
            <w:r>
              <w:rPr>
                <w:rFonts w:ascii="宋体"/>
                <w:sz w:val="18"/>
              </w:rPr>
              <w:t>-</w:t>
            </w:r>
          </w:p>
        </w:tc>
        <w:tc>
          <w:tcPr>
            <w:tcW w:w="132" w:type="dxa"/>
            <w:tcBorders>
              <w:top w:val="nil" w:sz="6" w:space="0" w:color="auto"/>
              <w:left w:val="nil" w:sz="6" w:space="0" w:color="auto"/>
              <w:bottom w:val="nil" w:sz="6" w:space="0" w:color="auto"/>
              <w:right w:val="nil" w:sz="6" w:space="0" w:color="auto"/>
            </w:tcBorders>
          </w:tcPr>
          <w:p>
            <w:pP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9"/>
              <w:jc w:val="right"/>
              <w:rPr>
                <w:rFonts w:ascii="宋体" w:hAnsi="宋体" w:cs="宋体" w:eastAsia="宋体" w:hint="default"/>
                <w:sz w:val="18"/>
                <w:szCs w:val="18"/>
              </w:rPr>
            </w:pPr>
            <w:r>
              <w:rPr>
                <w:rFonts w:ascii="宋体"/>
                <w:sz w:val="18"/>
              </w:rPr>
              <w:t>-</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5"/>
              <w:jc w:val="right"/>
              <w:rPr>
                <w:rFonts w:ascii="宋体" w:hAnsi="宋体" w:cs="宋体" w:eastAsia="宋体" w:hint="default"/>
                <w:sz w:val="18"/>
                <w:szCs w:val="18"/>
              </w:rPr>
            </w:pPr>
            <w:r>
              <w:rPr>
                <w:rFonts w:ascii="宋体"/>
                <w:sz w:val="18"/>
              </w:rPr>
              <w:t>-</w:t>
            </w:r>
          </w:p>
        </w:tc>
      </w:tr>
      <w:tr>
        <w:trPr>
          <w:trHeight w:val="242" w:hRule="exact"/>
        </w:trPr>
        <w:tc>
          <w:tcPr>
            <w:tcW w:w="108" w:type="dxa"/>
            <w:tcBorders>
              <w:top w:val="nil" w:sz="6" w:space="0" w:color="auto"/>
              <w:left w:val="nil" w:sz="6" w:space="0" w:color="auto"/>
              <w:bottom w:val="nil" w:sz="6" w:space="0" w:color="auto"/>
              <w:right w:val="nil" w:sz="6" w:space="0" w:color="auto"/>
            </w:tcBorders>
          </w:tcPr>
          <w:p>
            <w:pPr/>
          </w:p>
        </w:tc>
        <w:tc>
          <w:tcPr>
            <w:tcW w:w="2621" w:type="dxa"/>
            <w:tcBorders>
              <w:top w:val="nil" w:sz="6" w:space="0" w:color="auto"/>
              <w:left w:val="nil" w:sz="6" w:space="0" w:color="auto"/>
              <w:bottom w:val="nil" w:sz="6" w:space="0" w:color="auto"/>
              <w:right w:val="nil" w:sz="6" w:space="0" w:color="auto"/>
            </w:tcBorders>
          </w:tcPr>
          <w:p>
            <w:pPr>
              <w:pStyle w:val="TableParagraph"/>
              <w:spacing w:line="204" w:lineRule="exact"/>
              <w:ind w:left="39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2431" w:type="dxa"/>
            <w:tcBorders>
              <w:top w:val="nil" w:sz="6" w:space="0" w:color="auto"/>
              <w:left w:val="nil" w:sz="6" w:space="0" w:color="auto"/>
              <w:bottom w:val="nil" w:sz="6" w:space="0" w:color="auto"/>
              <w:right w:val="nil" w:sz="6" w:space="0" w:color="auto"/>
            </w:tcBorders>
          </w:tcPr>
          <w:p>
            <w:pPr>
              <w:pStyle w:val="TableParagraph"/>
              <w:spacing w:line="206" w:lineRule="exact"/>
              <w:ind w:right="25"/>
              <w:jc w:val="right"/>
              <w:rPr>
                <w:rFonts w:ascii="宋体" w:hAnsi="宋体" w:cs="宋体" w:eastAsia="宋体" w:hint="default"/>
                <w:sz w:val="18"/>
                <w:szCs w:val="18"/>
              </w:rPr>
            </w:pPr>
            <w:r>
              <w:rPr>
                <w:rFonts w:ascii="宋体"/>
                <w:sz w:val="18"/>
              </w:rPr>
              <w:t>-</w:t>
            </w:r>
          </w:p>
        </w:tc>
        <w:tc>
          <w:tcPr>
            <w:tcW w:w="113" w:type="dxa"/>
            <w:tcBorders>
              <w:top w:val="nil" w:sz="6" w:space="0" w:color="auto"/>
              <w:left w:val="nil" w:sz="6" w:space="0" w:color="auto"/>
              <w:bottom w:val="nil" w:sz="6" w:space="0" w:color="auto"/>
              <w:right w:val="nil" w:sz="6" w:space="0" w:color="auto"/>
            </w:tcBorders>
          </w:tcPr>
          <w:p>
            <w:pPr/>
          </w:p>
        </w:tc>
        <w:tc>
          <w:tcPr>
            <w:tcW w:w="1586" w:type="dxa"/>
            <w:tcBorders>
              <w:top w:val="nil" w:sz="6" w:space="0" w:color="auto"/>
              <w:left w:val="nil" w:sz="6" w:space="0" w:color="auto"/>
              <w:bottom w:val="nil" w:sz="6" w:space="0" w:color="auto"/>
              <w:right w:val="nil" w:sz="6" w:space="0" w:color="auto"/>
            </w:tcBorders>
          </w:tcPr>
          <w:p>
            <w:pPr>
              <w:pStyle w:val="TableParagraph"/>
              <w:spacing w:line="206" w:lineRule="exact"/>
              <w:ind w:right="25"/>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883" w:type="dxa"/>
            <w:tcBorders>
              <w:top w:val="nil" w:sz="6" w:space="0" w:color="auto"/>
              <w:left w:val="nil" w:sz="6" w:space="0" w:color="auto"/>
              <w:bottom w:val="nil" w:sz="6" w:space="0" w:color="auto"/>
              <w:right w:val="nil" w:sz="6" w:space="0" w:color="auto"/>
            </w:tcBorders>
          </w:tcPr>
          <w:p>
            <w:pPr>
              <w:pStyle w:val="TableParagraph"/>
              <w:spacing w:line="206" w:lineRule="exact"/>
              <w:ind w:right="25"/>
              <w:jc w:val="right"/>
              <w:rPr>
                <w:rFonts w:ascii="宋体" w:hAnsi="宋体" w:cs="宋体" w:eastAsia="宋体" w:hint="default"/>
                <w:sz w:val="18"/>
                <w:szCs w:val="18"/>
              </w:rPr>
            </w:pPr>
            <w:r>
              <w:rPr>
                <w:rFonts w:ascii="宋体"/>
                <w:sz w:val="18"/>
              </w:rPr>
              <w:t>-</w:t>
            </w:r>
          </w:p>
        </w:tc>
        <w:tc>
          <w:tcPr>
            <w:tcW w:w="953" w:type="dxa"/>
            <w:tcBorders>
              <w:top w:val="nil" w:sz="6" w:space="0" w:color="auto"/>
              <w:left w:val="nil" w:sz="6" w:space="0" w:color="auto"/>
              <w:bottom w:val="nil" w:sz="6" w:space="0" w:color="auto"/>
              <w:right w:val="nil" w:sz="6" w:space="0" w:color="auto"/>
            </w:tcBorders>
          </w:tcPr>
          <w:p>
            <w:pPr>
              <w:pStyle w:val="TableParagraph"/>
              <w:spacing w:line="206" w:lineRule="exact"/>
              <w:ind w:right="29"/>
              <w:jc w:val="right"/>
              <w:rPr>
                <w:rFonts w:ascii="宋体" w:hAnsi="宋体" w:cs="宋体" w:eastAsia="宋体" w:hint="default"/>
                <w:sz w:val="18"/>
                <w:szCs w:val="18"/>
              </w:rPr>
            </w:pPr>
            <w:r>
              <w:rPr>
                <w:rFonts w:ascii="宋体"/>
                <w:sz w:val="18"/>
              </w:rPr>
              <w:t>-</w:t>
            </w:r>
          </w:p>
        </w:tc>
        <w:tc>
          <w:tcPr>
            <w:tcW w:w="144" w:type="dxa"/>
            <w:tcBorders>
              <w:top w:val="nil" w:sz="6" w:space="0" w:color="auto"/>
              <w:left w:val="nil" w:sz="6" w:space="0" w:color="auto"/>
              <w:bottom w:val="nil" w:sz="6" w:space="0" w:color="auto"/>
              <w:right w:val="nil" w:sz="6" w:space="0" w:color="auto"/>
            </w:tcBorders>
          </w:tcPr>
          <w:p>
            <w:pPr/>
          </w:p>
        </w:tc>
        <w:tc>
          <w:tcPr>
            <w:tcW w:w="1279" w:type="dxa"/>
            <w:tcBorders>
              <w:top w:val="nil" w:sz="6" w:space="0" w:color="auto"/>
              <w:left w:val="nil" w:sz="6" w:space="0" w:color="auto"/>
              <w:bottom w:val="nil" w:sz="6" w:space="0" w:color="auto"/>
              <w:right w:val="nil" w:sz="6" w:space="0" w:color="auto"/>
            </w:tcBorders>
          </w:tcPr>
          <w:p>
            <w:pPr>
              <w:pStyle w:val="TableParagraph"/>
              <w:spacing w:line="206" w:lineRule="exact"/>
              <w:ind w:right="25"/>
              <w:jc w:val="right"/>
              <w:rPr>
                <w:rFonts w:ascii="宋体" w:hAnsi="宋体" w:cs="宋体" w:eastAsia="宋体" w:hint="default"/>
                <w:sz w:val="18"/>
                <w:szCs w:val="18"/>
              </w:rPr>
            </w:pPr>
            <w:r>
              <w:rPr>
                <w:rFonts w:ascii="宋体"/>
                <w:sz w:val="18"/>
              </w:rPr>
              <w:t>-</w:t>
            </w:r>
          </w:p>
        </w:tc>
        <w:tc>
          <w:tcPr>
            <w:tcW w:w="1397" w:type="dxa"/>
            <w:tcBorders>
              <w:top w:val="nil" w:sz="6" w:space="0" w:color="auto"/>
              <w:left w:val="nil" w:sz="6" w:space="0" w:color="auto"/>
              <w:bottom w:val="nil" w:sz="6" w:space="0" w:color="auto"/>
              <w:right w:val="nil" w:sz="6" w:space="0" w:color="auto"/>
            </w:tcBorders>
          </w:tcPr>
          <w:p>
            <w:pPr>
              <w:pStyle w:val="TableParagraph"/>
              <w:spacing w:line="206" w:lineRule="exact"/>
              <w:ind w:right="28"/>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nil" w:sz="6" w:space="0" w:color="auto"/>
              <w:right w:val="nil" w:sz="6" w:space="0" w:color="auto"/>
            </w:tcBorders>
          </w:tcPr>
          <w:p>
            <w:pPr>
              <w:pStyle w:val="TableParagraph"/>
              <w:spacing w:line="206" w:lineRule="exact"/>
              <w:ind w:right="25"/>
              <w:jc w:val="right"/>
              <w:rPr>
                <w:rFonts w:ascii="宋体" w:hAnsi="宋体" w:cs="宋体" w:eastAsia="宋体" w:hint="default"/>
                <w:sz w:val="18"/>
                <w:szCs w:val="18"/>
              </w:rPr>
            </w:pPr>
            <w:r>
              <w:rPr>
                <w:rFonts w:ascii="宋体"/>
                <w:sz w:val="18"/>
              </w:rPr>
              <w:t>-</w:t>
            </w:r>
          </w:p>
        </w:tc>
        <w:tc>
          <w:tcPr>
            <w:tcW w:w="132" w:type="dxa"/>
            <w:tcBorders>
              <w:top w:val="nil" w:sz="6" w:space="0" w:color="auto"/>
              <w:left w:val="nil" w:sz="6" w:space="0" w:color="auto"/>
              <w:bottom w:val="nil" w:sz="6" w:space="0" w:color="auto"/>
              <w:right w:val="nil" w:sz="6" w:space="0" w:color="auto"/>
            </w:tcBorders>
          </w:tcPr>
          <w:p>
            <w:pPr/>
          </w:p>
        </w:tc>
        <w:tc>
          <w:tcPr>
            <w:tcW w:w="1145" w:type="dxa"/>
            <w:tcBorders>
              <w:top w:val="nil" w:sz="6" w:space="0" w:color="auto"/>
              <w:left w:val="nil" w:sz="6" w:space="0" w:color="auto"/>
              <w:bottom w:val="nil" w:sz="6" w:space="0" w:color="auto"/>
              <w:right w:val="nil" w:sz="6" w:space="0" w:color="auto"/>
            </w:tcBorders>
          </w:tcPr>
          <w:p>
            <w:pPr>
              <w:pStyle w:val="TableParagraph"/>
              <w:spacing w:line="206" w:lineRule="exact"/>
              <w:ind w:right="29"/>
              <w:jc w:val="right"/>
              <w:rPr>
                <w:rFonts w:ascii="宋体" w:hAnsi="宋体" w:cs="宋体" w:eastAsia="宋体" w:hint="default"/>
                <w:sz w:val="18"/>
                <w:szCs w:val="18"/>
              </w:rPr>
            </w:pPr>
            <w:r>
              <w:rPr>
                <w:rFonts w:ascii="宋体"/>
                <w:sz w:val="18"/>
              </w:rPr>
              <w:t>-</w:t>
            </w:r>
          </w:p>
        </w:tc>
        <w:tc>
          <w:tcPr>
            <w:tcW w:w="1558" w:type="dxa"/>
            <w:tcBorders>
              <w:top w:val="nil" w:sz="6" w:space="0" w:color="auto"/>
              <w:left w:val="nil" w:sz="6" w:space="0" w:color="auto"/>
              <w:bottom w:val="nil" w:sz="6" w:space="0" w:color="auto"/>
              <w:right w:val="nil" w:sz="6" w:space="0" w:color="auto"/>
            </w:tcBorders>
          </w:tcPr>
          <w:p>
            <w:pPr>
              <w:pStyle w:val="TableParagraph"/>
              <w:spacing w:line="206" w:lineRule="exact"/>
              <w:ind w:right="25"/>
              <w:jc w:val="right"/>
              <w:rPr>
                <w:rFonts w:ascii="宋体" w:hAnsi="宋体" w:cs="宋体" w:eastAsia="宋体" w:hint="default"/>
                <w:sz w:val="18"/>
                <w:szCs w:val="18"/>
              </w:rPr>
            </w:pPr>
            <w:r>
              <w:rPr>
                <w:rFonts w:ascii="宋体"/>
                <w:sz w:val="18"/>
              </w:rPr>
              <w:t>-</w:t>
            </w:r>
          </w:p>
        </w:tc>
      </w:tr>
      <w:tr>
        <w:trPr>
          <w:trHeight w:val="256" w:hRule="exact"/>
        </w:trPr>
        <w:tc>
          <w:tcPr>
            <w:tcW w:w="108" w:type="dxa"/>
            <w:tcBorders>
              <w:top w:val="nil" w:sz="6" w:space="0" w:color="auto"/>
              <w:left w:val="nil" w:sz="6" w:space="0" w:color="auto"/>
              <w:bottom w:val="nil" w:sz="6" w:space="0" w:color="auto"/>
              <w:right w:val="nil" w:sz="6" w:space="0" w:color="auto"/>
            </w:tcBorders>
          </w:tcPr>
          <w:p>
            <w:pPr/>
          </w:p>
        </w:tc>
        <w:tc>
          <w:tcPr>
            <w:tcW w:w="2621" w:type="dxa"/>
            <w:tcBorders>
              <w:top w:val="nil" w:sz="6" w:space="0" w:color="auto"/>
              <w:left w:val="nil" w:sz="6" w:space="0" w:color="auto"/>
              <w:bottom w:val="nil" w:sz="6" w:space="0" w:color="auto"/>
              <w:right w:val="nil" w:sz="6" w:space="0" w:color="auto"/>
            </w:tcBorders>
          </w:tcPr>
          <w:p>
            <w:pPr>
              <w:pStyle w:val="TableParagraph"/>
              <w:spacing w:line="216" w:lineRule="exact"/>
              <w:ind w:left="28"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2431" w:type="dxa"/>
            <w:tcBorders>
              <w:top w:val="nil" w:sz="6" w:space="0" w:color="auto"/>
              <w:left w:val="nil" w:sz="6" w:space="0" w:color="auto"/>
              <w:bottom w:val="nil" w:sz="6" w:space="0" w:color="auto"/>
              <w:right w:val="nil" w:sz="6" w:space="0" w:color="auto"/>
            </w:tcBorders>
          </w:tcPr>
          <w:p>
            <w:pPr>
              <w:pStyle w:val="TableParagraph"/>
              <w:spacing w:line="218" w:lineRule="exact"/>
              <w:ind w:right="25"/>
              <w:jc w:val="right"/>
              <w:rPr>
                <w:rFonts w:ascii="宋体" w:hAnsi="宋体" w:cs="宋体" w:eastAsia="宋体" w:hint="default"/>
                <w:sz w:val="18"/>
                <w:szCs w:val="18"/>
              </w:rPr>
            </w:pPr>
            <w:r>
              <w:rPr>
                <w:rFonts w:ascii="宋体"/>
                <w:sz w:val="18"/>
              </w:rPr>
              <w:t>-</w:t>
            </w:r>
          </w:p>
        </w:tc>
        <w:tc>
          <w:tcPr>
            <w:tcW w:w="113" w:type="dxa"/>
            <w:tcBorders>
              <w:top w:val="nil" w:sz="6" w:space="0" w:color="auto"/>
              <w:left w:val="nil" w:sz="6" w:space="0" w:color="auto"/>
              <w:bottom w:val="nil" w:sz="6" w:space="0" w:color="auto"/>
              <w:right w:val="nil" w:sz="6" w:space="0" w:color="auto"/>
            </w:tcBorders>
          </w:tcPr>
          <w:p>
            <w:pPr/>
          </w:p>
        </w:tc>
        <w:tc>
          <w:tcPr>
            <w:tcW w:w="1586" w:type="dxa"/>
            <w:tcBorders>
              <w:top w:val="nil" w:sz="6" w:space="0" w:color="auto"/>
              <w:left w:val="nil" w:sz="6" w:space="0" w:color="auto"/>
              <w:bottom w:val="nil" w:sz="6" w:space="0" w:color="auto"/>
              <w:right w:val="nil" w:sz="6" w:space="0" w:color="auto"/>
            </w:tcBorders>
          </w:tcPr>
          <w:p>
            <w:pPr>
              <w:pStyle w:val="TableParagraph"/>
              <w:spacing w:line="218" w:lineRule="exact"/>
              <w:ind w:right="25"/>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883" w:type="dxa"/>
            <w:tcBorders>
              <w:top w:val="nil" w:sz="6" w:space="0" w:color="auto"/>
              <w:left w:val="nil" w:sz="6" w:space="0" w:color="auto"/>
              <w:bottom w:val="nil" w:sz="6" w:space="0" w:color="auto"/>
              <w:right w:val="nil" w:sz="6" w:space="0" w:color="auto"/>
            </w:tcBorders>
          </w:tcPr>
          <w:p>
            <w:pPr>
              <w:pStyle w:val="TableParagraph"/>
              <w:spacing w:line="218" w:lineRule="exact"/>
              <w:ind w:right="25"/>
              <w:jc w:val="right"/>
              <w:rPr>
                <w:rFonts w:ascii="宋体" w:hAnsi="宋体" w:cs="宋体" w:eastAsia="宋体" w:hint="default"/>
                <w:sz w:val="18"/>
                <w:szCs w:val="18"/>
              </w:rPr>
            </w:pPr>
            <w:r>
              <w:rPr>
                <w:rFonts w:ascii="宋体"/>
                <w:sz w:val="18"/>
              </w:rPr>
              <w:t>-</w:t>
            </w:r>
          </w:p>
        </w:tc>
        <w:tc>
          <w:tcPr>
            <w:tcW w:w="953" w:type="dxa"/>
            <w:tcBorders>
              <w:top w:val="nil" w:sz="6" w:space="0" w:color="auto"/>
              <w:left w:val="nil" w:sz="6" w:space="0" w:color="auto"/>
              <w:bottom w:val="nil" w:sz="6" w:space="0" w:color="auto"/>
              <w:right w:val="nil" w:sz="6" w:space="0" w:color="auto"/>
            </w:tcBorders>
          </w:tcPr>
          <w:p>
            <w:pPr>
              <w:pStyle w:val="TableParagraph"/>
              <w:spacing w:line="218" w:lineRule="exact"/>
              <w:ind w:right="29"/>
              <w:jc w:val="right"/>
              <w:rPr>
                <w:rFonts w:ascii="宋体" w:hAnsi="宋体" w:cs="宋体" w:eastAsia="宋体" w:hint="default"/>
                <w:sz w:val="18"/>
                <w:szCs w:val="18"/>
              </w:rPr>
            </w:pPr>
            <w:r>
              <w:rPr>
                <w:rFonts w:ascii="宋体"/>
                <w:sz w:val="18"/>
              </w:rPr>
              <w:t>-</w:t>
            </w:r>
          </w:p>
        </w:tc>
        <w:tc>
          <w:tcPr>
            <w:tcW w:w="144" w:type="dxa"/>
            <w:tcBorders>
              <w:top w:val="nil" w:sz="6" w:space="0" w:color="auto"/>
              <w:left w:val="nil" w:sz="6" w:space="0" w:color="auto"/>
              <w:bottom w:val="nil" w:sz="6" w:space="0" w:color="auto"/>
              <w:right w:val="nil" w:sz="6" w:space="0" w:color="auto"/>
            </w:tcBorders>
          </w:tcPr>
          <w:p>
            <w:pPr/>
          </w:p>
        </w:tc>
        <w:tc>
          <w:tcPr>
            <w:tcW w:w="1279" w:type="dxa"/>
            <w:tcBorders>
              <w:top w:val="nil" w:sz="6" w:space="0" w:color="auto"/>
              <w:left w:val="nil" w:sz="6" w:space="0" w:color="auto"/>
              <w:bottom w:val="nil" w:sz="6" w:space="0" w:color="auto"/>
              <w:right w:val="nil" w:sz="6" w:space="0" w:color="auto"/>
            </w:tcBorders>
          </w:tcPr>
          <w:p>
            <w:pPr>
              <w:pStyle w:val="TableParagraph"/>
              <w:spacing w:line="218" w:lineRule="exact"/>
              <w:ind w:right="23"/>
              <w:jc w:val="right"/>
              <w:rPr>
                <w:rFonts w:ascii="宋体" w:hAnsi="宋体" w:cs="宋体" w:eastAsia="宋体" w:hint="default"/>
                <w:sz w:val="18"/>
                <w:szCs w:val="18"/>
              </w:rPr>
            </w:pPr>
            <w:r>
              <w:rPr>
                <w:rFonts w:ascii="宋体"/>
                <w:spacing w:val="-1"/>
                <w:sz w:val="18"/>
              </w:rPr>
              <w:t>2,290,759.50</w:t>
            </w:r>
          </w:p>
        </w:tc>
        <w:tc>
          <w:tcPr>
            <w:tcW w:w="1397" w:type="dxa"/>
            <w:tcBorders>
              <w:top w:val="nil" w:sz="6" w:space="0" w:color="auto"/>
              <w:left w:val="nil" w:sz="6" w:space="0" w:color="auto"/>
              <w:bottom w:val="nil" w:sz="6" w:space="0" w:color="auto"/>
              <w:right w:val="nil" w:sz="6" w:space="0" w:color="auto"/>
            </w:tcBorders>
          </w:tcPr>
          <w:p>
            <w:pPr>
              <w:pStyle w:val="TableParagraph"/>
              <w:spacing w:line="218" w:lineRule="exact"/>
              <w:ind w:right="28"/>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nil" w:sz="6" w:space="0" w:color="auto"/>
              <w:right w:val="nil" w:sz="6" w:space="0" w:color="auto"/>
            </w:tcBorders>
          </w:tcPr>
          <w:p>
            <w:pPr>
              <w:pStyle w:val="TableParagraph"/>
              <w:spacing w:line="218" w:lineRule="exact"/>
              <w:ind w:right="23"/>
              <w:jc w:val="right"/>
              <w:rPr>
                <w:rFonts w:ascii="宋体" w:hAnsi="宋体" w:cs="宋体" w:eastAsia="宋体" w:hint="default"/>
                <w:sz w:val="18"/>
                <w:szCs w:val="18"/>
              </w:rPr>
            </w:pPr>
            <w:r>
              <w:rPr>
                <w:rFonts w:ascii="宋体"/>
                <w:spacing w:val="-1"/>
                <w:sz w:val="18"/>
              </w:rPr>
              <w:t>(7,570,759.50)</w:t>
            </w:r>
          </w:p>
        </w:tc>
        <w:tc>
          <w:tcPr>
            <w:tcW w:w="132" w:type="dxa"/>
            <w:tcBorders>
              <w:top w:val="nil" w:sz="6" w:space="0" w:color="auto"/>
              <w:left w:val="nil" w:sz="6" w:space="0" w:color="auto"/>
              <w:bottom w:val="nil" w:sz="6" w:space="0" w:color="auto"/>
              <w:right w:val="nil" w:sz="6" w:space="0" w:color="auto"/>
            </w:tcBorders>
          </w:tcPr>
          <w:p>
            <w:pPr/>
          </w:p>
        </w:tc>
        <w:tc>
          <w:tcPr>
            <w:tcW w:w="1145" w:type="dxa"/>
            <w:tcBorders>
              <w:top w:val="nil" w:sz="6" w:space="0" w:color="auto"/>
              <w:left w:val="nil" w:sz="6" w:space="0" w:color="auto"/>
              <w:bottom w:val="nil" w:sz="6" w:space="0" w:color="auto"/>
              <w:right w:val="nil" w:sz="6" w:space="0" w:color="auto"/>
            </w:tcBorders>
          </w:tcPr>
          <w:p>
            <w:pPr>
              <w:pStyle w:val="TableParagraph"/>
              <w:spacing w:line="218" w:lineRule="exact"/>
              <w:ind w:right="29"/>
              <w:jc w:val="right"/>
              <w:rPr>
                <w:rFonts w:ascii="宋体" w:hAnsi="宋体" w:cs="宋体" w:eastAsia="宋体" w:hint="default"/>
                <w:sz w:val="18"/>
                <w:szCs w:val="18"/>
              </w:rPr>
            </w:pPr>
            <w:r>
              <w:rPr>
                <w:rFonts w:ascii="宋体"/>
                <w:sz w:val="18"/>
              </w:rPr>
              <w:t>-</w:t>
            </w:r>
          </w:p>
        </w:tc>
        <w:tc>
          <w:tcPr>
            <w:tcW w:w="1558" w:type="dxa"/>
            <w:tcBorders>
              <w:top w:val="nil" w:sz="6" w:space="0" w:color="auto"/>
              <w:left w:val="nil" w:sz="6" w:space="0" w:color="auto"/>
              <w:bottom w:val="nil" w:sz="6" w:space="0" w:color="auto"/>
              <w:right w:val="nil" w:sz="6" w:space="0" w:color="auto"/>
            </w:tcBorders>
          </w:tcPr>
          <w:p>
            <w:pPr>
              <w:pStyle w:val="TableParagraph"/>
              <w:spacing w:line="218" w:lineRule="exact"/>
              <w:ind w:right="23"/>
              <w:jc w:val="right"/>
              <w:rPr>
                <w:rFonts w:ascii="宋体" w:hAnsi="宋体" w:cs="宋体" w:eastAsia="宋体" w:hint="default"/>
                <w:sz w:val="18"/>
                <w:szCs w:val="18"/>
              </w:rPr>
            </w:pPr>
            <w:r>
              <w:rPr>
                <w:rFonts w:ascii="宋体"/>
                <w:spacing w:val="-1"/>
                <w:sz w:val="18"/>
              </w:rPr>
              <w:t>(5,280,000.00)</w:t>
            </w:r>
          </w:p>
        </w:tc>
      </w:tr>
      <w:tr>
        <w:trPr>
          <w:trHeight w:val="256" w:hRule="exact"/>
        </w:trPr>
        <w:tc>
          <w:tcPr>
            <w:tcW w:w="108" w:type="dxa"/>
            <w:tcBorders>
              <w:top w:val="nil" w:sz="6" w:space="0" w:color="auto"/>
              <w:left w:val="nil" w:sz="6" w:space="0" w:color="auto"/>
              <w:bottom w:val="nil" w:sz="6" w:space="0" w:color="auto"/>
              <w:right w:val="nil" w:sz="6" w:space="0" w:color="auto"/>
            </w:tcBorders>
          </w:tcPr>
          <w:p>
            <w:pPr/>
          </w:p>
        </w:tc>
        <w:tc>
          <w:tcPr>
            <w:tcW w:w="2621" w:type="dxa"/>
            <w:tcBorders>
              <w:top w:val="nil" w:sz="6" w:space="0" w:color="auto"/>
              <w:left w:val="nil" w:sz="6" w:space="0" w:color="auto"/>
              <w:bottom w:val="nil" w:sz="6" w:space="0" w:color="auto"/>
              <w:right w:val="nil" w:sz="6" w:space="0" w:color="auto"/>
            </w:tcBorders>
          </w:tcPr>
          <w:p>
            <w:pPr>
              <w:pStyle w:val="TableParagraph"/>
              <w:spacing w:line="217" w:lineRule="exact"/>
              <w:ind w:left="39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2431" w:type="dxa"/>
            <w:tcBorders>
              <w:top w:val="nil" w:sz="6" w:space="0" w:color="auto"/>
              <w:left w:val="nil" w:sz="6" w:space="0" w:color="auto"/>
              <w:bottom w:val="nil" w:sz="6" w:space="0" w:color="auto"/>
              <w:right w:val="nil" w:sz="6" w:space="0" w:color="auto"/>
            </w:tcBorders>
          </w:tcPr>
          <w:p>
            <w:pPr>
              <w:pStyle w:val="TableParagraph"/>
              <w:spacing w:line="220" w:lineRule="exact"/>
              <w:ind w:right="25"/>
              <w:jc w:val="right"/>
              <w:rPr>
                <w:rFonts w:ascii="宋体" w:hAnsi="宋体" w:cs="宋体" w:eastAsia="宋体" w:hint="default"/>
                <w:sz w:val="18"/>
                <w:szCs w:val="18"/>
              </w:rPr>
            </w:pPr>
            <w:r>
              <w:rPr>
                <w:rFonts w:ascii="宋体"/>
                <w:sz w:val="18"/>
              </w:rPr>
              <w:t>-</w:t>
            </w:r>
          </w:p>
        </w:tc>
        <w:tc>
          <w:tcPr>
            <w:tcW w:w="113" w:type="dxa"/>
            <w:tcBorders>
              <w:top w:val="nil" w:sz="6" w:space="0" w:color="auto"/>
              <w:left w:val="nil" w:sz="6" w:space="0" w:color="auto"/>
              <w:bottom w:val="nil" w:sz="6" w:space="0" w:color="auto"/>
              <w:right w:val="nil" w:sz="6" w:space="0" w:color="auto"/>
            </w:tcBorders>
          </w:tcPr>
          <w:p>
            <w:pPr/>
          </w:p>
        </w:tc>
        <w:tc>
          <w:tcPr>
            <w:tcW w:w="1586" w:type="dxa"/>
            <w:tcBorders>
              <w:top w:val="nil" w:sz="6" w:space="0" w:color="auto"/>
              <w:left w:val="nil" w:sz="6" w:space="0" w:color="auto"/>
              <w:bottom w:val="nil" w:sz="6" w:space="0" w:color="auto"/>
              <w:right w:val="nil" w:sz="6" w:space="0" w:color="auto"/>
            </w:tcBorders>
          </w:tcPr>
          <w:p>
            <w:pPr>
              <w:pStyle w:val="TableParagraph"/>
              <w:spacing w:line="220" w:lineRule="exact"/>
              <w:ind w:right="25"/>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883" w:type="dxa"/>
            <w:tcBorders>
              <w:top w:val="nil" w:sz="6" w:space="0" w:color="auto"/>
              <w:left w:val="nil" w:sz="6" w:space="0" w:color="auto"/>
              <w:bottom w:val="nil" w:sz="6" w:space="0" w:color="auto"/>
              <w:right w:val="nil" w:sz="6" w:space="0" w:color="auto"/>
            </w:tcBorders>
          </w:tcPr>
          <w:p>
            <w:pPr>
              <w:pStyle w:val="TableParagraph"/>
              <w:spacing w:line="220" w:lineRule="exact"/>
              <w:ind w:right="25"/>
              <w:jc w:val="right"/>
              <w:rPr>
                <w:rFonts w:ascii="宋体" w:hAnsi="宋体" w:cs="宋体" w:eastAsia="宋体" w:hint="default"/>
                <w:sz w:val="18"/>
                <w:szCs w:val="18"/>
              </w:rPr>
            </w:pPr>
            <w:r>
              <w:rPr>
                <w:rFonts w:ascii="宋体"/>
                <w:sz w:val="18"/>
              </w:rPr>
              <w:t>-</w:t>
            </w:r>
          </w:p>
        </w:tc>
        <w:tc>
          <w:tcPr>
            <w:tcW w:w="953" w:type="dxa"/>
            <w:tcBorders>
              <w:top w:val="nil" w:sz="6" w:space="0" w:color="auto"/>
              <w:left w:val="nil" w:sz="6" w:space="0" w:color="auto"/>
              <w:bottom w:val="nil" w:sz="6" w:space="0" w:color="auto"/>
              <w:right w:val="nil" w:sz="6" w:space="0" w:color="auto"/>
            </w:tcBorders>
          </w:tcPr>
          <w:p>
            <w:pPr>
              <w:pStyle w:val="TableParagraph"/>
              <w:spacing w:line="220" w:lineRule="exact"/>
              <w:ind w:right="29"/>
              <w:jc w:val="right"/>
              <w:rPr>
                <w:rFonts w:ascii="宋体" w:hAnsi="宋体" w:cs="宋体" w:eastAsia="宋体" w:hint="default"/>
                <w:sz w:val="18"/>
                <w:szCs w:val="18"/>
              </w:rPr>
            </w:pPr>
            <w:r>
              <w:rPr>
                <w:rFonts w:ascii="宋体"/>
                <w:sz w:val="18"/>
              </w:rPr>
              <w:t>-</w:t>
            </w:r>
          </w:p>
        </w:tc>
        <w:tc>
          <w:tcPr>
            <w:tcW w:w="144" w:type="dxa"/>
            <w:tcBorders>
              <w:top w:val="nil" w:sz="6" w:space="0" w:color="auto"/>
              <w:left w:val="nil" w:sz="6" w:space="0" w:color="auto"/>
              <w:bottom w:val="nil" w:sz="6" w:space="0" w:color="auto"/>
              <w:right w:val="nil" w:sz="6" w:space="0" w:color="auto"/>
            </w:tcBorders>
          </w:tcPr>
          <w:p>
            <w:pPr/>
          </w:p>
        </w:tc>
        <w:tc>
          <w:tcPr>
            <w:tcW w:w="1279" w:type="dxa"/>
            <w:tcBorders>
              <w:top w:val="nil" w:sz="6" w:space="0" w:color="auto"/>
              <w:left w:val="nil" w:sz="6" w:space="0" w:color="auto"/>
              <w:bottom w:val="nil" w:sz="6" w:space="0" w:color="auto"/>
              <w:right w:val="nil" w:sz="6" w:space="0" w:color="auto"/>
            </w:tcBorders>
          </w:tcPr>
          <w:p>
            <w:pPr>
              <w:pStyle w:val="TableParagraph"/>
              <w:spacing w:line="220" w:lineRule="exact"/>
              <w:ind w:right="23"/>
              <w:jc w:val="right"/>
              <w:rPr>
                <w:rFonts w:ascii="宋体" w:hAnsi="宋体" w:cs="宋体" w:eastAsia="宋体" w:hint="default"/>
                <w:sz w:val="18"/>
                <w:szCs w:val="18"/>
              </w:rPr>
            </w:pPr>
            <w:r>
              <w:rPr>
                <w:rFonts w:ascii="宋体"/>
                <w:spacing w:val="-1"/>
                <w:sz w:val="18"/>
              </w:rPr>
              <w:t>2,290,759.50</w:t>
            </w:r>
          </w:p>
        </w:tc>
        <w:tc>
          <w:tcPr>
            <w:tcW w:w="1397"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nil" w:sz="6" w:space="0" w:color="auto"/>
              <w:right w:val="nil" w:sz="6" w:space="0" w:color="auto"/>
            </w:tcBorders>
          </w:tcPr>
          <w:p>
            <w:pPr>
              <w:pStyle w:val="TableParagraph"/>
              <w:spacing w:line="220" w:lineRule="exact"/>
              <w:ind w:right="23"/>
              <w:jc w:val="right"/>
              <w:rPr>
                <w:rFonts w:ascii="宋体" w:hAnsi="宋体" w:cs="宋体" w:eastAsia="宋体" w:hint="default"/>
                <w:sz w:val="18"/>
                <w:szCs w:val="18"/>
              </w:rPr>
            </w:pPr>
            <w:r>
              <w:rPr>
                <w:rFonts w:ascii="宋体"/>
                <w:spacing w:val="-1"/>
                <w:sz w:val="18"/>
              </w:rPr>
              <w:t>(2,290,759.50)</w:t>
            </w:r>
          </w:p>
        </w:tc>
        <w:tc>
          <w:tcPr>
            <w:tcW w:w="132" w:type="dxa"/>
            <w:tcBorders>
              <w:top w:val="nil" w:sz="6" w:space="0" w:color="auto"/>
              <w:left w:val="nil" w:sz="6" w:space="0" w:color="auto"/>
              <w:bottom w:val="nil" w:sz="6" w:space="0" w:color="auto"/>
              <w:right w:val="nil" w:sz="6" w:space="0" w:color="auto"/>
            </w:tcBorders>
          </w:tcPr>
          <w:p>
            <w:pPr/>
          </w:p>
        </w:tc>
        <w:tc>
          <w:tcPr>
            <w:tcW w:w="1145" w:type="dxa"/>
            <w:tcBorders>
              <w:top w:val="nil" w:sz="6" w:space="0" w:color="auto"/>
              <w:left w:val="nil" w:sz="6" w:space="0" w:color="auto"/>
              <w:bottom w:val="nil" w:sz="6" w:space="0" w:color="auto"/>
              <w:right w:val="nil" w:sz="6" w:space="0" w:color="auto"/>
            </w:tcBorders>
          </w:tcPr>
          <w:p>
            <w:pPr>
              <w:pStyle w:val="TableParagraph"/>
              <w:spacing w:line="220" w:lineRule="exact"/>
              <w:ind w:right="29"/>
              <w:jc w:val="right"/>
              <w:rPr>
                <w:rFonts w:ascii="宋体" w:hAnsi="宋体" w:cs="宋体" w:eastAsia="宋体" w:hint="default"/>
                <w:sz w:val="18"/>
                <w:szCs w:val="18"/>
              </w:rPr>
            </w:pPr>
            <w:r>
              <w:rPr>
                <w:rFonts w:ascii="宋体"/>
                <w:sz w:val="18"/>
              </w:rPr>
              <w:t>-</w:t>
            </w:r>
          </w:p>
        </w:tc>
        <w:tc>
          <w:tcPr>
            <w:tcW w:w="1558" w:type="dxa"/>
            <w:tcBorders>
              <w:top w:val="nil" w:sz="6" w:space="0" w:color="auto"/>
              <w:left w:val="nil" w:sz="6" w:space="0" w:color="auto"/>
              <w:bottom w:val="nil" w:sz="6" w:space="0" w:color="auto"/>
              <w:right w:val="nil" w:sz="6" w:space="0" w:color="auto"/>
            </w:tcBorders>
          </w:tcPr>
          <w:p>
            <w:pPr>
              <w:pStyle w:val="TableParagraph"/>
              <w:spacing w:line="220" w:lineRule="exact"/>
              <w:ind w:left="1005" w:right="0"/>
              <w:jc w:val="left"/>
              <w:rPr>
                <w:rFonts w:ascii="宋体" w:hAnsi="宋体" w:cs="宋体" w:eastAsia="宋体" w:hint="default"/>
                <w:sz w:val="18"/>
                <w:szCs w:val="18"/>
              </w:rPr>
            </w:pPr>
            <w:r>
              <w:rPr>
                <w:rFonts w:ascii="宋体"/>
                <w:sz w:val="18"/>
              </w:rPr>
              <w:t>-</w:t>
            </w:r>
          </w:p>
        </w:tc>
      </w:tr>
      <w:tr>
        <w:trPr>
          <w:trHeight w:val="254" w:hRule="exact"/>
        </w:trPr>
        <w:tc>
          <w:tcPr>
            <w:tcW w:w="108" w:type="dxa"/>
            <w:tcBorders>
              <w:top w:val="nil" w:sz="6" w:space="0" w:color="auto"/>
              <w:left w:val="nil" w:sz="6" w:space="0" w:color="auto"/>
              <w:bottom w:val="nil" w:sz="6" w:space="0" w:color="auto"/>
              <w:right w:val="nil" w:sz="6" w:space="0" w:color="auto"/>
            </w:tcBorders>
          </w:tcPr>
          <w:p>
            <w:pPr/>
          </w:p>
        </w:tc>
        <w:tc>
          <w:tcPr>
            <w:tcW w:w="2621" w:type="dxa"/>
            <w:tcBorders>
              <w:top w:val="nil" w:sz="6" w:space="0" w:color="auto"/>
              <w:left w:val="nil" w:sz="6" w:space="0" w:color="auto"/>
              <w:bottom w:val="nil" w:sz="6" w:space="0" w:color="auto"/>
              <w:right w:val="nil" w:sz="6" w:space="0" w:color="auto"/>
            </w:tcBorders>
          </w:tcPr>
          <w:p>
            <w:pPr>
              <w:pStyle w:val="TableParagraph"/>
              <w:spacing w:line="216" w:lineRule="exact"/>
              <w:ind w:left="39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．对股东的分配</w:t>
            </w:r>
          </w:p>
        </w:tc>
        <w:tc>
          <w:tcPr>
            <w:tcW w:w="2431" w:type="dxa"/>
            <w:tcBorders>
              <w:top w:val="nil" w:sz="6" w:space="0" w:color="auto"/>
              <w:left w:val="nil" w:sz="6" w:space="0" w:color="auto"/>
              <w:bottom w:val="nil" w:sz="6" w:space="0" w:color="auto"/>
              <w:right w:val="nil" w:sz="6" w:space="0" w:color="auto"/>
            </w:tcBorders>
          </w:tcPr>
          <w:p>
            <w:pPr/>
          </w:p>
        </w:tc>
        <w:tc>
          <w:tcPr>
            <w:tcW w:w="113" w:type="dxa"/>
            <w:tcBorders>
              <w:top w:val="nil" w:sz="6" w:space="0" w:color="auto"/>
              <w:left w:val="nil" w:sz="6" w:space="0" w:color="auto"/>
              <w:bottom w:val="nil" w:sz="6" w:space="0" w:color="auto"/>
              <w:right w:val="nil" w:sz="6" w:space="0" w:color="auto"/>
            </w:tcBorders>
          </w:tcPr>
          <w:p>
            <w:pPr/>
          </w:p>
        </w:tc>
        <w:tc>
          <w:tcPr>
            <w:tcW w:w="1586"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883" w:type="dxa"/>
            <w:tcBorders>
              <w:top w:val="nil" w:sz="6" w:space="0" w:color="auto"/>
              <w:left w:val="nil" w:sz="6" w:space="0" w:color="auto"/>
              <w:bottom w:val="nil" w:sz="6" w:space="0" w:color="auto"/>
              <w:right w:val="nil" w:sz="6" w:space="0" w:color="auto"/>
            </w:tcBorders>
          </w:tcPr>
          <w:p>
            <w:pPr/>
          </w:p>
        </w:tc>
        <w:tc>
          <w:tcPr>
            <w:tcW w:w="953"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279" w:type="dxa"/>
            <w:tcBorders>
              <w:top w:val="nil" w:sz="6" w:space="0" w:color="auto"/>
              <w:left w:val="nil" w:sz="6" w:space="0" w:color="auto"/>
              <w:bottom w:val="nil" w:sz="6" w:space="0" w:color="auto"/>
              <w:right w:val="nil" w:sz="6" w:space="0" w:color="auto"/>
            </w:tcBorders>
          </w:tcPr>
          <w:p>
            <w:pPr/>
          </w:p>
        </w:tc>
        <w:tc>
          <w:tcPr>
            <w:tcW w:w="1397" w:type="dxa"/>
            <w:tcBorders>
              <w:top w:val="nil" w:sz="6" w:space="0" w:color="auto"/>
              <w:left w:val="nil" w:sz="6" w:space="0" w:color="auto"/>
              <w:bottom w:val="nil" w:sz="6" w:space="0" w:color="auto"/>
              <w:right w:val="nil" w:sz="6" w:space="0" w:color="auto"/>
            </w:tcBorders>
          </w:tcPr>
          <w:p>
            <w:pPr>
              <w:pStyle w:val="TableParagraph"/>
              <w:spacing w:line="218" w:lineRule="exact"/>
              <w:ind w:right="28"/>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nil" w:sz="6" w:space="0" w:color="auto"/>
              <w:right w:val="nil" w:sz="6" w:space="0" w:color="auto"/>
            </w:tcBorders>
          </w:tcPr>
          <w:p>
            <w:pPr>
              <w:pStyle w:val="TableParagraph"/>
              <w:spacing w:line="218" w:lineRule="exact"/>
              <w:ind w:right="23"/>
              <w:jc w:val="right"/>
              <w:rPr>
                <w:rFonts w:ascii="宋体" w:hAnsi="宋体" w:cs="宋体" w:eastAsia="宋体" w:hint="default"/>
                <w:sz w:val="18"/>
                <w:szCs w:val="18"/>
              </w:rPr>
            </w:pPr>
            <w:r>
              <w:rPr>
                <w:rFonts w:ascii="宋体"/>
                <w:spacing w:val="-1"/>
                <w:sz w:val="18"/>
              </w:rPr>
              <w:t>(5,280,000.00)</w:t>
            </w:r>
          </w:p>
        </w:tc>
        <w:tc>
          <w:tcPr>
            <w:tcW w:w="132" w:type="dxa"/>
            <w:tcBorders>
              <w:top w:val="nil" w:sz="6" w:space="0" w:color="auto"/>
              <w:left w:val="nil" w:sz="6" w:space="0" w:color="auto"/>
              <w:bottom w:val="nil" w:sz="6" w:space="0" w:color="auto"/>
              <w:right w:val="nil" w:sz="6" w:space="0" w:color="auto"/>
            </w:tcBorders>
          </w:tcPr>
          <w:p>
            <w:pPr/>
          </w:p>
        </w:tc>
        <w:tc>
          <w:tcPr>
            <w:tcW w:w="1145"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Style w:val="TableParagraph"/>
              <w:spacing w:line="218" w:lineRule="exact"/>
              <w:ind w:right="23"/>
              <w:jc w:val="right"/>
              <w:rPr>
                <w:rFonts w:ascii="宋体" w:hAnsi="宋体" w:cs="宋体" w:eastAsia="宋体" w:hint="default"/>
                <w:sz w:val="18"/>
                <w:szCs w:val="18"/>
              </w:rPr>
            </w:pPr>
            <w:r>
              <w:rPr>
                <w:rFonts w:ascii="宋体"/>
                <w:spacing w:val="-1"/>
                <w:sz w:val="18"/>
              </w:rPr>
              <w:t>(5,280,000.00)</w:t>
            </w:r>
          </w:p>
        </w:tc>
      </w:tr>
      <w:tr>
        <w:trPr>
          <w:trHeight w:val="254" w:hRule="exact"/>
        </w:trPr>
        <w:tc>
          <w:tcPr>
            <w:tcW w:w="108" w:type="dxa"/>
            <w:tcBorders>
              <w:top w:val="nil" w:sz="6" w:space="0" w:color="auto"/>
              <w:left w:val="nil" w:sz="6" w:space="0" w:color="auto"/>
              <w:bottom w:val="nil" w:sz="6" w:space="0" w:color="auto"/>
              <w:right w:val="nil" w:sz="6" w:space="0" w:color="auto"/>
            </w:tcBorders>
          </w:tcPr>
          <w:p>
            <w:pPr/>
          </w:p>
        </w:tc>
        <w:tc>
          <w:tcPr>
            <w:tcW w:w="2621" w:type="dxa"/>
            <w:tcBorders>
              <w:top w:val="nil" w:sz="6" w:space="0" w:color="auto"/>
              <w:left w:val="nil" w:sz="6" w:space="0" w:color="auto"/>
              <w:bottom w:val="nil" w:sz="6" w:space="0" w:color="auto"/>
              <w:right w:val="nil" w:sz="6" w:space="0" w:color="auto"/>
            </w:tcBorders>
          </w:tcPr>
          <w:p>
            <w:pPr>
              <w:pStyle w:val="TableParagraph"/>
              <w:spacing w:line="216" w:lineRule="exact"/>
              <w:ind w:left="39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2431" w:type="dxa"/>
            <w:tcBorders>
              <w:top w:val="nil" w:sz="6" w:space="0" w:color="auto"/>
              <w:left w:val="nil" w:sz="6" w:space="0" w:color="auto"/>
              <w:bottom w:val="nil" w:sz="6" w:space="0" w:color="auto"/>
              <w:right w:val="nil" w:sz="6" w:space="0" w:color="auto"/>
            </w:tcBorders>
          </w:tcPr>
          <w:p>
            <w:pPr>
              <w:pStyle w:val="TableParagraph"/>
              <w:spacing w:line="218" w:lineRule="exact"/>
              <w:ind w:right="25"/>
              <w:jc w:val="right"/>
              <w:rPr>
                <w:rFonts w:ascii="宋体" w:hAnsi="宋体" w:cs="宋体" w:eastAsia="宋体" w:hint="default"/>
                <w:sz w:val="18"/>
                <w:szCs w:val="18"/>
              </w:rPr>
            </w:pPr>
            <w:r>
              <w:rPr>
                <w:rFonts w:ascii="宋体"/>
                <w:sz w:val="18"/>
              </w:rPr>
              <w:t>-</w:t>
            </w:r>
          </w:p>
        </w:tc>
        <w:tc>
          <w:tcPr>
            <w:tcW w:w="113" w:type="dxa"/>
            <w:tcBorders>
              <w:top w:val="nil" w:sz="6" w:space="0" w:color="auto"/>
              <w:left w:val="nil" w:sz="6" w:space="0" w:color="auto"/>
              <w:bottom w:val="nil" w:sz="6" w:space="0" w:color="auto"/>
              <w:right w:val="nil" w:sz="6" w:space="0" w:color="auto"/>
            </w:tcBorders>
          </w:tcPr>
          <w:p>
            <w:pPr/>
          </w:p>
        </w:tc>
        <w:tc>
          <w:tcPr>
            <w:tcW w:w="1586" w:type="dxa"/>
            <w:tcBorders>
              <w:top w:val="nil" w:sz="6" w:space="0" w:color="auto"/>
              <w:left w:val="nil" w:sz="6" w:space="0" w:color="auto"/>
              <w:bottom w:val="nil" w:sz="6" w:space="0" w:color="auto"/>
              <w:right w:val="nil" w:sz="6" w:space="0" w:color="auto"/>
            </w:tcBorders>
          </w:tcPr>
          <w:p>
            <w:pPr>
              <w:pStyle w:val="TableParagraph"/>
              <w:spacing w:line="218" w:lineRule="exact"/>
              <w:ind w:right="25"/>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883" w:type="dxa"/>
            <w:tcBorders>
              <w:top w:val="nil" w:sz="6" w:space="0" w:color="auto"/>
              <w:left w:val="nil" w:sz="6" w:space="0" w:color="auto"/>
              <w:bottom w:val="nil" w:sz="6" w:space="0" w:color="auto"/>
              <w:right w:val="nil" w:sz="6" w:space="0" w:color="auto"/>
            </w:tcBorders>
          </w:tcPr>
          <w:p>
            <w:pPr>
              <w:pStyle w:val="TableParagraph"/>
              <w:spacing w:line="218" w:lineRule="exact"/>
              <w:ind w:right="25"/>
              <w:jc w:val="right"/>
              <w:rPr>
                <w:rFonts w:ascii="宋体" w:hAnsi="宋体" w:cs="宋体" w:eastAsia="宋体" w:hint="default"/>
                <w:sz w:val="18"/>
                <w:szCs w:val="18"/>
              </w:rPr>
            </w:pPr>
            <w:r>
              <w:rPr>
                <w:rFonts w:ascii="宋体"/>
                <w:sz w:val="18"/>
              </w:rPr>
              <w:t>-</w:t>
            </w:r>
          </w:p>
        </w:tc>
        <w:tc>
          <w:tcPr>
            <w:tcW w:w="953" w:type="dxa"/>
            <w:tcBorders>
              <w:top w:val="nil" w:sz="6" w:space="0" w:color="auto"/>
              <w:left w:val="nil" w:sz="6" w:space="0" w:color="auto"/>
              <w:bottom w:val="nil" w:sz="6" w:space="0" w:color="auto"/>
              <w:right w:val="nil" w:sz="6" w:space="0" w:color="auto"/>
            </w:tcBorders>
          </w:tcPr>
          <w:p>
            <w:pPr>
              <w:pStyle w:val="TableParagraph"/>
              <w:spacing w:line="218" w:lineRule="exact"/>
              <w:ind w:right="29"/>
              <w:jc w:val="right"/>
              <w:rPr>
                <w:rFonts w:ascii="宋体" w:hAnsi="宋体" w:cs="宋体" w:eastAsia="宋体" w:hint="default"/>
                <w:sz w:val="18"/>
                <w:szCs w:val="18"/>
              </w:rPr>
            </w:pPr>
            <w:r>
              <w:rPr>
                <w:rFonts w:ascii="宋体"/>
                <w:sz w:val="18"/>
              </w:rPr>
              <w:t>-</w:t>
            </w:r>
          </w:p>
        </w:tc>
        <w:tc>
          <w:tcPr>
            <w:tcW w:w="144" w:type="dxa"/>
            <w:tcBorders>
              <w:top w:val="nil" w:sz="6" w:space="0" w:color="auto"/>
              <w:left w:val="nil" w:sz="6" w:space="0" w:color="auto"/>
              <w:bottom w:val="nil" w:sz="6" w:space="0" w:color="auto"/>
              <w:right w:val="nil" w:sz="6" w:space="0" w:color="auto"/>
            </w:tcBorders>
          </w:tcPr>
          <w:p>
            <w:pPr/>
          </w:p>
        </w:tc>
        <w:tc>
          <w:tcPr>
            <w:tcW w:w="1279" w:type="dxa"/>
            <w:tcBorders>
              <w:top w:val="nil" w:sz="6" w:space="0" w:color="auto"/>
              <w:left w:val="nil" w:sz="6" w:space="0" w:color="auto"/>
              <w:bottom w:val="nil" w:sz="6" w:space="0" w:color="auto"/>
              <w:right w:val="nil" w:sz="6" w:space="0" w:color="auto"/>
            </w:tcBorders>
          </w:tcPr>
          <w:p>
            <w:pPr>
              <w:pStyle w:val="TableParagraph"/>
              <w:spacing w:line="218" w:lineRule="exact"/>
              <w:ind w:right="25"/>
              <w:jc w:val="right"/>
              <w:rPr>
                <w:rFonts w:ascii="宋体" w:hAnsi="宋体" w:cs="宋体" w:eastAsia="宋体" w:hint="default"/>
                <w:sz w:val="18"/>
                <w:szCs w:val="18"/>
              </w:rPr>
            </w:pPr>
            <w:r>
              <w:rPr>
                <w:rFonts w:ascii="宋体"/>
                <w:sz w:val="18"/>
              </w:rPr>
              <w:t>-</w:t>
            </w:r>
          </w:p>
        </w:tc>
        <w:tc>
          <w:tcPr>
            <w:tcW w:w="1397" w:type="dxa"/>
            <w:tcBorders>
              <w:top w:val="nil" w:sz="6" w:space="0" w:color="auto"/>
              <w:left w:val="nil" w:sz="6" w:space="0" w:color="auto"/>
              <w:bottom w:val="nil" w:sz="6" w:space="0" w:color="auto"/>
              <w:right w:val="nil" w:sz="6" w:space="0" w:color="auto"/>
            </w:tcBorders>
          </w:tcPr>
          <w:p>
            <w:pPr>
              <w:pStyle w:val="TableParagraph"/>
              <w:spacing w:line="218" w:lineRule="exact"/>
              <w:ind w:right="28"/>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nil" w:sz="6" w:space="0" w:color="auto"/>
              <w:right w:val="nil" w:sz="6" w:space="0" w:color="auto"/>
            </w:tcBorders>
          </w:tcPr>
          <w:p>
            <w:pPr>
              <w:pStyle w:val="TableParagraph"/>
              <w:spacing w:line="218" w:lineRule="exact"/>
              <w:ind w:right="25"/>
              <w:jc w:val="right"/>
              <w:rPr>
                <w:rFonts w:ascii="宋体" w:hAnsi="宋体" w:cs="宋体" w:eastAsia="宋体" w:hint="default"/>
                <w:sz w:val="18"/>
                <w:szCs w:val="18"/>
              </w:rPr>
            </w:pPr>
            <w:r>
              <w:rPr>
                <w:rFonts w:ascii="宋体"/>
                <w:sz w:val="18"/>
              </w:rPr>
              <w:t>-</w:t>
            </w:r>
          </w:p>
        </w:tc>
        <w:tc>
          <w:tcPr>
            <w:tcW w:w="132" w:type="dxa"/>
            <w:tcBorders>
              <w:top w:val="nil" w:sz="6" w:space="0" w:color="auto"/>
              <w:left w:val="nil" w:sz="6" w:space="0" w:color="auto"/>
              <w:bottom w:val="nil" w:sz="6" w:space="0" w:color="auto"/>
              <w:right w:val="nil" w:sz="6" w:space="0" w:color="auto"/>
            </w:tcBorders>
          </w:tcPr>
          <w:p>
            <w:pPr/>
          </w:p>
        </w:tc>
        <w:tc>
          <w:tcPr>
            <w:tcW w:w="1145" w:type="dxa"/>
            <w:tcBorders>
              <w:top w:val="nil" w:sz="6" w:space="0" w:color="auto"/>
              <w:left w:val="nil" w:sz="6" w:space="0" w:color="auto"/>
              <w:bottom w:val="nil" w:sz="6" w:space="0" w:color="auto"/>
              <w:right w:val="nil" w:sz="6" w:space="0" w:color="auto"/>
            </w:tcBorders>
          </w:tcPr>
          <w:p>
            <w:pPr>
              <w:pStyle w:val="TableParagraph"/>
              <w:spacing w:line="218" w:lineRule="exact"/>
              <w:ind w:right="29"/>
              <w:jc w:val="right"/>
              <w:rPr>
                <w:rFonts w:ascii="宋体" w:hAnsi="宋体" w:cs="宋体" w:eastAsia="宋体" w:hint="default"/>
                <w:sz w:val="18"/>
                <w:szCs w:val="18"/>
              </w:rPr>
            </w:pPr>
            <w:r>
              <w:rPr>
                <w:rFonts w:ascii="宋体"/>
                <w:sz w:val="18"/>
              </w:rPr>
              <w:t>-</w:t>
            </w:r>
          </w:p>
        </w:tc>
        <w:tc>
          <w:tcPr>
            <w:tcW w:w="1558" w:type="dxa"/>
            <w:tcBorders>
              <w:top w:val="nil" w:sz="6" w:space="0" w:color="auto"/>
              <w:left w:val="nil" w:sz="6" w:space="0" w:color="auto"/>
              <w:bottom w:val="nil" w:sz="6" w:space="0" w:color="auto"/>
              <w:right w:val="nil" w:sz="6" w:space="0" w:color="auto"/>
            </w:tcBorders>
          </w:tcPr>
          <w:p>
            <w:pPr>
              <w:pStyle w:val="TableParagraph"/>
              <w:spacing w:line="218" w:lineRule="exact"/>
              <w:ind w:right="25"/>
              <w:jc w:val="right"/>
              <w:rPr>
                <w:rFonts w:ascii="宋体" w:hAnsi="宋体" w:cs="宋体" w:eastAsia="宋体" w:hint="default"/>
                <w:sz w:val="18"/>
                <w:szCs w:val="18"/>
              </w:rPr>
            </w:pPr>
            <w:r>
              <w:rPr>
                <w:rFonts w:ascii="宋体"/>
                <w:sz w:val="18"/>
              </w:rPr>
              <w:t>-</w:t>
            </w:r>
          </w:p>
        </w:tc>
      </w:tr>
      <w:tr>
        <w:trPr>
          <w:trHeight w:val="256" w:hRule="exact"/>
        </w:trPr>
        <w:tc>
          <w:tcPr>
            <w:tcW w:w="108" w:type="dxa"/>
            <w:tcBorders>
              <w:top w:val="nil" w:sz="6" w:space="0" w:color="auto"/>
              <w:left w:val="nil" w:sz="6" w:space="0" w:color="auto"/>
              <w:bottom w:val="nil" w:sz="6" w:space="0" w:color="auto"/>
              <w:right w:val="nil" w:sz="6" w:space="0" w:color="auto"/>
            </w:tcBorders>
          </w:tcPr>
          <w:p>
            <w:pPr/>
          </w:p>
        </w:tc>
        <w:tc>
          <w:tcPr>
            <w:tcW w:w="2621" w:type="dxa"/>
            <w:tcBorders>
              <w:top w:val="nil" w:sz="6" w:space="0" w:color="auto"/>
              <w:left w:val="nil" w:sz="6" w:space="0" w:color="auto"/>
              <w:bottom w:val="nil" w:sz="6" w:space="0" w:color="auto"/>
              <w:right w:val="nil" w:sz="6" w:space="0" w:color="auto"/>
            </w:tcBorders>
          </w:tcPr>
          <w:p>
            <w:pPr>
              <w:pStyle w:val="TableParagraph"/>
              <w:spacing w:line="216" w:lineRule="exact"/>
              <w:ind w:left="28" w:right="0"/>
              <w:jc w:val="left"/>
              <w:rPr>
                <w:rFonts w:ascii="宋体" w:hAnsi="宋体" w:cs="宋体" w:eastAsia="宋体" w:hint="default"/>
                <w:sz w:val="18"/>
                <w:szCs w:val="18"/>
              </w:rPr>
            </w:pPr>
            <w:r>
              <w:rPr>
                <w:rFonts w:ascii="宋体" w:hAnsi="宋体" w:cs="宋体" w:eastAsia="宋体" w:hint="default"/>
                <w:sz w:val="18"/>
                <w:szCs w:val="18"/>
              </w:rPr>
              <w:t>（五）股东权益内部结转</w:t>
            </w:r>
          </w:p>
        </w:tc>
        <w:tc>
          <w:tcPr>
            <w:tcW w:w="2431" w:type="dxa"/>
            <w:tcBorders>
              <w:top w:val="nil" w:sz="6" w:space="0" w:color="auto"/>
              <w:left w:val="nil" w:sz="6" w:space="0" w:color="auto"/>
              <w:bottom w:val="nil" w:sz="6" w:space="0" w:color="auto"/>
              <w:right w:val="nil" w:sz="6" w:space="0" w:color="auto"/>
            </w:tcBorders>
          </w:tcPr>
          <w:p>
            <w:pPr>
              <w:pStyle w:val="TableParagraph"/>
              <w:spacing w:line="218" w:lineRule="exact"/>
              <w:ind w:right="21"/>
              <w:jc w:val="right"/>
              <w:rPr>
                <w:rFonts w:ascii="宋体" w:hAnsi="宋体" w:cs="宋体" w:eastAsia="宋体" w:hint="default"/>
                <w:sz w:val="18"/>
                <w:szCs w:val="18"/>
              </w:rPr>
            </w:pPr>
            <w:r>
              <w:rPr>
                <w:rFonts w:ascii="宋体"/>
                <w:spacing w:val="-1"/>
                <w:sz w:val="18"/>
              </w:rPr>
              <w:t>70,400,000.00</w:t>
            </w:r>
            <w:r>
              <w:rPr>
                <w:rFonts w:ascii="宋体"/>
                <w:sz w:val="18"/>
              </w:rPr>
            </w:r>
          </w:p>
        </w:tc>
        <w:tc>
          <w:tcPr>
            <w:tcW w:w="113" w:type="dxa"/>
            <w:tcBorders>
              <w:top w:val="nil" w:sz="6" w:space="0" w:color="auto"/>
              <w:left w:val="nil" w:sz="6" w:space="0" w:color="auto"/>
              <w:bottom w:val="nil" w:sz="6" w:space="0" w:color="auto"/>
              <w:right w:val="nil" w:sz="6" w:space="0" w:color="auto"/>
            </w:tcBorders>
          </w:tcPr>
          <w:p>
            <w:pPr/>
          </w:p>
        </w:tc>
        <w:tc>
          <w:tcPr>
            <w:tcW w:w="1586" w:type="dxa"/>
            <w:tcBorders>
              <w:top w:val="nil" w:sz="6" w:space="0" w:color="auto"/>
              <w:left w:val="nil" w:sz="6" w:space="0" w:color="auto"/>
              <w:bottom w:val="nil" w:sz="6" w:space="0" w:color="auto"/>
              <w:right w:val="nil" w:sz="6" w:space="0" w:color="auto"/>
            </w:tcBorders>
          </w:tcPr>
          <w:p>
            <w:pPr>
              <w:pStyle w:val="TableParagraph"/>
              <w:spacing w:line="218" w:lineRule="exact"/>
              <w:ind w:right="21"/>
              <w:jc w:val="right"/>
              <w:rPr>
                <w:rFonts w:ascii="宋体" w:hAnsi="宋体" w:cs="宋体" w:eastAsia="宋体" w:hint="default"/>
                <w:sz w:val="18"/>
                <w:szCs w:val="18"/>
              </w:rPr>
            </w:pPr>
            <w:r>
              <w:rPr>
                <w:rFonts w:ascii="宋体" w:hAnsi="宋体" w:cs="宋体" w:eastAsia="宋体" w:hint="default"/>
                <w:spacing w:val="-1"/>
                <w:sz w:val="18"/>
                <w:szCs w:val="18"/>
              </w:rPr>
              <w:t>（</w:t>
            </w:r>
            <w:r>
              <w:rPr>
                <w:rFonts w:ascii="宋体" w:hAnsi="宋体" w:cs="宋体" w:eastAsia="宋体" w:hint="default"/>
                <w:spacing w:val="-1"/>
                <w:sz w:val="18"/>
                <w:szCs w:val="18"/>
              </w:rPr>
              <w:t>70,400,000.00</w:t>
            </w:r>
            <w:r>
              <w:rPr>
                <w:rFonts w:ascii="宋体" w:hAnsi="宋体" w:cs="宋体" w:eastAsia="宋体" w:hint="default"/>
                <w:spacing w:val="-1"/>
                <w:sz w:val="18"/>
                <w:szCs w:val="18"/>
              </w:rPr>
              <w:t>）</w:t>
            </w:r>
          </w:p>
        </w:tc>
        <w:tc>
          <w:tcPr>
            <w:tcW w:w="142" w:type="dxa"/>
            <w:tcBorders>
              <w:top w:val="nil" w:sz="6" w:space="0" w:color="auto"/>
              <w:left w:val="nil" w:sz="6" w:space="0" w:color="auto"/>
              <w:bottom w:val="nil" w:sz="6" w:space="0" w:color="auto"/>
              <w:right w:val="nil" w:sz="6" w:space="0" w:color="auto"/>
            </w:tcBorders>
          </w:tcPr>
          <w:p>
            <w:pPr/>
          </w:p>
        </w:tc>
        <w:tc>
          <w:tcPr>
            <w:tcW w:w="883" w:type="dxa"/>
            <w:tcBorders>
              <w:top w:val="nil" w:sz="6" w:space="0" w:color="auto"/>
              <w:left w:val="nil" w:sz="6" w:space="0" w:color="auto"/>
              <w:bottom w:val="nil" w:sz="6" w:space="0" w:color="auto"/>
              <w:right w:val="nil" w:sz="6" w:space="0" w:color="auto"/>
            </w:tcBorders>
          </w:tcPr>
          <w:p>
            <w:pPr>
              <w:pStyle w:val="TableParagraph"/>
              <w:spacing w:line="218" w:lineRule="exact"/>
              <w:ind w:right="25"/>
              <w:jc w:val="right"/>
              <w:rPr>
                <w:rFonts w:ascii="宋体" w:hAnsi="宋体" w:cs="宋体" w:eastAsia="宋体" w:hint="default"/>
                <w:sz w:val="18"/>
                <w:szCs w:val="18"/>
              </w:rPr>
            </w:pPr>
            <w:r>
              <w:rPr>
                <w:rFonts w:ascii="宋体"/>
                <w:sz w:val="18"/>
              </w:rPr>
              <w:t>-</w:t>
            </w:r>
          </w:p>
        </w:tc>
        <w:tc>
          <w:tcPr>
            <w:tcW w:w="953" w:type="dxa"/>
            <w:tcBorders>
              <w:top w:val="nil" w:sz="6" w:space="0" w:color="auto"/>
              <w:left w:val="nil" w:sz="6" w:space="0" w:color="auto"/>
              <w:bottom w:val="nil" w:sz="6" w:space="0" w:color="auto"/>
              <w:right w:val="nil" w:sz="6" w:space="0" w:color="auto"/>
            </w:tcBorders>
          </w:tcPr>
          <w:p>
            <w:pPr>
              <w:pStyle w:val="TableParagraph"/>
              <w:spacing w:line="218" w:lineRule="exact"/>
              <w:ind w:right="29"/>
              <w:jc w:val="right"/>
              <w:rPr>
                <w:rFonts w:ascii="宋体" w:hAnsi="宋体" w:cs="宋体" w:eastAsia="宋体" w:hint="default"/>
                <w:sz w:val="18"/>
                <w:szCs w:val="18"/>
              </w:rPr>
            </w:pPr>
            <w:r>
              <w:rPr>
                <w:rFonts w:ascii="宋体"/>
                <w:sz w:val="18"/>
              </w:rPr>
              <w:t>-</w:t>
            </w:r>
          </w:p>
        </w:tc>
        <w:tc>
          <w:tcPr>
            <w:tcW w:w="144" w:type="dxa"/>
            <w:tcBorders>
              <w:top w:val="nil" w:sz="6" w:space="0" w:color="auto"/>
              <w:left w:val="nil" w:sz="6" w:space="0" w:color="auto"/>
              <w:bottom w:val="nil" w:sz="6" w:space="0" w:color="auto"/>
              <w:right w:val="nil" w:sz="6" w:space="0" w:color="auto"/>
            </w:tcBorders>
          </w:tcPr>
          <w:p>
            <w:pPr/>
          </w:p>
        </w:tc>
        <w:tc>
          <w:tcPr>
            <w:tcW w:w="1279" w:type="dxa"/>
            <w:tcBorders>
              <w:top w:val="nil" w:sz="6" w:space="0" w:color="auto"/>
              <w:left w:val="nil" w:sz="6" w:space="0" w:color="auto"/>
              <w:bottom w:val="nil" w:sz="6" w:space="0" w:color="auto"/>
              <w:right w:val="nil" w:sz="6" w:space="0" w:color="auto"/>
            </w:tcBorders>
          </w:tcPr>
          <w:p>
            <w:pPr>
              <w:pStyle w:val="TableParagraph"/>
              <w:spacing w:line="218" w:lineRule="exact"/>
              <w:ind w:right="25"/>
              <w:jc w:val="right"/>
              <w:rPr>
                <w:rFonts w:ascii="宋体" w:hAnsi="宋体" w:cs="宋体" w:eastAsia="宋体" w:hint="default"/>
                <w:sz w:val="18"/>
                <w:szCs w:val="18"/>
              </w:rPr>
            </w:pPr>
            <w:r>
              <w:rPr>
                <w:rFonts w:ascii="宋体"/>
                <w:sz w:val="18"/>
              </w:rPr>
              <w:t>-</w:t>
            </w:r>
          </w:p>
        </w:tc>
        <w:tc>
          <w:tcPr>
            <w:tcW w:w="1397" w:type="dxa"/>
            <w:tcBorders>
              <w:top w:val="nil" w:sz="6" w:space="0" w:color="auto"/>
              <w:left w:val="nil" w:sz="6" w:space="0" w:color="auto"/>
              <w:bottom w:val="nil" w:sz="6" w:space="0" w:color="auto"/>
              <w:right w:val="nil" w:sz="6" w:space="0" w:color="auto"/>
            </w:tcBorders>
          </w:tcPr>
          <w:p>
            <w:pPr>
              <w:pStyle w:val="TableParagraph"/>
              <w:spacing w:line="218" w:lineRule="exact"/>
              <w:ind w:right="28"/>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nil" w:sz="6" w:space="0" w:color="auto"/>
              <w:right w:val="nil" w:sz="6" w:space="0" w:color="auto"/>
            </w:tcBorders>
          </w:tcPr>
          <w:p>
            <w:pPr>
              <w:pStyle w:val="TableParagraph"/>
              <w:spacing w:line="218" w:lineRule="exact"/>
              <w:ind w:right="25"/>
              <w:jc w:val="right"/>
              <w:rPr>
                <w:rFonts w:ascii="宋体" w:hAnsi="宋体" w:cs="宋体" w:eastAsia="宋体" w:hint="default"/>
                <w:sz w:val="18"/>
                <w:szCs w:val="18"/>
              </w:rPr>
            </w:pPr>
            <w:r>
              <w:rPr>
                <w:rFonts w:ascii="宋体"/>
                <w:sz w:val="18"/>
              </w:rPr>
              <w:t>-</w:t>
            </w:r>
          </w:p>
        </w:tc>
        <w:tc>
          <w:tcPr>
            <w:tcW w:w="132" w:type="dxa"/>
            <w:tcBorders>
              <w:top w:val="nil" w:sz="6" w:space="0" w:color="auto"/>
              <w:left w:val="nil" w:sz="6" w:space="0" w:color="auto"/>
              <w:bottom w:val="nil" w:sz="6" w:space="0" w:color="auto"/>
              <w:right w:val="nil" w:sz="6" w:space="0" w:color="auto"/>
            </w:tcBorders>
          </w:tcPr>
          <w:p>
            <w:pPr/>
          </w:p>
        </w:tc>
        <w:tc>
          <w:tcPr>
            <w:tcW w:w="1145" w:type="dxa"/>
            <w:tcBorders>
              <w:top w:val="nil" w:sz="6" w:space="0" w:color="auto"/>
              <w:left w:val="nil" w:sz="6" w:space="0" w:color="auto"/>
              <w:bottom w:val="nil" w:sz="6" w:space="0" w:color="auto"/>
              <w:right w:val="nil" w:sz="6" w:space="0" w:color="auto"/>
            </w:tcBorders>
          </w:tcPr>
          <w:p>
            <w:pPr>
              <w:pStyle w:val="TableParagraph"/>
              <w:spacing w:line="218" w:lineRule="exact"/>
              <w:ind w:right="29"/>
              <w:jc w:val="right"/>
              <w:rPr>
                <w:rFonts w:ascii="宋体" w:hAnsi="宋体" w:cs="宋体" w:eastAsia="宋体" w:hint="default"/>
                <w:sz w:val="18"/>
                <w:szCs w:val="18"/>
              </w:rPr>
            </w:pPr>
            <w:r>
              <w:rPr>
                <w:rFonts w:ascii="宋体"/>
                <w:sz w:val="18"/>
              </w:rPr>
              <w:t>-</w:t>
            </w:r>
          </w:p>
        </w:tc>
        <w:tc>
          <w:tcPr>
            <w:tcW w:w="1558" w:type="dxa"/>
            <w:tcBorders>
              <w:top w:val="nil" w:sz="6" w:space="0" w:color="auto"/>
              <w:left w:val="nil" w:sz="6" w:space="0" w:color="auto"/>
              <w:bottom w:val="nil" w:sz="6" w:space="0" w:color="auto"/>
              <w:right w:val="nil" w:sz="6" w:space="0" w:color="auto"/>
            </w:tcBorders>
          </w:tcPr>
          <w:p>
            <w:pPr>
              <w:pStyle w:val="TableParagraph"/>
              <w:spacing w:line="218" w:lineRule="exact"/>
              <w:ind w:right="25"/>
              <w:jc w:val="right"/>
              <w:rPr>
                <w:rFonts w:ascii="宋体" w:hAnsi="宋体" w:cs="宋体" w:eastAsia="宋体" w:hint="default"/>
                <w:sz w:val="18"/>
                <w:szCs w:val="18"/>
              </w:rPr>
            </w:pPr>
            <w:r>
              <w:rPr>
                <w:rFonts w:ascii="宋体"/>
                <w:sz w:val="18"/>
              </w:rPr>
              <w:t>-</w:t>
            </w:r>
          </w:p>
        </w:tc>
      </w:tr>
      <w:tr>
        <w:trPr>
          <w:trHeight w:val="256" w:hRule="exact"/>
        </w:trPr>
        <w:tc>
          <w:tcPr>
            <w:tcW w:w="108" w:type="dxa"/>
            <w:tcBorders>
              <w:top w:val="nil" w:sz="6" w:space="0" w:color="auto"/>
              <w:left w:val="nil" w:sz="6" w:space="0" w:color="auto"/>
              <w:bottom w:val="nil" w:sz="6" w:space="0" w:color="auto"/>
              <w:right w:val="nil" w:sz="6" w:space="0" w:color="auto"/>
            </w:tcBorders>
          </w:tcPr>
          <w:p>
            <w:pPr/>
          </w:p>
        </w:tc>
        <w:tc>
          <w:tcPr>
            <w:tcW w:w="2621" w:type="dxa"/>
            <w:tcBorders>
              <w:top w:val="nil" w:sz="6" w:space="0" w:color="auto"/>
              <w:left w:val="nil" w:sz="6" w:space="0" w:color="auto"/>
              <w:bottom w:val="nil" w:sz="6" w:space="0" w:color="auto"/>
              <w:right w:val="nil" w:sz="6" w:space="0" w:color="auto"/>
            </w:tcBorders>
          </w:tcPr>
          <w:p>
            <w:pPr>
              <w:pStyle w:val="TableParagraph"/>
              <w:spacing w:line="217" w:lineRule="exact"/>
              <w:ind w:left="39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．资本公积转增股本</w:t>
            </w:r>
          </w:p>
        </w:tc>
        <w:tc>
          <w:tcPr>
            <w:tcW w:w="2431" w:type="dxa"/>
            <w:tcBorders>
              <w:top w:val="nil" w:sz="6" w:space="0" w:color="auto"/>
              <w:left w:val="nil" w:sz="6" w:space="0" w:color="auto"/>
              <w:bottom w:val="nil" w:sz="6" w:space="0" w:color="auto"/>
              <w:right w:val="nil" w:sz="6" w:space="0" w:color="auto"/>
            </w:tcBorders>
          </w:tcPr>
          <w:p>
            <w:pPr>
              <w:pStyle w:val="TableParagraph"/>
              <w:spacing w:line="220" w:lineRule="exact"/>
              <w:ind w:right="21"/>
              <w:jc w:val="right"/>
              <w:rPr>
                <w:rFonts w:ascii="宋体" w:hAnsi="宋体" w:cs="宋体" w:eastAsia="宋体" w:hint="default"/>
                <w:sz w:val="18"/>
                <w:szCs w:val="18"/>
              </w:rPr>
            </w:pPr>
            <w:r>
              <w:rPr>
                <w:rFonts w:ascii="宋体"/>
                <w:spacing w:val="-1"/>
                <w:sz w:val="18"/>
              </w:rPr>
              <w:t>70,400,000.00</w:t>
            </w:r>
            <w:r>
              <w:rPr>
                <w:rFonts w:ascii="宋体"/>
                <w:sz w:val="18"/>
              </w:rPr>
            </w:r>
          </w:p>
        </w:tc>
        <w:tc>
          <w:tcPr>
            <w:tcW w:w="113" w:type="dxa"/>
            <w:tcBorders>
              <w:top w:val="nil" w:sz="6" w:space="0" w:color="auto"/>
              <w:left w:val="nil" w:sz="6" w:space="0" w:color="auto"/>
              <w:bottom w:val="nil" w:sz="6" w:space="0" w:color="auto"/>
              <w:right w:val="nil" w:sz="6" w:space="0" w:color="auto"/>
            </w:tcBorders>
          </w:tcPr>
          <w:p>
            <w:pPr/>
          </w:p>
        </w:tc>
        <w:tc>
          <w:tcPr>
            <w:tcW w:w="1586" w:type="dxa"/>
            <w:tcBorders>
              <w:top w:val="nil" w:sz="6" w:space="0" w:color="auto"/>
              <w:left w:val="nil" w:sz="6" w:space="0" w:color="auto"/>
              <w:bottom w:val="nil" w:sz="6" w:space="0" w:color="auto"/>
              <w:right w:val="nil" w:sz="6" w:space="0" w:color="auto"/>
            </w:tcBorders>
          </w:tcPr>
          <w:p>
            <w:pPr>
              <w:pStyle w:val="TableParagraph"/>
              <w:spacing w:line="220" w:lineRule="exact"/>
              <w:ind w:right="21"/>
              <w:jc w:val="right"/>
              <w:rPr>
                <w:rFonts w:ascii="宋体" w:hAnsi="宋体" w:cs="宋体" w:eastAsia="宋体" w:hint="default"/>
                <w:sz w:val="18"/>
                <w:szCs w:val="18"/>
              </w:rPr>
            </w:pPr>
            <w:r>
              <w:rPr>
                <w:rFonts w:ascii="宋体" w:hAnsi="宋体" w:cs="宋体" w:eastAsia="宋体" w:hint="default"/>
                <w:spacing w:val="-1"/>
                <w:sz w:val="18"/>
                <w:szCs w:val="18"/>
              </w:rPr>
              <w:t>（</w:t>
            </w:r>
            <w:r>
              <w:rPr>
                <w:rFonts w:ascii="宋体" w:hAnsi="宋体" w:cs="宋体" w:eastAsia="宋体" w:hint="default"/>
                <w:spacing w:val="-1"/>
                <w:sz w:val="18"/>
                <w:szCs w:val="18"/>
              </w:rPr>
              <w:t>70,400,000.00</w:t>
            </w:r>
            <w:r>
              <w:rPr>
                <w:rFonts w:ascii="宋体" w:hAnsi="宋体" w:cs="宋体" w:eastAsia="宋体" w:hint="default"/>
                <w:spacing w:val="-1"/>
                <w:sz w:val="18"/>
                <w:szCs w:val="18"/>
              </w:rPr>
              <w:t>）</w:t>
            </w:r>
          </w:p>
        </w:tc>
        <w:tc>
          <w:tcPr>
            <w:tcW w:w="142" w:type="dxa"/>
            <w:tcBorders>
              <w:top w:val="nil" w:sz="6" w:space="0" w:color="auto"/>
              <w:left w:val="nil" w:sz="6" w:space="0" w:color="auto"/>
              <w:bottom w:val="nil" w:sz="6" w:space="0" w:color="auto"/>
              <w:right w:val="nil" w:sz="6" w:space="0" w:color="auto"/>
            </w:tcBorders>
          </w:tcPr>
          <w:p>
            <w:pPr/>
          </w:p>
        </w:tc>
        <w:tc>
          <w:tcPr>
            <w:tcW w:w="883" w:type="dxa"/>
            <w:tcBorders>
              <w:top w:val="nil" w:sz="6" w:space="0" w:color="auto"/>
              <w:left w:val="nil" w:sz="6" w:space="0" w:color="auto"/>
              <w:bottom w:val="nil" w:sz="6" w:space="0" w:color="auto"/>
              <w:right w:val="nil" w:sz="6" w:space="0" w:color="auto"/>
            </w:tcBorders>
          </w:tcPr>
          <w:p>
            <w:pPr>
              <w:pStyle w:val="TableParagraph"/>
              <w:spacing w:line="220" w:lineRule="exact"/>
              <w:ind w:right="25"/>
              <w:jc w:val="right"/>
              <w:rPr>
                <w:rFonts w:ascii="宋体" w:hAnsi="宋体" w:cs="宋体" w:eastAsia="宋体" w:hint="default"/>
                <w:sz w:val="18"/>
                <w:szCs w:val="18"/>
              </w:rPr>
            </w:pPr>
            <w:r>
              <w:rPr>
                <w:rFonts w:ascii="宋体"/>
                <w:sz w:val="18"/>
              </w:rPr>
              <w:t>-</w:t>
            </w:r>
          </w:p>
        </w:tc>
        <w:tc>
          <w:tcPr>
            <w:tcW w:w="953" w:type="dxa"/>
            <w:tcBorders>
              <w:top w:val="nil" w:sz="6" w:space="0" w:color="auto"/>
              <w:left w:val="nil" w:sz="6" w:space="0" w:color="auto"/>
              <w:bottom w:val="nil" w:sz="6" w:space="0" w:color="auto"/>
              <w:right w:val="nil" w:sz="6" w:space="0" w:color="auto"/>
            </w:tcBorders>
          </w:tcPr>
          <w:p>
            <w:pPr>
              <w:pStyle w:val="TableParagraph"/>
              <w:spacing w:line="220" w:lineRule="exact"/>
              <w:ind w:right="29"/>
              <w:jc w:val="right"/>
              <w:rPr>
                <w:rFonts w:ascii="宋体" w:hAnsi="宋体" w:cs="宋体" w:eastAsia="宋体" w:hint="default"/>
                <w:sz w:val="18"/>
                <w:szCs w:val="18"/>
              </w:rPr>
            </w:pPr>
            <w:r>
              <w:rPr>
                <w:rFonts w:ascii="宋体"/>
                <w:sz w:val="18"/>
              </w:rPr>
              <w:t>-</w:t>
            </w:r>
          </w:p>
        </w:tc>
        <w:tc>
          <w:tcPr>
            <w:tcW w:w="144" w:type="dxa"/>
            <w:tcBorders>
              <w:top w:val="nil" w:sz="6" w:space="0" w:color="auto"/>
              <w:left w:val="nil" w:sz="6" w:space="0" w:color="auto"/>
              <w:bottom w:val="nil" w:sz="6" w:space="0" w:color="auto"/>
              <w:right w:val="nil" w:sz="6" w:space="0" w:color="auto"/>
            </w:tcBorders>
          </w:tcPr>
          <w:p>
            <w:pPr/>
          </w:p>
        </w:tc>
        <w:tc>
          <w:tcPr>
            <w:tcW w:w="1279" w:type="dxa"/>
            <w:tcBorders>
              <w:top w:val="nil" w:sz="6" w:space="0" w:color="auto"/>
              <w:left w:val="nil" w:sz="6" w:space="0" w:color="auto"/>
              <w:bottom w:val="nil" w:sz="6" w:space="0" w:color="auto"/>
              <w:right w:val="nil" w:sz="6" w:space="0" w:color="auto"/>
            </w:tcBorders>
          </w:tcPr>
          <w:p>
            <w:pPr>
              <w:pStyle w:val="TableParagraph"/>
              <w:spacing w:line="220" w:lineRule="exact"/>
              <w:ind w:right="25"/>
              <w:jc w:val="right"/>
              <w:rPr>
                <w:rFonts w:ascii="宋体" w:hAnsi="宋体" w:cs="宋体" w:eastAsia="宋体" w:hint="default"/>
                <w:sz w:val="18"/>
                <w:szCs w:val="18"/>
              </w:rPr>
            </w:pPr>
            <w:r>
              <w:rPr>
                <w:rFonts w:ascii="宋体"/>
                <w:sz w:val="18"/>
              </w:rPr>
              <w:t>-</w:t>
            </w:r>
          </w:p>
        </w:tc>
        <w:tc>
          <w:tcPr>
            <w:tcW w:w="1397" w:type="dxa"/>
            <w:tcBorders>
              <w:top w:val="nil" w:sz="6" w:space="0" w:color="auto"/>
              <w:left w:val="nil" w:sz="6" w:space="0" w:color="auto"/>
              <w:bottom w:val="nil" w:sz="6" w:space="0" w:color="auto"/>
              <w:right w:val="nil" w:sz="6" w:space="0" w:color="auto"/>
            </w:tcBorders>
          </w:tcPr>
          <w:p>
            <w:pPr>
              <w:pStyle w:val="TableParagraph"/>
              <w:spacing w:line="220" w:lineRule="exact"/>
              <w:ind w:right="28"/>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nil" w:sz="6" w:space="0" w:color="auto"/>
              <w:right w:val="nil" w:sz="6" w:space="0" w:color="auto"/>
            </w:tcBorders>
          </w:tcPr>
          <w:p>
            <w:pPr>
              <w:pStyle w:val="TableParagraph"/>
              <w:spacing w:line="220" w:lineRule="exact"/>
              <w:ind w:right="25"/>
              <w:jc w:val="right"/>
              <w:rPr>
                <w:rFonts w:ascii="宋体" w:hAnsi="宋体" w:cs="宋体" w:eastAsia="宋体" w:hint="default"/>
                <w:sz w:val="18"/>
                <w:szCs w:val="18"/>
              </w:rPr>
            </w:pPr>
            <w:r>
              <w:rPr>
                <w:rFonts w:ascii="宋体"/>
                <w:sz w:val="18"/>
              </w:rPr>
              <w:t>-</w:t>
            </w:r>
          </w:p>
        </w:tc>
        <w:tc>
          <w:tcPr>
            <w:tcW w:w="132" w:type="dxa"/>
            <w:tcBorders>
              <w:top w:val="nil" w:sz="6" w:space="0" w:color="auto"/>
              <w:left w:val="nil" w:sz="6" w:space="0" w:color="auto"/>
              <w:bottom w:val="nil" w:sz="6" w:space="0" w:color="auto"/>
              <w:right w:val="nil" w:sz="6" w:space="0" w:color="auto"/>
            </w:tcBorders>
          </w:tcPr>
          <w:p>
            <w:pPr/>
          </w:p>
        </w:tc>
        <w:tc>
          <w:tcPr>
            <w:tcW w:w="1145" w:type="dxa"/>
            <w:tcBorders>
              <w:top w:val="nil" w:sz="6" w:space="0" w:color="auto"/>
              <w:left w:val="nil" w:sz="6" w:space="0" w:color="auto"/>
              <w:bottom w:val="nil" w:sz="6" w:space="0" w:color="auto"/>
              <w:right w:val="nil" w:sz="6" w:space="0" w:color="auto"/>
            </w:tcBorders>
          </w:tcPr>
          <w:p>
            <w:pPr>
              <w:pStyle w:val="TableParagraph"/>
              <w:spacing w:line="220" w:lineRule="exact"/>
              <w:ind w:right="29"/>
              <w:jc w:val="right"/>
              <w:rPr>
                <w:rFonts w:ascii="宋体" w:hAnsi="宋体" w:cs="宋体" w:eastAsia="宋体" w:hint="default"/>
                <w:sz w:val="18"/>
                <w:szCs w:val="18"/>
              </w:rPr>
            </w:pPr>
            <w:r>
              <w:rPr>
                <w:rFonts w:ascii="宋体"/>
                <w:sz w:val="18"/>
              </w:rPr>
              <w:t>-</w:t>
            </w:r>
          </w:p>
        </w:tc>
        <w:tc>
          <w:tcPr>
            <w:tcW w:w="1558" w:type="dxa"/>
            <w:tcBorders>
              <w:top w:val="nil" w:sz="6" w:space="0" w:color="auto"/>
              <w:left w:val="nil" w:sz="6" w:space="0" w:color="auto"/>
              <w:bottom w:val="nil" w:sz="6" w:space="0" w:color="auto"/>
              <w:right w:val="nil" w:sz="6" w:space="0" w:color="auto"/>
            </w:tcBorders>
          </w:tcPr>
          <w:p>
            <w:pPr>
              <w:pStyle w:val="TableParagraph"/>
              <w:spacing w:line="220" w:lineRule="exact"/>
              <w:ind w:right="25"/>
              <w:jc w:val="right"/>
              <w:rPr>
                <w:rFonts w:ascii="宋体" w:hAnsi="宋体" w:cs="宋体" w:eastAsia="宋体" w:hint="default"/>
                <w:sz w:val="18"/>
                <w:szCs w:val="18"/>
              </w:rPr>
            </w:pPr>
            <w:r>
              <w:rPr>
                <w:rFonts w:ascii="宋体"/>
                <w:sz w:val="18"/>
              </w:rPr>
              <w:t>-</w:t>
            </w:r>
          </w:p>
        </w:tc>
      </w:tr>
      <w:tr>
        <w:trPr>
          <w:trHeight w:val="254" w:hRule="exact"/>
        </w:trPr>
        <w:tc>
          <w:tcPr>
            <w:tcW w:w="108" w:type="dxa"/>
            <w:tcBorders>
              <w:top w:val="nil" w:sz="6" w:space="0" w:color="auto"/>
              <w:left w:val="nil" w:sz="6" w:space="0" w:color="auto"/>
              <w:bottom w:val="nil" w:sz="6" w:space="0" w:color="auto"/>
              <w:right w:val="nil" w:sz="6" w:space="0" w:color="auto"/>
            </w:tcBorders>
          </w:tcPr>
          <w:p>
            <w:pPr/>
          </w:p>
        </w:tc>
        <w:tc>
          <w:tcPr>
            <w:tcW w:w="2621" w:type="dxa"/>
            <w:tcBorders>
              <w:top w:val="nil" w:sz="6" w:space="0" w:color="auto"/>
              <w:left w:val="nil" w:sz="6" w:space="0" w:color="auto"/>
              <w:bottom w:val="nil" w:sz="6" w:space="0" w:color="auto"/>
              <w:right w:val="nil" w:sz="6" w:space="0" w:color="auto"/>
            </w:tcBorders>
          </w:tcPr>
          <w:p>
            <w:pPr>
              <w:pStyle w:val="TableParagraph"/>
              <w:spacing w:line="216" w:lineRule="exact"/>
              <w:ind w:left="39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．盈余公积转增股本</w:t>
            </w:r>
          </w:p>
        </w:tc>
        <w:tc>
          <w:tcPr>
            <w:tcW w:w="2431" w:type="dxa"/>
            <w:tcBorders>
              <w:top w:val="nil" w:sz="6" w:space="0" w:color="auto"/>
              <w:left w:val="nil" w:sz="6" w:space="0" w:color="auto"/>
              <w:bottom w:val="nil" w:sz="6" w:space="0" w:color="auto"/>
              <w:right w:val="nil" w:sz="6" w:space="0" w:color="auto"/>
            </w:tcBorders>
          </w:tcPr>
          <w:p>
            <w:pPr>
              <w:pStyle w:val="TableParagraph"/>
              <w:spacing w:line="218" w:lineRule="exact"/>
              <w:ind w:right="25"/>
              <w:jc w:val="right"/>
              <w:rPr>
                <w:rFonts w:ascii="宋体" w:hAnsi="宋体" w:cs="宋体" w:eastAsia="宋体" w:hint="default"/>
                <w:sz w:val="18"/>
                <w:szCs w:val="18"/>
              </w:rPr>
            </w:pPr>
            <w:r>
              <w:rPr>
                <w:rFonts w:ascii="宋体"/>
                <w:sz w:val="18"/>
              </w:rPr>
              <w:t>-</w:t>
            </w:r>
          </w:p>
        </w:tc>
        <w:tc>
          <w:tcPr>
            <w:tcW w:w="113" w:type="dxa"/>
            <w:tcBorders>
              <w:top w:val="nil" w:sz="6" w:space="0" w:color="auto"/>
              <w:left w:val="nil" w:sz="6" w:space="0" w:color="auto"/>
              <w:bottom w:val="nil" w:sz="6" w:space="0" w:color="auto"/>
              <w:right w:val="nil" w:sz="6" w:space="0" w:color="auto"/>
            </w:tcBorders>
          </w:tcPr>
          <w:p>
            <w:pPr/>
          </w:p>
        </w:tc>
        <w:tc>
          <w:tcPr>
            <w:tcW w:w="1586" w:type="dxa"/>
            <w:tcBorders>
              <w:top w:val="nil" w:sz="6" w:space="0" w:color="auto"/>
              <w:left w:val="nil" w:sz="6" w:space="0" w:color="auto"/>
              <w:bottom w:val="nil" w:sz="6" w:space="0" w:color="auto"/>
              <w:right w:val="nil" w:sz="6" w:space="0" w:color="auto"/>
            </w:tcBorders>
          </w:tcPr>
          <w:p>
            <w:pPr>
              <w:pStyle w:val="TableParagraph"/>
              <w:spacing w:line="218" w:lineRule="exact"/>
              <w:ind w:right="25"/>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883" w:type="dxa"/>
            <w:tcBorders>
              <w:top w:val="nil" w:sz="6" w:space="0" w:color="auto"/>
              <w:left w:val="nil" w:sz="6" w:space="0" w:color="auto"/>
              <w:bottom w:val="nil" w:sz="6" w:space="0" w:color="auto"/>
              <w:right w:val="nil" w:sz="6" w:space="0" w:color="auto"/>
            </w:tcBorders>
          </w:tcPr>
          <w:p>
            <w:pPr>
              <w:pStyle w:val="TableParagraph"/>
              <w:spacing w:line="218" w:lineRule="exact"/>
              <w:ind w:right="25"/>
              <w:jc w:val="right"/>
              <w:rPr>
                <w:rFonts w:ascii="宋体" w:hAnsi="宋体" w:cs="宋体" w:eastAsia="宋体" w:hint="default"/>
                <w:sz w:val="18"/>
                <w:szCs w:val="18"/>
              </w:rPr>
            </w:pPr>
            <w:r>
              <w:rPr>
                <w:rFonts w:ascii="宋体"/>
                <w:sz w:val="18"/>
              </w:rPr>
              <w:t>-</w:t>
            </w:r>
          </w:p>
        </w:tc>
        <w:tc>
          <w:tcPr>
            <w:tcW w:w="953" w:type="dxa"/>
            <w:tcBorders>
              <w:top w:val="nil" w:sz="6" w:space="0" w:color="auto"/>
              <w:left w:val="nil" w:sz="6" w:space="0" w:color="auto"/>
              <w:bottom w:val="nil" w:sz="6" w:space="0" w:color="auto"/>
              <w:right w:val="nil" w:sz="6" w:space="0" w:color="auto"/>
            </w:tcBorders>
          </w:tcPr>
          <w:p>
            <w:pPr>
              <w:pStyle w:val="TableParagraph"/>
              <w:spacing w:line="218" w:lineRule="exact"/>
              <w:ind w:right="29"/>
              <w:jc w:val="right"/>
              <w:rPr>
                <w:rFonts w:ascii="宋体" w:hAnsi="宋体" w:cs="宋体" w:eastAsia="宋体" w:hint="default"/>
                <w:sz w:val="18"/>
                <w:szCs w:val="18"/>
              </w:rPr>
            </w:pPr>
            <w:r>
              <w:rPr>
                <w:rFonts w:ascii="宋体"/>
                <w:sz w:val="18"/>
              </w:rPr>
              <w:t>-</w:t>
            </w:r>
          </w:p>
        </w:tc>
        <w:tc>
          <w:tcPr>
            <w:tcW w:w="144" w:type="dxa"/>
            <w:tcBorders>
              <w:top w:val="nil" w:sz="6" w:space="0" w:color="auto"/>
              <w:left w:val="nil" w:sz="6" w:space="0" w:color="auto"/>
              <w:bottom w:val="nil" w:sz="6" w:space="0" w:color="auto"/>
              <w:right w:val="nil" w:sz="6" w:space="0" w:color="auto"/>
            </w:tcBorders>
          </w:tcPr>
          <w:p>
            <w:pPr/>
          </w:p>
        </w:tc>
        <w:tc>
          <w:tcPr>
            <w:tcW w:w="1279" w:type="dxa"/>
            <w:tcBorders>
              <w:top w:val="nil" w:sz="6" w:space="0" w:color="auto"/>
              <w:left w:val="nil" w:sz="6" w:space="0" w:color="auto"/>
              <w:bottom w:val="nil" w:sz="6" w:space="0" w:color="auto"/>
              <w:right w:val="nil" w:sz="6" w:space="0" w:color="auto"/>
            </w:tcBorders>
          </w:tcPr>
          <w:p>
            <w:pPr>
              <w:pStyle w:val="TableParagraph"/>
              <w:spacing w:line="218" w:lineRule="exact"/>
              <w:ind w:right="25"/>
              <w:jc w:val="right"/>
              <w:rPr>
                <w:rFonts w:ascii="宋体" w:hAnsi="宋体" w:cs="宋体" w:eastAsia="宋体" w:hint="default"/>
                <w:sz w:val="18"/>
                <w:szCs w:val="18"/>
              </w:rPr>
            </w:pPr>
            <w:r>
              <w:rPr>
                <w:rFonts w:ascii="宋体"/>
                <w:sz w:val="18"/>
              </w:rPr>
              <w:t>-</w:t>
            </w:r>
          </w:p>
        </w:tc>
        <w:tc>
          <w:tcPr>
            <w:tcW w:w="1397" w:type="dxa"/>
            <w:tcBorders>
              <w:top w:val="nil" w:sz="6" w:space="0" w:color="auto"/>
              <w:left w:val="nil" w:sz="6" w:space="0" w:color="auto"/>
              <w:bottom w:val="nil" w:sz="6" w:space="0" w:color="auto"/>
              <w:right w:val="nil" w:sz="6" w:space="0" w:color="auto"/>
            </w:tcBorders>
          </w:tcPr>
          <w:p>
            <w:pPr>
              <w:pStyle w:val="TableParagraph"/>
              <w:spacing w:line="218" w:lineRule="exact"/>
              <w:ind w:right="28"/>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nil" w:sz="6" w:space="0" w:color="auto"/>
              <w:right w:val="nil" w:sz="6" w:space="0" w:color="auto"/>
            </w:tcBorders>
          </w:tcPr>
          <w:p>
            <w:pPr>
              <w:pStyle w:val="TableParagraph"/>
              <w:spacing w:line="218" w:lineRule="exact"/>
              <w:ind w:right="25"/>
              <w:jc w:val="right"/>
              <w:rPr>
                <w:rFonts w:ascii="宋体" w:hAnsi="宋体" w:cs="宋体" w:eastAsia="宋体" w:hint="default"/>
                <w:sz w:val="18"/>
                <w:szCs w:val="18"/>
              </w:rPr>
            </w:pPr>
            <w:r>
              <w:rPr>
                <w:rFonts w:ascii="宋体"/>
                <w:sz w:val="18"/>
              </w:rPr>
              <w:t>-</w:t>
            </w:r>
          </w:p>
        </w:tc>
        <w:tc>
          <w:tcPr>
            <w:tcW w:w="132" w:type="dxa"/>
            <w:tcBorders>
              <w:top w:val="nil" w:sz="6" w:space="0" w:color="auto"/>
              <w:left w:val="nil" w:sz="6" w:space="0" w:color="auto"/>
              <w:bottom w:val="nil" w:sz="6" w:space="0" w:color="auto"/>
              <w:right w:val="nil" w:sz="6" w:space="0" w:color="auto"/>
            </w:tcBorders>
          </w:tcPr>
          <w:p>
            <w:pPr/>
          </w:p>
        </w:tc>
        <w:tc>
          <w:tcPr>
            <w:tcW w:w="1145" w:type="dxa"/>
            <w:tcBorders>
              <w:top w:val="nil" w:sz="6" w:space="0" w:color="auto"/>
              <w:left w:val="nil" w:sz="6" w:space="0" w:color="auto"/>
              <w:bottom w:val="nil" w:sz="6" w:space="0" w:color="auto"/>
              <w:right w:val="nil" w:sz="6" w:space="0" w:color="auto"/>
            </w:tcBorders>
          </w:tcPr>
          <w:p>
            <w:pPr>
              <w:pStyle w:val="TableParagraph"/>
              <w:spacing w:line="218" w:lineRule="exact"/>
              <w:ind w:right="29"/>
              <w:jc w:val="right"/>
              <w:rPr>
                <w:rFonts w:ascii="宋体" w:hAnsi="宋体" w:cs="宋体" w:eastAsia="宋体" w:hint="default"/>
                <w:sz w:val="18"/>
                <w:szCs w:val="18"/>
              </w:rPr>
            </w:pPr>
            <w:r>
              <w:rPr>
                <w:rFonts w:ascii="宋体"/>
                <w:sz w:val="18"/>
              </w:rPr>
              <w:t>-</w:t>
            </w:r>
          </w:p>
        </w:tc>
        <w:tc>
          <w:tcPr>
            <w:tcW w:w="1558" w:type="dxa"/>
            <w:tcBorders>
              <w:top w:val="nil" w:sz="6" w:space="0" w:color="auto"/>
              <w:left w:val="nil" w:sz="6" w:space="0" w:color="auto"/>
              <w:bottom w:val="nil" w:sz="6" w:space="0" w:color="auto"/>
              <w:right w:val="nil" w:sz="6" w:space="0" w:color="auto"/>
            </w:tcBorders>
          </w:tcPr>
          <w:p>
            <w:pPr>
              <w:pStyle w:val="TableParagraph"/>
              <w:spacing w:line="218" w:lineRule="exact"/>
              <w:ind w:right="25"/>
              <w:jc w:val="right"/>
              <w:rPr>
                <w:rFonts w:ascii="宋体" w:hAnsi="宋体" w:cs="宋体" w:eastAsia="宋体" w:hint="default"/>
                <w:sz w:val="18"/>
                <w:szCs w:val="18"/>
              </w:rPr>
            </w:pPr>
            <w:r>
              <w:rPr>
                <w:rFonts w:ascii="宋体"/>
                <w:sz w:val="18"/>
              </w:rPr>
              <w:t>-</w:t>
            </w:r>
          </w:p>
        </w:tc>
      </w:tr>
      <w:tr>
        <w:trPr>
          <w:trHeight w:val="254" w:hRule="exact"/>
        </w:trPr>
        <w:tc>
          <w:tcPr>
            <w:tcW w:w="108" w:type="dxa"/>
            <w:tcBorders>
              <w:top w:val="nil" w:sz="6" w:space="0" w:color="auto"/>
              <w:left w:val="nil" w:sz="6" w:space="0" w:color="auto"/>
              <w:bottom w:val="nil" w:sz="6" w:space="0" w:color="auto"/>
              <w:right w:val="nil" w:sz="6" w:space="0" w:color="auto"/>
            </w:tcBorders>
          </w:tcPr>
          <w:p>
            <w:pPr/>
          </w:p>
        </w:tc>
        <w:tc>
          <w:tcPr>
            <w:tcW w:w="2621" w:type="dxa"/>
            <w:tcBorders>
              <w:top w:val="nil" w:sz="6" w:space="0" w:color="auto"/>
              <w:left w:val="nil" w:sz="6" w:space="0" w:color="auto"/>
              <w:bottom w:val="nil" w:sz="6" w:space="0" w:color="auto"/>
              <w:right w:val="nil" w:sz="6" w:space="0" w:color="auto"/>
            </w:tcBorders>
          </w:tcPr>
          <w:p>
            <w:pPr>
              <w:pStyle w:val="TableParagraph"/>
              <w:spacing w:line="216" w:lineRule="exact"/>
              <w:ind w:left="39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2431" w:type="dxa"/>
            <w:tcBorders>
              <w:top w:val="nil" w:sz="6" w:space="0" w:color="auto"/>
              <w:left w:val="nil" w:sz="6" w:space="0" w:color="auto"/>
              <w:bottom w:val="nil" w:sz="6" w:space="0" w:color="auto"/>
              <w:right w:val="nil" w:sz="6" w:space="0" w:color="auto"/>
            </w:tcBorders>
          </w:tcPr>
          <w:p>
            <w:pPr>
              <w:pStyle w:val="TableParagraph"/>
              <w:spacing w:line="218" w:lineRule="exact"/>
              <w:ind w:right="25"/>
              <w:jc w:val="right"/>
              <w:rPr>
                <w:rFonts w:ascii="宋体" w:hAnsi="宋体" w:cs="宋体" w:eastAsia="宋体" w:hint="default"/>
                <w:sz w:val="18"/>
                <w:szCs w:val="18"/>
              </w:rPr>
            </w:pPr>
            <w:r>
              <w:rPr>
                <w:rFonts w:ascii="宋体"/>
                <w:sz w:val="18"/>
              </w:rPr>
              <w:t>-</w:t>
            </w:r>
          </w:p>
        </w:tc>
        <w:tc>
          <w:tcPr>
            <w:tcW w:w="113" w:type="dxa"/>
            <w:tcBorders>
              <w:top w:val="nil" w:sz="6" w:space="0" w:color="auto"/>
              <w:left w:val="nil" w:sz="6" w:space="0" w:color="auto"/>
              <w:bottom w:val="nil" w:sz="6" w:space="0" w:color="auto"/>
              <w:right w:val="nil" w:sz="6" w:space="0" w:color="auto"/>
            </w:tcBorders>
          </w:tcPr>
          <w:p>
            <w:pPr/>
          </w:p>
        </w:tc>
        <w:tc>
          <w:tcPr>
            <w:tcW w:w="1586" w:type="dxa"/>
            <w:tcBorders>
              <w:top w:val="nil" w:sz="6" w:space="0" w:color="auto"/>
              <w:left w:val="nil" w:sz="6" w:space="0" w:color="auto"/>
              <w:bottom w:val="nil" w:sz="6" w:space="0" w:color="auto"/>
              <w:right w:val="nil" w:sz="6" w:space="0" w:color="auto"/>
            </w:tcBorders>
          </w:tcPr>
          <w:p>
            <w:pPr>
              <w:pStyle w:val="TableParagraph"/>
              <w:spacing w:line="218" w:lineRule="exact"/>
              <w:ind w:right="25"/>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883" w:type="dxa"/>
            <w:tcBorders>
              <w:top w:val="nil" w:sz="6" w:space="0" w:color="auto"/>
              <w:left w:val="nil" w:sz="6" w:space="0" w:color="auto"/>
              <w:bottom w:val="nil" w:sz="6" w:space="0" w:color="auto"/>
              <w:right w:val="nil" w:sz="6" w:space="0" w:color="auto"/>
            </w:tcBorders>
          </w:tcPr>
          <w:p>
            <w:pPr>
              <w:pStyle w:val="TableParagraph"/>
              <w:spacing w:line="218" w:lineRule="exact"/>
              <w:ind w:right="25"/>
              <w:jc w:val="right"/>
              <w:rPr>
                <w:rFonts w:ascii="宋体" w:hAnsi="宋体" w:cs="宋体" w:eastAsia="宋体" w:hint="default"/>
                <w:sz w:val="18"/>
                <w:szCs w:val="18"/>
              </w:rPr>
            </w:pPr>
            <w:r>
              <w:rPr>
                <w:rFonts w:ascii="宋体"/>
                <w:sz w:val="18"/>
              </w:rPr>
              <w:t>-</w:t>
            </w:r>
          </w:p>
        </w:tc>
        <w:tc>
          <w:tcPr>
            <w:tcW w:w="953" w:type="dxa"/>
            <w:tcBorders>
              <w:top w:val="nil" w:sz="6" w:space="0" w:color="auto"/>
              <w:left w:val="nil" w:sz="6" w:space="0" w:color="auto"/>
              <w:bottom w:val="nil" w:sz="6" w:space="0" w:color="auto"/>
              <w:right w:val="nil" w:sz="6" w:space="0" w:color="auto"/>
            </w:tcBorders>
          </w:tcPr>
          <w:p>
            <w:pPr>
              <w:pStyle w:val="TableParagraph"/>
              <w:spacing w:line="218" w:lineRule="exact"/>
              <w:ind w:right="29"/>
              <w:jc w:val="right"/>
              <w:rPr>
                <w:rFonts w:ascii="宋体" w:hAnsi="宋体" w:cs="宋体" w:eastAsia="宋体" w:hint="default"/>
                <w:sz w:val="18"/>
                <w:szCs w:val="18"/>
              </w:rPr>
            </w:pPr>
            <w:r>
              <w:rPr>
                <w:rFonts w:ascii="宋体"/>
                <w:sz w:val="18"/>
              </w:rPr>
              <w:t>-</w:t>
            </w:r>
          </w:p>
        </w:tc>
        <w:tc>
          <w:tcPr>
            <w:tcW w:w="144" w:type="dxa"/>
            <w:tcBorders>
              <w:top w:val="nil" w:sz="6" w:space="0" w:color="auto"/>
              <w:left w:val="nil" w:sz="6" w:space="0" w:color="auto"/>
              <w:bottom w:val="nil" w:sz="6" w:space="0" w:color="auto"/>
              <w:right w:val="nil" w:sz="6" w:space="0" w:color="auto"/>
            </w:tcBorders>
          </w:tcPr>
          <w:p>
            <w:pPr/>
          </w:p>
        </w:tc>
        <w:tc>
          <w:tcPr>
            <w:tcW w:w="1279" w:type="dxa"/>
            <w:tcBorders>
              <w:top w:val="nil" w:sz="6" w:space="0" w:color="auto"/>
              <w:left w:val="nil" w:sz="6" w:space="0" w:color="auto"/>
              <w:bottom w:val="nil" w:sz="6" w:space="0" w:color="auto"/>
              <w:right w:val="nil" w:sz="6" w:space="0" w:color="auto"/>
            </w:tcBorders>
          </w:tcPr>
          <w:p>
            <w:pPr>
              <w:pStyle w:val="TableParagraph"/>
              <w:spacing w:line="218" w:lineRule="exact"/>
              <w:ind w:right="25"/>
              <w:jc w:val="right"/>
              <w:rPr>
                <w:rFonts w:ascii="宋体" w:hAnsi="宋体" w:cs="宋体" w:eastAsia="宋体" w:hint="default"/>
                <w:sz w:val="18"/>
                <w:szCs w:val="18"/>
              </w:rPr>
            </w:pPr>
            <w:r>
              <w:rPr>
                <w:rFonts w:ascii="宋体"/>
                <w:sz w:val="18"/>
              </w:rPr>
              <w:t>-</w:t>
            </w:r>
          </w:p>
        </w:tc>
        <w:tc>
          <w:tcPr>
            <w:tcW w:w="1397" w:type="dxa"/>
            <w:tcBorders>
              <w:top w:val="nil" w:sz="6" w:space="0" w:color="auto"/>
              <w:left w:val="nil" w:sz="6" w:space="0" w:color="auto"/>
              <w:bottom w:val="nil" w:sz="6" w:space="0" w:color="auto"/>
              <w:right w:val="nil" w:sz="6" w:space="0" w:color="auto"/>
            </w:tcBorders>
          </w:tcPr>
          <w:p>
            <w:pPr>
              <w:pStyle w:val="TableParagraph"/>
              <w:spacing w:line="218" w:lineRule="exact"/>
              <w:ind w:right="28"/>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nil" w:sz="6" w:space="0" w:color="auto"/>
              <w:right w:val="nil" w:sz="6" w:space="0" w:color="auto"/>
            </w:tcBorders>
          </w:tcPr>
          <w:p>
            <w:pPr>
              <w:pStyle w:val="TableParagraph"/>
              <w:spacing w:line="218" w:lineRule="exact"/>
              <w:ind w:right="25"/>
              <w:jc w:val="right"/>
              <w:rPr>
                <w:rFonts w:ascii="宋体" w:hAnsi="宋体" w:cs="宋体" w:eastAsia="宋体" w:hint="default"/>
                <w:sz w:val="18"/>
                <w:szCs w:val="18"/>
              </w:rPr>
            </w:pPr>
            <w:r>
              <w:rPr>
                <w:rFonts w:ascii="宋体"/>
                <w:sz w:val="18"/>
              </w:rPr>
              <w:t>-</w:t>
            </w:r>
          </w:p>
        </w:tc>
        <w:tc>
          <w:tcPr>
            <w:tcW w:w="132" w:type="dxa"/>
            <w:tcBorders>
              <w:top w:val="nil" w:sz="6" w:space="0" w:color="auto"/>
              <w:left w:val="nil" w:sz="6" w:space="0" w:color="auto"/>
              <w:bottom w:val="nil" w:sz="6" w:space="0" w:color="auto"/>
              <w:right w:val="nil" w:sz="6" w:space="0" w:color="auto"/>
            </w:tcBorders>
          </w:tcPr>
          <w:p>
            <w:pPr/>
          </w:p>
        </w:tc>
        <w:tc>
          <w:tcPr>
            <w:tcW w:w="1145" w:type="dxa"/>
            <w:tcBorders>
              <w:top w:val="nil" w:sz="6" w:space="0" w:color="auto"/>
              <w:left w:val="nil" w:sz="6" w:space="0" w:color="auto"/>
              <w:bottom w:val="nil" w:sz="6" w:space="0" w:color="auto"/>
              <w:right w:val="nil" w:sz="6" w:space="0" w:color="auto"/>
            </w:tcBorders>
          </w:tcPr>
          <w:p>
            <w:pPr>
              <w:pStyle w:val="TableParagraph"/>
              <w:spacing w:line="218" w:lineRule="exact"/>
              <w:ind w:right="29"/>
              <w:jc w:val="right"/>
              <w:rPr>
                <w:rFonts w:ascii="宋体" w:hAnsi="宋体" w:cs="宋体" w:eastAsia="宋体" w:hint="default"/>
                <w:sz w:val="18"/>
                <w:szCs w:val="18"/>
              </w:rPr>
            </w:pPr>
            <w:r>
              <w:rPr>
                <w:rFonts w:ascii="宋体"/>
                <w:sz w:val="18"/>
              </w:rPr>
              <w:t>-</w:t>
            </w:r>
          </w:p>
        </w:tc>
        <w:tc>
          <w:tcPr>
            <w:tcW w:w="1558" w:type="dxa"/>
            <w:tcBorders>
              <w:top w:val="nil" w:sz="6" w:space="0" w:color="auto"/>
              <w:left w:val="nil" w:sz="6" w:space="0" w:color="auto"/>
              <w:bottom w:val="nil" w:sz="6" w:space="0" w:color="auto"/>
              <w:right w:val="nil" w:sz="6" w:space="0" w:color="auto"/>
            </w:tcBorders>
          </w:tcPr>
          <w:p>
            <w:pPr>
              <w:pStyle w:val="TableParagraph"/>
              <w:spacing w:line="218" w:lineRule="exact"/>
              <w:ind w:right="25"/>
              <w:jc w:val="right"/>
              <w:rPr>
                <w:rFonts w:ascii="宋体" w:hAnsi="宋体" w:cs="宋体" w:eastAsia="宋体" w:hint="default"/>
                <w:sz w:val="18"/>
                <w:szCs w:val="18"/>
              </w:rPr>
            </w:pPr>
            <w:r>
              <w:rPr>
                <w:rFonts w:ascii="宋体"/>
                <w:sz w:val="18"/>
              </w:rPr>
              <w:t>-</w:t>
            </w:r>
          </w:p>
        </w:tc>
      </w:tr>
      <w:tr>
        <w:trPr>
          <w:trHeight w:val="256" w:hRule="exact"/>
        </w:trPr>
        <w:tc>
          <w:tcPr>
            <w:tcW w:w="108" w:type="dxa"/>
            <w:tcBorders>
              <w:top w:val="nil" w:sz="6" w:space="0" w:color="auto"/>
              <w:left w:val="nil" w:sz="6" w:space="0" w:color="auto"/>
              <w:bottom w:val="nil" w:sz="6" w:space="0" w:color="auto"/>
              <w:right w:val="nil" w:sz="6" w:space="0" w:color="auto"/>
            </w:tcBorders>
          </w:tcPr>
          <w:p>
            <w:pPr/>
          </w:p>
        </w:tc>
        <w:tc>
          <w:tcPr>
            <w:tcW w:w="2621" w:type="dxa"/>
            <w:tcBorders>
              <w:top w:val="nil" w:sz="6" w:space="0" w:color="auto"/>
              <w:left w:val="nil" w:sz="6" w:space="0" w:color="auto"/>
              <w:bottom w:val="nil" w:sz="6" w:space="0" w:color="auto"/>
              <w:right w:val="nil" w:sz="6" w:space="0" w:color="auto"/>
            </w:tcBorders>
          </w:tcPr>
          <w:p>
            <w:pPr>
              <w:pStyle w:val="TableParagraph"/>
              <w:spacing w:line="216" w:lineRule="exact"/>
              <w:ind w:left="39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2431" w:type="dxa"/>
            <w:tcBorders>
              <w:top w:val="nil" w:sz="6" w:space="0" w:color="auto"/>
              <w:left w:val="nil" w:sz="6" w:space="0" w:color="auto"/>
              <w:bottom w:val="nil" w:sz="6" w:space="0" w:color="auto"/>
              <w:right w:val="nil" w:sz="6" w:space="0" w:color="auto"/>
            </w:tcBorders>
          </w:tcPr>
          <w:p>
            <w:pPr>
              <w:pStyle w:val="TableParagraph"/>
              <w:spacing w:line="218" w:lineRule="exact"/>
              <w:ind w:right="25"/>
              <w:jc w:val="right"/>
              <w:rPr>
                <w:rFonts w:ascii="宋体" w:hAnsi="宋体" w:cs="宋体" w:eastAsia="宋体" w:hint="default"/>
                <w:sz w:val="18"/>
                <w:szCs w:val="18"/>
              </w:rPr>
            </w:pPr>
            <w:r>
              <w:rPr>
                <w:rFonts w:ascii="宋体"/>
                <w:sz w:val="18"/>
              </w:rPr>
              <w:t>-</w:t>
            </w:r>
          </w:p>
        </w:tc>
        <w:tc>
          <w:tcPr>
            <w:tcW w:w="113" w:type="dxa"/>
            <w:tcBorders>
              <w:top w:val="nil" w:sz="6" w:space="0" w:color="auto"/>
              <w:left w:val="nil" w:sz="6" w:space="0" w:color="auto"/>
              <w:bottom w:val="nil" w:sz="6" w:space="0" w:color="auto"/>
              <w:right w:val="nil" w:sz="6" w:space="0" w:color="auto"/>
            </w:tcBorders>
          </w:tcPr>
          <w:p>
            <w:pPr/>
          </w:p>
        </w:tc>
        <w:tc>
          <w:tcPr>
            <w:tcW w:w="1586" w:type="dxa"/>
            <w:tcBorders>
              <w:top w:val="nil" w:sz="6" w:space="0" w:color="auto"/>
              <w:left w:val="nil" w:sz="6" w:space="0" w:color="auto"/>
              <w:bottom w:val="nil" w:sz="6" w:space="0" w:color="auto"/>
              <w:right w:val="nil" w:sz="6" w:space="0" w:color="auto"/>
            </w:tcBorders>
          </w:tcPr>
          <w:p>
            <w:pPr>
              <w:pStyle w:val="TableParagraph"/>
              <w:spacing w:line="218" w:lineRule="exact"/>
              <w:ind w:right="25"/>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883" w:type="dxa"/>
            <w:tcBorders>
              <w:top w:val="nil" w:sz="6" w:space="0" w:color="auto"/>
              <w:left w:val="nil" w:sz="6" w:space="0" w:color="auto"/>
              <w:bottom w:val="nil" w:sz="6" w:space="0" w:color="auto"/>
              <w:right w:val="nil" w:sz="6" w:space="0" w:color="auto"/>
            </w:tcBorders>
          </w:tcPr>
          <w:p>
            <w:pPr>
              <w:pStyle w:val="TableParagraph"/>
              <w:spacing w:line="218" w:lineRule="exact"/>
              <w:ind w:right="25"/>
              <w:jc w:val="right"/>
              <w:rPr>
                <w:rFonts w:ascii="宋体" w:hAnsi="宋体" w:cs="宋体" w:eastAsia="宋体" w:hint="default"/>
                <w:sz w:val="18"/>
                <w:szCs w:val="18"/>
              </w:rPr>
            </w:pPr>
            <w:r>
              <w:rPr>
                <w:rFonts w:ascii="宋体"/>
                <w:sz w:val="18"/>
              </w:rPr>
              <w:t>-</w:t>
            </w:r>
          </w:p>
        </w:tc>
        <w:tc>
          <w:tcPr>
            <w:tcW w:w="953" w:type="dxa"/>
            <w:tcBorders>
              <w:top w:val="nil" w:sz="6" w:space="0" w:color="auto"/>
              <w:left w:val="nil" w:sz="6" w:space="0" w:color="auto"/>
              <w:bottom w:val="nil" w:sz="6" w:space="0" w:color="auto"/>
              <w:right w:val="nil" w:sz="6" w:space="0" w:color="auto"/>
            </w:tcBorders>
          </w:tcPr>
          <w:p>
            <w:pPr>
              <w:pStyle w:val="TableParagraph"/>
              <w:spacing w:line="218" w:lineRule="exact"/>
              <w:ind w:right="29"/>
              <w:jc w:val="right"/>
              <w:rPr>
                <w:rFonts w:ascii="宋体" w:hAnsi="宋体" w:cs="宋体" w:eastAsia="宋体" w:hint="default"/>
                <w:sz w:val="18"/>
                <w:szCs w:val="18"/>
              </w:rPr>
            </w:pPr>
            <w:r>
              <w:rPr>
                <w:rFonts w:ascii="宋体"/>
                <w:sz w:val="18"/>
              </w:rPr>
              <w:t>-</w:t>
            </w:r>
          </w:p>
        </w:tc>
        <w:tc>
          <w:tcPr>
            <w:tcW w:w="144" w:type="dxa"/>
            <w:tcBorders>
              <w:top w:val="nil" w:sz="6" w:space="0" w:color="auto"/>
              <w:left w:val="nil" w:sz="6" w:space="0" w:color="auto"/>
              <w:bottom w:val="nil" w:sz="6" w:space="0" w:color="auto"/>
              <w:right w:val="nil" w:sz="6" w:space="0" w:color="auto"/>
            </w:tcBorders>
          </w:tcPr>
          <w:p>
            <w:pPr/>
          </w:p>
        </w:tc>
        <w:tc>
          <w:tcPr>
            <w:tcW w:w="1279" w:type="dxa"/>
            <w:tcBorders>
              <w:top w:val="nil" w:sz="6" w:space="0" w:color="auto"/>
              <w:left w:val="nil" w:sz="6" w:space="0" w:color="auto"/>
              <w:bottom w:val="nil" w:sz="6" w:space="0" w:color="auto"/>
              <w:right w:val="nil" w:sz="6" w:space="0" w:color="auto"/>
            </w:tcBorders>
          </w:tcPr>
          <w:p>
            <w:pPr>
              <w:pStyle w:val="TableParagraph"/>
              <w:spacing w:line="218" w:lineRule="exact"/>
              <w:ind w:right="25"/>
              <w:jc w:val="right"/>
              <w:rPr>
                <w:rFonts w:ascii="宋体" w:hAnsi="宋体" w:cs="宋体" w:eastAsia="宋体" w:hint="default"/>
                <w:sz w:val="18"/>
                <w:szCs w:val="18"/>
              </w:rPr>
            </w:pPr>
            <w:r>
              <w:rPr>
                <w:rFonts w:ascii="宋体"/>
                <w:sz w:val="18"/>
              </w:rPr>
              <w:t>-</w:t>
            </w:r>
          </w:p>
        </w:tc>
        <w:tc>
          <w:tcPr>
            <w:tcW w:w="1397" w:type="dxa"/>
            <w:tcBorders>
              <w:top w:val="nil" w:sz="6" w:space="0" w:color="auto"/>
              <w:left w:val="nil" w:sz="6" w:space="0" w:color="auto"/>
              <w:bottom w:val="nil" w:sz="6" w:space="0" w:color="auto"/>
              <w:right w:val="nil" w:sz="6" w:space="0" w:color="auto"/>
            </w:tcBorders>
          </w:tcPr>
          <w:p>
            <w:pPr>
              <w:pStyle w:val="TableParagraph"/>
              <w:spacing w:line="218" w:lineRule="exact"/>
              <w:ind w:right="28"/>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nil" w:sz="6" w:space="0" w:color="auto"/>
              <w:right w:val="nil" w:sz="6" w:space="0" w:color="auto"/>
            </w:tcBorders>
          </w:tcPr>
          <w:p>
            <w:pPr>
              <w:pStyle w:val="TableParagraph"/>
              <w:spacing w:line="218" w:lineRule="exact"/>
              <w:ind w:right="25"/>
              <w:jc w:val="right"/>
              <w:rPr>
                <w:rFonts w:ascii="宋体" w:hAnsi="宋体" w:cs="宋体" w:eastAsia="宋体" w:hint="default"/>
                <w:sz w:val="18"/>
                <w:szCs w:val="18"/>
              </w:rPr>
            </w:pPr>
            <w:r>
              <w:rPr>
                <w:rFonts w:ascii="宋体"/>
                <w:sz w:val="18"/>
              </w:rPr>
              <w:t>-</w:t>
            </w:r>
          </w:p>
        </w:tc>
        <w:tc>
          <w:tcPr>
            <w:tcW w:w="132" w:type="dxa"/>
            <w:tcBorders>
              <w:top w:val="nil" w:sz="6" w:space="0" w:color="auto"/>
              <w:left w:val="nil" w:sz="6" w:space="0" w:color="auto"/>
              <w:bottom w:val="nil" w:sz="6" w:space="0" w:color="auto"/>
              <w:right w:val="nil" w:sz="6" w:space="0" w:color="auto"/>
            </w:tcBorders>
          </w:tcPr>
          <w:p>
            <w:pPr/>
          </w:p>
        </w:tc>
        <w:tc>
          <w:tcPr>
            <w:tcW w:w="1145" w:type="dxa"/>
            <w:tcBorders>
              <w:top w:val="nil" w:sz="6" w:space="0" w:color="auto"/>
              <w:left w:val="nil" w:sz="6" w:space="0" w:color="auto"/>
              <w:bottom w:val="nil" w:sz="6" w:space="0" w:color="auto"/>
              <w:right w:val="nil" w:sz="6" w:space="0" w:color="auto"/>
            </w:tcBorders>
          </w:tcPr>
          <w:p>
            <w:pPr>
              <w:pStyle w:val="TableParagraph"/>
              <w:spacing w:line="218" w:lineRule="exact"/>
              <w:ind w:right="29"/>
              <w:jc w:val="right"/>
              <w:rPr>
                <w:rFonts w:ascii="宋体" w:hAnsi="宋体" w:cs="宋体" w:eastAsia="宋体" w:hint="default"/>
                <w:sz w:val="18"/>
                <w:szCs w:val="18"/>
              </w:rPr>
            </w:pPr>
            <w:r>
              <w:rPr>
                <w:rFonts w:ascii="宋体"/>
                <w:sz w:val="18"/>
              </w:rPr>
              <w:t>-</w:t>
            </w:r>
          </w:p>
        </w:tc>
        <w:tc>
          <w:tcPr>
            <w:tcW w:w="1558" w:type="dxa"/>
            <w:tcBorders>
              <w:top w:val="nil" w:sz="6" w:space="0" w:color="auto"/>
              <w:left w:val="nil" w:sz="6" w:space="0" w:color="auto"/>
              <w:bottom w:val="nil" w:sz="6" w:space="0" w:color="auto"/>
              <w:right w:val="nil" w:sz="6" w:space="0" w:color="auto"/>
            </w:tcBorders>
          </w:tcPr>
          <w:p>
            <w:pPr>
              <w:pStyle w:val="TableParagraph"/>
              <w:spacing w:line="218" w:lineRule="exact"/>
              <w:ind w:right="25"/>
              <w:jc w:val="right"/>
              <w:rPr>
                <w:rFonts w:ascii="宋体" w:hAnsi="宋体" w:cs="宋体" w:eastAsia="宋体" w:hint="default"/>
                <w:sz w:val="18"/>
                <w:szCs w:val="18"/>
              </w:rPr>
            </w:pPr>
            <w:r>
              <w:rPr>
                <w:rFonts w:ascii="宋体"/>
                <w:sz w:val="18"/>
              </w:rPr>
              <w:t>-</w:t>
            </w:r>
          </w:p>
        </w:tc>
      </w:tr>
      <w:tr>
        <w:trPr>
          <w:trHeight w:val="256" w:hRule="exact"/>
        </w:trPr>
        <w:tc>
          <w:tcPr>
            <w:tcW w:w="108" w:type="dxa"/>
            <w:tcBorders>
              <w:top w:val="nil" w:sz="6" w:space="0" w:color="auto"/>
              <w:left w:val="nil" w:sz="6" w:space="0" w:color="auto"/>
              <w:bottom w:val="nil" w:sz="6" w:space="0" w:color="auto"/>
              <w:right w:val="nil" w:sz="6" w:space="0" w:color="auto"/>
            </w:tcBorders>
          </w:tcPr>
          <w:p>
            <w:pPr/>
          </w:p>
        </w:tc>
        <w:tc>
          <w:tcPr>
            <w:tcW w:w="2621" w:type="dxa"/>
            <w:tcBorders>
              <w:top w:val="nil" w:sz="6" w:space="0" w:color="auto"/>
              <w:left w:val="nil" w:sz="6" w:space="0" w:color="auto"/>
              <w:bottom w:val="nil" w:sz="6" w:space="0" w:color="auto"/>
              <w:right w:val="nil" w:sz="6" w:space="0" w:color="auto"/>
            </w:tcBorders>
          </w:tcPr>
          <w:p>
            <w:pPr>
              <w:pStyle w:val="TableParagraph"/>
              <w:spacing w:line="217" w:lineRule="exact"/>
              <w:ind w:left="28"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2431" w:type="dxa"/>
            <w:tcBorders>
              <w:top w:val="nil" w:sz="6" w:space="0" w:color="auto"/>
              <w:left w:val="nil" w:sz="6" w:space="0" w:color="auto"/>
              <w:bottom w:val="nil" w:sz="6" w:space="0" w:color="auto"/>
              <w:right w:val="nil" w:sz="6" w:space="0" w:color="auto"/>
            </w:tcBorders>
          </w:tcPr>
          <w:p>
            <w:pPr>
              <w:pStyle w:val="TableParagraph"/>
              <w:spacing w:line="220" w:lineRule="exact"/>
              <w:ind w:right="25"/>
              <w:jc w:val="right"/>
              <w:rPr>
                <w:rFonts w:ascii="宋体" w:hAnsi="宋体" w:cs="宋体" w:eastAsia="宋体" w:hint="default"/>
                <w:sz w:val="18"/>
                <w:szCs w:val="18"/>
              </w:rPr>
            </w:pPr>
            <w:r>
              <w:rPr>
                <w:rFonts w:ascii="宋体"/>
                <w:sz w:val="18"/>
              </w:rPr>
              <w:t>-</w:t>
            </w:r>
          </w:p>
        </w:tc>
        <w:tc>
          <w:tcPr>
            <w:tcW w:w="113" w:type="dxa"/>
            <w:tcBorders>
              <w:top w:val="nil" w:sz="6" w:space="0" w:color="auto"/>
              <w:left w:val="nil" w:sz="6" w:space="0" w:color="auto"/>
              <w:bottom w:val="nil" w:sz="6" w:space="0" w:color="auto"/>
              <w:right w:val="nil" w:sz="6" w:space="0" w:color="auto"/>
            </w:tcBorders>
          </w:tcPr>
          <w:p>
            <w:pPr/>
          </w:p>
        </w:tc>
        <w:tc>
          <w:tcPr>
            <w:tcW w:w="1586" w:type="dxa"/>
            <w:tcBorders>
              <w:top w:val="nil" w:sz="6" w:space="0" w:color="auto"/>
              <w:left w:val="nil" w:sz="6" w:space="0" w:color="auto"/>
              <w:bottom w:val="nil" w:sz="6" w:space="0" w:color="auto"/>
              <w:right w:val="nil" w:sz="6" w:space="0" w:color="auto"/>
            </w:tcBorders>
          </w:tcPr>
          <w:p>
            <w:pPr>
              <w:pStyle w:val="TableParagraph"/>
              <w:spacing w:line="220" w:lineRule="exact"/>
              <w:ind w:right="25"/>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883" w:type="dxa"/>
            <w:tcBorders>
              <w:top w:val="nil" w:sz="6" w:space="0" w:color="auto"/>
              <w:left w:val="nil" w:sz="6" w:space="0" w:color="auto"/>
              <w:bottom w:val="nil" w:sz="6" w:space="0" w:color="auto"/>
              <w:right w:val="nil" w:sz="6" w:space="0" w:color="auto"/>
            </w:tcBorders>
          </w:tcPr>
          <w:p>
            <w:pPr>
              <w:pStyle w:val="TableParagraph"/>
              <w:spacing w:line="220" w:lineRule="exact"/>
              <w:ind w:right="25"/>
              <w:jc w:val="right"/>
              <w:rPr>
                <w:rFonts w:ascii="宋体" w:hAnsi="宋体" w:cs="宋体" w:eastAsia="宋体" w:hint="default"/>
                <w:sz w:val="18"/>
                <w:szCs w:val="18"/>
              </w:rPr>
            </w:pPr>
            <w:r>
              <w:rPr>
                <w:rFonts w:ascii="宋体"/>
                <w:sz w:val="18"/>
              </w:rPr>
              <w:t>-</w:t>
            </w:r>
          </w:p>
        </w:tc>
        <w:tc>
          <w:tcPr>
            <w:tcW w:w="953" w:type="dxa"/>
            <w:tcBorders>
              <w:top w:val="nil" w:sz="6" w:space="0" w:color="auto"/>
              <w:left w:val="nil" w:sz="6" w:space="0" w:color="auto"/>
              <w:bottom w:val="nil" w:sz="6" w:space="0" w:color="auto"/>
              <w:right w:val="nil" w:sz="6" w:space="0" w:color="auto"/>
            </w:tcBorders>
          </w:tcPr>
          <w:p>
            <w:pPr>
              <w:pStyle w:val="TableParagraph"/>
              <w:spacing w:line="220" w:lineRule="exact"/>
              <w:ind w:right="29"/>
              <w:jc w:val="right"/>
              <w:rPr>
                <w:rFonts w:ascii="宋体" w:hAnsi="宋体" w:cs="宋体" w:eastAsia="宋体" w:hint="default"/>
                <w:sz w:val="18"/>
                <w:szCs w:val="18"/>
              </w:rPr>
            </w:pPr>
            <w:r>
              <w:rPr>
                <w:rFonts w:ascii="宋体"/>
                <w:sz w:val="18"/>
              </w:rPr>
              <w:t>-</w:t>
            </w:r>
          </w:p>
        </w:tc>
        <w:tc>
          <w:tcPr>
            <w:tcW w:w="144" w:type="dxa"/>
            <w:tcBorders>
              <w:top w:val="nil" w:sz="6" w:space="0" w:color="auto"/>
              <w:left w:val="nil" w:sz="6" w:space="0" w:color="auto"/>
              <w:bottom w:val="nil" w:sz="6" w:space="0" w:color="auto"/>
              <w:right w:val="nil" w:sz="6" w:space="0" w:color="auto"/>
            </w:tcBorders>
          </w:tcPr>
          <w:p>
            <w:pPr/>
          </w:p>
        </w:tc>
        <w:tc>
          <w:tcPr>
            <w:tcW w:w="1279" w:type="dxa"/>
            <w:tcBorders>
              <w:top w:val="nil" w:sz="6" w:space="0" w:color="auto"/>
              <w:left w:val="nil" w:sz="6" w:space="0" w:color="auto"/>
              <w:bottom w:val="nil" w:sz="6" w:space="0" w:color="auto"/>
              <w:right w:val="nil" w:sz="6" w:space="0" w:color="auto"/>
            </w:tcBorders>
          </w:tcPr>
          <w:p>
            <w:pPr>
              <w:pStyle w:val="TableParagraph"/>
              <w:spacing w:line="220" w:lineRule="exact"/>
              <w:ind w:right="25"/>
              <w:jc w:val="right"/>
              <w:rPr>
                <w:rFonts w:ascii="宋体" w:hAnsi="宋体" w:cs="宋体" w:eastAsia="宋体" w:hint="default"/>
                <w:sz w:val="18"/>
                <w:szCs w:val="18"/>
              </w:rPr>
            </w:pPr>
            <w:r>
              <w:rPr>
                <w:rFonts w:ascii="宋体"/>
                <w:sz w:val="18"/>
              </w:rPr>
              <w:t>-</w:t>
            </w:r>
          </w:p>
        </w:tc>
        <w:tc>
          <w:tcPr>
            <w:tcW w:w="1397" w:type="dxa"/>
            <w:tcBorders>
              <w:top w:val="nil" w:sz="6" w:space="0" w:color="auto"/>
              <w:left w:val="nil" w:sz="6" w:space="0" w:color="auto"/>
              <w:bottom w:val="nil" w:sz="6" w:space="0" w:color="auto"/>
              <w:right w:val="nil" w:sz="6" w:space="0" w:color="auto"/>
            </w:tcBorders>
          </w:tcPr>
          <w:p>
            <w:pPr>
              <w:pStyle w:val="TableParagraph"/>
              <w:spacing w:line="220" w:lineRule="exact"/>
              <w:ind w:right="28"/>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nil" w:sz="6" w:space="0" w:color="auto"/>
              <w:right w:val="nil" w:sz="6" w:space="0" w:color="auto"/>
            </w:tcBorders>
          </w:tcPr>
          <w:p>
            <w:pPr>
              <w:pStyle w:val="TableParagraph"/>
              <w:spacing w:line="220" w:lineRule="exact"/>
              <w:ind w:right="25"/>
              <w:jc w:val="right"/>
              <w:rPr>
                <w:rFonts w:ascii="宋体" w:hAnsi="宋体" w:cs="宋体" w:eastAsia="宋体" w:hint="default"/>
                <w:sz w:val="18"/>
                <w:szCs w:val="18"/>
              </w:rPr>
            </w:pPr>
            <w:r>
              <w:rPr>
                <w:rFonts w:ascii="宋体"/>
                <w:sz w:val="18"/>
              </w:rPr>
              <w:t>-</w:t>
            </w:r>
          </w:p>
        </w:tc>
        <w:tc>
          <w:tcPr>
            <w:tcW w:w="132" w:type="dxa"/>
            <w:tcBorders>
              <w:top w:val="nil" w:sz="6" w:space="0" w:color="auto"/>
              <w:left w:val="nil" w:sz="6" w:space="0" w:color="auto"/>
              <w:bottom w:val="nil" w:sz="6" w:space="0" w:color="auto"/>
              <w:right w:val="nil" w:sz="6" w:space="0" w:color="auto"/>
            </w:tcBorders>
          </w:tcPr>
          <w:p>
            <w:pPr/>
          </w:p>
        </w:tc>
        <w:tc>
          <w:tcPr>
            <w:tcW w:w="1145" w:type="dxa"/>
            <w:tcBorders>
              <w:top w:val="nil" w:sz="6" w:space="0" w:color="auto"/>
              <w:left w:val="nil" w:sz="6" w:space="0" w:color="auto"/>
              <w:bottom w:val="nil" w:sz="6" w:space="0" w:color="auto"/>
              <w:right w:val="nil" w:sz="6" w:space="0" w:color="auto"/>
            </w:tcBorders>
          </w:tcPr>
          <w:p>
            <w:pPr>
              <w:pStyle w:val="TableParagraph"/>
              <w:spacing w:line="220" w:lineRule="exact"/>
              <w:ind w:right="29"/>
              <w:jc w:val="right"/>
              <w:rPr>
                <w:rFonts w:ascii="宋体" w:hAnsi="宋体" w:cs="宋体" w:eastAsia="宋体" w:hint="default"/>
                <w:sz w:val="18"/>
                <w:szCs w:val="18"/>
              </w:rPr>
            </w:pPr>
            <w:r>
              <w:rPr>
                <w:rFonts w:ascii="宋体"/>
                <w:sz w:val="18"/>
              </w:rPr>
              <w:t>-</w:t>
            </w:r>
          </w:p>
        </w:tc>
        <w:tc>
          <w:tcPr>
            <w:tcW w:w="1558" w:type="dxa"/>
            <w:tcBorders>
              <w:top w:val="nil" w:sz="6" w:space="0" w:color="auto"/>
              <w:left w:val="nil" w:sz="6" w:space="0" w:color="auto"/>
              <w:bottom w:val="nil" w:sz="6" w:space="0" w:color="auto"/>
              <w:right w:val="nil" w:sz="6" w:space="0" w:color="auto"/>
            </w:tcBorders>
          </w:tcPr>
          <w:p>
            <w:pPr>
              <w:pStyle w:val="TableParagraph"/>
              <w:spacing w:line="220" w:lineRule="exact"/>
              <w:ind w:right="25"/>
              <w:jc w:val="right"/>
              <w:rPr>
                <w:rFonts w:ascii="宋体" w:hAnsi="宋体" w:cs="宋体" w:eastAsia="宋体" w:hint="default"/>
                <w:sz w:val="18"/>
                <w:szCs w:val="18"/>
              </w:rPr>
            </w:pPr>
            <w:r>
              <w:rPr>
                <w:rFonts w:ascii="宋体"/>
                <w:sz w:val="18"/>
              </w:rPr>
              <w:t>-</w:t>
            </w:r>
          </w:p>
        </w:tc>
      </w:tr>
      <w:tr>
        <w:trPr>
          <w:trHeight w:val="254" w:hRule="exact"/>
        </w:trPr>
        <w:tc>
          <w:tcPr>
            <w:tcW w:w="108" w:type="dxa"/>
            <w:tcBorders>
              <w:top w:val="nil" w:sz="6" w:space="0" w:color="auto"/>
              <w:left w:val="nil" w:sz="6" w:space="0" w:color="auto"/>
              <w:bottom w:val="nil" w:sz="6" w:space="0" w:color="auto"/>
              <w:right w:val="nil" w:sz="6" w:space="0" w:color="auto"/>
            </w:tcBorders>
          </w:tcPr>
          <w:p>
            <w:pPr/>
          </w:p>
        </w:tc>
        <w:tc>
          <w:tcPr>
            <w:tcW w:w="2621" w:type="dxa"/>
            <w:tcBorders>
              <w:top w:val="nil" w:sz="6" w:space="0" w:color="auto"/>
              <w:left w:val="nil" w:sz="6" w:space="0" w:color="auto"/>
              <w:bottom w:val="nil" w:sz="6" w:space="0" w:color="auto"/>
              <w:right w:val="nil" w:sz="6" w:space="0" w:color="auto"/>
            </w:tcBorders>
          </w:tcPr>
          <w:p>
            <w:pPr>
              <w:pStyle w:val="TableParagraph"/>
              <w:spacing w:line="216" w:lineRule="exact"/>
              <w:ind w:left="39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．提取专项储备</w:t>
            </w:r>
          </w:p>
        </w:tc>
        <w:tc>
          <w:tcPr>
            <w:tcW w:w="2431" w:type="dxa"/>
            <w:tcBorders>
              <w:top w:val="nil" w:sz="6" w:space="0" w:color="auto"/>
              <w:left w:val="nil" w:sz="6" w:space="0" w:color="auto"/>
              <w:bottom w:val="nil" w:sz="6" w:space="0" w:color="auto"/>
              <w:right w:val="nil" w:sz="6" w:space="0" w:color="auto"/>
            </w:tcBorders>
          </w:tcPr>
          <w:p>
            <w:pPr>
              <w:pStyle w:val="TableParagraph"/>
              <w:spacing w:line="218" w:lineRule="exact"/>
              <w:ind w:right="25"/>
              <w:jc w:val="right"/>
              <w:rPr>
                <w:rFonts w:ascii="宋体" w:hAnsi="宋体" w:cs="宋体" w:eastAsia="宋体" w:hint="default"/>
                <w:sz w:val="18"/>
                <w:szCs w:val="18"/>
              </w:rPr>
            </w:pPr>
            <w:r>
              <w:rPr>
                <w:rFonts w:ascii="宋体"/>
                <w:sz w:val="18"/>
              </w:rPr>
              <w:t>-</w:t>
            </w:r>
          </w:p>
        </w:tc>
        <w:tc>
          <w:tcPr>
            <w:tcW w:w="113" w:type="dxa"/>
            <w:tcBorders>
              <w:top w:val="nil" w:sz="6" w:space="0" w:color="auto"/>
              <w:left w:val="nil" w:sz="6" w:space="0" w:color="auto"/>
              <w:bottom w:val="nil" w:sz="6" w:space="0" w:color="auto"/>
              <w:right w:val="nil" w:sz="6" w:space="0" w:color="auto"/>
            </w:tcBorders>
          </w:tcPr>
          <w:p>
            <w:pPr/>
          </w:p>
        </w:tc>
        <w:tc>
          <w:tcPr>
            <w:tcW w:w="1586" w:type="dxa"/>
            <w:tcBorders>
              <w:top w:val="nil" w:sz="6" w:space="0" w:color="auto"/>
              <w:left w:val="nil" w:sz="6" w:space="0" w:color="auto"/>
              <w:bottom w:val="nil" w:sz="6" w:space="0" w:color="auto"/>
              <w:right w:val="nil" w:sz="6" w:space="0" w:color="auto"/>
            </w:tcBorders>
          </w:tcPr>
          <w:p>
            <w:pPr>
              <w:pStyle w:val="TableParagraph"/>
              <w:spacing w:line="218" w:lineRule="exact"/>
              <w:ind w:right="25"/>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883" w:type="dxa"/>
            <w:tcBorders>
              <w:top w:val="nil" w:sz="6" w:space="0" w:color="auto"/>
              <w:left w:val="nil" w:sz="6" w:space="0" w:color="auto"/>
              <w:bottom w:val="nil" w:sz="6" w:space="0" w:color="auto"/>
              <w:right w:val="nil" w:sz="6" w:space="0" w:color="auto"/>
            </w:tcBorders>
          </w:tcPr>
          <w:p>
            <w:pPr>
              <w:pStyle w:val="TableParagraph"/>
              <w:spacing w:line="218" w:lineRule="exact"/>
              <w:ind w:right="25"/>
              <w:jc w:val="right"/>
              <w:rPr>
                <w:rFonts w:ascii="宋体" w:hAnsi="宋体" w:cs="宋体" w:eastAsia="宋体" w:hint="default"/>
                <w:sz w:val="18"/>
                <w:szCs w:val="18"/>
              </w:rPr>
            </w:pPr>
            <w:r>
              <w:rPr>
                <w:rFonts w:ascii="宋体"/>
                <w:sz w:val="18"/>
              </w:rPr>
              <w:t>-</w:t>
            </w:r>
          </w:p>
        </w:tc>
        <w:tc>
          <w:tcPr>
            <w:tcW w:w="953" w:type="dxa"/>
            <w:tcBorders>
              <w:top w:val="nil" w:sz="6" w:space="0" w:color="auto"/>
              <w:left w:val="nil" w:sz="6" w:space="0" w:color="auto"/>
              <w:bottom w:val="nil" w:sz="6" w:space="0" w:color="auto"/>
              <w:right w:val="nil" w:sz="6" w:space="0" w:color="auto"/>
            </w:tcBorders>
          </w:tcPr>
          <w:p>
            <w:pPr>
              <w:pStyle w:val="TableParagraph"/>
              <w:spacing w:line="218" w:lineRule="exact"/>
              <w:ind w:right="29"/>
              <w:jc w:val="right"/>
              <w:rPr>
                <w:rFonts w:ascii="宋体" w:hAnsi="宋体" w:cs="宋体" w:eastAsia="宋体" w:hint="default"/>
                <w:sz w:val="18"/>
                <w:szCs w:val="18"/>
              </w:rPr>
            </w:pPr>
            <w:r>
              <w:rPr>
                <w:rFonts w:ascii="宋体"/>
                <w:sz w:val="18"/>
              </w:rPr>
              <w:t>-</w:t>
            </w:r>
          </w:p>
        </w:tc>
        <w:tc>
          <w:tcPr>
            <w:tcW w:w="144" w:type="dxa"/>
            <w:tcBorders>
              <w:top w:val="nil" w:sz="6" w:space="0" w:color="auto"/>
              <w:left w:val="nil" w:sz="6" w:space="0" w:color="auto"/>
              <w:bottom w:val="nil" w:sz="6" w:space="0" w:color="auto"/>
              <w:right w:val="nil" w:sz="6" w:space="0" w:color="auto"/>
            </w:tcBorders>
          </w:tcPr>
          <w:p>
            <w:pPr/>
          </w:p>
        </w:tc>
        <w:tc>
          <w:tcPr>
            <w:tcW w:w="1279" w:type="dxa"/>
            <w:tcBorders>
              <w:top w:val="nil" w:sz="6" w:space="0" w:color="auto"/>
              <w:left w:val="nil" w:sz="6" w:space="0" w:color="auto"/>
              <w:bottom w:val="nil" w:sz="6" w:space="0" w:color="auto"/>
              <w:right w:val="nil" w:sz="6" w:space="0" w:color="auto"/>
            </w:tcBorders>
          </w:tcPr>
          <w:p>
            <w:pPr>
              <w:pStyle w:val="TableParagraph"/>
              <w:spacing w:line="218" w:lineRule="exact"/>
              <w:ind w:right="25"/>
              <w:jc w:val="right"/>
              <w:rPr>
                <w:rFonts w:ascii="宋体" w:hAnsi="宋体" w:cs="宋体" w:eastAsia="宋体" w:hint="default"/>
                <w:sz w:val="18"/>
                <w:szCs w:val="18"/>
              </w:rPr>
            </w:pPr>
            <w:r>
              <w:rPr>
                <w:rFonts w:ascii="宋体"/>
                <w:sz w:val="18"/>
              </w:rPr>
              <w:t>-</w:t>
            </w:r>
          </w:p>
        </w:tc>
        <w:tc>
          <w:tcPr>
            <w:tcW w:w="1397" w:type="dxa"/>
            <w:tcBorders>
              <w:top w:val="nil" w:sz="6" w:space="0" w:color="auto"/>
              <w:left w:val="nil" w:sz="6" w:space="0" w:color="auto"/>
              <w:bottom w:val="nil" w:sz="6" w:space="0" w:color="auto"/>
              <w:right w:val="nil" w:sz="6" w:space="0" w:color="auto"/>
            </w:tcBorders>
          </w:tcPr>
          <w:p>
            <w:pPr>
              <w:pStyle w:val="TableParagraph"/>
              <w:spacing w:line="218" w:lineRule="exact"/>
              <w:ind w:right="28"/>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nil" w:sz="6" w:space="0" w:color="auto"/>
              <w:right w:val="nil" w:sz="6" w:space="0" w:color="auto"/>
            </w:tcBorders>
          </w:tcPr>
          <w:p>
            <w:pPr>
              <w:pStyle w:val="TableParagraph"/>
              <w:spacing w:line="218" w:lineRule="exact"/>
              <w:ind w:right="25"/>
              <w:jc w:val="right"/>
              <w:rPr>
                <w:rFonts w:ascii="宋体" w:hAnsi="宋体" w:cs="宋体" w:eastAsia="宋体" w:hint="default"/>
                <w:sz w:val="18"/>
                <w:szCs w:val="18"/>
              </w:rPr>
            </w:pPr>
            <w:r>
              <w:rPr>
                <w:rFonts w:ascii="宋体"/>
                <w:sz w:val="18"/>
              </w:rPr>
              <w:t>-</w:t>
            </w:r>
          </w:p>
        </w:tc>
        <w:tc>
          <w:tcPr>
            <w:tcW w:w="132" w:type="dxa"/>
            <w:tcBorders>
              <w:top w:val="nil" w:sz="6" w:space="0" w:color="auto"/>
              <w:left w:val="nil" w:sz="6" w:space="0" w:color="auto"/>
              <w:bottom w:val="nil" w:sz="6" w:space="0" w:color="auto"/>
              <w:right w:val="nil" w:sz="6" w:space="0" w:color="auto"/>
            </w:tcBorders>
          </w:tcPr>
          <w:p>
            <w:pPr/>
          </w:p>
        </w:tc>
        <w:tc>
          <w:tcPr>
            <w:tcW w:w="1145" w:type="dxa"/>
            <w:tcBorders>
              <w:top w:val="nil" w:sz="6" w:space="0" w:color="auto"/>
              <w:left w:val="nil" w:sz="6" w:space="0" w:color="auto"/>
              <w:bottom w:val="nil" w:sz="6" w:space="0" w:color="auto"/>
              <w:right w:val="nil" w:sz="6" w:space="0" w:color="auto"/>
            </w:tcBorders>
          </w:tcPr>
          <w:p>
            <w:pPr>
              <w:pStyle w:val="TableParagraph"/>
              <w:spacing w:line="218" w:lineRule="exact"/>
              <w:ind w:right="29"/>
              <w:jc w:val="right"/>
              <w:rPr>
                <w:rFonts w:ascii="宋体" w:hAnsi="宋体" w:cs="宋体" w:eastAsia="宋体" w:hint="default"/>
                <w:sz w:val="18"/>
                <w:szCs w:val="18"/>
              </w:rPr>
            </w:pPr>
            <w:r>
              <w:rPr>
                <w:rFonts w:ascii="宋体"/>
                <w:sz w:val="18"/>
              </w:rPr>
              <w:t>-</w:t>
            </w:r>
          </w:p>
        </w:tc>
        <w:tc>
          <w:tcPr>
            <w:tcW w:w="1558" w:type="dxa"/>
            <w:tcBorders>
              <w:top w:val="nil" w:sz="6" w:space="0" w:color="auto"/>
              <w:left w:val="nil" w:sz="6" w:space="0" w:color="auto"/>
              <w:bottom w:val="nil" w:sz="6" w:space="0" w:color="auto"/>
              <w:right w:val="nil" w:sz="6" w:space="0" w:color="auto"/>
            </w:tcBorders>
          </w:tcPr>
          <w:p>
            <w:pPr>
              <w:pStyle w:val="TableParagraph"/>
              <w:spacing w:line="218" w:lineRule="exact"/>
              <w:ind w:right="25"/>
              <w:jc w:val="right"/>
              <w:rPr>
                <w:rFonts w:ascii="宋体" w:hAnsi="宋体" w:cs="宋体" w:eastAsia="宋体" w:hint="default"/>
                <w:sz w:val="18"/>
                <w:szCs w:val="18"/>
              </w:rPr>
            </w:pPr>
            <w:r>
              <w:rPr>
                <w:rFonts w:ascii="宋体"/>
                <w:sz w:val="18"/>
              </w:rPr>
              <w:t>-</w:t>
            </w:r>
          </w:p>
        </w:tc>
      </w:tr>
      <w:tr>
        <w:trPr>
          <w:trHeight w:val="254" w:hRule="exact"/>
        </w:trPr>
        <w:tc>
          <w:tcPr>
            <w:tcW w:w="108" w:type="dxa"/>
            <w:tcBorders>
              <w:top w:val="nil" w:sz="6" w:space="0" w:color="auto"/>
              <w:left w:val="nil" w:sz="6" w:space="0" w:color="auto"/>
              <w:bottom w:val="nil" w:sz="6" w:space="0" w:color="auto"/>
              <w:right w:val="nil" w:sz="6" w:space="0" w:color="auto"/>
            </w:tcBorders>
          </w:tcPr>
          <w:p>
            <w:pPr/>
          </w:p>
        </w:tc>
        <w:tc>
          <w:tcPr>
            <w:tcW w:w="2621" w:type="dxa"/>
            <w:tcBorders>
              <w:top w:val="nil" w:sz="6" w:space="0" w:color="auto"/>
              <w:left w:val="nil" w:sz="6" w:space="0" w:color="auto"/>
              <w:bottom w:val="nil" w:sz="6" w:space="0" w:color="auto"/>
              <w:right w:val="nil" w:sz="6" w:space="0" w:color="auto"/>
            </w:tcBorders>
          </w:tcPr>
          <w:p>
            <w:pPr>
              <w:pStyle w:val="TableParagraph"/>
              <w:spacing w:line="216" w:lineRule="exact"/>
              <w:ind w:left="39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．使用专项储备</w:t>
            </w:r>
          </w:p>
        </w:tc>
        <w:tc>
          <w:tcPr>
            <w:tcW w:w="2431" w:type="dxa"/>
            <w:tcBorders>
              <w:top w:val="nil" w:sz="6" w:space="0" w:color="auto"/>
              <w:left w:val="nil" w:sz="6" w:space="0" w:color="auto"/>
              <w:bottom w:val="nil" w:sz="6" w:space="0" w:color="auto"/>
              <w:right w:val="nil" w:sz="6" w:space="0" w:color="auto"/>
            </w:tcBorders>
          </w:tcPr>
          <w:p>
            <w:pPr>
              <w:pStyle w:val="TableParagraph"/>
              <w:spacing w:line="218" w:lineRule="exact"/>
              <w:ind w:right="25"/>
              <w:jc w:val="right"/>
              <w:rPr>
                <w:rFonts w:ascii="宋体" w:hAnsi="宋体" w:cs="宋体" w:eastAsia="宋体" w:hint="default"/>
                <w:sz w:val="18"/>
                <w:szCs w:val="18"/>
              </w:rPr>
            </w:pPr>
            <w:r>
              <w:rPr>
                <w:rFonts w:ascii="宋体"/>
                <w:sz w:val="18"/>
              </w:rPr>
              <w:t>-</w:t>
            </w:r>
          </w:p>
        </w:tc>
        <w:tc>
          <w:tcPr>
            <w:tcW w:w="113" w:type="dxa"/>
            <w:tcBorders>
              <w:top w:val="nil" w:sz="6" w:space="0" w:color="auto"/>
              <w:left w:val="nil" w:sz="6" w:space="0" w:color="auto"/>
              <w:bottom w:val="nil" w:sz="6" w:space="0" w:color="auto"/>
              <w:right w:val="nil" w:sz="6" w:space="0" w:color="auto"/>
            </w:tcBorders>
          </w:tcPr>
          <w:p>
            <w:pPr/>
          </w:p>
        </w:tc>
        <w:tc>
          <w:tcPr>
            <w:tcW w:w="1586" w:type="dxa"/>
            <w:tcBorders>
              <w:top w:val="nil" w:sz="6" w:space="0" w:color="auto"/>
              <w:left w:val="nil" w:sz="6" w:space="0" w:color="auto"/>
              <w:bottom w:val="nil" w:sz="6" w:space="0" w:color="auto"/>
              <w:right w:val="nil" w:sz="6" w:space="0" w:color="auto"/>
            </w:tcBorders>
          </w:tcPr>
          <w:p>
            <w:pPr>
              <w:pStyle w:val="TableParagraph"/>
              <w:spacing w:line="218" w:lineRule="exact"/>
              <w:ind w:right="25"/>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883" w:type="dxa"/>
            <w:tcBorders>
              <w:top w:val="nil" w:sz="6" w:space="0" w:color="auto"/>
              <w:left w:val="nil" w:sz="6" w:space="0" w:color="auto"/>
              <w:bottom w:val="nil" w:sz="6" w:space="0" w:color="auto"/>
              <w:right w:val="nil" w:sz="6" w:space="0" w:color="auto"/>
            </w:tcBorders>
          </w:tcPr>
          <w:p>
            <w:pPr>
              <w:pStyle w:val="TableParagraph"/>
              <w:spacing w:line="218" w:lineRule="exact"/>
              <w:ind w:right="25"/>
              <w:jc w:val="right"/>
              <w:rPr>
                <w:rFonts w:ascii="宋体" w:hAnsi="宋体" w:cs="宋体" w:eastAsia="宋体" w:hint="default"/>
                <w:sz w:val="18"/>
                <w:szCs w:val="18"/>
              </w:rPr>
            </w:pPr>
            <w:r>
              <w:rPr>
                <w:rFonts w:ascii="宋体"/>
                <w:sz w:val="18"/>
              </w:rPr>
              <w:t>-</w:t>
            </w:r>
          </w:p>
        </w:tc>
        <w:tc>
          <w:tcPr>
            <w:tcW w:w="953" w:type="dxa"/>
            <w:tcBorders>
              <w:top w:val="nil" w:sz="6" w:space="0" w:color="auto"/>
              <w:left w:val="nil" w:sz="6" w:space="0" w:color="auto"/>
              <w:bottom w:val="nil" w:sz="6" w:space="0" w:color="auto"/>
              <w:right w:val="nil" w:sz="6" w:space="0" w:color="auto"/>
            </w:tcBorders>
          </w:tcPr>
          <w:p>
            <w:pPr>
              <w:pStyle w:val="TableParagraph"/>
              <w:spacing w:line="218" w:lineRule="exact"/>
              <w:ind w:right="29"/>
              <w:jc w:val="right"/>
              <w:rPr>
                <w:rFonts w:ascii="宋体" w:hAnsi="宋体" w:cs="宋体" w:eastAsia="宋体" w:hint="default"/>
                <w:sz w:val="18"/>
                <w:szCs w:val="18"/>
              </w:rPr>
            </w:pPr>
            <w:r>
              <w:rPr>
                <w:rFonts w:ascii="宋体"/>
                <w:sz w:val="18"/>
              </w:rPr>
              <w:t>-</w:t>
            </w:r>
          </w:p>
        </w:tc>
        <w:tc>
          <w:tcPr>
            <w:tcW w:w="144" w:type="dxa"/>
            <w:tcBorders>
              <w:top w:val="nil" w:sz="6" w:space="0" w:color="auto"/>
              <w:left w:val="nil" w:sz="6" w:space="0" w:color="auto"/>
              <w:bottom w:val="nil" w:sz="6" w:space="0" w:color="auto"/>
              <w:right w:val="nil" w:sz="6" w:space="0" w:color="auto"/>
            </w:tcBorders>
          </w:tcPr>
          <w:p>
            <w:pPr/>
          </w:p>
        </w:tc>
        <w:tc>
          <w:tcPr>
            <w:tcW w:w="1279" w:type="dxa"/>
            <w:tcBorders>
              <w:top w:val="nil" w:sz="6" w:space="0" w:color="auto"/>
              <w:left w:val="nil" w:sz="6" w:space="0" w:color="auto"/>
              <w:bottom w:val="nil" w:sz="6" w:space="0" w:color="auto"/>
              <w:right w:val="nil" w:sz="6" w:space="0" w:color="auto"/>
            </w:tcBorders>
          </w:tcPr>
          <w:p>
            <w:pPr>
              <w:pStyle w:val="TableParagraph"/>
              <w:spacing w:line="218" w:lineRule="exact"/>
              <w:ind w:right="25"/>
              <w:jc w:val="right"/>
              <w:rPr>
                <w:rFonts w:ascii="宋体" w:hAnsi="宋体" w:cs="宋体" w:eastAsia="宋体" w:hint="default"/>
                <w:sz w:val="18"/>
                <w:szCs w:val="18"/>
              </w:rPr>
            </w:pPr>
            <w:r>
              <w:rPr>
                <w:rFonts w:ascii="宋体"/>
                <w:sz w:val="18"/>
              </w:rPr>
              <w:t>-</w:t>
            </w:r>
          </w:p>
        </w:tc>
        <w:tc>
          <w:tcPr>
            <w:tcW w:w="1397" w:type="dxa"/>
            <w:tcBorders>
              <w:top w:val="nil" w:sz="6" w:space="0" w:color="auto"/>
              <w:left w:val="nil" w:sz="6" w:space="0" w:color="auto"/>
              <w:bottom w:val="nil" w:sz="6" w:space="0" w:color="auto"/>
              <w:right w:val="nil" w:sz="6" w:space="0" w:color="auto"/>
            </w:tcBorders>
          </w:tcPr>
          <w:p>
            <w:pPr>
              <w:pStyle w:val="TableParagraph"/>
              <w:spacing w:line="218" w:lineRule="exact"/>
              <w:ind w:right="28"/>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nil" w:sz="6" w:space="0" w:color="auto"/>
              <w:right w:val="nil" w:sz="6" w:space="0" w:color="auto"/>
            </w:tcBorders>
          </w:tcPr>
          <w:p>
            <w:pPr>
              <w:pStyle w:val="TableParagraph"/>
              <w:spacing w:line="218" w:lineRule="exact"/>
              <w:ind w:right="25"/>
              <w:jc w:val="right"/>
              <w:rPr>
                <w:rFonts w:ascii="宋体" w:hAnsi="宋体" w:cs="宋体" w:eastAsia="宋体" w:hint="default"/>
                <w:sz w:val="18"/>
                <w:szCs w:val="18"/>
              </w:rPr>
            </w:pPr>
            <w:r>
              <w:rPr>
                <w:rFonts w:ascii="宋体"/>
                <w:sz w:val="18"/>
              </w:rPr>
              <w:t>-</w:t>
            </w:r>
          </w:p>
        </w:tc>
        <w:tc>
          <w:tcPr>
            <w:tcW w:w="132" w:type="dxa"/>
            <w:tcBorders>
              <w:top w:val="nil" w:sz="6" w:space="0" w:color="auto"/>
              <w:left w:val="nil" w:sz="6" w:space="0" w:color="auto"/>
              <w:bottom w:val="nil" w:sz="6" w:space="0" w:color="auto"/>
              <w:right w:val="nil" w:sz="6" w:space="0" w:color="auto"/>
            </w:tcBorders>
          </w:tcPr>
          <w:p>
            <w:pPr/>
          </w:p>
        </w:tc>
        <w:tc>
          <w:tcPr>
            <w:tcW w:w="1145" w:type="dxa"/>
            <w:tcBorders>
              <w:top w:val="nil" w:sz="6" w:space="0" w:color="auto"/>
              <w:left w:val="nil" w:sz="6" w:space="0" w:color="auto"/>
              <w:bottom w:val="nil" w:sz="6" w:space="0" w:color="auto"/>
              <w:right w:val="nil" w:sz="6" w:space="0" w:color="auto"/>
            </w:tcBorders>
          </w:tcPr>
          <w:p>
            <w:pPr>
              <w:pStyle w:val="TableParagraph"/>
              <w:spacing w:line="218" w:lineRule="exact"/>
              <w:ind w:right="29"/>
              <w:jc w:val="right"/>
              <w:rPr>
                <w:rFonts w:ascii="宋体" w:hAnsi="宋体" w:cs="宋体" w:eastAsia="宋体" w:hint="default"/>
                <w:sz w:val="18"/>
                <w:szCs w:val="18"/>
              </w:rPr>
            </w:pPr>
            <w:r>
              <w:rPr>
                <w:rFonts w:ascii="宋体"/>
                <w:sz w:val="18"/>
              </w:rPr>
              <w:t>-</w:t>
            </w:r>
          </w:p>
        </w:tc>
        <w:tc>
          <w:tcPr>
            <w:tcW w:w="1558" w:type="dxa"/>
            <w:tcBorders>
              <w:top w:val="nil" w:sz="6" w:space="0" w:color="auto"/>
              <w:left w:val="nil" w:sz="6" w:space="0" w:color="auto"/>
              <w:bottom w:val="nil" w:sz="6" w:space="0" w:color="auto"/>
              <w:right w:val="nil" w:sz="6" w:space="0" w:color="auto"/>
            </w:tcBorders>
          </w:tcPr>
          <w:p>
            <w:pPr>
              <w:pStyle w:val="TableParagraph"/>
              <w:spacing w:line="218" w:lineRule="exact"/>
              <w:ind w:right="25"/>
              <w:jc w:val="right"/>
              <w:rPr>
                <w:rFonts w:ascii="宋体" w:hAnsi="宋体" w:cs="宋体" w:eastAsia="宋体" w:hint="default"/>
                <w:sz w:val="18"/>
                <w:szCs w:val="18"/>
              </w:rPr>
            </w:pPr>
            <w:r>
              <w:rPr>
                <w:rFonts w:ascii="宋体"/>
                <w:sz w:val="18"/>
              </w:rPr>
              <w:t>-</w:t>
            </w:r>
          </w:p>
        </w:tc>
      </w:tr>
      <w:tr>
        <w:trPr>
          <w:trHeight w:val="256" w:hRule="exact"/>
        </w:trPr>
        <w:tc>
          <w:tcPr>
            <w:tcW w:w="108" w:type="dxa"/>
            <w:tcBorders>
              <w:top w:val="nil" w:sz="6" w:space="0" w:color="auto"/>
              <w:left w:val="nil" w:sz="6" w:space="0" w:color="auto"/>
              <w:bottom w:val="nil" w:sz="6" w:space="0" w:color="auto"/>
              <w:right w:val="nil" w:sz="6" w:space="0" w:color="auto"/>
            </w:tcBorders>
          </w:tcPr>
          <w:p>
            <w:pPr/>
          </w:p>
        </w:tc>
        <w:tc>
          <w:tcPr>
            <w:tcW w:w="2621" w:type="dxa"/>
            <w:tcBorders>
              <w:top w:val="nil" w:sz="6" w:space="0" w:color="auto"/>
              <w:left w:val="nil" w:sz="6" w:space="0" w:color="auto"/>
              <w:bottom w:val="nil" w:sz="6" w:space="0" w:color="auto"/>
              <w:right w:val="nil" w:sz="6" w:space="0" w:color="auto"/>
            </w:tcBorders>
          </w:tcPr>
          <w:p>
            <w:pPr>
              <w:pStyle w:val="TableParagraph"/>
              <w:spacing w:line="216" w:lineRule="exact"/>
              <w:ind w:left="39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2431" w:type="dxa"/>
            <w:tcBorders>
              <w:top w:val="nil" w:sz="6" w:space="0" w:color="auto"/>
              <w:left w:val="nil" w:sz="6" w:space="0" w:color="auto"/>
              <w:bottom w:val="nil" w:sz="6" w:space="0" w:color="auto"/>
              <w:right w:val="nil" w:sz="6" w:space="0" w:color="auto"/>
            </w:tcBorders>
          </w:tcPr>
          <w:p>
            <w:pPr>
              <w:pStyle w:val="TableParagraph"/>
              <w:spacing w:line="218" w:lineRule="exact"/>
              <w:ind w:right="25"/>
              <w:jc w:val="right"/>
              <w:rPr>
                <w:rFonts w:ascii="宋体" w:hAnsi="宋体" w:cs="宋体" w:eastAsia="宋体" w:hint="default"/>
                <w:sz w:val="18"/>
                <w:szCs w:val="18"/>
              </w:rPr>
            </w:pPr>
            <w:r>
              <w:rPr>
                <w:rFonts w:ascii="宋体"/>
                <w:sz w:val="18"/>
              </w:rPr>
              <w:t>-</w:t>
            </w:r>
          </w:p>
        </w:tc>
        <w:tc>
          <w:tcPr>
            <w:tcW w:w="113" w:type="dxa"/>
            <w:tcBorders>
              <w:top w:val="nil" w:sz="6" w:space="0" w:color="auto"/>
              <w:left w:val="nil" w:sz="6" w:space="0" w:color="auto"/>
              <w:bottom w:val="nil" w:sz="6" w:space="0" w:color="auto"/>
              <w:right w:val="nil" w:sz="6" w:space="0" w:color="auto"/>
            </w:tcBorders>
          </w:tcPr>
          <w:p>
            <w:pPr/>
          </w:p>
        </w:tc>
        <w:tc>
          <w:tcPr>
            <w:tcW w:w="1586" w:type="dxa"/>
            <w:tcBorders>
              <w:top w:val="nil" w:sz="6" w:space="0" w:color="auto"/>
              <w:left w:val="nil" w:sz="6" w:space="0" w:color="auto"/>
              <w:bottom w:val="nil" w:sz="6" w:space="0" w:color="auto"/>
              <w:right w:val="nil" w:sz="6" w:space="0" w:color="auto"/>
            </w:tcBorders>
          </w:tcPr>
          <w:p>
            <w:pPr>
              <w:pStyle w:val="TableParagraph"/>
              <w:spacing w:line="218" w:lineRule="exact"/>
              <w:ind w:right="25"/>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883" w:type="dxa"/>
            <w:tcBorders>
              <w:top w:val="nil" w:sz="6" w:space="0" w:color="auto"/>
              <w:left w:val="nil" w:sz="6" w:space="0" w:color="auto"/>
              <w:bottom w:val="nil" w:sz="6" w:space="0" w:color="auto"/>
              <w:right w:val="nil" w:sz="6" w:space="0" w:color="auto"/>
            </w:tcBorders>
          </w:tcPr>
          <w:p>
            <w:pPr>
              <w:pStyle w:val="TableParagraph"/>
              <w:spacing w:line="218" w:lineRule="exact"/>
              <w:ind w:right="25"/>
              <w:jc w:val="right"/>
              <w:rPr>
                <w:rFonts w:ascii="宋体" w:hAnsi="宋体" w:cs="宋体" w:eastAsia="宋体" w:hint="default"/>
                <w:sz w:val="18"/>
                <w:szCs w:val="18"/>
              </w:rPr>
            </w:pPr>
            <w:r>
              <w:rPr>
                <w:rFonts w:ascii="宋体"/>
                <w:sz w:val="18"/>
              </w:rPr>
              <w:t>-</w:t>
            </w:r>
          </w:p>
        </w:tc>
        <w:tc>
          <w:tcPr>
            <w:tcW w:w="953" w:type="dxa"/>
            <w:tcBorders>
              <w:top w:val="nil" w:sz="6" w:space="0" w:color="auto"/>
              <w:left w:val="nil" w:sz="6" w:space="0" w:color="auto"/>
              <w:bottom w:val="nil" w:sz="6" w:space="0" w:color="auto"/>
              <w:right w:val="nil" w:sz="6" w:space="0" w:color="auto"/>
            </w:tcBorders>
          </w:tcPr>
          <w:p>
            <w:pPr>
              <w:pStyle w:val="TableParagraph"/>
              <w:spacing w:line="218" w:lineRule="exact"/>
              <w:ind w:right="29"/>
              <w:jc w:val="right"/>
              <w:rPr>
                <w:rFonts w:ascii="宋体" w:hAnsi="宋体" w:cs="宋体" w:eastAsia="宋体" w:hint="default"/>
                <w:sz w:val="18"/>
                <w:szCs w:val="18"/>
              </w:rPr>
            </w:pPr>
            <w:r>
              <w:rPr>
                <w:rFonts w:ascii="宋体"/>
                <w:sz w:val="18"/>
              </w:rPr>
              <w:t>-</w:t>
            </w:r>
          </w:p>
        </w:tc>
        <w:tc>
          <w:tcPr>
            <w:tcW w:w="144" w:type="dxa"/>
            <w:tcBorders>
              <w:top w:val="nil" w:sz="6" w:space="0" w:color="auto"/>
              <w:left w:val="nil" w:sz="6" w:space="0" w:color="auto"/>
              <w:bottom w:val="nil" w:sz="6" w:space="0" w:color="auto"/>
              <w:right w:val="nil" w:sz="6" w:space="0" w:color="auto"/>
            </w:tcBorders>
          </w:tcPr>
          <w:p>
            <w:pPr/>
          </w:p>
        </w:tc>
        <w:tc>
          <w:tcPr>
            <w:tcW w:w="1279" w:type="dxa"/>
            <w:tcBorders>
              <w:top w:val="nil" w:sz="6" w:space="0" w:color="auto"/>
              <w:left w:val="nil" w:sz="6" w:space="0" w:color="auto"/>
              <w:bottom w:val="nil" w:sz="6" w:space="0" w:color="auto"/>
              <w:right w:val="nil" w:sz="6" w:space="0" w:color="auto"/>
            </w:tcBorders>
          </w:tcPr>
          <w:p>
            <w:pPr>
              <w:pStyle w:val="TableParagraph"/>
              <w:spacing w:line="218" w:lineRule="exact"/>
              <w:ind w:right="25"/>
              <w:jc w:val="right"/>
              <w:rPr>
                <w:rFonts w:ascii="宋体" w:hAnsi="宋体" w:cs="宋体" w:eastAsia="宋体" w:hint="default"/>
                <w:sz w:val="18"/>
                <w:szCs w:val="18"/>
              </w:rPr>
            </w:pPr>
            <w:r>
              <w:rPr>
                <w:rFonts w:ascii="宋体"/>
                <w:sz w:val="18"/>
              </w:rPr>
              <w:t>-</w:t>
            </w:r>
          </w:p>
        </w:tc>
        <w:tc>
          <w:tcPr>
            <w:tcW w:w="1397" w:type="dxa"/>
            <w:tcBorders>
              <w:top w:val="nil" w:sz="6" w:space="0" w:color="auto"/>
              <w:left w:val="nil" w:sz="6" w:space="0" w:color="auto"/>
              <w:bottom w:val="nil" w:sz="6" w:space="0" w:color="auto"/>
              <w:right w:val="nil" w:sz="6" w:space="0" w:color="auto"/>
            </w:tcBorders>
          </w:tcPr>
          <w:p>
            <w:pPr>
              <w:pStyle w:val="TableParagraph"/>
              <w:spacing w:line="218" w:lineRule="exact"/>
              <w:ind w:right="28"/>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nil" w:sz="6" w:space="0" w:color="auto"/>
              <w:right w:val="nil" w:sz="6" w:space="0" w:color="auto"/>
            </w:tcBorders>
          </w:tcPr>
          <w:p>
            <w:pPr>
              <w:pStyle w:val="TableParagraph"/>
              <w:spacing w:line="218" w:lineRule="exact"/>
              <w:ind w:right="25"/>
              <w:jc w:val="right"/>
              <w:rPr>
                <w:rFonts w:ascii="宋体" w:hAnsi="宋体" w:cs="宋体" w:eastAsia="宋体" w:hint="default"/>
                <w:sz w:val="18"/>
                <w:szCs w:val="18"/>
              </w:rPr>
            </w:pPr>
            <w:r>
              <w:rPr>
                <w:rFonts w:ascii="宋体"/>
                <w:sz w:val="18"/>
              </w:rPr>
              <w:t>-</w:t>
            </w:r>
          </w:p>
        </w:tc>
        <w:tc>
          <w:tcPr>
            <w:tcW w:w="132" w:type="dxa"/>
            <w:tcBorders>
              <w:top w:val="nil" w:sz="6" w:space="0" w:color="auto"/>
              <w:left w:val="nil" w:sz="6" w:space="0" w:color="auto"/>
              <w:bottom w:val="nil" w:sz="6" w:space="0" w:color="auto"/>
              <w:right w:val="nil" w:sz="6" w:space="0" w:color="auto"/>
            </w:tcBorders>
          </w:tcPr>
          <w:p>
            <w:pPr/>
          </w:p>
        </w:tc>
        <w:tc>
          <w:tcPr>
            <w:tcW w:w="1145" w:type="dxa"/>
            <w:tcBorders>
              <w:top w:val="nil" w:sz="6" w:space="0" w:color="auto"/>
              <w:left w:val="nil" w:sz="6" w:space="0" w:color="auto"/>
              <w:bottom w:val="nil" w:sz="6" w:space="0" w:color="auto"/>
              <w:right w:val="nil" w:sz="6" w:space="0" w:color="auto"/>
            </w:tcBorders>
          </w:tcPr>
          <w:p>
            <w:pPr>
              <w:pStyle w:val="TableParagraph"/>
              <w:spacing w:line="218" w:lineRule="exact"/>
              <w:ind w:right="29"/>
              <w:jc w:val="right"/>
              <w:rPr>
                <w:rFonts w:ascii="宋体" w:hAnsi="宋体" w:cs="宋体" w:eastAsia="宋体" w:hint="default"/>
                <w:sz w:val="18"/>
                <w:szCs w:val="18"/>
              </w:rPr>
            </w:pPr>
            <w:r>
              <w:rPr>
                <w:rFonts w:ascii="宋体"/>
                <w:sz w:val="18"/>
              </w:rPr>
              <w:t>-</w:t>
            </w:r>
          </w:p>
        </w:tc>
        <w:tc>
          <w:tcPr>
            <w:tcW w:w="1558" w:type="dxa"/>
            <w:tcBorders>
              <w:top w:val="nil" w:sz="6" w:space="0" w:color="auto"/>
              <w:left w:val="nil" w:sz="6" w:space="0" w:color="auto"/>
              <w:bottom w:val="nil" w:sz="6" w:space="0" w:color="auto"/>
              <w:right w:val="nil" w:sz="6" w:space="0" w:color="auto"/>
            </w:tcBorders>
          </w:tcPr>
          <w:p>
            <w:pPr>
              <w:pStyle w:val="TableParagraph"/>
              <w:spacing w:line="218" w:lineRule="exact"/>
              <w:ind w:right="25"/>
              <w:jc w:val="right"/>
              <w:rPr>
                <w:rFonts w:ascii="宋体" w:hAnsi="宋体" w:cs="宋体" w:eastAsia="宋体" w:hint="default"/>
                <w:sz w:val="18"/>
                <w:szCs w:val="18"/>
              </w:rPr>
            </w:pPr>
            <w:r>
              <w:rPr>
                <w:rFonts w:ascii="宋体"/>
                <w:sz w:val="18"/>
              </w:rPr>
              <w:t>-</w:t>
            </w:r>
          </w:p>
        </w:tc>
      </w:tr>
      <w:tr>
        <w:trPr>
          <w:trHeight w:val="261" w:hRule="exact"/>
        </w:trPr>
        <w:tc>
          <w:tcPr>
            <w:tcW w:w="108" w:type="dxa"/>
            <w:tcBorders>
              <w:top w:val="nil" w:sz="6" w:space="0" w:color="auto"/>
              <w:left w:val="nil" w:sz="6" w:space="0" w:color="auto"/>
              <w:bottom w:val="nil" w:sz="6" w:space="0" w:color="auto"/>
              <w:right w:val="nil" w:sz="6" w:space="0" w:color="auto"/>
            </w:tcBorders>
          </w:tcPr>
          <w:p>
            <w:pPr/>
          </w:p>
        </w:tc>
        <w:tc>
          <w:tcPr>
            <w:tcW w:w="2621" w:type="dxa"/>
            <w:tcBorders>
              <w:top w:val="nil" w:sz="6" w:space="0" w:color="auto"/>
              <w:left w:val="nil" w:sz="6" w:space="0" w:color="auto"/>
              <w:bottom w:val="nil" w:sz="6" w:space="0" w:color="auto"/>
              <w:right w:val="nil" w:sz="6" w:space="0" w:color="auto"/>
            </w:tcBorders>
          </w:tcPr>
          <w:p>
            <w:pPr>
              <w:pStyle w:val="TableParagraph"/>
              <w:spacing w:line="217" w:lineRule="exact"/>
              <w:ind w:left="28"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2431" w:type="dxa"/>
            <w:tcBorders>
              <w:top w:val="nil" w:sz="6" w:space="0" w:color="auto"/>
              <w:left w:val="nil" w:sz="6" w:space="0" w:color="auto"/>
              <w:bottom w:val="single" w:sz="4" w:space="0" w:color="000000"/>
              <w:right w:val="nil" w:sz="6" w:space="0" w:color="auto"/>
            </w:tcBorders>
          </w:tcPr>
          <w:p>
            <w:pPr>
              <w:pStyle w:val="TableParagraph"/>
              <w:spacing w:line="220" w:lineRule="exact"/>
              <w:ind w:right="25"/>
              <w:jc w:val="right"/>
              <w:rPr>
                <w:rFonts w:ascii="宋体" w:hAnsi="宋体" w:cs="宋体" w:eastAsia="宋体" w:hint="default"/>
                <w:sz w:val="18"/>
                <w:szCs w:val="18"/>
              </w:rPr>
            </w:pPr>
            <w:r>
              <w:rPr>
                <w:rFonts w:ascii="宋体"/>
                <w:sz w:val="18"/>
              </w:rPr>
              <w:t>-</w:t>
            </w:r>
          </w:p>
        </w:tc>
        <w:tc>
          <w:tcPr>
            <w:tcW w:w="113" w:type="dxa"/>
            <w:tcBorders>
              <w:top w:val="nil" w:sz="6" w:space="0" w:color="auto"/>
              <w:left w:val="nil" w:sz="6" w:space="0" w:color="auto"/>
              <w:bottom w:val="nil" w:sz="6" w:space="0" w:color="auto"/>
              <w:right w:val="nil" w:sz="6" w:space="0" w:color="auto"/>
            </w:tcBorders>
          </w:tcPr>
          <w:p>
            <w:pPr/>
          </w:p>
        </w:tc>
        <w:tc>
          <w:tcPr>
            <w:tcW w:w="1586" w:type="dxa"/>
            <w:tcBorders>
              <w:top w:val="nil" w:sz="6" w:space="0" w:color="auto"/>
              <w:left w:val="nil" w:sz="6" w:space="0" w:color="auto"/>
              <w:bottom w:val="single" w:sz="4" w:space="0" w:color="000000"/>
              <w:right w:val="nil" w:sz="6" w:space="0" w:color="auto"/>
            </w:tcBorders>
          </w:tcPr>
          <w:p>
            <w:pPr>
              <w:pStyle w:val="TableParagraph"/>
              <w:spacing w:line="220" w:lineRule="exact"/>
              <w:ind w:right="25"/>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883" w:type="dxa"/>
            <w:tcBorders>
              <w:top w:val="nil" w:sz="6" w:space="0" w:color="auto"/>
              <w:left w:val="nil" w:sz="6" w:space="0" w:color="auto"/>
              <w:bottom w:val="single" w:sz="4" w:space="0" w:color="000000"/>
              <w:right w:val="nil" w:sz="6" w:space="0" w:color="auto"/>
            </w:tcBorders>
          </w:tcPr>
          <w:p>
            <w:pPr>
              <w:pStyle w:val="TableParagraph"/>
              <w:spacing w:line="220" w:lineRule="exact"/>
              <w:ind w:right="25"/>
              <w:jc w:val="right"/>
              <w:rPr>
                <w:rFonts w:ascii="宋体" w:hAnsi="宋体" w:cs="宋体" w:eastAsia="宋体" w:hint="default"/>
                <w:sz w:val="18"/>
                <w:szCs w:val="18"/>
              </w:rPr>
            </w:pPr>
            <w:r>
              <w:rPr>
                <w:rFonts w:ascii="宋体"/>
                <w:sz w:val="18"/>
              </w:rPr>
              <w:t>-</w:t>
            </w:r>
          </w:p>
        </w:tc>
        <w:tc>
          <w:tcPr>
            <w:tcW w:w="953" w:type="dxa"/>
            <w:tcBorders>
              <w:top w:val="nil" w:sz="6" w:space="0" w:color="auto"/>
              <w:left w:val="nil" w:sz="6" w:space="0" w:color="auto"/>
              <w:bottom w:val="single" w:sz="4" w:space="0" w:color="000000"/>
              <w:right w:val="nil" w:sz="6" w:space="0" w:color="auto"/>
            </w:tcBorders>
          </w:tcPr>
          <w:p>
            <w:pPr>
              <w:pStyle w:val="TableParagraph"/>
              <w:spacing w:line="220" w:lineRule="exact"/>
              <w:ind w:right="29"/>
              <w:jc w:val="right"/>
              <w:rPr>
                <w:rFonts w:ascii="宋体" w:hAnsi="宋体" w:cs="宋体" w:eastAsia="宋体" w:hint="default"/>
                <w:sz w:val="18"/>
                <w:szCs w:val="18"/>
              </w:rPr>
            </w:pPr>
            <w:r>
              <w:rPr>
                <w:rFonts w:ascii="宋体"/>
                <w:sz w:val="18"/>
              </w:rPr>
              <w:t>-</w:t>
            </w:r>
          </w:p>
        </w:tc>
        <w:tc>
          <w:tcPr>
            <w:tcW w:w="144" w:type="dxa"/>
            <w:tcBorders>
              <w:top w:val="nil" w:sz="6" w:space="0" w:color="auto"/>
              <w:left w:val="nil" w:sz="6" w:space="0" w:color="auto"/>
              <w:bottom w:val="nil" w:sz="6" w:space="0" w:color="auto"/>
              <w:right w:val="nil" w:sz="6" w:space="0" w:color="auto"/>
            </w:tcBorders>
          </w:tcPr>
          <w:p>
            <w:pPr/>
          </w:p>
        </w:tc>
        <w:tc>
          <w:tcPr>
            <w:tcW w:w="1279" w:type="dxa"/>
            <w:tcBorders>
              <w:top w:val="nil" w:sz="6" w:space="0" w:color="auto"/>
              <w:left w:val="nil" w:sz="6" w:space="0" w:color="auto"/>
              <w:bottom w:val="single" w:sz="4" w:space="0" w:color="000000"/>
              <w:right w:val="nil" w:sz="6" w:space="0" w:color="auto"/>
            </w:tcBorders>
          </w:tcPr>
          <w:p>
            <w:pPr>
              <w:pStyle w:val="TableParagraph"/>
              <w:spacing w:line="220" w:lineRule="exact"/>
              <w:ind w:right="25"/>
              <w:jc w:val="right"/>
              <w:rPr>
                <w:rFonts w:ascii="宋体" w:hAnsi="宋体" w:cs="宋体" w:eastAsia="宋体" w:hint="default"/>
                <w:sz w:val="18"/>
                <w:szCs w:val="18"/>
              </w:rPr>
            </w:pPr>
            <w:r>
              <w:rPr>
                <w:rFonts w:ascii="宋体"/>
                <w:sz w:val="18"/>
              </w:rPr>
              <w:t>-</w:t>
            </w:r>
          </w:p>
        </w:tc>
        <w:tc>
          <w:tcPr>
            <w:tcW w:w="1397" w:type="dxa"/>
            <w:tcBorders>
              <w:top w:val="nil" w:sz="6" w:space="0" w:color="auto"/>
              <w:left w:val="nil" w:sz="6" w:space="0" w:color="auto"/>
              <w:bottom w:val="single" w:sz="4" w:space="0" w:color="000000"/>
              <w:right w:val="nil" w:sz="6" w:space="0" w:color="auto"/>
            </w:tcBorders>
          </w:tcPr>
          <w:p>
            <w:pPr>
              <w:pStyle w:val="TableParagraph"/>
              <w:spacing w:line="220" w:lineRule="exact"/>
              <w:ind w:right="28"/>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single" w:sz="4" w:space="0" w:color="000000"/>
              <w:right w:val="nil" w:sz="6" w:space="0" w:color="auto"/>
            </w:tcBorders>
          </w:tcPr>
          <w:p>
            <w:pPr>
              <w:pStyle w:val="TableParagraph"/>
              <w:spacing w:line="220" w:lineRule="exact"/>
              <w:ind w:right="25"/>
              <w:jc w:val="right"/>
              <w:rPr>
                <w:rFonts w:ascii="宋体" w:hAnsi="宋体" w:cs="宋体" w:eastAsia="宋体" w:hint="default"/>
                <w:sz w:val="18"/>
                <w:szCs w:val="18"/>
              </w:rPr>
            </w:pPr>
            <w:r>
              <w:rPr>
                <w:rFonts w:ascii="宋体"/>
                <w:sz w:val="18"/>
              </w:rPr>
              <w:t>-</w:t>
            </w:r>
          </w:p>
        </w:tc>
        <w:tc>
          <w:tcPr>
            <w:tcW w:w="132" w:type="dxa"/>
            <w:tcBorders>
              <w:top w:val="nil" w:sz="6" w:space="0" w:color="auto"/>
              <w:left w:val="nil" w:sz="6" w:space="0" w:color="auto"/>
              <w:bottom w:val="nil" w:sz="6" w:space="0" w:color="auto"/>
              <w:right w:val="nil" w:sz="6" w:space="0" w:color="auto"/>
            </w:tcBorders>
          </w:tcPr>
          <w:p>
            <w:pPr/>
          </w:p>
        </w:tc>
        <w:tc>
          <w:tcPr>
            <w:tcW w:w="1145" w:type="dxa"/>
            <w:tcBorders>
              <w:top w:val="nil" w:sz="6" w:space="0" w:color="auto"/>
              <w:left w:val="nil" w:sz="6" w:space="0" w:color="auto"/>
              <w:bottom w:val="single" w:sz="4" w:space="0" w:color="000000"/>
              <w:right w:val="nil" w:sz="6" w:space="0" w:color="auto"/>
            </w:tcBorders>
          </w:tcPr>
          <w:p>
            <w:pPr>
              <w:pStyle w:val="TableParagraph"/>
              <w:spacing w:line="220" w:lineRule="exact"/>
              <w:ind w:right="29"/>
              <w:jc w:val="right"/>
              <w:rPr>
                <w:rFonts w:ascii="宋体" w:hAnsi="宋体" w:cs="宋体" w:eastAsia="宋体" w:hint="default"/>
                <w:sz w:val="18"/>
                <w:szCs w:val="18"/>
              </w:rPr>
            </w:pPr>
            <w:r>
              <w:rPr>
                <w:rFonts w:ascii="宋体"/>
                <w:sz w:val="18"/>
              </w:rPr>
              <w:t>-</w:t>
            </w:r>
          </w:p>
        </w:tc>
        <w:tc>
          <w:tcPr>
            <w:tcW w:w="1558" w:type="dxa"/>
            <w:tcBorders>
              <w:top w:val="nil" w:sz="6" w:space="0" w:color="auto"/>
              <w:left w:val="nil" w:sz="6" w:space="0" w:color="auto"/>
              <w:bottom w:val="single" w:sz="4" w:space="0" w:color="000000"/>
              <w:right w:val="nil" w:sz="6" w:space="0" w:color="auto"/>
            </w:tcBorders>
          </w:tcPr>
          <w:p>
            <w:pPr>
              <w:pStyle w:val="TableParagraph"/>
              <w:spacing w:line="220" w:lineRule="exact"/>
              <w:ind w:right="25"/>
              <w:jc w:val="right"/>
              <w:rPr>
                <w:rFonts w:ascii="宋体" w:hAnsi="宋体" w:cs="宋体" w:eastAsia="宋体" w:hint="default"/>
                <w:sz w:val="18"/>
                <w:szCs w:val="18"/>
              </w:rPr>
            </w:pPr>
            <w:r>
              <w:rPr>
                <w:rFonts w:ascii="宋体"/>
                <w:sz w:val="18"/>
              </w:rPr>
              <w:t>-</w:t>
            </w:r>
          </w:p>
        </w:tc>
      </w:tr>
      <w:tr>
        <w:trPr>
          <w:trHeight w:val="283" w:hRule="exact"/>
        </w:trPr>
        <w:tc>
          <w:tcPr>
            <w:tcW w:w="108" w:type="dxa"/>
            <w:tcBorders>
              <w:top w:val="nil" w:sz="6" w:space="0" w:color="auto"/>
              <w:left w:val="nil" w:sz="6" w:space="0" w:color="auto"/>
              <w:bottom w:val="nil" w:sz="6" w:space="0" w:color="auto"/>
              <w:right w:val="nil" w:sz="6" w:space="0" w:color="auto"/>
            </w:tcBorders>
          </w:tcPr>
          <w:p>
            <w:pPr/>
          </w:p>
        </w:tc>
        <w:tc>
          <w:tcPr>
            <w:tcW w:w="2621" w:type="dxa"/>
            <w:tcBorders>
              <w:top w:val="nil" w:sz="6" w:space="0" w:color="auto"/>
              <w:left w:val="nil" w:sz="6" w:space="0" w:color="auto"/>
              <w:bottom w:val="nil" w:sz="6" w:space="0" w:color="auto"/>
              <w:right w:val="nil" w:sz="6" w:space="0" w:color="auto"/>
            </w:tcBorders>
          </w:tcPr>
          <w:p>
            <w:pPr>
              <w:pStyle w:val="TableParagraph"/>
              <w:spacing w:line="220" w:lineRule="exact"/>
              <w:ind w:left="28" w:right="0"/>
              <w:jc w:val="left"/>
              <w:rPr>
                <w:rFonts w:ascii="宋体" w:hAnsi="宋体" w:cs="宋体" w:eastAsia="宋体" w:hint="default"/>
                <w:sz w:val="18"/>
                <w:szCs w:val="18"/>
              </w:rPr>
            </w:pPr>
            <w:r>
              <w:rPr>
                <w:rFonts w:ascii="宋体" w:hAnsi="宋体" w:cs="宋体" w:eastAsia="宋体" w:hint="default"/>
                <w:b/>
                <w:bCs/>
                <w:sz w:val="18"/>
                <w:szCs w:val="18"/>
              </w:rPr>
              <w:t>四、本年年末余额</w:t>
            </w:r>
            <w:r>
              <w:rPr>
                <w:rFonts w:ascii="宋体" w:hAnsi="宋体" w:cs="宋体" w:eastAsia="宋体" w:hint="default"/>
                <w:sz w:val="18"/>
                <w:szCs w:val="18"/>
              </w:rPr>
            </w:r>
          </w:p>
        </w:tc>
        <w:tc>
          <w:tcPr>
            <w:tcW w:w="2431" w:type="dxa"/>
            <w:tcBorders>
              <w:top w:val="single" w:sz="4" w:space="0" w:color="000000"/>
              <w:left w:val="nil" w:sz="6" w:space="0" w:color="auto"/>
              <w:bottom w:val="nil" w:sz="6" w:space="0" w:color="auto"/>
              <w:right w:val="nil" w:sz="6" w:space="0" w:color="auto"/>
            </w:tcBorders>
          </w:tcPr>
          <w:p>
            <w:pPr>
              <w:pStyle w:val="TableParagraph"/>
              <w:spacing w:line="217" w:lineRule="exact"/>
              <w:ind w:right="23"/>
              <w:jc w:val="right"/>
              <w:rPr>
                <w:rFonts w:ascii="宋体" w:hAnsi="宋体" w:cs="宋体" w:eastAsia="宋体" w:hint="default"/>
                <w:sz w:val="18"/>
                <w:szCs w:val="18"/>
              </w:rPr>
            </w:pPr>
            <w:r>
              <w:rPr>
                <w:rFonts w:ascii="宋体"/>
                <w:spacing w:val="-1"/>
                <w:sz w:val="18"/>
              </w:rPr>
              <w:t>158,400,000.00</w:t>
            </w:r>
          </w:p>
        </w:tc>
        <w:tc>
          <w:tcPr>
            <w:tcW w:w="113" w:type="dxa"/>
            <w:tcBorders>
              <w:top w:val="nil" w:sz="6" w:space="0" w:color="auto"/>
              <w:left w:val="nil" w:sz="6" w:space="0" w:color="auto"/>
              <w:bottom w:val="nil" w:sz="6" w:space="0" w:color="auto"/>
              <w:right w:val="nil" w:sz="6" w:space="0" w:color="auto"/>
            </w:tcBorders>
          </w:tcPr>
          <w:p>
            <w:pPr/>
          </w:p>
        </w:tc>
        <w:tc>
          <w:tcPr>
            <w:tcW w:w="1586" w:type="dxa"/>
            <w:tcBorders>
              <w:top w:val="single" w:sz="4" w:space="0" w:color="000000"/>
              <w:left w:val="nil" w:sz="6" w:space="0" w:color="auto"/>
              <w:bottom w:val="nil" w:sz="6" w:space="0" w:color="auto"/>
              <w:right w:val="nil" w:sz="6" w:space="0" w:color="auto"/>
            </w:tcBorders>
          </w:tcPr>
          <w:p>
            <w:pPr>
              <w:pStyle w:val="TableParagraph"/>
              <w:spacing w:line="217" w:lineRule="exact"/>
              <w:ind w:right="21"/>
              <w:jc w:val="right"/>
              <w:rPr>
                <w:rFonts w:ascii="宋体" w:hAnsi="宋体" w:cs="宋体" w:eastAsia="宋体" w:hint="default"/>
                <w:sz w:val="18"/>
                <w:szCs w:val="18"/>
              </w:rPr>
            </w:pPr>
            <w:r>
              <w:rPr>
                <w:rFonts w:ascii="宋体"/>
                <w:spacing w:val="-1"/>
                <w:sz w:val="18"/>
              </w:rPr>
              <w:t>62,580,990.76</w:t>
            </w:r>
            <w:r>
              <w:rPr>
                <w:rFonts w:ascii="宋体"/>
                <w:sz w:val="18"/>
              </w:rPr>
            </w:r>
          </w:p>
        </w:tc>
        <w:tc>
          <w:tcPr>
            <w:tcW w:w="142" w:type="dxa"/>
            <w:tcBorders>
              <w:top w:val="nil" w:sz="6" w:space="0" w:color="auto"/>
              <w:left w:val="nil" w:sz="6" w:space="0" w:color="auto"/>
              <w:bottom w:val="nil" w:sz="6" w:space="0" w:color="auto"/>
              <w:right w:val="nil" w:sz="6" w:space="0" w:color="auto"/>
            </w:tcBorders>
          </w:tcPr>
          <w:p>
            <w:pPr/>
          </w:p>
        </w:tc>
        <w:tc>
          <w:tcPr>
            <w:tcW w:w="883" w:type="dxa"/>
            <w:tcBorders>
              <w:top w:val="single" w:sz="4" w:space="0" w:color="000000"/>
              <w:left w:val="nil" w:sz="6" w:space="0" w:color="auto"/>
              <w:bottom w:val="nil" w:sz="6" w:space="0" w:color="auto"/>
              <w:right w:val="nil" w:sz="6" w:space="0" w:color="auto"/>
            </w:tcBorders>
          </w:tcPr>
          <w:p>
            <w:pPr>
              <w:pStyle w:val="TableParagraph"/>
              <w:spacing w:line="217" w:lineRule="exact"/>
              <w:ind w:right="25"/>
              <w:jc w:val="right"/>
              <w:rPr>
                <w:rFonts w:ascii="宋体" w:hAnsi="宋体" w:cs="宋体" w:eastAsia="宋体" w:hint="default"/>
                <w:sz w:val="18"/>
                <w:szCs w:val="18"/>
              </w:rPr>
            </w:pPr>
            <w:r>
              <w:rPr>
                <w:rFonts w:ascii="宋体"/>
                <w:sz w:val="18"/>
              </w:rPr>
              <w:t>-</w:t>
            </w:r>
          </w:p>
        </w:tc>
        <w:tc>
          <w:tcPr>
            <w:tcW w:w="953" w:type="dxa"/>
            <w:tcBorders>
              <w:top w:val="single" w:sz="4" w:space="0" w:color="000000"/>
              <w:left w:val="nil" w:sz="6" w:space="0" w:color="auto"/>
              <w:bottom w:val="nil" w:sz="6" w:space="0" w:color="auto"/>
              <w:right w:val="nil" w:sz="6" w:space="0" w:color="auto"/>
            </w:tcBorders>
          </w:tcPr>
          <w:p>
            <w:pPr>
              <w:pStyle w:val="TableParagraph"/>
              <w:spacing w:line="217" w:lineRule="exact"/>
              <w:ind w:right="29"/>
              <w:jc w:val="right"/>
              <w:rPr>
                <w:rFonts w:ascii="宋体" w:hAnsi="宋体" w:cs="宋体" w:eastAsia="宋体" w:hint="default"/>
                <w:sz w:val="18"/>
                <w:szCs w:val="18"/>
              </w:rPr>
            </w:pPr>
            <w:r>
              <w:rPr>
                <w:rFonts w:ascii="宋体"/>
                <w:sz w:val="18"/>
              </w:rPr>
              <w:t>-</w:t>
            </w:r>
          </w:p>
        </w:tc>
        <w:tc>
          <w:tcPr>
            <w:tcW w:w="144" w:type="dxa"/>
            <w:tcBorders>
              <w:top w:val="nil" w:sz="6" w:space="0" w:color="auto"/>
              <w:left w:val="nil" w:sz="6" w:space="0" w:color="auto"/>
              <w:bottom w:val="nil" w:sz="6" w:space="0" w:color="auto"/>
              <w:right w:val="nil" w:sz="6" w:space="0" w:color="auto"/>
            </w:tcBorders>
          </w:tcPr>
          <w:p>
            <w:pPr/>
          </w:p>
        </w:tc>
        <w:tc>
          <w:tcPr>
            <w:tcW w:w="1279" w:type="dxa"/>
            <w:tcBorders>
              <w:top w:val="single" w:sz="4" w:space="0" w:color="000000"/>
              <w:left w:val="nil" w:sz="6" w:space="0" w:color="auto"/>
              <w:bottom w:val="nil" w:sz="6" w:space="0" w:color="auto"/>
              <w:right w:val="nil" w:sz="6" w:space="0" w:color="auto"/>
            </w:tcBorders>
          </w:tcPr>
          <w:p>
            <w:pPr>
              <w:pStyle w:val="TableParagraph"/>
              <w:spacing w:line="217" w:lineRule="exact"/>
              <w:ind w:right="21"/>
              <w:jc w:val="right"/>
              <w:rPr>
                <w:rFonts w:ascii="宋体" w:hAnsi="宋体" w:cs="宋体" w:eastAsia="宋体" w:hint="default"/>
                <w:sz w:val="18"/>
                <w:szCs w:val="18"/>
              </w:rPr>
            </w:pPr>
            <w:r>
              <w:rPr>
                <w:rFonts w:ascii="宋体"/>
                <w:spacing w:val="-1"/>
                <w:sz w:val="18"/>
              </w:rPr>
              <w:t>14,026,838.97</w:t>
            </w:r>
            <w:r>
              <w:rPr>
                <w:rFonts w:ascii="宋体"/>
                <w:sz w:val="18"/>
              </w:rPr>
            </w:r>
          </w:p>
        </w:tc>
        <w:tc>
          <w:tcPr>
            <w:tcW w:w="1397" w:type="dxa"/>
            <w:tcBorders>
              <w:top w:val="single" w:sz="4" w:space="0" w:color="000000"/>
              <w:left w:val="nil" w:sz="6" w:space="0" w:color="auto"/>
              <w:bottom w:val="nil" w:sz="6" w:space="0" w:color="auto"/>
              <w:right w:val="nil" w:sz="6" w:space="0" w:color="auto"/>
            </w:tcBorders>
          </w:tcPr>
          <w:p>
            <w:pPr>
              <w:pStyle w:val="TableParagraph"/>
              <w:spacing w:line="217" w:lineRule="exact"/>
              <w:ind w:right="28"/>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1423" w:type="dxa"/>
            <w:tcBorders>
              <w:top w:val="single" w:sz="4" w:space="0" w:color="000000"/>
              <w:left w:val="nil" w:sz="6" w:space="0" w:color="auto"/>
              <w:bottom w:val="nil" w:sz="6" w:space="0" w:color="auto"/>
              <w:right w:val="nil" w:sz="6" w:space="0" w:color="auto"/>
            </w:tcBorders>
          </w:tcPr>
          <w:p>
            <w:pPr>
              <w:pStyle w:val="TableParagraph"/>
              <w:spacing w:line="217" w:lineRule="exact"/>
              <w:ind w:right="23"/>
              <w:jc w:val="right"/>
              <w:rPr>
                <w:rFonts w:ascii="宋体" w:hAnsi="宋体" w:cs="宋体" w:eastAsia="宋体" w:hint="default"/>
                <w:sz w:val="18"/>
                <w:szCs w:val="18"/>
              </w:rPr>
            </w:pPr>
            <w:r>
              <w:rPr>
                <w:rFonts w:ascii="宋体"/>
                <w:spacing w:val="-1"/>
                <w:sz w:val="18"/>
              </w:rPr>
              <w:t>101,236,053.71</w:t>
            </w:r>
          </w:p>
        </w:tc>
        <w:tc>
          <w:tcPr>
            <w:tcW w:w="132" w:type="dxa"/>
            <w:tcBorders>
              <w:top w:val="nil" w:sz="6" w:space="0" w:color="auto"/>
              <w:left w:val="nil" w:sz="6" w:space="0" w:color="auto"/>
              <w:bottom w:val="nil" w:sz="6" w:space="0" w:color="auto"/>
              <w:right w:val="nil" w:sz="6" w:space="0" w:color="auto"/>
            </w:tcBorders>
          </w:tcPr>
          <w:p>
            <w:pPr/>
          </w:p>
        </w:tc>
        <w:tc>
          <w:tcPr>
            <w:tcW w:w="1145" w:type="dxa"/>
            <w:tcBorders>
              <w:top w:val="single" w:sz="4" w:space="0" w:color="000000"/>
              <w:left w:val="nil" w:sz="6" w:space="0" w:color="auto"/>
              <w:bottom w:val="single" w:sz="17" w:space="0" w:color="000000"/>
              <w:right w:val="nil" w:sz="6" w:space="0" w:color="auto"/>
            </w:tcBorders>
          </w:tcPr>
          <w:p>
            <w:pPr/>
          </w:p>
        </w:tc>
        <w:tc>
          <w:tcPr>
            <w:tcW w:w="1558" w:type="dxa"/>
            <w:tcBorders>
              <w:top w:val="single" w:sz="4" w:space="0" w:color="000000"/>
              <w:left w:val="nil" w:sz="6" w:space="0" w:color="auto"/>
              <w:bottom w:val="single" w:sz="17" w:space="0" w:color="000000"/>
              <w:right w:val="nil" w:sz="6" w:space="0" w:color="auto"/>
            </w:tcBorders>
          </w:tcPr>
          <w:p>
            <w:pPr>
              <w:pStyle w:val="TableParagraph"/>
              <w:spacing w:line="217" w:lineRule="exact"/>
              <w:ind w:right="25"/>
              <w:jc w:val="right"/>
              <w:rPr>
                <w:rFonts w:ascii="宋体" w:hAnsi="宋体" w:cs="宋体" w:eastAsia="宋体" w:hint="default"/>
                <w:sz w:val="18"/>
                <w:szCs w:val="18"/>
              </w:rPr>
            </w:pPr>
            <w:r>
              <w:rPr>
                <w:rFonts w:ascii="宋体"/>
                <w:spacing w:val="-1"/>
                <w:sz w:val="18"/>
              </w:rPr>
              <w:t>336,243,883.44</w:t>
            </w:r>
          </w:p>
        </w:tc>
      </w:tr>
      <w:tr>
        <w:trPr>
          <w:trHeight w:val="228" w:hRule="exact"/>
        </w:trPr>
        <w:tc>
          <w:tcPr>
            <w:tcW w:w="108" w:type="dxa"/>
            <w:tcBorders>
              <w:top w:val="nil" w:sz="6" w:space="0" w:color="auto"/>
              <w:left w:val="nil" w:sz="6" w:space="0" w:color="auto"/>
              <w:bottom w:val="nil" w:sz="6" w:space="0" w:color="auto"/>
              <w:right w:val="nil" w:sz="6" w:space="0" w:color="auto"/>
            </w:tcBorders>
          </w:tcPr>
          <w:p>
            <w:pPr/>
          </w:p>
        </w:tc>
        <w:tc>
          <w:tcPr>
            <w:tcW w:w="2621" w:type="dxa"/>
            <w:tcBorders>
              <w:top w:val="nil" w:sz="6" w:space="0" w:color="auto"/>
              <w:left w:val="nil" w:sz="6" w:space="0" w:color="auto"/>
              <w:bottom w:val="single" w:sz="4" w:space="0" w:color="000000"/>
              <w:right w:val="nil" w:sz="6" w:space="0" w:color="auto"/>
            </w:tcBorders>
          </w:tcPr>
          <w:p>
            <w:pPr/>
          </w:p>
        </w:tc>
        <w:tc>
          <w:tcPr>
            <w:tcW w:w="2431" w:type="dxa"/>
            <w:tcBorders>
              <w:top w:val="nil" w:sz="6" w:space="0" w:color="auto"/>
              <w:left w:val="nil" w:sz="6" w:space="0" w:color="auto"/>
              <w:bottom w:val="single" w:sz="4" w:space="0" w:color="000000"/>
              <w:right w:val="nil" w:sz="6" w:space="0" w:color="auto"/>
            </w:tcBorders>
          </w:tcPr>
          <w:p>
            <w:pPr/>
          </w:p>
        </w:tc>
        <w:tc>
          <w:tcPr>
            <w:tcW w:w="113" w:type="dxa"/>
            <w:tcBorders>
              <w:top w:val="nil" w:sz="6" w:space="0" w:color="auto"/>
              <w:left w:val="nil" w:sz="6" w:space="0" w:color="auto"/>
              <w:bottom w:val="single" w:sz="4" w:space="0" w:color="000000"/>
              <w:right w:val="nil" w:sz="6" w:space="0" w:color="auto"/>
            </w:tcBorders>
          </w:tcPr>
          <w:p>
            <w:pPr/>
          </w:p>
        </w:tc>
        <w:tc>
          <w:tcPr>
            <w:tcW w:w="1586" w:type="dxa"/>
            <w:tcBorders>
              <w:top w:val="nil" w:sz="6" w:space="0" w:color="auto"/>
              <w:left w:val="nil" w:sz="6" w:space="0" w:color="auto"/>
              <w:bottom w:val="single" w:sz="4" w:space="0" w:color="000000"/>
              <w:right w:val="nil" w:sz="6" w:space="0" w:color="auto"/>
            </w:tcBorders>
          </w:tcPr>
          <w:p>
            <w:pPr/>
          </w:p>
        </w:tc>
        <w:tc>
          <w:tcPr>
            <w:tcW w:w="142" w:type="dxa"/>
            <w:tcBorders>
              <w:top w:val="nil" w:sz="6" w:space="0" w:color="auto"/>
              <w:left w:val="nil" w:sz="6" w:space="0" w:color="auto"/>
              <w:bottom w:val="single" w:sz="4" w:space="0" w:color="000000"/>
              <w:right w:val="nil" w:sz="6" w:space="0" w:color="auto"/>
            </w:tcBorders>
          </w:tcPr>
          <w:p>
            <w:pPr/>
          </w:p>
        </w:tc>
        <w:tc>
          <w:tcPr>
            <w:tcW w:w="883" w:type="dxa"/>
            <w:tcBorders>
              <w:top w:val="nil" w:sz="6" w:space="0" w:color="auto"/>
              <w:left w:val="nil" w:sz="6" w:space="0" w:color="auto"/>
              <w:bottom w:val="single" w:sz="4" w:space="0" w:color="000000"/>
              <w:right w:val="nil" w:sz="6" w:space="0" w:color="auto"/>
            </w:tcBorders>
          </w:tcPr>
          <w:p>
            <w:pPr/>
          </w:p>
        </w:tc>
        <w:tc>
          <w:tcPr>
            <w:tcW w:w="953" w:type="dxa"/>
            <w:tcBorders>
              <w:top w:val="nil" w:sz="6" w:space="0" w:color="auto"/>
              <w:left w:val="nil" w:sz="6" w:space="0" w:color="auto"/>
              <w:bottom w:val="single" w:sz="4" w:space="0" w:color="000000"/>
              <w:right w:val="nil" w:sz="6" w:space="0" w:color="auto"/>
            </w:tcBorders>
          </w:tcPr>
          <w:p>
            <w:pPr/>
          </w:p>
        </w:tc>
        <w:tc>
          <w:tcPr>
            <w:tcW w:w="144" w:type="dxa"/>
            <w:tcBorders>
              <w:top w:val="nil" w:sz="6" w:space="0" w:color="auto"/>
              <w:left w:val="nil" w:sz="6" w:space="0" w:color="auto"/>
              <w:bottom w:val="single" w:sz="4" w:space="0" w:color="000000"/>
              <w:right w:val="nil" w:sz="6" w:space="0" w:color="auto"/>
            </w:tcBorders>
          </w:tcPr>
          <w:p>
            <w:pPr/>
          </w:p>
        </w:tc>
        <w:tc>
          <w:tcPr>
            <w:tcW w:w="1279" w:type="dxa"/>
            <w:tcBorders>
              <w:top w:val="nil" w:sz="6" w:space="0" w:color="auto"/>
              <w:left w:val="nil" w:sz="6" w:space="0" w:color="auto"/>
              <w:bottom w:val="single" w:sz="4" w:space="0" w:color="000000"/>
              <w:right w:val="nil" w:sz="6" w:space="0" w:color="auto"/>
            </w:tcBorders>
          </w:tcPr>
          <w:p>
            <w:pPr/>
          </w:p>
        </w:tc>
        <w:tc>
          <w:tcPr>
            <w:tcW w:w="1397" w:type="dxa"/>
            <w:tcBorders>
              <w:top w:val="nil" w:sz="6" w:space="0" w:color="auto"/>
              <w:left w:val="nil" w:sz="6" w:space="0" w:color="auto"/>
              <w:bottom w:val="single" w:sz="4" w:space="0" w:color="000000"/>
              <w:right w:val="nil" w:sz="6" w:space="0" w:color="auto"/>
            </w:tcBorders>
          </w:tcPr>
          <w:p>
            <w:pPr/>
          </w:p>
        </w:tc>
        <w:tc>
          <w:tcPr>
            <w:tcW w:w="134" w:type="dxa"/>
            <w:tcBorders>
              <w:top w:val="nil" w:sz="6" w:space="0" w:color="auto"/>
              <w:left w:val="nil" w:sz="6" w:space="0" w:color="auto"/>
              <w:bottom w:val="single" w:sz="4" w:space="0" w:color="000000"/>
              <w:right w:val="nil" w:sz="6" w:space="0" w:color="auto"/>
            </w:tcBorders>
          </w:tcPr>
          <w:p>
            <w:pPr/>
          </w:p>
        </w:tc>
        <w:tc>
          <w:tcPr>
            <w:tcW w:w="1423" w:type="dxa"/>
            <w:tcBorders>
              <w:top w:val="nil" w:sz="6" w:space="0" w:color="auto"/>
              <w:left w:val="nil" w:sz="6" w:space="0" w:color="auto"/>
              <w:bottom w:val="single" w:sz="4" w:space="0" w:color="000000"/>
              <w:right w:val="nil" w:sz="6" w:space="0" w:color="auto"/>
            </w:tcBorders>
          </w:tcPr>
          <w:p>
            <w:pPr/>
          </w:p>
        </w:tc>
        <w:tc>
          <w:tcPr>
            <w:tcW w:w="132" w:type="dxa"/>
            <w:tcBorders>
              <w:top w:val="nil" w:sz="6" w:space="0" w:color="auto"/>
              <w:left w:val="nil" w:sz="6" w:space="0" w:color="auto"/>
              <w:bottom w:val="single" w:sz="4" w:space="0" w:color="000000"/>
              <w:right w:val="nil" w:sz="6" w:space="0" w:color="auto"/>
            </w:tcBorders>
          </w:tcPr>
          <w:p>
            <w:pPr/>
          </w:p>
        </w:tc>
        <w:tc>
          <w:tcPr>
            <w:tcW w:w="1145" w:type="dxa"/>
            <w:tcBorders>
              <w:top w:val="single" w:sz="17" w:space="0" w:color="000000"/>
              <w:left w:val="nil" w:sz="6" w:space="0" w:color="auto"/>
              <w:bottom w:val="single" w:sz="4" w:space="0" w:color="000000"/>
              <w:right w:val="nil" w:sz="6" w:space="0" w:color="auto"/>
            </w:tcBorders>
          </w:tcPr>
          <w:p>
            <w:pPr/>
          </w:p>
        </w:tc>
        <w:tc>
          <w:tcPr>
            <w:tcW w:w="1558" w:type="dxa"/>
            <w:tcBorders>
              <w:top w:val="single" w:sz="17" w:space="0" w:color="000000"/>
              <w:left w:val="nil" w:sz="6" w:space="0" w:color="auto"/>
              <w:bottom w:val="single" w:sz="4" w:space="0" w:color="000000"/>
              <w:right w:val="nil" w:sz="6" w:space="0" w:color="auto"/>
            </w:tcBorders>
          </w:tcPr>
          <w:p>
            <w:pPr/>
          </w:p>
        </w:tc>
      </w:tr>
      <w:tr>
        <w:trPr>
          <w:trHeight w:val="220" w:hRule="exact"/>
        </w:trPr>
        <w:tc>
          <w:tcPr>
            <w:tcW w:w="16049" w:type="dxa"/>
            <w:gridSpan w:val="16"/>
            <w:tcBorders>
              <w:top w:val="single" w:sz="4" w:space="0" w:color="000000"/>
              <w:left w:val="nil" w:sz="6" w:space="0" w:color="auto"/>
              <w:bottom w:val="nil" w:sz="6" w:space="0" w:color="auto"/>
              <w:right w:val="nil" w:sz="6" w:space="0" w:color="auto"/>
            </w:tcBorders>
          </w:tcPr>
          <w:p>
            <w:pPr>
              <w:pStyle w:val="TableParagraph"/>
              <w:tabs>
                <w:tab w:pos="6441" w:val="left" w:leader="none"/>
                <w:tab w:pos="12110" w:val="left" w:leader="none"/>
              </w:tabs>
              <w:spacing w:line="215" w:lineRule="exact"/>
              <w:ind w:left="228" w:right="0"/>
              <w:jc w:val="left"/>
              <w:rPr>
                <w:rFonts w:ascii="宋体" w:hAnsi="宋体" w:cs="宋体" w:eastAsia="宋体" w:hint="default"/>
                <w:sz w:val="18"/>
                <w:szCs w:val="18"/>
              </w:rPr>
            </w:pPr>
            <w:r>
              <w:rPr>
                <w:rFonts w:ascii="宋体" w:hAnsi="宋体" w:cs="宋体" w:eastAsia="宋体" w:hint="default"/>
                <w:sz w:val="18"/>
                <w:szCs w:val="18"/>
              </w:rPr>
              <w:t>公司负责人：</w:t>
            </w:r>
            <w:r>
              <w:rPr>
                <w:rFonts w:ascii="宋体" w:hAnsi="宋体" w:cs="宋体" w:eastAsia="宋体" w:hint="default"/>
                <w:spacing w:val="1"/>
                <w:sz w:val="18"/>
                <w:szCs w:val="18"/>
              </w:rPr>
              <w:t> </w:t>
            </w:r>
            <w:r>
              <w:rPr>
                <w:rFonts w:ascii="宋体" w:hAnsi="宋体" w:cs="宋体" w:eastAsia="宋体" w:hint="default"/>
                <w:sz w:val="18"/>
                <w:szCs w:val="18"/>
              </w:rPr>
              <w:t>黄元忠</w:t>
              <w:tab/>
              <w:t>主管会计工作负责人：</w:t>
            </w:r>
            <w:r>
              <w:rPr>
                <w:rFonts w:ascii="宋体" w:hAnsi="宋体" w:cs="宋体" w:eastAsia="宋体" w:hint="default"/>
                <w:spacing w:val="-2"/>
                <w:sz w:val="18"/>
                <w:szCs w:val="18"/>
              </w:rPr>
              <w:t> </w:t>
            </w:r>
            <w:r>
              <w:rPr>
                <w:rFonts w:ascii="宋体" w:hAnsi="宋体" w:cs="宋体" w:eastAsia="宋体" w:hint="default"/>
                <w:sz w:val="18"/>
                <w:szCs w:val="18"/>
              </w:rPr>
              <w:t>孙晓玲</w:t>
              <w:tab/>
              <w:t>会计机构负责人：全丽</w:t>
            </w:r>
          </w:p>
        </w:tc>
      </w:tr>
    </w:tbl>
    <w:p>
      <w:pPr>
        <w:spacing w:after="0" w:line="215" w:lineRule="exact"/>
        <w:jc w:val="left"/>
        <w:rPr>
          <w:rFonts w:ascii="宋体" w:hAnsi="宋体" w:cs="宋体" w:eastAsia="宋体" w:hint="default"/>
          <w:sz w:val="18"/>
          <w:szCs w:val="18"/>
        </w:rPr>
        <w:sectPr>
          <w:headerReference w:type="default" r:id="rId38"/>
          <w:footerReference w:type="default" r:id="rId39"/>
          <w:pgSz w:w="16840" w:h="11910" w:orient="landscape"/>
          <w:pgMar w:header="870" w:footer="979" w:top="1060" w:bottom="1160" w:left="420" w:right="140"/>
          <w:pgNumType w:start="62"/>
        </w:sectPr>
      </w:pPr>
    </w:p>
    <w:p>
      <w:pPr>
        <w:spacing w:line="240" w:lineRule="auto" w:before="2"/>
        <w:rPr>
          <w:rFonts w:ascii="Times New Roman" w:hAnsi="Times New Roman" w:cs="Times New Roman" w:eastAsia="Times New Roman" w:hint="default"/>
          <w:sz w:val="3"/>
          <w:szCs w:val="3"/>
        </w:rPr>
      </w:pPr>
      <w:r>
        <w:rPr/>
        <w:pict>
          <v:group style="position:absolute;margin-left:171.360001pt;margin-top:138.839508pt;width:41.3pt;height:.1pt;mso-position-horizontal-relative:page;mso-position-vertical-relative:page;z-index:-1159840" coordorigin="3427,2777" coordsize="826,2">
            <v:shape style="position:absolute;left:3427;top:2777;width:826;height:2" coordorigin="3427,2777" coordsize="826,0" path="m3427,2777l4253,2777e" filled="false" stroked="true" strokeweight=".481pt" strokecolor="#000000">
              <v:path arrowok="t"/>
            </v:shape>
            <w10:wrap type="none"/>
          </v:group>
        </w:pict>
      </w:r>
      <w:r>
        <w:rPr/>
        <w:pict>
          <v:group style="position:absolute;margin-left:468.720001pt;margin-top:204.12001pt;width:61.2pt;height:.1pt;mso-position-horizontal-relative:page;mso-position-vertical-relative:page;z-index:-1159816" coordorigin="9374,4082" coordsize="1224,2">
            <v:shape style="position:absolute;left:9374;top:4082;width:1224;height:2" coordorigin="9374,4082" coordsize="1224,0" path="m9374,4082l10598,4082e" filled="false" stroked="true" strokeweight=".48pt" strokecolor="#000000">
              <v:path arrowok="t"/>
            </v:shape>
            <w10:wrap type="none"/>
          </v:group>
        </w:pict>
      </w:r>
      <w:r>
        <w:rPr/>
        <w:pict>
          <v:group style="position:absolute;margin-left:219.360001pt;margin-top:509.279999pt;width:65.9pt;height:2.2pt;mso-position-horizontal-relative:page;mso-position-vertical-relative:page;z-index:-1159792" coordorigin="4387,10186" coordsize="1318,44">
            <v:group style="position:absolute;left:4394;top:10193;width:958;height:2" coordorigin="4394,10193" coordsize="958,2">
              <v:shape style="position:absolute;left:4394;top:10193;width:958;height:2" coordorigin="4394,10193" coordsize="958,0" path="m4394,10193l5352,10193e" filled="false" stroked="true" strokeweight=".72pt" strokecolor="#000000">
                <v:path arrowok="t"/>
              </v:shape>
            </v:group>
            <v:group style="position:absolute;left:4394;top:10222;width:958;height:2" coordorigin="4394,10222" coordsize="958,2">
              <v:shape style="position:absolute;left:4394;top:10222;width:958;height:2" coordorigin="4394,10222" coordsize="958,0" path="m4394,10222l5352,10222e" filled="false" stroked="true" strokeweight=".72pt" strokecolor="#000000">
                <v:path arrowok="t"/>
              </v:shape>
            </v:group>
            <v:group style="position:absolute;left:5352;top:10193;width:44;height:2" coordorigin="5352,10193" coordsize="44,2">
              <v:shape style="position:absolute;left:5352;top:10193;width:44;height:2" coordorigin="5352,10193" coordsize="44,0" path="m5352,10193l5395,10193e" filled="false" stroked="true" strokeweight=".72pt" strokecolor="#000000">
                <v:path arrowok="t"/>
              </v:shape>
            </v:group>
            <v:group style="position:absolute;left:5352;top:10222;width:44;height:2" coordorigin="5352,10222" coordsize="44,2">
              <v:shape style="position:absolute;left:5352;top:10222;width:44;height:2" coordorigin="5352,10222" coordsize="44,0" path="m5352,10222l5395,10222e" filled="false" stroked="true" strokeweight=".72pt" strokecolor="#000000">
                <v:path arrowok="t"/>
              </v:shape>
            </v:group>
            <v:group style="position:absolute;left:5395;top:10193;width:46;height:2" coordorigin="5395,10193" coordsize="46,2">
              <v:shape style="position:absolute;left:5395;top:10193;width:46;height:2" coordorigin="5395,10193" coordsize="46,0" path="m5395,10193l5441,10193e" filled="false" stroked="true" strokeweight=".72pt" strokecolor="#000000">
                <v:path arrowok="t"/>
              </v:shape>
            </v:group>
            <v:group style="position:absolute;left:5395;top:10222;width:46;height:2" coordorigin="5395,10222" coordsize="46,2">
              <v:shape style="position:absolute;left:5395;top:10222;width:46;height:2" coordorigin="5395,10222" coordsize="46,0" path="m5395,10222l5441,10222e" filled="false" stroked="true" strokeweight=".72pt" strokecolor="#000000">
                <v:path arrowok="t"/>
              </v:shape>
            </v:group>
            <v:group style="position:absolute;left:5441;top:10193;width:44;height:2" coordorigin="5441,10193" coordsize="44,2">
              <v:shape style="position:absolute;left:5441;top:10193;width:44;height:2" coordorigin="5441,10193" coordsize="44,0" path="m5441,10193l5484,10193e" filled="false" stroked="true" strokeweight=".72pt" strokecolor="#000000">
                <v:path arrowok="t"/>
              </v:shape>
            </v:group>
            <v:group style="position:absolute;left:5441;top:10222;width:44;height:2" coordorigin="5441,10222" coordsize="44,2">
              <v:shape style="position:absolute;left:5441;top:10222;width:44;height:2" coordorigin="5441,10222" coordsize="44,0" path="m5441,10222l5484,10222e" filled="false" stroked="true" strokeweight=".72pt" strokecolor="#000000">
                <v:path arrowok="t"/>
              </v:shape>
            </v:group>
            <v:group style="position:absolute;left:5484;top:10193;width:214;height:2" coordorigin="5484,10193" coordsize="214,2">
              <v:shape style="position:absolute;left:5484;top:10193;width:214;height:2" coordorigin="5484,10193" coordsize="214,0" path="m5484,10193l5698,10193e" filled="false" stroked="true" strokeweight=".72pt" strokecolor="#000000">
                <v:path arrowok="t"/>
              </v:shape>
            </v:group>
            <v:group style="position:absolute;left:5484;top:10222;width:214;height:2" coordorigin="5484,10222" coordsize="214,2">
              <v:shape style="position:absolute;left:5484;top:10222;width:214;height:2" coordorigin="5484,10222" coordsize="214,0" path="m5484,10222l5698,10222e" filled="false" stroked="true" strokeweight=".72pt" strokecolor="#000000">
                <v:path arrowok="t"/>
              </v:shape>
            </v:group>
            <w10:wrap type="none"/>
          </v:group>
        </w:pict>
      </w:r>
      <w:r>
        <w:rPr/>
        <w:pict>
          <v:group style="position:absolute;margin-left:290.160004pt;margin-top:509.279999pt;width:71.650pt;height:2.2pt;mso-position-horizontal-relative:page;mso-position-vertical-relative:page;z-index:-1159768" coordorigin="5803,10186" coordsize="1433,44">
            <v:group style="position:absolute;left:5810;top:10193;width:1419;height:2" coordorigin="5810,10193" coordsize="1419,2">
              <v:shape style="position:absolute;left:5810;top:10193;width:1419;height:2" coordorigin="5810,10193" coordsize="1419,0" path="m5810,10193l7229,10193e" filled="false" stroked="true" strokeweight=".72pt" strokecolor="#000000">
                <v:path arrowok="t"/>
              </v:shape>
            </v:group>
            <v:group style="position:absolute;left:5810;top:10222;width:1419;height:2" coordorigin="5810,10222" coordsize="1419,2">
              <v:shape style="position:absolute;left:5810;top:10222;width:1419;height:2" coordorigin="5810,10222" coordsize="1419,0" path="m5810,10222l7229,10222e" filled="false" stroked="true" strokeweight=".72pt" strokecolor="#000000">
                <v:path arrowok="t"/>
              </v:shape>
            </v:group>
            <w10:wrap type="none"/>
          </v:group>
        </w:pict>
      </w:r>
      <w:r>
        <w:rPr/>
        <w:pict>
          <v:group style="position:absolute;margin-left:369.480011pt;margin-top:509.279999pt;width:49.85pt;height:2.2pt;mso-position-horizontal-relative:page;mso-position-vertical-relative:page;z-index:-1159744" coordorigin="7390,10186" coordsize="997,44">
            <v:group style="position:absolute;left:7397;top:10193;width:982;height:2" coordorigin="7397,10193" coordsize="982,2">
              <v:shape style="position:absolute;left:7397;top:10193;width:982;height:2" coordorigin="7397,10193" coordsize="982,0" path="m7397,10193l8378,10193e" filled="false" stroked="true" strokeweight=".72pt" strokecolor="#000000">
                <v:path arrowok="t"/>
              </v:shape>
            </v:group>
            <v:group style="position:absolute;left:7397;top:10222;width:982;height:2" coordorigin="7397,10222" coordsize="982,2">
              <v:shape style="position:absolute;left:7397;top:10222;width:982;height:2" coordorigin="7397,10222" coordsize="982,0" path="m7397,10222l8378,10222e" filled="false" stroked="true" strokeweight=".72pt" strokecolor="#000000">
                <v:path arrowok="t"/>
              </v:shape>
            </v:group>
            <w10:wrap type="none"/>
          </v:group>
        </w:pict>
      </w:r>
    </w:p>
    <w:tbl>
      <w:tblPr>
        <w:tblW w:w="0" w:type="auto"/>
        <w:jc w:val="left"/>
        <w:tblInd w:w="117" w:type="dxa"/>
        <w:tblLayout w:type="fixed"/>
        <w:tblCellMar>
          <w:top w:w="0" w:type="dxa"/>
          <w:left w:w="0" w:type="dxa"/>
          <w:bottom w:w="0" w:type="dxa"/>
          <w:right w:w="0" w:type="dxa"/>
        </w:tblCellMar>
        <w:tblLook w:val="01E0"/>
      </w:tblPr>
      <w:tblGrid>
        <w:gridCol w:w="108"/>
        <w:gridCol w:w="2621"/>
        <w:gridCol w:w="161"/>
        <w:gridCol w:w="2270"/>
        <w:gridCol w:w="113"/>
        <w:gridCol w:w="1418"/>
        <w:gridCol w:w="168"/>
        <w:gridCol w:w="982"/>
        <w:gridCol w:w="120"/>
        <w:gridCol w:w="799"/>
        <w:gridCol w:w="1118"/>
        <w:gridCol w:w="1398"/>
        <w:gridCol w:w="1439"/>
        <w:gridCol w:w="161"/>
        <w:gridCol w:w="103"/>
        <w:gridCol w:w="1178"/>
        <w:gridCol w:w="2004"/>
      </w:tblGrid>
      <w:tr>
        <w:trPr>
          <w:trHeight w:val="480" w:hRule="exact"/>
        </w:trPr>
        <w:tc>
          <w:tcPr>
            <w:tcW w:w="16162" w:type="dxa"/>
            <w:gridSpan w:val="17"/>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（所附附注是合并财务报表的组成部分）</w:t>
            </w:r>
          </w:p>
        </w:tc>
      </w:tr>
      <w:tr>
        <w:trPr>
          <w:trHeight w:val="344" w:hRule="exact"/>
        </w:trPr>
        <w:tc>
          <w:tcPr>
            <w:tcW w:w="16162" w:type="dxa"/>
            <w:gridSpan w:val="17"/>
            <w:tcBorders>
              <w:top w:val="nil" w:sz="6" w:space="0" w:color="auto"/>
              <w:left w:val="nil" w:sz="6" w:space="0" w:color="auto"/>
              <w:bottom w:val="nil" w:sz="6" w:space="0" w:color="auto"/>
              <w:right w:val="nil" w:sz="6" w:space="0" w:color="auto"/>
            </w:tcBorders>
          </w:tcPr>
          <w:p>
            <w:pPr>
              <w:pStyle w:val="TableParagraph"/>
              <w:spacing w:line="293" w:lineRule="exact"/>
              <w:ind w:left="-1" w:right="909"/>
              <w:jc w:val="center"/>
              <w:rPr>
                <w:rFonts w:ascii="宋体" w:hAnsi="宋体" w:cs="宋体" w:eastAsia="宋体" w:hint="default"/>
                <w:sz w:val="24"/>
                <w:szCs w:val="24"/>
              </w:rPr>
            </w:pPr>
            <w:r>
              <w:rPr>
                <w:rFonts w:ascii="宋体" w:hAnsi="宋体" w:cs="宋体" w:eastAsia="宋体" w:hint="default"/>
                <w:sz w:val="24"/>
                <w:szCs w:val="24"/>
              </w:rPr>
              <w:t>深圳市方直科技股份有限公司</w:t>
            </w:r>
          </w:p>
        </w:tc>
      </w:tr>
      <w:tr>
        <w:trPr>
          <w:trHeight w:val="326" w:hRule="exact"/>
        </w:trPr>
        <w:tc>
          <w:tcPr>
            <w:tcW w:w="16162" w:type="dxa"/>
            <w:gridSpan w:val="17"/>
            <w:tcBorders>
              <w:top w:val="nil" w:sz="6" w:space="0" w:color="auto"/>
              <w:left w:val="nil" w:sz="6" w:space="0" w:color="auto"/>
              <w:bottom w:val="nil" w:sz="6" w:space="0" w:color="auto"/>
              <w:right w:val="nil" w:sz="6" w:space="0" w:color="auto"/>
            </w:tcBorders>
          </w:tcPr>
          <w:p>
            <w:pPr>
              <w:pStyle w:val="TableParagraph"/>
              <w:spacing w:line="290" w:lineRule="exact"/>
              <w:ind w:left="-1" w:right="909"/>
              <w:jc w:val="center"/>
              <w:rPr>
                <w:rFonts w:ascii="宋体" w:hAnsi="宋体" w:cs="宋体" w:eastAsia="宋体" w:hint="default"/>
                <w:sz w:val="24"/>
                <w:szCs w:val="24"/>
              </w:rPr>
            </w:pPr>
            <w:r>
              <w:rPr>
                <w:rFonts w:ascii="宋体" w:hAnsi="宋体" w:cs="宋体" w:eastAsia="宋体" w:hint="default"/>
                <w:sz w:val="24"/>
                <w:szCs w:val="24"/>
              </w:rPr>
              <w:t>合并股东权益变动表</w:t>
            </w:r>
          </w:p>
        </w:tc>
      </w:tr>
      <w:tr>
        <w:trPr>
          <w:trHeight w:val="253" w:hRule="exact"/>
        </w:trPr>
        <w:tc>
          <w:tcPr>
            <w:tcW w:w="108" w:type="dxa"/>
            <w:tcBorders>
              <w:top w:val="nil" w:sz="6" w:space="0" w:color="auto"/>
              <w:left w:val="nil" w:sz="6" w:space="0" w:color="auto"/>
              <w:bottom w:val="nil" w:sz="6" w:space="0" w:color="auto"/>
              <w:right w:val="nil" w:sz="6" w:space="0" w:color="auto"/>
            </w:tcBorders>
          </w:tcPr>
          <w:p>
            <w:pPr/>
          </w:p>
        </w:tc>
        <w:tc>
          <w:tcPr>
            <w:tcW w:w="2621" w:type="dxa"/>
            <w:tcBorders>
              <w:top w:val="nil" w:sz="6" w:space="0" w:color="auto"/>
              <w:left w:val="nil" w:sz="6" w:space="0" w:color="auto"/>
              <w:bottom w:val="nil" w:sz="6" w:space="0" w:color="auto"/>
              <w:right w:val="nil" w:sz="6" w:space="0" w:color="auto"/>
            </w:tcBorders>
          </w:tcPr>
          <w:p>
            <w:pPr/>
          </w:p>
        </w:tc>
        <w:tc>
          <w:tcPr>
            <w:tcW w:w="161" w:type="dxa"/>
            <w:tcBorders>
              <w:top w:val="nil" w:sz="6" w:space="0" w:color="auto"/>
              <w:left w:val="nil" w:sz="6" w:space="0" w:color="auto"/>
              <w:bottom w:val="nil" w:sz="6" w:space="0" w:color="auto"/>
              <w:right w:val="nil" w:sz="6" w:space="0" w:color="auto"/>
            </w:tcBorders>
          </w:tcPr>
          <w:p>
            <w:pPr/>
          </w:p>
        </w:tc>
        <w:tc>
          <w:tcPr>
            <w:tcW w:w="2270" w:type="dxa"/>
            <w:tcBorders>
              <w:top w:val="nil" w:sz="6" w:space="0" w:color="auto"/>
              <w:left w:val="nil" w:sz="6" w:space="0" w:color="auto"/>
              <w:bottom w:val="nil" w:sz="6" w:space="0" w:color="auto"/>
              <w:right w:val="nil" w:sz="6" w:space="0" w:color="auto"/>
            </w:tcBorders>
          </w:tcPr>
          <w:p>
            <w:pPr/>
          </w:p>
        </w:tc>
        <w:tc>
          <w:tcPr>
            <w:tcW w:w="2681" w:type="dxa"/>
            <w:gridSpan w:val="4"/>
            <w:tcBorders>
              <w:top w:val="nil" w:sz="6" w:space="0" w:color="auto"/>
              <w:left w:val="nil" w:sz="6" w:space="0" w:color="auto"/>
              <w:bottom w:val="nil" w:sz="6" w:space="0" w:color="auto"/>
              <w:right w:val="nil" w:sz="6" w:space="0" w:color="auto"/>
            </w:tcBorders>
          </w:tcPr>
          <w:p>
            <w:pPr>
              <w:pStyle w:val="TableParagraph"/>
              <w:spacing w:line="215" w:lineRule="exact"/>
              <w:ind w:left="1380"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年度</w:t>
            </w:r>
          </w:p>
        </w:tc>
        <w:tc>
          <w:tcPr>
            <w:tcW w:w="120" w:type="dxa"/>
            <w:tcBorders>
              <w:top w:val="nil" w:sz="6" w:space="0" w:color="auto"/>
              <w:left w:val="nil" w:sz="6" w:space="0" w:color="auto"/>
              <w:bottom w:val="nil" w:sz="6" w:space="0" w:color="auto"/>
              <w:right w:val="nil" w:sz="6" w:space="0" w:color="auto"/>
            </w:tcBorders>
          </w:tcPr>
          <w:p>
            <w:pPr/>
          </w:p>
        </w:tc>
        <w:tc>
          <w:tcPr>
            <w:tcW w:w="799" w:type="dxa"/>
            <w:tcBorders>
              <w:top w:val="nil" w:sz="6" w:space="0" w:color="auto"/>
              <w:left w:val="nil" w:sz="6" w:space="0" w:color="auto"/>
              <w:bottom w:val="nil" w:sz="6" w:space="0" w:color="auto"/>
              <w:right w:val="nil" w:sz="6" w:space="0" w:color="auto"/>
            </w:tcBorders>
          </w:tcPr>
          <w:p>
            <w:pPr/>
          </w:p>
        </w:tc>
        <w:tc>
          <w:tcPr>
            <w:tcW w:w="1118" w:type="dxa"/>
            <w:tcBorders>
              <w:top w:val="nil" w:sz="6" w:space="0" w:color="auto"/>
              <w:left w:val="nil" w:sz="6" w:space="0" w:color="auto"/>
              <w:bottom w:val="nil" w:sz="6" w:space="0" w:color="auto"/>
              <w:right w:val="nil" w:sz="6" w:space="0" w:color="auto"/>
            </w:tcBorders>
          </w:tcPr>
          <w:p>
            <w:pPr/>
          </w:p>
        </w:tc>
        <w:tc>
          <w:tcPr>
            <w:tcW w:w="1398" w:type="dxa"/>
            <w:tcBorders>
              <w:top w:val="nil" w:sz="6" w:space="0" w:color="auto"/>
              <w:left w:val="nil" w:sz="6" w:space="0" w:color="auto"/>
              <w:bottom w:val="nil" w:sz="6" w:space="0" w:color="auto"/>
              <w:right w:val="nil" w:sz="6" w:space="0" w:color="auto"/>
            </w:tcBorders>
          </w:tcPr>
          <w:p>
            <w:pPr/>
          </w:p>
        </w:tc>
        <w:tc>
          <w:tcPr>
            <w:tcW w:w="1439" w:type="dxa"/>
            <w:tcBorders>
              <w:top w:val="nil" w:sz="6" w:space="0" w:color="auto"/>
              <w:left w:val="nil" w:sz="6" w:space="0" w:color="auto"/>
              <w:bottom w:val="nil" w:sz="6" w:space="0" w:color="auto"/>
              <w:right w:val="nil" w:sz="6" w:space="0" w:color="auto"/>
            </w:tcBorders>
          </w:tcPr>
          <w:p>
            <w:pPr/>
          </w:p>
        </w:tc>
        <w:tc>
          <w:tcPr>
            <w:tcW w:w="161" w:type="dxa"/>
            <w:tcBorders>
              <w:top w:val="nil" w:sz="6" w:space="0" w:color="auto"/>
              <w:left w:val="nil" w:sz="6" w:space="0" w:color="auto"/>
              <w:bottom w:val="nil" w:sz="6" w:space="0" w:color="auto"/>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
        </w:tc>
        <w:tc>
          <w:tcPr>
            <w:tcW w:w="1178" w:type="dxa"/>
            <w:tcBorders>
              <w:top w:val="nil" w:sz="6" w:space="0" w:color="auto"/>
              <w:left w:val="nil" w:sz="6" w:space="0" w:color="auto"/>
              <w:bottom w:val="nil" w:sz="6" w:space="0" w:color="auto"/>
              <w:right w:val="nil" w:sz="6" w:space="0" w:color="auto"/>
            </w:tcBorders>
          </w:tcPr>
          <w:p>
            <w:pPr/>
          </w:p>
        </w:tc>
        <w:tc>
          <w:tcPr>
            <w:tcW w:w="2004" w:type="dxa"/>
            <w:tcBorders>
              <w:top w:val="nil" w:sz="6" w:space="0" w:color="auto"/>
              <w:left w:val="nil" w:sz="6" w:space="0" w:color="auto"/>
              <w:bottom w:val="nil" w:sz="6" w:space="0" w:color="auto"/>
              <w:right w:val="nil" w:sz="6" w:space="0" w:color="auto"/>
            </w:tcBorders>
          </w:tcPr>
          <w:p>
            <w:pPr>
              <w:pStyle w:val="TableParagraph"/>
              <w:spacing w:line="215" w:lineRule="exact"/>
              <w:ind w:left="180" w:right="0"/>
              <w:jc w:val="left"/>
              <w:rPr>
                <w:rFonts w:ascii="宋体" w:hAnsi="宋体" w:cs="宋体" w:eastAsia="宋体" w:hint="default"/>
                <w:sz w:val="18"/>
                <w:szCs w:val="18"/>
              </w:rPr>
            </w:pPr>
            <w:r>
              <w:rPr>
                <w:rFonts w:ascii="宋体" w:hAnsi="宋体" w:cs="宋体" w:eastAsia="宋体" w:hint="default"/>
                <w:sz w:val="18"/>
                <w:szCs w:val="18"/>
              </w:rPr>
              <w:t>单位：人民币元</w:t>
            </w:r>
          </w:p>
        </w:tc>
      </w:tr>
      <w:tr>
        <w:trPr>
          <w:trHeight w:val="261" w:hRule="exact"/>
        </w:trPr>
        <w:tc>
          <w:tcPr>
            <w:tcW w:w="108" w:type="dxa"/>
            <w:tcBorders>
              <w:top w:val="nil" w:sz="6" w:space="0" w:color="auto"/>
              <w:left w:val="nil" w:sz="6" w:space="0" w:color="auto"/>
              <w:bottom w:val="nil" w:sz="6" w:space="0" w:color="auto"/>
              <w:right w:val="nil" w:sz="6" w:space="0" w:color="auto"/>
            </w:tcBorders>
          </w:tcPr>
          <w:p>
            <w:pPr/>
          </w:p>
        </w:tc>
        <w:tc>
          <w:tcPr>
            <w:tcW w:w="2621" w:type="dxa"/>
            <w:tcBorders>
              <w:top w:val="nil" w:sz="6" w:space="0" w:color="auto"/>
              <w:left w:val="nil" w:sz="6" w:space="0" w:color="auto"/>
              <w:bottom w:val="single" w:sz="4" w:space="0" w:color="000000"/>
              <w:right w:val="nil" w:sz="6" w:space="0" w:color="auto"/>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161" w:type="dxa"/>
            <w:tcBorders>
              <w:top w:val="nil" w:sz="6" w:space="0" w:color="auto"/>
              <w:left w:val="nil" w:sz="6" w:space="0" w:color="auto"/>
              <w:bottom w:val="nil" w:sz="6" w:space="0" w:color="auto"/>
              <w:right w:val="nil" w:sz="6" w:space="0" w:color="auto"/>
            </w:tcBorders>
          </w:tcPr>
          <w:p>
            <w:pPr/>
          </w:p>
        </w:tc>
        <w:tc>
          <w:tcPr>
            <w:tcW w:w="2270" w:type="dxa"/>
            <w:tcBorders>
              <w:top w:val="nil" w:sz="6" w:space="0" w:color="auto"/>
              <w:left w:val="nil" w:sz="6" w:space="0" w:color="auto"/>
              <w:bottom w:val="single" w:sz="4" w:space="0" w:color="000000"/>
              <w:right w:val="nil" w:sz="6" w:space="0" w:color="auto"/>
            </w:tcBorders>
          </w:tcPr>
          <w:p>
            <w:pPr>
              <w:pStyle w:val="TableParagraph"/>
              <w:spacing w:line="217" w:lineRule="exact"/>
              <w:ind w:left="144" w:right="0"/>
              <w:jc w:val="left"/>
              <w:rPr>
                <w:rFonts w:ascii="宋体" w:hAnsi="宋体" w:cs="宋体" w:eastAsia="宋体" w:hint="default"/>
                <w:sz w:val="18"/>
                <w:szCs w:val="18"/>
              </w:rPr>
            </w:pPr>
            <w:r>
              <w:rPr>
                <w:rFonts w:ascii="宋体" w:hAnsi="宋体" w:cs="宋体" w:eastAsia="宋体" w:hint="default"/>
                <w:sz w:val="18"/>
                <w:szCs w:val="18"/>
              </w:rPr>
              <w:t>附注六</w:t>
            </w:r>
          </w:p>
        </w:tc>
        <w:tc>
          <w:tcPr>
            <w:tcW w:w="113" w:type="dxa"/>
            <w:tcBorders>
              <w:top w:val="nil" w:sz="6" w:space="0" w:color="auto"/>
              <w:left w:val="nil" w:sz="6" w:space="0" w:color="auto"/>
              <w:bottom w:val="single" w:sz="4" w:space="0" w:color="000000"/>
              <w:right w:val="nil" w:sz="6" w:space="0" w:color="auto"/>
            </w:tcBorders>
          </w:tcPr>
          <w:p>
            <w:pPr/>
          </w:p>
        </w:tc>
        <w:tc>
          <w:tcPr>
            <w:tcW w:w="1418" w:type="dxa"/>
            <w:tcBorders>
              <w:top w:val="nil" w:sz="6" w:space="0" w:color="auto"/>
              <w:left w:val="nil" w:sz="6" w:space="0" w:color="auto"/>
              <w:bottom w:val="single" w:sz="4" w:space="0" w:color="000000"/>
              <w:right w:val="nil" w:sz="6" w:space="0" w:color="auto"/>
            </w:tcBorders>
          </w:tcPr>
          <w:p>
            <w:pPr/>
          </w:p>
        </w:tc>
        <w:tc>
          <w:tcPr>
            <w:tcW w:w="168" w:type="dxa"/>
            <w:tcBorders>
              <w:top w:val="nil" w:sz="6" w:space="0" w:color="auto"/>
              <w:left w:val="nil" w:sz="6" w:space="0" w:color="auto"/>
              <w:bottom w:val="single" w:sz="4" w:space="0" w:color="000000"/>
              <w:right w:val="nil" w:sz="6" w:space="0" w:color="auto"/>
            </w:tcBorders>
          </w:tcPr>
          <w:p>
            <w:pPr/>
          </w:p>
        </w:tc>
        <w:tc>
          <w:tcPr>
            <w:tcW w:w="982" w:type="dxa"/>
            <w:tcBorders>
              <w:top w:val="nil" w:sz="6" w:space="0" w:color="auto"/>
              <w:left w:val="nil" w:sz="6" w:space="0" w:color="auto"/>
              <w:bottom w:val="single" w:sz="4" w:space="0" w:color="000000"/>
              <w:right w:val="nil" w:sz="6" w:space="0" w:color="auto"/>
            </w:tcBorders>
          </w:tcPr>
          <w:p>
            <w:pPr/>
          </w:p>
        </w:tc>
        <w:tc>
          <w:tcPr>
            <w:tcW w:w="120" w:type="dxa"/>
            <w:tcBorders>
              <w:top w:val="nil" w:sz="6" w:space="0" w:color="auto"/>
              <w:left w:val="nil" w:sz="6" w:space="0" w:color="auto"/>
              <w:bottom w:val="single" w:sz="4" w:space="0" w:color="000000"/>
              <w:right w:val="nil" w:sz="6" w:space="0" w:color="auto"/>
            </w:tcBorders>
          </w:tcPr>
          <w:p>
            <w:pPr/>
          </w:p>
        </w:tc>
        <w:tc>
          <w:tcPr>
            <w:tcW w:w="799" w:type="dxa"/>
            <w:tcBorders>
              <w:top w:val="nil" w:sz="6" w:space="0" w:color="auto"/>
              <w:left w:val="nil" w:sz="6" w:space="0" w:color="auto"/>
              <w:bottom w:val="single" w:sz="4" w:space="0" w:color="000000"/>
              <w:right w:val="nil" w:sz="6" w:space="0" w:color="auto"/>
            </w:tcBorders>
          </w:tcPr>
          <w:p>
            <w:pPr/>
          </w:p>
        </w:tc>
        <w:tc>
          <w:tcPr>
            <w:tcW w:w="2516" w:type="dxa"/>
            <w:gridSpan w:val="2"/>
            <w:tcBorders>
              <w:top w:val="nil" w:sz="6" w:space="0" w:color="auto"/>
              <w:left w:val="nil" w:sz="6" w:space="0" w:color="auto"/>
              <w:bottom w:val="single" w:sz="4" w:space="0" w:color="000000"/>
              <w:right w:val="nil" w:sz="6" w:space="0" w:color="auto"/>
            </w:tcBorders>
          </w:tcPr>
          <w:p>
            <w:pPr>
              <w:pStyle w:val="TableParagraph"/>
              <w:spacing w:line="217" w:lineRule="exact"/>
              <w:ind w:left="81"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1439" w:type="dxa"/>
            <w:tcBorders>
              <w:top w:val="nil" w:sz="6" w:space="0" w:color="auto"/>
              <w:left w:val="nil" w:sz="6" w:space="0" w:color="auto"/>
              <w:bottom w:val="single" w:sz="4" w:space="0" w:color="000000"/>
              <w:right w:val="nil" w:sz="6" w:space="0" w:color="auto"/>
            </w:tcBorders>
          </w:tcPr>
          <w:p>
            <w:pPr/>
          </w:p>
        </w:tc>
        <w:tc>
          <w:tcPr>
            <w:tcW w:w="161" w:type="dxa"/>
            <w:tcBorders>
              <w:top w:val="nil" w:sz="6" w:space="0" w:color="auto"/>
              <w:left w:val="nil" w:sz="6" w:space="0" w:color="auto"/>
              <w:bottom w:val="single" w:sz="4" w:space="0" w:color="000000"/>
              <w:right w:val="nil" w:sz="6" w:space="0" w:color="auto"/>
            </w:tcBorders>
          </w:tcPr>
          <w:p>
            <w:pPr/>
          </w:p>
        </w:tc>
        <w:tc>
          <w:tcPr>
            <w:tcW w:w="103" w:type="dxa"/>
            <w:tcBorders>
              <w:top w:val="nil" w:sz="6" w:space="0" w:color="auto"/>
              <w:left w:val="nil" w:sz="6" w:space="0" w:color="auto"/>
              <w:bottom w:val="single" w:sz="4" w:space="0" w:color="000000"/>
              <w:right w:val="nil" w:sz="6" w:space="0" w:color="auto"/>
            </w:tcBorders>
          </w:tcPr>
          <w:p>
            <w:pPr/>
          </w:p>
        </w:tc>
        <w:tc>
          <w:tcPr>
            <w:tcW w:w="1178" w:type="dxa"/>
            <w:tcBorders>
              <w:top w:val="nil" w:sz="6" w:space="0" w:color="auto"/>
              <w:left w:val="nil" w:sz="6" w:space="0" w:color="auto"/>
              <w:bottom w:val="single" w:sz="4" w:space="0" w:color="000000"/>
              <w:right w:val="nil" w:sz="6" w:space="0" w:color="auto"/>
            </w:tcBorders>
          </w:tcPr>
          <w:p>
            <w:pPr/>
          </w:p>
        </w:tc>
        <w:tc>
          <w:tcPr>
            <w:tcW w:w="2004" w:type="dxa"/>
            <w:tcBorders>
              <w:top w:val="nil" w:sz="6" w:space="0" w:color="auto"/>
              <w:left w:val="nil" w:sz="6" w:space="0" w:color="auto"/>
              <w:bottom w:val="single" w:sz="4" w:space="0" w:color="000000"/>
              <w:right w:val="nil" w:sz="6" w:space="0" w:color="auto"/>
            </w:tcBorders>
          </w:tcPr>
          <w:p>
            <w:pPr/>
          </w:p>
        </w:tc>
      </w:tr>
      <w:tr>
        <w:trPr>
          <w:trHeight w:val="264" w:hRule="exact"/>
        </w:trPr>
        <w:tc>
          <w:tcPr>
            <w:tcW w:w="108" w:type="dxa"/>
            <w:tcBorders>
              <w:top w:val="nil" w:sz="6" w:space="0" w:color="auto"/>
              <w:left w:val="nil" w:sz="6" w:space="0" w:color="auto"/>
              <w:bottom w:val="nil" w:sz="6" w:space="0" w:color="auto"/>
              <w:right w:val="nil" w:sz="6" w:space="0" w:color="auto"/>
            </w:tcBorders>
          </w:tcPr>
          <w:p>
            <w:pPr/>
          </w:p>
        </w:tc>
        <w:tc>
          <w:tcPr>
            <w:tcW w:w="2621" w:type="dxa"/>
            <w:tcBorders>
              <w:top w:val="single" w:sz="4" w:space="0" w:color="000000"/>
              <w:left w:val="nil" w:sz="6" w:space="0" w:color="auto"/>
              <w:bottom w:val="nil" w:sz="6" w:space="0" w:color="auto"/>
              <w:right w:val="nil" w:sz="6" w:space="0" w:color="auto"/>
            </w:tcBorders>
          </w:tcPr>
          <w:p>
            <w:pPr/>
          </w:p>
        </w:tc>
        <w:tc>
          <w:tcPr>
            <w:tcW w:w="161" w:type="dxa"/>
            <w:tcBorders>
              <w:top w:val="nil" w:sz="6" w:space="0" w:color="auto"/>
              <w:left w:val="nil" w:sz="6" w:space="0" w:color="auto"/>
              <w:bottom w:val="nil" w:sz="6" w:space="0" w:color="auto"/>
              <w:right w:val="nil" w:sz="6" w:space="0" w:color="auto"/>
            </w:tcBorders>
          </w:tcPr>
          <w:p>
            <w:pPr/>
          </w:p>
        </w:tc>
        <w:tc>
          <w:tcPr>
            <w:tcW w:w="2270" w:type="dxa"/>
            <w:tcBorders>
              <w:top w:val="single" w:sz="4" w:space="0" w:color="000000"/>
              <w:left w:val="nil" w:sz="6" w:space="0" w:color="auto"/>
              <w:bottom w:val="single" w:sz="4" w:space="0" w:color="000000"/>
              <w:right w:val="nil" w:sz="6" w:space="0" w:color="auto"/>
            </w:tcBorders>
          </w:tcPr>
          <w:p>
            <w:pPr>
              <w:pStyle w:val="TableParagraph"/>
              <w:spacing w:line="215" w:lineRule="exact"/>
              <w:ind w:left="144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13" w:type="dxa"/>
            <w:tcBorders>
              <w:top w:val="single" w:sz="4" w:space="0" w:color="000000"/>
              <w:left w:val="nil" w:sz="6" w:space="0" w:color="auto"/>
              <w:bottom w:val="nil" w:sz="6" w:space="0" w:color="auto"/>
              <w:right w:val="nil" w:sz="6" w:space="0" w:color="auto"/>
            </w:tcBorders>
          </w:tcPr>
          <w:p>
            <w:pPr/>
          </w:p>
        </w:tc>
        <w:tc>
          <w:tcPr>
            <w:tcW w:w="1418" w:type="dxa"/>
            <w:tcBorders>
              <w:top w:val="single" w:sz="4" w:space="0" w:color="000000"/>
              <w:left w:val="nil" w:sz="6" w:space="0" w:color="auto"/>
              <w:bottom w:val="single" w:sz="4" w:space="0" w:color="000000"/>
              <w:right w:val="nil" w:sz="6" w:space="0" w:color="auto"/>
            </w:tcBorders>
          </w:tcPr>
          <w:p>
            <w:pPr>
              <w:pStyle w:val="TableParagraph"/>
              <w:spacing w:line="215" w:lineRule="exact"/>
              <w:ind w:left="35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68" w:type="dxa"/>
            <w:tcBorders>
              <w:top w:val="single" w:sz="4" w:space="0" w:color="000000"/>
              <w:left w:val="nil" w:sz="6" w:space="0" w:color="auto"/>
              <w:bottom w:val="nil" w:sz="6" w:space="0" w:color="auto"/>
              <w:right w:val="nil" w:sz="6" w:space="0" w:color="auto"/>
            </w:tcBorders>
          </w:tcPr>
          <w:p>
            <w:pPr/>
          </w:p>
        </w:tc>
        <w:tc>
          <w:tcPr>
            <w:tcW w:w="982" w:type="dxa"/>
            <w:tcBorders>
              <w:top w:val="single" w:sz="4" w:space="0" w:color="000000"/>
              <w:left w:val="nil" w:sz="6" w:space="0" w:color="auto"/>
              <w:bottom w:val="single" w:sz="4" w:space="0" w:color="000000"/>
              <w:right w:val="nil" w:sz="6" w:space="0" w:color="auto"/>
            </w:tcBorders>
          </w:tcPr>
          <w:p>
            <w:pPr>
              <w:pStyle w:val="TableParagraph"/>
              <w:spacing w:line="215" w:lineRule="exact"/>
              <w:ind w:left="40"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20" w:type="dxa"/>
            <w:tcBorders>
              <w:top w:val="single" w:sz="4" w:space="0" w:color="000000"/>
              <w:left w:val="nil" w:sz="6" w:space="0" w:color="auto"/>
              <w:bottom w:val="nil" w:sz="6" w:space="0" w:color="auto"/>
              <w:right w:val="nil" w:sz="6" w:space="0" w:color="auto"/>
            </w:tcBorders>
          </w:tcPr>
          <w:p>
            <w:pPr/>
          </w:p>
        </w:tc>
        <w:tc>
          <w:tcPr>
            <w:tcW w:w="799" w:type="dxa"/>
            <w:tcBorders>
              <w:top w:val="single" w:sz="4" w:space="0" w:color="000000"/>
              <w:left w:val="nil" w:sz="6" w:space="0" w:color="auto"/>
              <w:bottom w:val="single" w:sz="4" w:space="0" w:color="000000"/>
              <w:right w:val="nil" w:sz="6" w:space="0" w:color="auto"/>
            </w:tcBorders>
          </w:tcPr>
          <w:p>
            <w:pPr>
              <w:pStyle w:val="TableParagraph"/>
              <w:spacing w:line="215" w:lineRule="exact"/>
              <w:ind w:right="36"/>
              <w:jc w:val="right"/>
              <w:rPr>
                <w:rFonts w:ascii="宋体" w:hAnsi="宋体" w:cs="宋体" w:eastAsia="宋体" w:hint="default"/>
                <w:sz w:val="18"/>
                <w:szCs w:val="18"/>
              </w:rPr>
            </w:pPr>
            <w:r>
              <w:rPr>
                <w:rFonts w:ascii="宋体" w:hAnsi="宋体" w:cs="宋体" w:eastAsia="宋体" w:hint="default"/>
                <w:sz w:val="18"/>
                <w:szCs w:val="18"/>
              </w:rPr>
              <w:t>专项储备</w:t>
            </w:r>
          </w:p>
        </w:tc>
        <w:tc>
          <w:tcPr>
            <w:tcW w:w="1118" w:type="dxa"/>
            <w:tcBorders>
              <w:top w:val="single" w:sz="4" w:space="0" w:color="000000"/>
              <w:left w:val="nil" w:sz="6" w:space="0" w:color="auto"/>
              <w:bottom w:val="single" w:sz="4" w:space="0" w:color="000000"/>
              <w:right w:val="nil" w:sz="6" w:space="0" w:color="auto"/>
            </w:tcBorders>
          </w:tcPr>
          <w:p>
            <w:pPr>
              <w:pStyle w:val="TableParagraph"/>
              <w:spacing w:line="215" w:lineRule="exact"/>
              <w:ind w:left="33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398" w:type="dxa"/>
            <w:tcBorders>
              <w:top w:val="single" w:sz="4" w:space="0" w:color="000000"/>
              <w:left w:val="nil" w:sz="6" w:space="0" w:color="auto"/>
              <w:bottom w:val="single" w:sz="4" w:space="0" w:color="000000"/>
              <w:right w:val="nil" w:sz="6" w:space="0" w:color="auto"/>
            </w:tcBorders>
          </w:tcPr>
          <w:p>
            <w:pPr>
              <w:pStyle w:val="TableParagraph"/>
              <w:spacing w:line="215" w:lineRule="exact"/>
              <w:ind w:left="347" w:right="-31"/>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439" w:type="dxa"/>
            <w:tcBorders>
              <w:top w:val="single" w:sz="4" w:space="0" w:color="000000"/>
              <w:left w:val="nil" w:sz="6" w:space="0" w:color="auto"/>
              <w:bottom w:val="single" w:sz="4" w:space="0" w:color="000000"/>
              <w:right w:val="nil" w:sz="6" w:space="0" w:color="auto"/>
            </w:tcBorders>
          </w:tcPr>
          <w:p>
            <w:pPr>
              <w:pStyle w:val="TableParagraph"/>
              <w:spacing w:line="215" w:lineRule="exact"/>
              <w:ind w:right="89"/>
              <w:jc w:val="right"/>
              <w:rPr>
                <w:rFonts w:ascii="宋体" w:hAnsi="宋体" w:cs="宋体" w:eastAsia="宋体" w:hint="default"/>
                <w:sz w:val="18"/>
                <w:szCs w:val="18"/>
              </w:rPr>
            </w:pPr>
            <w:r>
              <w:rPr>
                <w:rFonts w:ascii="宋体" w:hAnsi="宋体" w:cs="宋体" w:eastAsia="宋体" w:hint="default"/>
                <w:sz w:val="18"/>
                <w:szCs w:val="18"/>
              </w:rPr>
              <w:t>未分配利润</w:t>
            </w:r>
          </w:p>
        </w:tc>
        <w:tc>
          <w:tcPr>
            <w:tcW w:w="161" w:type="dxa"/>
            <w:tcBorders>
              <w:top w:val="single" w:sz="4" w:space="0" w:color="000000"/>
              <w:left w:val="nil" w:sz="6" w:space="0" w:color="auto"/>
              <w:bottom w:val="single" w:sz="4" w:space="0" w:color="000000"/>
              <w:right w:val="nil" w:sz="6" w:space="0" w:color="auto"/>
            </w:tcBorders>
          </w:tcPr>
          <w:p>
            <w:pPr/>
          </w:p>
        </w:tc>
        <w:tc>
          <w:tcPr>
            <w:tcW w:w="103" w:type="dxa"/>
            <w:tcBorders>
              <w:top w:val="single" w:sz="4" w:space="0" w:color="000000"/>
              <w:left w:val="nil" w:sz="6" w:space="0" w:color="auto"/>
              <w:bottom w:val="nil" w:sz="6" w:space="0" w:color="auto"/>
              <w:right w:val="nil" w:sz="6" w:space="0" w:color="auto"/>
            </w:tcBorders>
          </w:tcPr>
          <w:p>
            <w:pPr/>
          </w:p>
        </w:tc>
        <w:tc>
          <w:tcPr>
            <w:tcW w:w="1178" w:type="dxa"/>
            <w:tcBorders>
              <w:top w:val="single" w:sz="4" w:space="0" w:color="000000"/>
              <w:left w:val="nil" w:sz="6" w:space="0" w:color="auto"/>
              <w:bottom w:val="single" w:sz="4" w:space="0" w:color="000000"/>
              <w:right w:val="nil" w:sz="6" w:space="0" w:color="auto"/>
            </w:tcBorders>
          </w:tcPr>
          <w:p>
            <w:pPr>
              <w:pStyle w:val="TableParagraph"/>
              <w:spacing w:line="215" w:lineRule="exact"/>
              <w:ind w:right="47"/>
              <w:jc w:val="right"/>
              <w:rPr>
                <w:rFonts w:ascii="宋体" w:hAnsi="宋体" w:cs="宋体" w:eastAsia="宋体" w:hint="default"/>
                <w:sz w:val="18"/>
                <w:szCs w:val="18"/>
              </w:rPr>
            </w:pPr>
            <w:r>
              <w:rPr>
                <w:rFonts w:ascii="宋体" w:hAnsi="宋体" w:cs="宋体" w:eastAsia="宋体" w:hint="default"/>
                <w:sz w:val="18"/>
                <w:szCs w:val="18"/>
              </w:rPr>
              <w:t>少数股东权益</w:t>
            </w:r>
          </w:p>
        </w:tc>
        <w:tc>
          <w:tcPr>
            <w:tcW w:w="2004" w:type="dxa"/>
            <w:tcBorders>
              <w:top w:val="single" w:sz="4" w:space="0" w:color="000000"/>
              <w:left w:val="nil" w:sz="6" w:space="0" w:color="auto"/>
              <w:bottom w:val="single" w:sz="4" w:space="0" w:color="000000"/>
              <w:right w:val="nil" w:sz="6" w:space="0" w:color="auto"/>
            </w:tcBorders>
          </w:tcPr>
          <w:p>
            <w:pPr>
              <w:pStyle w:val="TableParagraph"/>
              <w:spacing w:line="215" w:lineRule="exact"/>
              <w:ind w:left="232" w:right="0"/>
              <w:jc w:val="left"/>
              <w:rPr>
                <w:rFonts w:ascii="宋体" w:hAnsi="宋体" w:cs="宋体" w:eastAsia="宋体" w:hint="default"/>
                <w:sz w:val="18"/>
                <w:szCs w:val="18"/>
              </w:rPr>
            </w:pPr>
            <w:r>
              <w:rPr>
                <w:rFonts w:ascii="宋体" w:hAnsi="宋体" w:cs="宋体" w:eastAsia="宋体" w:hint="default"/>
                <w:sz w:val="18"/>
                <w:szCs w:val="18"/>
              </w:rPr>
              <w:t>股东权益合计</w:t>
            </w:r>
          </w:p>
        </w:tc>
      </w:tr>
      <w:tr>
        <w:trPr>
          <w:trHeight w:val="266" w:hRule="exact"/>
        </w:trPr>
        <w:tc>
          <w:tcPr>
            <w:tcW w:w="108" w:type="dxa"/>
            <w:tcBorders>
              <w:top w:val="nil" w:sz="6" w:space="0" w:color="auto"/>
              <w:left w:val="nil" w:sz="6" w:space="0" w:color="auto"/>
              <w:bottom w:val="nil" w:sz="6" w:space="0" w:color="auto"/>
              <w:right w:val="nil" w:sz="6" w:space="0" w:color="auto"/>
            </w:tcBorders>
          </w:tcPr>
          <w:p>
            <w:pPr/>
          </w:p>
        </w:tc>
        <w:tc>
          <w:tcPr>
            <w:tcW w:w="2621" w:type="dxa"/>
            <w:tcBorders>
              <w:top w:val="nil" w:sz="6" w:space="0" w:color="auto"/>
              <w:left w:val="nil" w:sz="6" w:space="0" w:color="auto"/>
              <w:bottom w:val="nil" w:sz="6" w:space="0" w:color="auto"/>
              <w:right w:val="nil" w:sz="6" w:space="0" w:color="auto"/>
            </w:tcBorders>
          </w:tcPr>
          <w:p>
            <w:pPr>
              <w:pStyle w:val="TableParagraph"/>
              <w:spacing w:line="222" w:lineRule="exact"/>
              <w:ind w:left="28" w:right="0"/>
              <w:jc w:val="left"/>
              <w:rPr>
                <w:rFonts w:ascii="宋体" w:hAnsi="宋体" w:cs="宋体" w:eastAsia="宋体" w:hint="default"/>
                <w:sz w:val="18"/>
                <w:szCs w:val="18"/>
              </w:rPr>
            </w:pPr>
            <w:r>
              <w:rPr>
                <w:rFonts w:ascii="宋体" w:hAnsi="宋体" w:cs="宋体" w:eastAsia="宋体" w:hint="default"/>
                <w:b/>
                <w:bCs/>
                <w:sz w:val="18"/>
                <w:szCs w:val="18"/>
              </w:rPr>
              <w:t>一、上年年末余额</w:t>
            </w:r>
            <w:r>
              <w:rPr>
                <w:rFonts w:ascii="宋体" w:hAnsi="宋体" w:cs="宋体" w:eastAsia="宋体" w:hint="default"/>
                <w:sz w:val="18"/>
                <w:szCs w:val="18"/>
              </w:rPr>
            </w:r>
          </w:p>
        </w:tc>
        <w:tc>
          <w:tcPr>
            <w:tcW w:w="161" w:type="dxa"/>
            <w:tcBorders>
              <w:top w:val="nil" w:sz="6" w:space="0" w:color="auto"/>
              <w:left w:val="nil" w:sz="6" w:space="0" w:color="auto"/>
              <w:bottom w:val="nil" w:sz="6" w:space="0" w:color="auto"/>
              <w:right w:val="nil" w:sz="6" w:space="0" w:color="auto"/>
            </w:tcBorders>
          </w:tcPr>
          <w:p>
            <w:pPr/>
          </w:p>
        </w:tc>
        <w:tc>
          <w:tcPr>
            <w:tcW w:w="2270" w:type="dxa"/>
            <w:tcBorders>
              <w:top w:val="single" w:sz="4" w:space="0" w:color="000000"/>
              <w:left w:val="nil" w:sz="6" w:space="0" w:color="auto"/>
              <w:bottom w:val="single" w:sz="4" w:space="0" w:color="000000"/>
              <w:right w:val="nil" w:sz="6" w:space="0" w:color="auto"/>
            </w:tcBorders>
          </w:tcPr>
          <w:p>
            <w:pPr>
              <w:pStyle w:val="TableParagraph"/>
              <w:spacing w:line="217" w:lineRule="exact"/>
              <w:ind w:right="21"/>
              <w:jc w:val="right"/>
              <w:rPr>
                <w:rFonts w:ascii="宋体" w:hAnsi="宋体" w:cs="宋体" w:eastAsia="宋体" w:hint="default"/>
                <w:sz w:val="18"/>
                <w:szCs w:val="18"/>
              </w:rPr>
            </w:pPr>
            <w:r>
              <w:rPr>
                <w:rFonts w:ascii="宋体"/>
                <w:spacing w:val="-1"/>
                <w:sz w:val="18"/>
              </w:rPr>
              <w:t>88,000,000.00</w:t>
            </w:r>
            <w:r>
              <w:rPr>
                <w:rFonts w:ascii="宋体"/>
                <w:sz w:val="18"/>
              </w:rPr>
            </w:r>
          </w:p>
        </w:tc>
        <w:tc>
          <w:tcPr>
            <w:tcW w:w="113" w:type="dxa"/>
            <w:tcBorders>
              <w:top w:val="nil" w:sz="6" w:space="0" w:color="auto"/>
              <w:left w:val="nil" w:sz="6" w:space="0" w:color="auto"/>
              <w:bottom w:val="nil" w:sz="6" w:space="0" w:color="auto"/>
              <w:right w:val="nil" w:sz="6" w:space="0" w:color="auto"/>
            </w:tcBorders>
          </w:tcPr>
          <w:p>
            <w:pPr/>
          </w:p>
        </w:tc>
        <w:tc>
          <w:tcPr>
            <w:tcW w:w="1418" w:type="dxa"/>
            <w:tcBorders>
              <w:top w:val="single" w:sz="4" w:space="0" w:color="000000"/>
              <w:left w:val="nil" w:sz="6" w:space="0" w:color="auto"/>
              <w:bottom w:val="single" w:sz="4" w:space="0" w:color="000000"/>
              <w:right w:val="nil" w:sz="6" w:space="0" w:color="auto"/>
            </w:tcBorders>
          </w:tcPr>
          <w:p>
            <w:pPr>
              <w:pStyle w:val="TableParagraph"/>
              <w:spacing w:line="217" w:lineRule="exact"/>
              <w:ind w:right="23"/>
              <w:jc w:val="right"/>
              <w:rPr>
                <w:rFonts w:ascii="宋体" w:hAnsi="宋体" w:cs="宋体" w:eastAsia="宋体" w:hint="default"/>
                <w:sz w:val="18"/>
                <w:szCs w:val="18"/>
              </w:rPr>
            </w:pPr>
            <w:r>
              <w:rPr>
                <w:rFonts w:ascii="宋体"/>
                <w:spacing w:val="-1"/>
                <w:sz w:val="18"/>
              </w:rPr>
              <w:t>132,980,990.76</w:t>
            </w:r>
          </w:p>
        </w:tc>
        <w:tc>
          <w:tcPr>
            <w:tcW w:w="168" w:type="dxa"/>
            <w:tcBorders>
              <w:top w:val="nil" w:sz="6" w:space="0" w:color="auto"/>
              <w:left w:val="nil" w:sz="6" w:space="0" w:color="auto"/>
              <w:bottom w:val="nil" w:sz="6" w:space="0" w:color="auto"/>
              <w:right w:val="nil" w:sz="6" w:space="0" w:color="auto"/>
            </w:tcBorders>
          </w:tcPr>
          <w:p>
            <w:pPr/>
          </w:p>
        </w:tc>
        <w:tc>
          <w:tcPr>
            <w:tcW w:w="982" w:type="dxa"/>
            <w:tcBorders>
              <w:top w:val="single" w:sz="4" w:space="0" w:color="000000"/>
              <w:left w:val="nil" w:sz="6" w:space="0" w:color="auto"/>
              <w:bottom w:val="single" w:sz="4" w:space="0" w:color="000000"/>
              <w:right w:val="nil" w:sz="6" w:space="0" w:color="auto"/>
            </w:tcBorders>
          </w:tcPr>
          <w:p>
            <w:pPr>
              <w:pStyle w:val="TableParagraph"/>
              <w:spacing w:line="217" w:lineRule="exact"/>
              <w:ind w:right="28"/>
              <w:jc w:val="right"/>
              <w:rPr>
                <w:rFonts w:ascii="宋体" w:hAnsi="宋体" w:cs="宋体" w:eastAsia="宋体" w:hint="default"/>
                <w:sz w:val="18"/>
                <w:szCs w:val="18"/>
              </w:rPr>
            </w:pPr>
            <w:r>
              <w:rPr>
                <w:rFonts w:ascii="宋体"/>
                <w:sz w:val="18"/>
              </w:rPr>
              <w:t>-</w:t>
            </w:r>
          </w:p>
        </w:tc>
        <w:tc>
          <w:tcPr>
            <w:tcW w:w="120" w:type="dxa"/>
            <w:tcBorders>
              <w:top w:val="nil" w:sz="6" w:space="0" w:color="auto"/>
              <w:left w:val="nil" w:sz="6" w:space="0" w:color="auto"/>
              <w:bottom w:val="nil" w:sz="6" w:space="0" w:color="auto"/>
              <w:right w:val="nil" w:sz="6" w:space="0" w:color="auto"/>
            </w:tcBorders>
          </w:tcPr>
          <w:p>
            <w:pPr/>
          </w:p>
        </w:tc>
        <w:tc>
          <w:tcPr>
            <w:tcW w:w="799" w:type="dxa"/>
            <w:tcBorders>
              <w:top w:val="single" w:sz="4" w:space="0" w:color="000000"/>
              <w:left w:val="nil" w:sz="6" w:space="0" w:color="auto"/>
              <w:bottom w:val="single" w:sz="4" w:space="0" w:color="000000"/>
              <w:right w:val="nil" w:sz="6" w:space="0" w:color="auto"/>
            </w:tcBorders>
          </w:tcPr>
          <w:p>
            <w:pPr>
              <w:pStyle w:val="TableParagraph"/>
              <w:spacing w:line="217" w:lineRule="exact"/>
              <w:ind w:right="25"/>
              <w:jc w:val="right"/>
              <w:rPr>
                <w:rFonts w:ascii="宋体" w:hAnsi="宋体" w:cs="宋体" w:eastAsia="宋体" w:hint="default"/>
                <w:sz w:val="18"/>
                <w:szCs w:val="18"/>
              </w:rPr>
            </w:pPr>
            <w:r>
              <w:rPr>
                <w:rFonts w:ascii="宋体"/>
                <w:sz w:val="18"/>
              </w:rPr>
              <w:t>-</w:t>
            </w:r>
          </w:p>
        </w:tc>
        <w:tc>
          <w:tcPr>
            <w:tcW w:w="2516" w:type="dxa"/>
            <w:gridSpan w:val="2"/>
            <w:tcBorders>
              <w:top w:val="nil" w:sz="6" w:space="0" w:color="auto"/>
              <w:left w:val="nil" w:sz="6" w:space="0" w:color="auto"/>
              <w:bottom w:val="nil" w:sz="6" w:space="0" w:color="auto"/>
              <w:right w:val="nil" w:sz="6" w:space="0" w:color="auto"/>
            </w:tcBorders>
          </w:tcPr>
          <w:p>
            <w:pPr>
              <w:pStyle w:val="TableParagraph"/>
              <w:spacing w:line="222" w:lineRule="exact"/>
              <w:ind w:left="196" w:right="0"/>
              <w:jc w:val="left"/>
              <w:rPr>
                <w:rFonts w:ascii="宋体" w:hAnsi="宋体" w:cs="宋体" w:eastAsia="宋体" w:hint="default"/>
                <w:sz w:val="18"/>
                <w:szCs w:val="18"/>
              </w:rPr>
            </w:pPr>
            <w:r>
              <w:rPr>
                <w:rFonts w:ascii="宋体"/>
                <w:sz w:val="18"/>
              </w:rPr>
              <w:t>9,498,391.39</w:t>
            </w:r>
          </w:p>
        </w:tc>
        <w:tc>
          <w:tcPr>
            <w:tcW w:w="1600" w:type="dxa"/>
            <w:gridSpan w:val="2"/>
            <w:tcBorders>
              <w:top w:val="nil" w:sz="6" w:space="0" w:color="auto"/>
              <w:left w:val="nil" w:sz="6" w:space="0" w:color="auto"/>
              <w:bottom w:val="nil" w:sz="6" w:space="0" w:color="auto"/>
              <w:right w:val="nil" w:sz="6" w:space="0" w:color="auto"/>
            </w:tcBorders>
          </w:tcPr>
          <w:p>
            <w:pPr>
              <w:pStyle w:val="TableParagraph"/>
              <w:spacing w:line="222" w:lineRule="exact"/>
              <w:ind w:left="402" w:right="0"/>
              <w:jc w:val="left"/>
              <w:rPr>
                <w:rFonts w:ascii="宋体" w:hAnsi="宋体" w:cs="宋体" w:eastAsia="宋体" w:hint="default"/>
                <w:sz w:val="18"/>
                <w:szCs w:val="18"/>
              </w:rPr>
            </w:pPr>
            <w:r>
              <w:rPr>
                <w:rFonts w:ascii="宋体"/>
                <w:sz w:val="18"/>
              </w:rPr>
              <w:t>65,208,605.62</w:t>
            </w:r>
          </w:p>
        </w:tc>
        <w:tc>
          <w:tcPr>
            <w:tcW w:w="103" w:type="dxa"/>
            <w:tcBorders>
              <w:top w:val="nil" w:sz="6" w:space="0" w:color="auto"/>
              <w:left w:val="nil" w:sz="6" w:space="0" w:color="auto"/>
              <w:bottom w:val="nil" w:sz="6" w:space="0" w:color="auto"/>
              <w:right w:val="nil" w:sz="6" w:space="0" w:color="auto"/>
            </w:tcBorders>
          </w:tcPr>
          <w:p>
            <w:pPr/>
          </w:p>
        </w:tc>
        <w:tc>
          <w:tcPr>
            <w:tcW w:w="1178" w:type="dxa"/>
            <w:tcBorders>
              <w:top w:val="single" w:sz="4" w:space="0" w:color="000000"/>
              <w:left w:val="nil" w:sz="6" w:space="0" w:color="auto"/>
              <w:bottom w:val="single" w:sz="4" w:space="0" w:color="000000"/>
              <w:right w:val="nil" w:sz="6" w:space="0" w:color="auto"/>
            </w:tcBorders>
          </w:tcPr>
          <w:p>
            <w:pPr>
              <w:pStyle w:val="TableParagraph"/>
              <w:spacing w:line="217" w:lineRule="exact"/>
              <w:ind w:right="25"/>
              <w:jc w:val="right"/>
              <w:rPr>
                <w:rFonts w:ascii="宋体" w:hAnsi="宋体" w:cs="宋体" w:eastAsia="宋体" w:hint="default"/>
                <w:sz w:val="18"/>
                <w:szCs w:val="18"/>
              </w:rPr>
            </w:pPr>
            <w:r>
              <w:rPr>
                <w:rFonts w:ascii="宋体"/>
                <w:sz w:val="18"/>
              </w:rPr>
              <w:t>-</w:t>
            </w:r>
          </w:p>
        </w:tc>
        <w:tc>
          <w:tcPr>
            <w:tcW w:w="2004" w:type="dxa"/>
            <w:tcBorders>
              <w:top w:val="single" w:sz="4" w:space="0" w:color="000000"/>
              <w:left w:val="nil" w:sz="6" w:space="0" w:color="auto"/>
              <w:bottom w:val="single" w:sz="4" w:space="0" w:color="000000"/>
              <w:right w:val="nil" w:sz="6" w:space="0" w:color="auto"/>
            </w:tcBorders>
          </w:tcPr>
          <w:p>
            <w:pPr>
              <w:pStyle w:val="TableParagraph"/>
              <w:spacing w:line="217" w:lineRule="exact"/>
              <w:ind w:left="180" w:right="0"/>
              <w:jc w:val="left"/>
              <w:rPr>
                <w:rFonts w:ascii="宋体" w:hAnsi="宋体" w:cs="宋体" w:eastAsia="宋体" w:hint="default"/>
                <w:sz w:val="18"/>
                <w:szCs w:val="18"/>
              </w:rPr>
            </w:pPr>
            <w:r>
              <w:rPr>
                <w:rFonts w:ascii="宋体"/>
                <w:sz w:val="18"/>
              </w:rPr>
              <w:t>295,687,987.77</w:t>
            </w:r>
          </w:p>
        </w:tc>
      </w:tr>
      <w:tr>
        <w:trPr>
          <w:trHeight w:val="258" w:hRule="exact"/>
        </w:trPr>
        <w:tc>
          <w:tcPr>
            <w:tcW w:w="108" w:type="dxa"/>
            <w:tcBorders>
              <w:top w:val="nil" w:sz="6" w:space="0" w:color="auto"/>
              <w:left w:val="nil" w:sz="6" w:space="0" w:color="auto"/>
              <w:bottom w:val="nil" w:sz="6" w:space="0" w:color="auto"/>
              <w:right w:val="nil" w:sz="6" w:space="0" w:color="auto"/>
            </w:tcBorders>
          </w:tcPr>
          <w:p>
            <w:pPr/>
          </w:p>
        </w:tc>
        <w:tc>
          <w:tcPr>
            <w:tcW w:w="2621" w:type="dxa"/>
            <w:tcBorders>
              <w:top w:val="nil" w:sz="6" w:space="0" w:color="auto"/>
              <w:left w:val="nil" w:sz="6" w:space="0" w:color="auto"/>
              <w:bottom w:val="nil" w:sz="6" w:space="0" w:color="auto"/>
              <w:right w:val="nil" w:sz="6" w:space="0" w:color="auto"/>
            </w:tcBorders>
          </w:tcPr>
          <w:p>
            <w:pPr>
              <w:pStyle w:val="TableParagraph"/>
              <w:spacing w:line="220" w:lineRule="exact"/>
              <w:ind w:left="28"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61" w:type="dxa"/>
            <w:tcBorders>
              <w:top w:val="nil" w:sz="6" w:space="0" w:color="auto"/>
              <w:left w:val="nil" w:sz="6" w:space="0" w:color="auto"/>
              <w:bottom w:val="nil" w:sz="6" w:space="0" w:color="auto"/>
              <w:right w:val="nil" w:sz="6" w:space="0" w:color="auto"/>
            </w:tcBorders>
          </w:tcPr>
          <w:p>
            <w:pPr/>
          </w:p>
        </w:tc>
        <w:tc>
          <w:tcPr>
            <w:tcW w:w="2270" w:type="dxa"/>
            <w:tcBorders>
              <w:top w:val="single" w:sz="4" w:space="0" w:color="000000"/>
              <w:left w:val="nil" w:sz="6" w:space="0" w:color="auto"/>
              <w:bottom w:val="nil" w:sz="6" w:space="0" w:color="auto"/>
              <w:right w:val="nil" w:sz="6" w:space="0" w:color="auto"/>
            </w:tcBorders>
          </w:tcPr>
          <w:p>
            <w:pPr>
              <w:pStyle w:val="TableParagraph"/>
              <w:spacing w:line="215" w:lineRule="exact"/>
              <w:ind w:right="25"/>
              <w:jc w:val="right"/>
              <w:rPr>
                <w:rFonts w:ascii="宋体" w:hAnsi="宋体" w:cs="宋体" w:eastAsia="宋体" w:hint="default"/>
                <w:sz w:val="18"/>
                <w:szCs w:val="18"/>
              </w:rPr>
            </w:pPr>
            <w:r>
              <w:rPr>
                <w:rFonts w:ascii="宋体"/>
                <w:sz w:val="18"/>
              </w:rPr>
              <w:t>-</w:t>
            </w:r>
          </w:p>
        </w:tc>
        <w:tc>
          <w:tcPr>
            <w:tcW w:w="113" w:type="dxa"/>
            <w:tcBorders>
              <w:top w:val="nil" w:sz="6" w:space="0" w:color="auto"/>
              <w:left w:val="nil" w:sz="6" w:space="0" w:color="auto"/>
              <w:bottom w:val="nil" w:sz="6" w:space="0" w:color="auto"/>
              <w:right w:val="nil" w:sz="6" w:space="0" w:color="auto"/>
            </w:tcBorders>
          </w:tcPr>
          <w:p>
            <w:pPr/>
          </w:p>
        </w:tc>
        <w:tc>
          <w:tcPr>
            <w:tcW w:w="1418" w:type="dxa"/>
            <w:tcBorders>
              <w:top w:val="single" w:sz="4" w:space="0" w:color="000000"/>
              <w:left w:val="nil" w:sz="6" w:space="0" w:color="auto"/>
              <w:bottom w:val="nil" w:sz="6" w:space="0" w:color="auto"/>
              <w:right w:val="nil" w:sz="6" w:space="0" w:color="auto"/>
            </w:tcBorders>
          </w:tcPr>
          <w:p>
            <w:pPr>
              <w:pStyle w:val="TableParagraph"/>
              <w:spacing w:line="215" w:lineRule="exact"/>
              <w:ind w:right="25"/>
              <w:jc w:val="right"/>
              <w:rPr>
                <w:rFonts w:ascii="宋体" w:hAnsi="宋体" w:cs="宋体" w:eastAsia="宋体" w:hint="default"/>
                <w:sz w:val="18"/>
                <w:szCs w:val="18"/>
              </w:rPr>
            </w:pPr>
            <w:r>
              <w:rPr>
                <w:rFonts w:ascii="宋体"/>
                <w:sz w:val="18"/>
              </w:rPr>
              <w:t>-</w:t>
            </w:r>
          </w:p>
        </w:tc>
        <w:tc>
          <w:tcPr>
            <w:tcW w:w="168" w:type="dxa"/>
            <w:tcBorders>
              <w:top w:val="nil" w:sz="6" w:space="0" w:color="auto"/>
              <w:left w:val="nil" w:sz="6" w:space="0" w:color="auto"/>
              <w:bottom w:val="nil" w:sz="6" w:space="0" w:color="auto"/>
              <w:right w:val="nil" w:sz="6" w:space="0" w:color="auto"/>
            </w:tcBorders>
          </w:tcPr>
          <w:p>
            <w:pPr/>
          </w:p>
        </w:tc>
        <w:tc>
          <w:tcPr>
            <w:tcW w:w="982" w:type="dxa"/>
            <w:tcBorders>
              <w:top w:val="single" w:sz="4" w:space="0" w:color="000000"/>
              <w:left w:val="nil" w:sz="6" w:space="0" w:color="auto"/>
              <w:bottom w:val="nil" w:sz="6" w:space="0" w:color="auto"/>
              <w:right w:val="nil" w:sz="6" w:space="0" w:color="auto"/>
            </w:tcBorders>
          </w:tcPr>
          <w:p>
            <w:pPr>
              <w:pStyle w:val="TableParagraph"/>
              <w:spacing w:line="215" w:lineRule="exact"/>
              <w:ind w:right="28"/>
              <w:jc w:val="right"/>
              <w:rPr>
                <w:rFonts w:ascii="宋体" w:hAnsi="宋体" w:cs="宋体" w:eastAsia="宋体" w:hint="default"/>
                <w:sz w:val="18"/>
                <w:szCs w:val="18"/>
              </w:rPr>
            </w:pPr>
            <w:r>
              <w:rPr>
                <w:rFonts w:ascii="宋体"/>
                <w:sz w:val="18"/>
              </w:rPr>
              <w:t>-</w:t>
            </w:r>
          </w:p>
        </w:tc>
        <w:tc>
          <w:tcPr>
            <w:tcW w:w="120" w:type="dxa"/>
            <w:tcBorders>
              <w:top w:val="nil" w:sz="6" w:space="0" w:color="auto"/>
              <w:left w:val="nil" w:sz="6" w:space="0" w:color="auto"/>
              <w:bottom w:val="nil" w:sz="6" w:space="0" w:color="auto"/>
              <w:right w:val="nil" w:sz="6" w:space="0" w:color="auto"/>
            </w:tcBorders>
          </w:tcPr>
          <w:p>
            <w:pPr/>
          </w:p>
        </w:tc>
        <w:tc>
          <w:tcPr>
            <w:tcW w:w="799" w:type="dxa"/>
            <w:tcBorders>
              <w:top w:val="single" w:sz="4" w:space="0" w:color="000000"/>
              <w:left w:val="nil" w:sz="6" w:space="0" w:color="auto"/>
              <w:bottom w:val="nil" w:sz="6" w:space="0" w:color="auto"/>
              <w:right w:val="nil" w:sz="6" w:space="0" w:color="auto"/>
            </w:tcBorders>
          </w:tcPr>
          <w:p>
            <w:pPr>
              <w:pStyle w:val="TableParagraph"/>
              <w:spacing w:line="215" w:lineRule="exact"/>
              <w:ind w:right="25"/>
              <w:jc w:val="right"/>
              <w:rPr>
                <w:rFonts w:ascii="宋体" w:hAnsi="宋体" w:cs="宋体" w:eastAsia="宋体" w:hint="default"/>
                <w:sz w:val="18"/>
                <w:szCs w:val="18"/>
              </w:rPr>
            </w:pPr>
            <w:r>
              <w:rPr>
                <w:rFonts w:ascii="宋体"/>
                <w:sz w:val="18"/>
              </w:rPr>
              <w:t>-</w:t>
            </w:r>
          </w:p>
        </w:tc>
        <w:tc>
          <w:tcPr>
            <w:tcW w:w="1118" w:type="dxa"/>
            <w:tcBorders>
              <w:top w:val="single" w:sz="4" w:space="0" w:color="000000"/>
              <w:left w:val="nil" w:sz="6" w:space="0" w:color="auto"/>
              <w:bottom w:val="nil" w:sz="6" w:space="0" w:color="auto"/>
              <w:right w:val="nil" w:sz="6" w:space="0" w:color="auto"/>
            </w:tcBorders>
          </w:tcPr>
          <w:p>
            <w:pPr/>
          </w:p>
        </w:tc>
        <w:tc>
          <w:tcPr>
            <w:tcW w:w="1398" w:type="dxa"/>
            <w:tcBorders>
              <w:top w:val="single" w:sz="4" w:space="0" w:color="000000"/>
              <w:left w:val="nil" w:sz="6" w:space="0" w:color="auto"/>
              <w:bottom w:val="nil" w:sz="6" w:space="0" w:color="auto"/>
              <w:right w:val="nil" w:sz="6" w:space="0" w:color="auto"/>
            </w:tcBorders>
          </w:tcPr>
          <w:p>
            <w:pPr>
              <w:pStyle w:val="TableParagraph"/>
              <w:spacing w:line="215" w:lineRule="exact"/>
              <w:ind w:left="67" w:right="0"/>
              <w:jc w:val="left"/>
              <w:rPr>
                <w:rFonts w:ascii="宋体" w:hAnsi="宋体" w:cs="宋体" w:eastAsia="宋体" w:hint="default"/>
                <w:sz w:val="18"/>
                <w:szCs w:val="18"/>
              </w:rPr>
            </w:pPr>
            <w:r>
              <w:rPr>
                <w:rFonts w:ascii="宋体"/>
                <w:sz w:val="18"/>
              </w:rPr>
              <w:t>-</w:t>
            </w:r>
          </w:p>
        </w:tc>
        <w:tc>
          <w:tcPr>
            <w:tcW w:w="1439" w:type="dxa"/>
            <w:tcBorders>
              <w:top w:val="single" w:sz="4" w:space="0" w:color="000000"/>
              <w:left w:val="nil" w:sz="6" w:space="0" w:color="auto"/>
              <w:bottom w:val="nil" w:sz="6" w:space="0" w:color="auto"/>
              <w:right w:val="nil" w:sz="6" w:space="0" w:color="auto"/>
            </w:tcBorders>
          </w:tcPr>
          <w:p>
            <w:pPr/>
          </w:p>
        </w:tc>
        <w:tc>
          <w:tcPr>
            <w:tcW w:w="161" w:type="dxa"/>
            <w:tcBorders>
              <w:top w:val="single" w:sz="4" w:space="0" w:color="000000"/>
              <w:left w:val="nil" w:sz="6" w:space="0" w:color="auto"/>
              <w:bottom w:val="nil" w:sz="6" w:space="0" w:color="auto"/>
              <w:right w:val="nil" w:sz="6" w:space="0" w:color="auto"/>
            </w:tcBorders>
          </w:tcPr>
          <w:p>
            <w:pPr>
              <w:pStyle w:val="TableParagraph"/>
              <w:spacing w:line="215" w:lineRule="exact"/>
              <w:ind w:left="43" w:right="0"/>
              <w:jc w:val="left"/>
              <w:rPr>
                <w:rFonts w:ascii="宋体" w:hAnsi="宋体" w:cs="宋体" w:eastAsia="宋体" w:hint="default"/>
                <w:sz w:val="18"/>
                <w:szCs w:val="18"/>
              </w:rPr>
            </w:pPr>
            <w:r>
              <w:rPr>
                <w:rFonts w:ascii="宋体"/>
                <w:sz w:val="18"/>
              </w:rPr>
              <w:t>-</w:t>
            </w:r>
          </w:p>
        </w:tc>
        <w:tc>
          <w:tcPr>
            <w:tcW w:w="103" w:type="dxa"/>
            <w:tcBorders>
              <w:top w:val="nil" w:sz="6" w:space="0" w:color="auto"/>
              <w:left w:val="nil" w:sz="6" w:space="0" w:color="auto"/>
              <w:bottom w:val="nil" w:sz="6" w:space="0" w:color="auto"/>
              <w:right w:val="nil" w:sz="6" w:space="0" w:color="auto"/>
            </w:tcBorders>
          </w:tcPr>
          <w:p>
            <w:pPr/>
          </w:p>
        </w:tc>
        <w:tc>
          <w:tcPr>
            <w:tcW w:w="1178" w:type="dxa"/>
            <w:tcBorders>
              <w:top w:val="single" w:sz="4" w:space="0" w:color="000000"/>
              <w:left w:val="nil" w:sz="6" w:space="0" w:color="auto"/>
              <w:bottom w:val="nil" w:sz="6" w:space="0" w:color="auto"/>
              <w:right w:val="nil" w:sz="6" w:space="0" w:color="auto"/>
            </w:tcBorders>
          </w:tcPr>
          <w:p>
            <w:pPr>
              <w:pStyle w:val="TableParagraph"/>
              <w:spacing w:line="215" w:lineRule="exact"/>
              <w:ind w:right="25"/>
              <w:jc w:val="right"/>
              <w:rPr>
                <w:rFonts w:ascii="宋体" w:hAnsi="宋体" w:cs="宋体" w:eastAsia="宋体" w:hint="default"/>
                <w:sz w:val="18"/>
                <w:szCs w:val="18"/>
              </w:rPr>
            </w:pPr>
            <w:r>
              <w:rPr>
                <w:rFonts w:ascii="宋体"/>
                <w:sz w:val="18"/>
              </w:rPr>
              <w:t>-</w:t>
            </w:r>
          </w:p>
        </w:tc>
        <w:tc>
          <w:tcPr>
            <w:tcW w:w="2004" w:type="dxa"/>
            <w:tcBorders>
              <w:top w:val="single" w:sz="4" w:space="0" w:color="000000"/>
              <w:left w:val="nil" w:sz="6" w:space="0" w:color="auto"/>
              <w:bottom w:val="nil" w:sz="6" w:space="0" w:color="auto"/>
              <w:right w:val="nil" w:sz="6" w:space="0" w:color="auto"/>
            </w:tcBorders>
          </w:tcPr>
          <w:p>
            <w:pPr>
              <w:pStyle w:val="TableParagraph"/>
              <w:spacing w:line="215" w:lineRule="exact"/>
              <w:ind w:right="563"/>
              <w:jc w:val="right"/>
              <w:rPr>
                <w:rFonts w:ascii="宋体" w:hAnsi="宋体" w:cs="宋体" w:eastAsia="宋体" w:hint="default"/>
                <w:sz w:val="18"/>
                <w:szCs w:val="18"/>
              </w:rPr>
            </w:pPr>
            <w:r>
              <w:rPr>
                <w:rFonts w:ascii="宋体"/>
                <w:sz w:val="18"/>
              </w:rPr>
              <w:t>-</w:t>
            </w:r>
          </w:p>
        </w:tc>
      </w:tr>
      <w:tr>
        <w:trPr>
          <w:trHeight w:val="256" w:hRule="exact"/>
        </w:trPr>
        <w:tc>
          <w:tcPr>
            <w:tcW w:w="108" w:type="dxa"/>
            <w:tcBorders>
              <w:top w:val="nil" w:sz="6" w:space="0" w:color="auto"/>
              <w:left w:val="nil" w:sz="6" w:space="0" w:color="auto"/>
              <w:bottom w:val="nil" w:sz="6" w:space="0" w:color="auto"/>
              <w:right w:val="nil" w:sz="6" w:space="0" w:color="auto"/>
            </w:tcBorders>
          </w:tcPr>
          <w:p>
            <w:pPr/>
          </w:p>
        </w:tc>
        <w:tc>
          <w:tcPr>
            <w:tcW w:w="2621" w:type="dxa"/>
            <w:tcBorders>
              <w:top w:val="nil" w:sz="6" w:space="0" w:color="auto"/>
              <w:left w:val="nil" w:sz="6" w:space="0" w:color="auto"/>
              <w:bottom w:val="nil" w:sz="6" w:space="0" w:color="auto"/>
              <w:right w:val="nil" w:sz="6" w:space="0" w:color="auto"/>
            </w:tcBorders>
          </w:tcPr>
          <w:p>
            <w:pPr>
              <w:pStyle w:val="TableParagraph"/>
              <w:spacing w:line="218" w:lineRule="exact"/>
              <w:ind w:left="39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61" w:type="dxa"/>
            <w:tcBorders>
              <w:top w:val="nil" w:sz="6" w:space="0" w:color="auto"/>
              <w:left w:val="nil" w:sz="6" w:space="0" w:color="auto"/>
              <w:bottom w:val="nil" w:sz="6" w:space="0" w:color="auto"/>
              <w:right w:val="nil" w:sz="6" w:space="0" w:color="auto"/>
            </w:tcBorders>
          </w:tcPr>
          <w:p>
            <w:pPr/>
          </w:p>
        </w:tc>
        <w:tc>
          <w:tcPr>
            <w:tcW w:w="2270" w:type="dxa"/>
            <w:tcBorders>
              <w:top w:val="nil" w:sz="6" w:space="0" w:color="auto"/>
              <w:left w:val="nil" w:sz="6" w:space="0" w:color="auto"/>
              <w:bottom w:val="nil" w:sz="6" w:space="0" w:color="auto"/>
              <w:right w:val="nil" w:sz="6" w:space="0" w:color="auto"/>
            </w:tcBorders>
          </w:tcPr>
          <w:p>
            <w:pPr>
              <w:pStyle w:val="TableParagraph"/>
              <w:spacing w:line="218" w:lineRule="exact"/>
              <w:ind w:right="25"/>
              <w:jc w:val="right"/>
              <w:rPr>
                <w:rFonts w:ascii="宋体" w:hAnsi="宋体" w:cs="宋体" w:eastAsia="宋体" w:hint="default"/>
                <w:sz w:val="18"/>
                <w:szCs w:val="18"/>
              </w:rPr>
            </w:pPr>
            <w:r>
              <w:rPr>
                <w:rFonts w:ascii="宋体"/>
                <w:sz w:val="18"/>
              </w:rPr>
              <w:t>-</w:t>
            </w:r>
          </w:p>
        </w:tc>
        <w:tc>
          <w:tcPr>
            <w:tcW w:w="113"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18" w:lineRule="exact"/>
              <w:ind w:right="25"/>
              <w:jc w:val="right"/>
              <w:rPr>
                <w:rFonts w:ascii="宋体" w:hAnsi="宋体" w:cs="宋体" w:eastAsia="宋体" w:hint="default"/>
                <w:sz w:val="18"/>
                <w:szCs w:val="18"/>
              </w:rPr>
            </w:pPr>
            <w:r>
              <w:rPr>
                <w:rFonts w:ascii="宋体"/>
                <w:sz w:val="18"/>
              </w:rPr>
              <w:t>-</w:t>
            </w:r>
          </w:p>
        </w:tc>
        <w:tc>
          <w:tcPr>
            <w:tcW w:w="168" w:type="dxa"/>
            <w:tcBorders>
              <w:top w:val="nil" w:sz="6" w:space="0" w:color="auto"/>
              <w:left w:val="nil" w:sz="6" w:space="0" w:color="auto"/>
              <w:bottom w:val="nil" w:sz="6" w:space="0" w:color="auto"/>
              <w:right w:val="nil" w:sz="6" w:space="0" w:color="auto"/>
            </w:tcBorders>
          </w:tcPr>
          <w:p>
            <w:pPr/>
          </w:p>
        </w:tc>
        <w:tc>
          <w:tcPr>
            <w:tcW w:w="982" w:type="dxa"/>
            <w:tcBorders>
              <w:top w:val="nil" w:sz="6" w:space="0" w:color="auto"/>
              <w:left w:val="nil" w:sz="6" w:space="0" w:color="auto"/>
              <w:bottom w:val="nil" w:sz="6" w:space="0" w:color="auto"/>
              <w:right w:val="nil" w:sz="6" w:space="0" w:color="auto"/>
            </w:tcBorders>
          </w:tcPr>
          <w:p>
            <w:pPr>
              <w:pStyle w:val="TableParagraph"/>
              <w:spacing w:line="218" w:lineRule="exact"/>
              <w:ind w:right="28"/>
              <w:jc w:val="right"/>
              <w:rPr>
                <w:rFonts w:ascii="宋体" w:hAnsi="宋体" w:cs="宋体" w:eastAsia="宋体" w:hint="default"/>
                <w:sz w:val="18"/>
                <w:szCs w:val="18"/>
              </w:rPr>
            </w:pPr>
            <w:r>
              <w:rPr>
                <w:rFonts w:ascii="宋体"/>
                <w:sz w:val="18"/>
              </w:rPr>
              <w:t>-</w:t>
            </w:r>
          </w:p>
        </w:tc>
        <w:tc>
          <w:tcPr>
            <w:tcW w:w="120" w:type="dxa"/>
            <w:tcBorders>
              <w:top w:val="nil" w:sz="6" w:space="0" w:color="auto"/>
              <w:left w:val="nil" w:sz="6" w:space="0" w:color="auto"/>
              <w:bottom w:val="nil" w:sz="6" w:space="0" w:color="auto"/>
              <w:right w:val="nil" w:sz="6" w:space="0" w:color="auto"/>
            </w:tcBorders>
          </w:tcPr>
          <w:p>
            <w:pPr/>
          </w:p>
        </w:tc>
        <w:tc>
          <w:tcPr>
            <w:tcW w:w="799" w:type="dxa"/>
            <w:tcBorders>
              <w:top w:val="nil" w:sz="6" w:space="0" w:color="auto"/>
              <w:left w:val="nil" w:sz="6" w:space="0" w:color="auto"/>
              <w:bottom w:val="nil" w:sz="6" w:space="0" w:color="auto"/>
              <w:right w:val="nil" w:sz="6" w:space="0" w:color="auto"/>
            </w:tcBorders>
          </w:tcPr>
          <w:p>
            <w:pPr>
              <w:pStyle w:val="TableParagraph"/>
              <w:spacing w:line="218" w:lineRule="exact"/>
              <w:ind w:right="25"/>
              <w:jc w:val="right"/>
              <w:rPr>
                <w:rFonts w:ascii="宋体" w:hAnsi="宋体" w:cs="宋体" w:eastAsia="宋体" w:hint="default"/>
                <w:sz w:val="18"/>
                <w:szCs w:val="18"/>
              </w:rPr>
            </w:pPr>
            <w:r>
              <w:rPr>
                <w:rFonts w:ascii="宋体"/>
                <w:sz w:val="18"/>
              </w:rPr>
              <w:t>-</w:t>
            </w:r>
          </w:p>
        </w:tc>
        <w:tc>
          <w:tcPr>
            <w:tcW w:w="1118" w:type="dxa"/>
            <w:tcBorders>
              <w:top w:val="nil" w:sz="6" w:space="0" w:color="auto"/>
              <w:left w:val="nil" w:sz="6" w:space="0" w:color="auto"/>
              <w:bottom w:val="nil" w:sz="6" w:space="0" w:color="auto"/>
              <w:right w:val="nil" w:sz="6" w:space="0" w:color="auto"/>
            </w:tcBorders>
          </w:tcPr>
          <w:p>
            <w:pPr/>
          </w:p>
        </w:tc>
        <w:tc>
          <w:tcPr>
            <w:tcW w:w="1398" w:type="dxa"/>
            <w:tcBorders>
              <w:top w:val="nil" w:sz="6" w:space="0" w:color="auto"/>
              <w:left w:val="nil" w:sz="6" w:space="0" w:color="auto"/>
              <w:bottom w:val="nil" w:sz="6" w:space="0" w:color="auto"/>
              <w:right w:val="nil" w:sz="6" w:space="0" w:color="auto"/>
            </w:tcBorders>
          </w:tcPr>
          <w:p>
            <w:pPr>
              <w:pStyle w:val="TableParagraph"/>
              <w:spacing w:line="218" w:lineRule="exact"/>
              <w:ind w:left="67" w:right="0"/>
              <w:jc w:val="left"/>
              <w:rPr>
                <w:rFonts w:ascii="宋体" w:hAnsi="宋体" w:cs="宋体" w:eastAsia="宋体" w:hint="default"/>
                <w:sz w:val="18"/>
                <w:szCs w:val="18"/>
              </w:rPr>
            </w:pPr>
            <w:r>
              <w:rPr>
                <w:rFonts w:ascii="宋体"/>
                <w:sz w:val="18"/>
              </w:rPr>
              <w:t>-</w:t>
            </w:r>
          </w:p>
        </w:tc>
        <w:tc>
          <w:tcPr>
            <w:tcW w:w="1439" w:type="dxa"/>
            <w:tcBorders>
              <w:top w:val="nil" w:sz="6" w:space="0" w:color="auto"/>
              <w:left w:val="nil" w:sz="6" w:space="0" w:color="auto"/>
              <w:bottom w:val="nil" w:sz="6" w:space="0" w:color="auto"/>
              <w:right w:val="nil" w:sz="6" w:space="0" w:color="auto"/>
            </w:tcBorders>
          </w:tcPr>
          <w:p>
            <w:pPr/>
          </w:p>
        </w:tc>
        <w:tc>
          <w:tcPr>
            <w:tcW w:w="161" w:type="dxa"/>
            <w:tcBorders>
              <w:top w:val="nil" w:sz="6" w:space="0" w:color="auto"/>
              <w:left w:val="nil" w:sz="6" w:space="0" w:color="auto"/>
              <w:bottom w:val="nil" w:sz="6" w:space="0" w:color="auto"/>
              <w:right w:val="nil" w:sz="6" w:space="0" w:color="auto"/>
            </w:tcBorders>
          </w:tcPr>
          <w:p>
            <w:pPr>
              <w:pStyle w:val="TableParagraph"/>
              <w:spacing w:line="218" w:lineRule="exact"/>
              <w:ind w:left="43" w:right="0"/>
              <w:jc w:val="left"/>
              <w:rPr>
                <w:rFonts w:ascii="宋体" w:hAnsi="宋体" w:cs="宋体" w:eastAsia="宋体" w:hint="default"/>
                <w:sz w:val="18"/>
                <w:szCs w:val="18"/>
              </w:rPr>
            </w:pPr>
            <w:r>
              <w:rPr>
                <w:rFonts w:ascii="宋体"/>
                <w:sz w:val="18"/>
              </w:rPr>
              <w:t>-</w:t>
            </w:r>
          </w:p>
        </w:tc>
        <w:tc>
          <w:tcPr>
            <w:tcW w:w="103" w:type="dxa"/>
            <w:tcBorders>
              <w:top w:val="nil" w:sz="6" w:space="0" w:color="auto"/>
              <w:left w:val="nil" w:sz="6" w:space="0" w:color="auto"/>
              <w:bottom w:val="nil" w:sz="6" w:space="0" w:color="auto"/>
              <w:right w:val="nil" w:sz="6" w:space="0" w:color="auto"/>
            </w:tcBorders>
          </w:tcPr>
          <w:p>
            <w:pPr/>
          </w:p>
        </w:tc>
        <w:tc>
          <w:tcPr>
            <w:tcW w:w="1178" w:type="dxa"/>
            <w:tcBorders>
              <w:top w:val="nil" w:sz="6" w:space="0" w:color="auto"/>
              <w:left w:val="nil" w:sz="6" w:space="0" w:color="auto"/>
              <w:bottom w:val="nil" w:sz="6" w:space="0" w:color="auto"/>
              <w:right w:val="nil" w:sz="6" w:space="0" w:color="auto"/>
            </w:tcBorders>
          </w:tcPr>
          <w:p>
            <w:pPr>
              <w:pStyle w:val="TableParagraph"/>
              <w:spacing w:line="218" w:lineRule="exact"/>
              <w:ind w:right="25"/>
              <w:jc w:val="right"/>
              <w:rPr>
                <w:rFonts w:ascii="宋体" w:hAnsi="宋体" w:cs="宋体" w:eastAsia="宋体" w:hint="default"/>
                <w:sz w:val="18"/>
                <w:szCs w:val="18"/>
              </w:rPr>
            </w:pPr>
            <w:r>
              <w:rPr>
                <w:rFonts w:ascii="宋体"/>
                <w:sz w:val="18"/>
              </w:rPr>
              <w:t>-</w:t>
            </w:r>
          </w:p>
        </w:tc>
        <w:tc>
          <w:tcPr>
            <w:tcW w:w="2004" w:type="dxa"/>
            <w:tcBorders>
              <w:top w:val="nil" w:sz="6" w:space="0" w:color="auto"/>
              <w:left w:val="nil" w:sz="6" w:space="0" w:color="auto"/>
              <w:bottom w:val="nil" w:sz="6" w:space="0" w:color="auto"/>
              <w:right w:val="nil" w:sz="6" w:space="0" w:color="auto"/>
            </w:tcBorders>
          </w:tcPr>
          <w:p>
            <w:pPr>
              <w:pStyle w:val="TableParagraph"/>
              <w:spacing w:line="218" w:lineRule="exact"/>
              <w:ind w:right="563"/>
              <w:jc w:val="right"/>
              <w:rPr>
                <w:rFonts w:ascii="宋体" w:hAnsi="宋体" w:cs="宋体" w:eastAsia="宋体" w:hint="default"/>
                <w:sz w:val="18"/>
                <w:szCs w:val="18"/>
              </w:rPr>
            </w:pPr>
            <w:r>
              <w:rPr>
                <w:rFonts w:ascii="宋体"/>
                <w:sz w:val="18"/>
              </w:rPr>
              <w:t>-</w:t>
            </w:r>
          </w:p>
        </w:tc>
      </w:tr>
      <w:tr>
        <w:trPr>
          <w:trHeight w:val="261" w:hRule="exact"/>
        </w:trPr>
        <w:tc>
          <w:tcPr>
            <w:tcW w:w="108" w:type="dxa"/>
            <w:tcBorders>
              <w:top w:val="nil" w:sz="6" w:space="0" w:color="auto"/>
              <w:left w:val="nil" w:sz="6" w:space="0" w:color="auto"/>
              <w:bottom w:val="nil" w:sz="6" w:space="0" w:color="auto"/>
              <w:right w:val="nil" w:sz="6" w:space="0" w:color="auto"/>
            </w:tcBorders>
          </w:tcPr>
          <w:p>
            <w:pPr/>
          </w:p>
        </w:tc>
        <w:tc>
          <w:tcPr>
            <w:tcW w:w="2621" w:type="dxa"/>
            <w:tcBorders>
              <w:top w:val="nil" w:sz="6" w:space="0" w:color="auto"/>
              <w:left w:val="nil" w:sz="6" w:space="0" w:color="auto"/>
              <w:bottom w:val="nil" w:sz="6" w:space="0" w:color="auto"/>
              <w:right w:val="nil" w:sz="6" w:space="0" w:color="auto"/>
            </w:tcBorders>
          </w:tcPr>
          <w:p>
            <w:pPr>
              <w:pStyle w:val="TableParagraph"/>
              <w:spacing w:line="217" w:lineRule="exact"/>
              <w:ind w:left="28" w:right="0"/>
              <w:jc w:val="left"/>
              <w:rPr>
                <w:rFonts w:ascii="宋体" w:hAnsi="宋体" w:cs="宋体" w:eastAsia="宋体" w:hint="default"/>
                <w:sz w:val="18"/>
                <w:szCs w:val="18"/>
              </w:rPr>
            </w:pPr>
            <w:r>
              <w:rPr>
                <w:rFonts w:ascii="宋体" w:hAnsi="宋体" w:cs="宋体" w:eastAsia="宋体" w:hint="default"/>
                <w:b/>
                <w:bCs/>
                <w:sz w:val="18"/>
                <w:szCs w:val="18"/>
              </w:rPr>
              <w:t>二、本年年初余额</w:t>
            </w:r>
            <w:r>
              <w:rPr>
                <w:rFonts w:ascii="宋体" w:hAnsi="宋体" w:cs="宋体" w:eastAsia="宋体" w:hint="default"/>
                <w:sz w:val="18"/>
                <w:szCs w:val="18"/>
              </w:rPr>
            </w:r>
          </w:p>
        </w:tc>
        <w:tc>
          <w:tcPr>
            <w:tcW w:w="161" w:type="dxa"/>
            <w:tcBorders>
              <w:top w:val="nil" w:sz="6" w:space="0" w:color="auto"/>
              <w:left w:val="nil" w:sz="6" w:space="0" w:color="auto"/>
              <w:bottom w:val="nil" w:sz="6" w:space="0" w:color="auto"/>
              <w:right w:val="nil" w:sz="6" w:space="0" w:color="auto"/>
            </w:tcBorders>
          </w:tcPr>
          <w:p>
            <w:pPr/>
          </w:p>
        </w:tc>
        <w:tc>
          <w:tcPr>
            <w:tcW w:w="2270" w:type="dxa"/>
            <w:tcBorders>
              <w:top w:val="nil" w:sz="6" w:space="0" w:color="auto"/>
              <w:left w:val="nil" w:sz="6" w:space="0" w:color="auto"/>
              <w:bottom w:val="single" w:sz="4" w:space="0" w:color="000000"/>
              <w:right w:val="nil" w:sz="6" w:space="0" w:color="auto"/>
            </w:tcBorders>
          </w:tcPr>
          <w:p>
            <w:pPr>
              <w:pStyle w:val="TableParagraph"/>
              <w:spacing w:line="217" w:lineRule="exact"/>
              <w:ind w:right="21"/>
              <w:jc w:val="right"/>
              <w:rPr>
                <w:rFonts w:ascii="宋体" w:hAnsi="宋体" w:cs="宋体" w:eastAsia="宋体" w:hint="default"/>
                <w:sz w:val="18"/>
                <w:szCs w:val="18"/>
              </w:rPr>
            </w:pPr>
            <w:r>
              <w:rPr>
                <w:rFonts w:ascii="宋体"/>
                <w:spacing w:val="-1"/>
                <w:sz w:val="18"/>
              </w:rPr>
              <w:t>88,000,000.00</w:t>
            </w:r>
            <w:r>
              <w:rPr>
                <w:rFonts w:ascii="宋体"/>
                <w:sz w:val="18"/>
              </w:rPr>
            </w:r>
          </w:p>
        </w:tc>
        <w:tc>
          <w:tcPr>
            <w:tcW w:w="113"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single" w:sz="4" w:space="0" w:color="000000"/>
              <w:right w:val="nil" w:sz="6" w:space="0" w:color="auto"/>
            </w:tcBorders>
          </w:tcPr>
          <w:p>
            <w:pPr>
              <w:pStyle w:val="TableParagraph"/>
              <w:spacing w:line="217" w:lineRule="exact"/>
              <w:ind w:right="24"/>
              <w:jc w:val="right"/>
              <w:rPr>
                <w:rFonts w:ascii="宋体" w:hAnsi="宋体" w:cs="宋体" w:eastAsia="宋体" w:hint="default"/>
                <w:sz w:val="18"/>
                <w:szCs w:val="18"/>
              </w:rPr>
            </w:pPr>
            <w:r>
              <w:rPr>
                <w:rFonts w:ascii="宋体"/>
                <w:spacing w:val="-1"/>
                <w:sz w:val="18"/>
              </w:rPr>
              <w:t>132,980,990.76</w:t>
            </w:r>
            <w:r>
              <w:rPr>
                <w:rFonts w:ascii="宋体"/>
                <w:sz w:val="18"/>
              </w:rPr>
            </w:r>
          </w:p>
        </w:tc>
        <w:tc>
          <w:tcPr>
            <w:tcW w:w="168" w:type="dxa"/>
            <w:tcBorders>
              <w:top w:val="nil" w:sz="6" w:space="0" w:color="auto"/>
              <w:left w:val="nil" w:sz="6" w:space="0" w:color="auto"/>
              <w:bottom w:val="nil" w:sz="6" w:space="0" w:color="auto"/>
              <w:right w:val="nil" w:sz="6" w:space="0" w:color="auto"/>
            </w:tcBorders>
          </w:tcPr>
          <w:p>
            <w:pPr/>
          </w:p>
        </w:tc>
        <w:tc>
          <w:tcPr>
            <w:tcW w:w="982" w:type="dxa"/>
            <w:tcBorders>
              <w:top w:val="nil" w:sz="6" w:space="0" w:color="auto"/>
              <w:left w:val="nil" w:sz="6" w:space="0" w:color="auto"/>
              <w:bottom w:val="single" w:sz="4" w:space="0" w:color="000000"/>
              <w:right w:val="nil" w:sz="6" w:space="0" w:color="auto"/>
            </w:tcBorders>
          </w:tcPr>
          <w:p>
            <w:pPr>
              <w:pStyle w:val="TableParagraph"/>
              <w:spacing w:line="217" w:lineRule="exact"/>
              <w:ind w:right="28"/>
              <w:jc w:val="right"/>
              <w:rPr>
                <w:rFonts w:ascii="宋体" w:hAnsi="宋体" w:cs="宋体" w:eastAsia="宋体" w:hint="default"/>
                <w:sz w:val="18"/>
                <w:szCs w:val="18"/>
              </w:rPr>
            </w:pPr>
            <w:r>
              <w:rPr>
                <w:rFonts w:ascii="宋体"/>
                <w:sz w:val="18"/>
              </w:rPr>
              <w:t>-</w:t>
            </w:r>
          </w:p>
        </w:tc>
        <w:tc>
          <w:tcPr>
            <w:tcW w:w="120" w:type="dxa"/>
            <w:tcBorders>
              <w:top w:val="nil" w:sz="6" w:space="0" w:color="auto"/>
              <w:left w:val="nil" w:sz="6" w:space="0" w:color="auto"/>
              <w:bottom w:val="nil" w:sz="6" w:space="0" w:color="auto"/>
              <w:right w:val="nil" w:sz="6" w:space="0" w:color="auto"/>
            </w:tcBorders>
          </w:tcPr>
          <w:p>
            <w:pPr/>
          </w:p>
        </w:tc>
        <w:tc>
          <w:tcPr>
            <w:tcW w:w="799" w:type="dxa"/>
            <w:tcBorders>
              <w:top w:val="nil" w:sz="6" w:space="0" w:color="auto"/>
              <w:left w:val="nil" w:sz="6" w:space="0" w:color="auto"/>
              <w:bottom w:val="single" w:sz="4" w:space="0" w:color="000000"/>
              <w:right w:val="nil" w:sz="6" w:space="0" w:color="auto"/>
            </w:tcBorders>
          </w:tcPr>
          <w:p>
            <w:pPr>
              <w:pStyle w:val="TableParagraph"/>
              <w:spacing w:line="217" w:lineRule="exact"/>
              <w:ind w:right="25"/>
              <w:jc w:val="right"/>
              <w:rPr>
                <w:rFonts w:ascii="宋体" w:hAnsi="宋体" w:cs="宋体" w:eastAsia="宋体" w:hint="default"/>
                <w:sz w:val="18"/>
                <w:szCs w:val="18"/>
              </w:rPr>
            </w:pPr>
            <w:r>
              <w:rPr>
                <w:rFonts w:ascii="宋体"/>
                <w:sz w:val="18"/>
              </w:rPr>
              <w:t>-</w:t>
            </w:r>
          </w:p>
        </w:tc>
        <w:tc>
          <w:tcPr>
            <w:tcW w:w="2516" w:type="dxa"/>
            <w:gridSpan w:val="2"/>
            <w:tcBorders>
              <w:top w:val="nil" w:sz="6" w:space="0" w:color="auto"/>
              <w:left w:val="nil" w:sz="6" w:space="0" w:color="auto"/>
              <w:bottom w:val="nil" w:sz="6" w:space="0" w:color="auto"/>
              <w:right w:val="nil" w:sz="6" w:space="0" w:color="auto"/>
            </w:tcBorders>
          </w:tcPr>
          <w:p>
            <w:pPr>
              <w:pStyle w:val="TableParagraph"/>
              <w:spacing w:line="217" w:lineRule="exact"/>
              <w:ind w:left="196" w:right="0"/>
              <w:jc w:val="left"/>
              <w:rPr>
                <w:rFonts w:ascii="宋体" w:hAnsi="宋体" w:cs="宋体" w:eastAsia="宋体" w:hint="default"/>
                <w:sz w:val="18"/>
                <w:szCs w:val="18"/>
              </w:rPr>
            </w:pPr>
            <w:r>
              <w:rPr>
                <w:rFonts w:ascii="宋体"/>
                <w:sz w:val="18"/>
              </w:rPr>
              <w:t>9,498,391.39</w:t>
            </w:r>
          </w:p>
        </w:tc>
        <w:tc>
          <w:tcPr>
            <w:tcW w:w="1600" w:type="dxa"/>
            <w:gridSpan w:val="2"/>
            <w:tcBorders>
              <w:top w:val="nil" w:sz="6" w:space="0" w:color="auto"/>
              <w:left w:val="nil" w:sz="6" w:space="0" w:color="auto"/>
              <w:bottom w:val="nil" w:sz="6" w:space="0" w:color="auto"/>
              <w:right w:val="nil" w:sz="6" w:space="0" w:color="auto"/>
            </w:tcBorders>
          </w:tcPr>
          <w:p>
            <w:pPr>
              <w:pStyle w:val="TableParagraph"/>
              <w:spacing w:line="217" w:lineRule="exact"/>
              <w:ind w:left="402" w:right="0"/>
              <w:jc w:val="left"/>
              <w:rPr>
                <w:rFonts w:ascii="宋体" w:hAnsi="宋体" w:cs="宋体" w:eastAsia="宋体" w:hint="default"/>
                <w:sz w:val="18"/>
                <w:szCs w:val="18"/>
              </w:rPr>
            </w:pPr>
            <w:r>
              <w:rPr>
                <w:rFonts w:ascii="宋体"/>
                <w:sz w:val="18"/>
              </w:rPr>
              <w:t>65,208,605.62</w:t>
            </w:r>
          </w:p>
        </w:tc>
        <w:tc>
          <w:tcPr>
            <w:tcW w:w="103" w:type="dxa"/>
            <w:tcBorders>
              <w:top w:val="nil" w:sz="6" w:space="0" w:color="auto"/>
              <w:left w:val="nil" w:sz="6" w:space="0" w:color="auto"/>
              <w:bottom w:val="nil" w:sz="6" w:space="0" w:color="auto"/>
              <w:right w:val="nil" w:sz="6" w:space="0" w:color="auto"/>
            </w:tcBorders>
          </w:tcPr>
          <w:p>
            <w:pPr/>
          </w:p>
        </w:tc>
        <w:tc>
          <w:tcPr>
            <w:tcW w:w="1178" w:type="dxa"/>
            <w:tcBorders>
              <w:top w:val="nil" w:sz="6" w:space="0" w:color="auto"/>
              <w:left w:val="nil" w:sz="6" w:space="0" w:color="auto"/>
              <w:bottom w:val="single" w:sz="4" w:space="0" w:color="000000"/>
              <w:right w:val="nil" w:sz="6" w:space="0" w:color="auto"/>
            </w:tcBorders>
          </w:tcPr>
          <w:p>
            <w:pPr>
              <w:pStyle w:val="TableParagraph"/>
              <w:spacing w:line="217" w:lineRule="exact"/>
              <w:ind w:right="25"/>
              <w:jc w:val="right"/>
              <w:rPr>
                <w:rFonts w:ascii="宋体" w:hAnsi="宋体" w:cs="宋体" w:eastAsia="宋体" w:hint="default"/>
                <w:sz w:val="18"/>
                <w:szCs w:val="18"/>
              </w:rPr>
            </w:pPr>
            <w:r>
              <w:rPr>
                <w:rFonts w:ascii="宋体"/>
                <w:sz w:val="18"/>
              </w:rPr>
              <w:t>-</w:t>
            </w:r>
          </w:p>
        </w:tc>
        <w:tc>
          <w:tcPr>
            <w:tcW w:w="2004" w:type="dxa"/>
            <w:tcBorders>
              <w:top w:val="nil" w:sz="6" w:space="0" w:color="auto"/>
              <w:left w:val="nil" w:sz="6" w:space="0" w:color="auto"/>
              <w:bottom w:val="single" w:sz="4" w:space="0" w:color="000000"/>
              <w:right w:val="nil" w:sz="6" w:space="0" w:color="auto"/>
            </w:tcBorders>
          </w:tcPr>
          <w:p>
            <w:pPr>
              <w:pStyle w:val="TableParagraph"/>
              <w:spacing w:line="217" w:lineRule="exact"/>
              <w:ind w:left="180" w:right="0"/>
              <w:jc w:val="left"/>
              <w:rPr>
                <w:rFonts w:ascii="宋体" w:hAnsi="宋体" w:cs="宋体" w:eastAsia="宋体" w:hint="default"/>
                <w:sz w:val="18"/>
                <w:szCs w:val="18"/>
              </w:rPr>
            </w:pPr>
            <w:r>
              <w:rPr>
                <w:rFonts w:ascii="宋体"/>
                <w:sz w:val="18"/>
              </w:rPr>
              <w:t>295,687,987.77</w:t>
            </w:r>
          </w:p>
        </w:tc>
      </w:tr>
      <w:tr>
        <w:trPr>
          <w:trHeight w:val="264" w:hRule="exact"/>
        </w:trPr>
        <w:tc>
          <w:tcPr>
            <w:tcW w:w="108" w:type="dxa"/>
            <w:tcBorders>
              <w:top w:val="nil" w:sz="6" w:space="0" w:color="auto"/>
              <w:left w:val="nil" w:sz="6" w:space="0" w:color="auto"/>
              <w:bottom w:val="nil" w:sz="6" w:space="0" w:color="auto"/>
              <w:right w:val="nil" w:sz="6" w:space="0" w:color="auto"/>
            </w:tcBorders>
          </w:tcPr>
          <w:p>
            <w:pPr/>
          </w:p>
        </w:tc>
        <w:tc>
          <w:tcPr>
            <w:tcW w:w="2621" w:type="dxa"/>
            <w:tcBorders>
              <w:top w:val="nil" w:sz="6" w:space="0" w:color="auto"/>
              <w:left w:val="nil" w:sz="6" w:space="0" w:color="auto"/>
              <w:bottom w:val="nil" w:sz="6" w:space="0" w:color="auto"/>
              <w:right w:val="nil" w:sz="6" w:space="0" w:color="auto"/>
            </w:tcBorders>
          </w:tcPr>
          <w:p>
            <w:pPr>
              <w:pStyle w:val="TableParagraph"/>
              <w:spacing w:line="220" w:lineRule="exact"/>
              <w:ind w:left="28" w:right="0"/>
              <w:jc w:val="left"/>
              <w:rPr>
                <w:rFonts w:ascii="宋体" w:hAnsi="宋体" w:cs="宋体" w:eastAsia="宋体" w:hint="default"/>
                <w:sz w:val="18"/>
                <w:szCs w:val="18"/>
              </w:rPr>
            </w:pPr>
            <w:r>
              <w:rPr>
                <w:rFonts w:ascii="宋体" w:hAnsi="宋体" w:cs="宋体" w:eastAsia="宋体" w:hint="default"/>
                <w:b/>
                <w:bCs/>
                <w:sz w:val="18"/>
                <w:szCs w:val="18"/>
              </w:rPr>
              <w:t>三、本年增减变动金额</w:t>
            </w:r>
            <w:r>
              <w:rPr>
                <w:rFonts w:ascii="宋体" w:hAnsi="宋体" w:cs="宋体" w:eastAsia="宋体" w:hint="default"/>
                <w:sz w:val="18"/>
                <w:szCs w:val="18"/>
              </w:rPr>
            </w:r>
          </w:p>
        </w:tc>
        <w:tc>
          <w:tcPr>
            <w:tcW w:w="161" w:type="dxa"/>
            <w:tcBorders>
              <w:top w:val="nil" w:sz="6" w:space="0" w:color="auto"/>
              <w:left w:val="nil" w:sz="6" w:space="0" w:color="auto"/>
              <w:bottom w:val="nil" w:sz="6" w:space="0" w:color="auto"/>
              <w:right w:val="nil" w:sz="6" w:space="0" w:color="auto"/>
            </w:tcBorders>
          </w:tcPr>
          <w:p>
            <w:pPr/>
          </w:p>
        </w:tc>
        <w:tc>
          <w:tcPr>
            <w:tcW w:w="2270" w:type="dxa"/>
            <w:tcBorders>
              <w:top w:val="single" w:sz="4" w:space="0" w:color="000000"/>
              <w:left w:val="nil" w:sz="6" w:space="0" w:color="auto"/>
              <w:bottom w:val="single" w:sz="4" w:space="0" w:color="000000"/>
              <w:right w:val="nil" w:sz="6" w:space="0" w:color="auto"/>
            </w:tcBorders>
          </w:tcPr>
          <w:p>
            <w:pPr>
              <w:pStyle w:val="TableParagraph"/>
              <w:spacing w:line="215" w:lineRule="exact"/>
              <w:ind w:right="25"/>
              <w:jc w:val="right"/>
              <w:rPr>
                <w:rFonts w:ascii="宋体" w:hAnsi="宋体" w:cs="宋体" w:eastAsia="宋体" w:hint="default"/>
                <w:sz w:val="18"/>
                <w:szCs w:val="18"/>
              </w:rPr>
            </w:pPr>
            <w:r>
              <w:rPr>
                <w:rFonts w:ascii="宋体"/>
                <w:sz w:val="18"/>
              </w:rPr>
              <w:t>-</w:t>
            </w:r>
          </w:p>
        </w:tc>
        <w:tc>
          <w:tcPr>
            <w:tcW w:w="113" w:type="dxa"/>
            <w:tcBorders>
              <w:top w:val="nil" w:sz="6" w:space="0" w:color="auto"/>
              <w:left w:val="nil" w:sz="6" w:space="0" w:color="auto"/>
              <w:bottom w:val="nil" w:sz="6" w:space="0" w:color="auto"/>
              <w:right w:val="nil" w:sz="6" w:space="0" w:color="auto"/>
            </w:tcBorders>
          </w:tcPr>
          <w:p>
            <w:pPr/>
          </w:p>
        </w:tc>
        <w:tc>
          <w:tcPr>
            <w:tcW w:w="1418" w:type="dxa"/>
            <w:tcBorders>
              <w:top w:val="single" w:sz="4" w:space="0" w:color="000000"/>
              <w:left w:val="nil" w:sz="6" w:space="0" w:color="auto"/>
              <w:bottom w:val="single" w:sz="4" w:space="0" w:color="000000"/>
              <w:right w:val="nil" w:sz="6" w:space="0" w:color="auto"/>
            </w:tcBorders>
          </w:tcPr>
          <w:p>
            <w:pPr>
              <w:pStyle w:val="TableParagraph"/>
              <w:spacing w:line="215" w:lineRule="exact"/>
              <w:ind w:right="25"/>
              <w:jc w:val="right"/>
              <w:rPr>
                <w:rFonts w:ascii="宋体" w:hAnsi="宋体" w:cs="宋体" w:eastAsia="宋体" w:hint="default"/>
                <w:sz w:val="18"/>
                <w:szCs w:val="18"/>
              </w:rPr>
            </w:pPr>
            <w:r>
              <w:rPr>
                <w:rFonts w:ascii="宋体"/>
                <w:sz w:val="18"/>
              </w:rPr>
              <w:t>-</w:t>
            </w:r>
          </w:p>
        </w:tc>
        <w:tc>
          <w:tcPr>
            <w:tcW w:w="168" w:type="dxa"/>
            <w:tcBorders>
              <w:top w:val="nil" w:sz="6" w:space="0" w:color="auto"/>
              <w:left w:val="nil" w:sz="6" w:space="0" w:color="auto"/>
              <w:bottom w:val="nil" w:sz="6" w:space="0" w:color="auto"/>
              <w:right w:val="nil" w:sz="6" w:space="0" w:color="auto"/>
            </w:tcBorders>
          </w:tcPr>
          <w:p>
            <w:pPr/>
          </w:p>
        </w:tc>
        <w:tc>
          <w:tcPr>
            <w:tcW w:w="982" w:type="dxa"/>
            <w:tcBorders>
              <w:top w:val="single" w:sz="4" w:space="0" w:color="000000"/>
              <w:left w:val="nil" w:sz="6" w:space="0" w:color="auto"/>
              <w:bottom w:val="single" w:sz="4" w:space="0" w:color="000000"/>
              <w:right w:val="nil" w:sz="6" w:space="0" w:color="auto"/>
            </w:tcBorders>
          </w:tcPr>
          <w:p>
            <w:pPr>
              <w:pStyle w:val="TableParagraph"/>
              <w:spacing w:line="215" w:lineRule="exact"/>
              <w:ind w:right="28"/>
              <w:jc w:val="right"/>
              <w:rPr>
                <w:rFonts w:ascii="宋体" w:hAnsi="宋体" w:cs="宋体" w:eastAsia="宋体" w:hint="default"/>
                <w:sz w:val="18"/>
                <w:szCs w:val="18"/>
              </w:rPr>
            </w:pPr>
            <w:r>
              <w:rPr>
                <w:rFonts w:ascii="宋体"/>
                <w:sz w:val="18"/>
              </w:rPr>
              <w:t>-</w:t>
            </w:r>
          </w:p>
        </w:tc>
        <w:tc>
          <w:tcPr>
            <w:tcW w:w="120" w:type="dxa"/>
            <w:tcBorders>
              <w:top w:val="nil" w:sz="6" w:space="0" w:color="auto"/>
              <w:left w:val="nil" w:sz="6" w:space="0" w:color="auto"/>
              <w:bottom w:val="nil" w:sz="6" w:space="0" w:color="auto"/>
              <w:right w:val="nil" w:sz="6" w:space="0" w:color="auto"/>
            </w:tcBorders>
          </w:tcPr>
          <w:p>
            <w:pPr/>
          </w:p>
        </w:tc>
        <w:tc>
          <w:tcPr>
            <w:tcW w:w="799" w:type="dxa"/>
            <w:tcBorders>
              <w:top w:val="single" w:sz="4" w:space="0" w:color="000000"/>
              <w:left w:val="nil" w:sz="6" w:space="0" w:color="auto"/>
              <w:bottom w:val="single" w:sz="4" w:space="0" w:color="000000"/>
              <w:right w:val="nil" w:sz="6" w:space="0" w:color="auto"/>
            </w:tcBorders>
          </w:tcPr>
          <w:p>
            <w:pPr>
              <w:pStyle w:val="TableParagraph"/>
              <w:spacing w:line="215" w:lineRule="exact"/>
              <w:ind w:right="25"/>
              <w:jc w:val="right"/>
              <w:rPr>
                <w:rFonts w:ascii="宋体" w:hAnsi="宋体" w:cs="宋体" w:eastAsia="宋体" w:hint="default"/>
                <w:sz w:val="18"/>
                <w:szCs w:val="18"/>
              </w:rPr>
            </w:pPr>
            <w:r>
              <w:rPr>
                <w:rFonts w:ascii="宋体"/>
                <w:sz w:val="18"/>
              </w:rPr>
              <w:t>-</w:t>
            </w:r>
          </w:p>
        </w:tc>
        <w:tc>
          <w:tcPr>
            <w:tcW w:w="2516" w:type="dxa"/>
            <w:gridSpan w:val="2"/>
            <w:tcBorders>
              <w:top w:val="nil" w:sz="6" w:space="0" w:color="auto"/>
              <w:left w:val="nil" w:sz="6" w:space="0" w:color="auto"/>
              <w:bottom w:val="nil" w:sz="6" w:space="0" w:color="auto"/>
              <w:right w:val="nil" w:sz="6" w:space="0" w:color="auto"/>
            </w:tcBorders>
          </w:tcPr>
          <w:p>
            <w:pPr>
              <w:pStyle w:val="TableParagraph"/>
              <w:spacing w:line="220" w:lineRule="exact"/>
              <w:ind w:left="196" w:right="0"/>
              <w:jc w:val="left"/>
              <w:rPr>
                <w:rFonts w:ascii="宋体" w:hAnsi="宋体" w:cs="宋体" w:eastAsia="宋体" w:hint="default"/>
                <w:sz w:val="18"/>
                <w:szCs w:val="18"/>
              </w:rPr>
            </w:pPr>
            <w:r>
              <w:rPr>
                <w:rFonts w:ascii="宋体"/>
                <w:sz w:val="18"/>
              </w:rPr>
              <w:t>2,237,688.08</w:t>
            </w:r>
          </w:p>
        </w:tc>
        <w:tc>
          <w:tcPr>
            <w:tcW w:w="1600" w:type="dxa"/>
            <w:gridSpan w:val="2"/>
            <w:tcBorders>
              <w:top w:val="nil" w:sz="6" w:space="0" w:color="auto"/>
              <w:left w:val="nil" w:sz="6" w:space="0" w:color="auto"/>
              <w:bottom w:val="nil" w:sz="6" w:space="0" w:color="auto"/>
              <w:right w:val="nil" w:sz="6" w:space="0" w:color="auto"/>
            </w:tcBorders>
          </w:tcPr>
          <w:p>
            <w:pPr>
              <w:pStyle w:val="TableParagraph"/>
              <w:spacing w:line="220" w:lineRule="exact"/>
              <w:ind w:left="402" w:right="0"/>
              <w:jc w:val="left"/>
              <w:rPr>
                <w:rFonts w:ascii="宋体" w:hAnsi="宋体" w:cs="宋体" w:eastAsia="宋体" w:hint="default"/>
                <w:sz w:val="18"/>
                <w:szCs w:val="18"/>
              </w:rPr>
            </w:pPr>
            <w:r>
              <w:rPr>
                <w:rFonts w:ascii="宋体"/>
                <w:sz w:val="18"/>
              </w:rPr>
              <w:t>21,074,302.24</w:t>
            </w:r>
          </w:p>
        </w:tc>
        <w:tc>
          <w:tcPr>
            <w:tcW w:w="103" w:type="dxa"/>
            <w:tcBorders>
              <w:top w:val="nil" w:sz="6" w:space="0" w:color="auto"/>
              <w:left w:val="nil" w:sz="6" w:space="0" w:color="auto"/>
              <w:bottom w:val="nil" w:sz="6" w:space="0" w:color="auto"/>
              <w:right w:val="nil" w:sz="6" w:space="0" w:color="auto"/>
            </w:tcBorders>
          </w:tcPr>
          <w:p>
            <w:pPr/>
          </w:p>
        </w:tc>
        <w:tc>
          <w:tcPr>
            <w:tcW w:w="1178" w:type="dxa"/>
            <w:tcBorders>
              <w:top w:val="single" w:sz="4" w:space="0" w:color="000000"/>
              <w:left w:val="nil" w:sz="6" w:space="0" w:color="auto"/>
              <w:bottom w:val="single" w:sz="4" w:space="0" w:color="000000"/>
              <w:right w:val="nil" w:sz="6" w:space="0" w:color="auto"/>
            </w:tcBorders>
          </w:tcPr>
          <w:p>
            <w:pPr>
              <w:pStyle w:val="TableParagraph"/>
              <w:spacing w:line="215" w:lineRule="exact"/>
              <w:ind w:right="25"/>
              <w:jc w:val="right"/>
              <w:rPr>
                <w:rFonts w:ascii="宋体" w:hAnsi="宋体" w:cs="宋体" w:eastAsia="宋体" w:hint="default"/>
                <w:sz w:val="18"/>
                <w:szCs w:val="18"/>
              </w:rPr>
            </w:pPr>
            <w:r>
              <w:rPr>
                <w:rFonts w:ascii="宋体"/>
                <w:sz w:val="18"/>
              </w:rPr>
              <w:t>-</w:t>
            </w:r>
          </w:p>
        </w:tc>
        <w:tc>
          <w:tcPr>
            <w:tcW w:w="2004" w:type="dxa"/>
            <w:tcBorders>
              <w:top w:val="single" w:sz="4" w:space="0" w:color="000000"/>
              <w:left w:val="nil" w:sz="6" w:space="0" w:color="auto"/>
              <w:bottom w:val="single" w:sz="4" w:space="0" w:color="000000"/>
              <w:right w:val="nil" w:sz="6" w:space="0" w:color="auto"/>
            </w:tcBorders>
          </w:tcPr>
          <w:p>
            <w:pPr>
              <w:pStyle w:val="TableParagraph"/>
              <w:spacing w:line="215" w:lineRule="exact"/>
              <w:ind w:right="559"/>
              <w:jc w:val="right"/>
              <w:rPr>
                <w:rFonts w:ascii="宋体" w:hAnsi="宋体" w:cs="宋体" w:eastAsia="宋体" w:hint="default"/>
                <w:sz w:val="18"/>
                <w:szCs w:val="18"/>
              </w:rPr>
            </w:pPr>
            <w:r>
              <w:rPr>
                <w:rFonts w:ascii="宋体"/>
                <w:spacing w:val="-1"/>
                <w:sz w:val="18"/>
              </w:rPr>
              <w:t>23,311,990.32</w:t>
            </w:r>
            <w:r>
              <w:rPr>
                <w:rFonts w:ascii="宋体"/>
                <w:sz w:val="18"/>
              </w:rPr>
            </w:r>
          </w:p>
        </w:tc>
      </w:tr>
      <w:tr>
        <w:trPr>
          <w:trHeight w:val="259" w:hRule="exact"/>
        </w:trPr>
        <w:tc>
          <w:tcPr>
            <w:tcW w:w="108" w:type="dxa"/>
            <w:tcBorders>
              <w:top w:val="nil" w:sz="6" w:space="0" w:color="auto"/>
              <w:left w:val="nil" w:sz="6" w:space="0" w:color="auto"/>
              <w:bottom w:val="nil" w:sz="6" w:space="0" w:color="auto"/>
              <w:right w:val="nil" w:sz="6" w:space="0" w:color="auto"/>
            </w:tcBorders>
          </w:tcPr>
          <w:p>
            <w:pPr/>
          </w:p>
        </w:tc>
        <w:tc>
          <w:tcPr>
            <w:tcW w:w="2621" w:type="dxa"/>
            <w:tcBorders>
              <w:top w:val="nil" w:sz="6" w:space="0" w:color="auto"/>
              <w:left w:val="nil" w:sz="6" w:space="0" w:color="auto"/>
              <w:bottom w:val="nil" w:sz="6" w:space="0" w:color="auto"/>
              <w:right w:val="nil" w:sz="6" w:space="0" w:color="auto"/>
            </w:tcBorders>
          </w:tcPr>
          <w:p>
            <w:pPr>
              <w:pStyle w:val="TableParagraph"/>
              <w:spacing w:line="222" w:lineRule="exact"/>
              <w:ind w:left="28"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61" w:type="dxa"/>
            <w:tcBorders>
              <w:top w:val="nil" w:sz="6" w:space="0" w:color="auto"/>
              <w:left w:val="nil" w:sz="6" w:space="0" w:color="auto"/>
              <w:bottom w:val="nil" w:sz="6" w:space="0" w:color="auto"/>
              <w:right w:val="nil" w:sz="6" w:space="0" w:color="auto"/>
            </w:tcBorders>
          </w:tcPr>
          <w:p>
            <w:pPr/>
          </w:p>
        </w:tc>
        <w:tc>
          <w:tcPr>
            <w:tcW w:w="2270" w:type="dxa"/>
            <w:tcBorders>
              <w:top w:val="single" w:sz="4" w:space="0" w:color="000000"/>
              <w:left w:val="nil" w:sz="6" w:space="0" w:color="auto"/>
              <w:bottom w:val="nil" w:sz="6" w:space="0" w:color="auto"/>
              <w:right w:val="nil" w:sz="6" w:space="0" w:color="auto"/>
            </w:tcBorders>
          </w:tcPr>
          <w:p>
            <w:pPr>
              <w:pStyle w:val="TableParagraph"/>
              <w:spacing w:line="217" w:lineRule="exact"/>
              <w:ind w:right="25"/>
              <w:jc w:val="right"/>
              <w:rPr>
                <w:rFonts w:ascii="宋体" w:hAnsi="宋体" w:cs="宋体" w:eastAsia="宋体" w:hint="default"/>
                <w:sz w:val="18"/>
                <w:szCs w:val="18"/>
              </w:rPr>
            </w:pPr>
            <w:r>
              <w:rPr>
                <w:rFonts w:ascii="宋体"/>
                <w:sz w:val="18"/>
              </w:rPr>
              <w:t>-</w:t>
            </w:r>
          </w:p>
        </w:tc>
        <w:tc>
          <w:tcPr>
            <w:tcW w:w="113" w:type="dxa"/>
            <w:tcBorders>
              <w:top w:val="nil" w:sz="6" w:space="0" w:color="auto"/>
              <w:left w:val="nil" w:sz="6" w:space="0" w:color="auto"/>
              <w:bottom w:val="nil" w:sz="6" w:space="0" w:color="auto"/>
              <w:right w:val="nil" w:sz="6" w:space="0" w:color="auto"/>
            </w:tcBorders>
          </w:tcPr>
          <w:p>
            <w:pPr/>
          </w:p>
        </w:tc>
        <w:tc>
          <w:tcPr>
            <w:tcW w:w="1418" w:type="dxa"/>
            <w:tcBorders>
              <w:top w:val="single" w:sz="4" w:space="0" w:color="000000"/>
              <w:left w:val="nil" w:sz="6" w:space="0" w:color="auto"/>
              <w:bottom w:val="nil" w:sz="6" w:space="0" w:color="auto"/>
              <w:right w:val="nil" w:sz="6" w:space="0" w:color="auto"/>
            </w:tcBorders>
          </w:tcPr>
          <w:p>
            <w:pPr>
              <w:pStyle w:val="TableParagraph"/>
              <w:spacing w:line="217" w:lineRule="exact"/>
              <w:ind w:right="25"/>
              <w:jc w:val="right"/>
              <w:rPr>
                <w:rFonts w:ascii="宋体" w:hAnsi="宋体" w:cs="宋体" w:eastAsia="宋体" w:hint="default"/>
                <w:sz w:val="18"/>
                <w:szCs w:val="18"/>
              </w:rPr>
            </w:pPr>
            <w:r>
              <w:rPr>
                <w:rFonts w:ascii="宋体"/>
                <w:sz w:val="18"/>
              </w:rPr>
              <w:t>-</w:t>
            </w:r>
          </w:p>
        </w:tc>
        <w:tc>
          <w:tcPr>
            <w:tcW w:w="168" w:type="dxa"/>
            <w:tcBorders>
              <w:top w:val="nil" w:sz="6" w:space="0" w:color="auto"/>
              <w:left w:val="nil" w:sz="6" w:space="0" w:color="auto"/>
              <w:bottom w:val="nil" w:sz="6" w:space="0" w:color="auto"/>
              <w:right w:val="nil" w:sz="6" w:space="0" w:color="auto"/>
            </w:tcBorders>
          </w:tcPr>
          <w:p>
            <w:pPr/>
          </w:p>
        </w:tc>
        <w:tc>
          <w:tcPr>
            <w:tcW w:w="982" w:type="dxa"/>
            <w:tcBorders>
              <w:top w:val="single" w:sz="4" w:space="0" w:color="000000"/>
              <w:left w:val="nil" w:sz="6" w:space="0" w:color="auto"/>
              <w:bottom w:val="nil" w:sz="6" w:space="0" w:color="auto"/>
              <w:right w:val="nil" w:sz="6" w:space="0" w:color="auto"/>
            </w:tcBorders>
          </w:tcPr>
          <w:p>
            <w:pPr>
              <w:pStyle w:val="TableParagraph"/>
              <w:spacing w:line="217" w:lineRule="exact"/>
              <w:ind w:right="28"/>
              <w:jc w:val="right"/>
              <w:rPr>
                <w:rFonts w:ascii="宋体" w:hAnsi="宋体" w:cs="宋体" w:eastAsia="宋体" w:hint="default"/>
                <w:sz w:val="18"/>
                <w:szCs w:val="18"/>
              </w:rPr>
            </w:pPr>
            <w:r>
              <w:rPr>
                <w:rFonts w:ascii="宋体"/>
                <w:sz w:val="18"/>
              </w:rPr>
              <w:t>-</w:t>
            </w:r>
          </w:p>
        </w:tc>
        <w:tc>
          <w:tcPr>
            <w:tcW w:w="120" w:type="dxa"/>
            <w:tcBorders>
              <w:top w:val="nil" w:sz="6" w:space="0" w:color="auto"/>
              <w:left w:val="nil" w:sz="6" w:space="0" w:color="auto"/>
              <w:bottom w:val="nil" w:sz="6" w:space="0" w:color="auto"/>
              <w:right w:val="nil" w:sz="6" w:space="0" w:color="auto"/>
            </w:tcBorders>
          </w:tcPr>
          <w:p>
            <w:pPr/>
          </w:p>
        </w:tc>
        <w:tc>
          <w:tcPr>
            <w:tcW w:w="799" w:type="dxa"/>
            <w:tcBorders>
              <w:top w:val="single" w:sz="4" w:space="0" w:color="000000"/>
              <w:left w:val="nil" w:sz="6" w:space="0" w:color="auto"/>
              <w:bottom w:val="nil" w:sz="6" w:space="0" w:color="auto"/>
              <w:right w:val="nil" w:sz="6" w:space="0" w:color="auto"/>
            </w:tcBorders>
          </w:tcPr>
          <w:p>
            <w:pPr>
              <w:pStyle w:val="TableParagraph"/>
              <w:spacing w:line="217" w:lineRule="exact"/>
              <w:ind w:right="25"/>
              <w:jc w:val="right"/>
              <w:rPr>
                <w:rFonts w:ascii="宋体" w:hAnsi="宋体" w:cs="宋体" w:eastAsia="宋体" w:hint="default"/>
                <w:sz w:val="18"/>
                <w:szCs w:val="18"/>
              </w:rPr>
            </w:pPr>
            <w:r>
              <w:rPr>
                <w:rFonts w:ascii="宋体"/>
                <w:sz w:val="18"/>
              </w:rPr>
              <w:t>-</w:t>
            </w:r>
          </w:p>
        </w:tc>
        <w:tc>
          <w:tcPr>
            <w:tcW w:w="1118" w:type="dxa"/>
            <w:tcBorders>
              <w:top w:val="single" w:sz="4" w:space="0" w:color="000000"/>
              <w:left w:val="nil" w:sz="6" w:space="0" w:color="auto"/>
              <w:bottom w:val="nil" w:sz="6" w:space="0" w:color="auto"/>
              <w:right w:val="nil" w:sz="6" w:space="0" w:color="auto"/>
            </w:tcBorders>
          </w:tcPr>
          <w:p>
            <w:pPr/>
          </w:p>
        </w:tc>
        <w:tc>
          <w:tcPr>
            <w:tcW w:w="1398" w:type="dxa"/>
            <w:tcBorders>
              <w:top w:val="single" w:sz="4" w:space="0" w:color="000000"/>
              <w:left w:val="nil" w:sz="6" w:space="0" w:color="auto"/>
              <w:bottom w:val="nil" w:sz="6" w:space="0" w:color="auto"/>
              <w:right w:val="nil" w:sz="6" w:space="0" w:color="auto"/>
            </w:tcBorders>
          </w:tcPr>
          <w:p>
            <w:pPr>
              <w:pStyle w:val="TableParagraph"/>
              <w:spacing w:line="217" w:lineRule="exact"/>
              <w:ind w:left="67" w:right="0"/>
              <w:jc w:val="left"/>
              <w:rPr>
                <w:rFonts w:ascii="宋体" w:hAnsi="宋体" w:cs="宋体" w:eastAsia="宋体" w:hint="default"/>
                <w:sz w:val="18"/>
                <w:szCs w:val="18"/>
              </w:rPr>
            </w:pPr>
            <w:r>
              <w:rPr>
                <w:rFonts w:ascii="宋体"/>
                <w:sz w:val="18"/>
              </w:rPr>
              <w:t>-</w:t>
            </w:r>
          </w:p>
        </w:tc>
        <w:tc>
          <w:tcPr>
            <w:tcW w:w="1600" w:type="dxa"/>
            <w:gridSpan w:val="2"/>
            <w:tcBorders>
              <w:top w:val="nil" w:sz="6" w:space="0" w:color="auto"/>
              <w:left w:val="nil" w:sz="6" w:space="0" w:color="auto"/>
              <w:bottom w:val="nil" w:sz="6" w:space="0" w:color="auto"/>
              <w:right w:val="nil" w:sz="6" w:space="0" w:color="auto"/>
            </w:tcBorders>
          </w:tcPr>
          <w:p>
            <w:pPr>
              <w:pStyle w:val="TableParagraph"/>
              <w:spacing w:line="222" w:lineRule="exact"/>
              <w:ind w:left="402" w:right="0"/>
              <w:jc w:val="left"/>
              <w:rPr>
                <w:rFonts w:ascii="宋体" w:hAnsi="宋体" w:cs="宋体" w:eastAsia="宋体" w:hint="default"/>
                <w:sz w:val="18"/>
                <w:szCs w:val="18"/>
              </w:rPr>
            </w:pPr>
            <w:r>
              <w:rPr>
                <w:rFonts w:ascii="宋体"/>
                <w:sz w:val="18"/>
              </w:rPr>
              <w:t>23,311,990.32</w:t>
            </w:r>
          </w:p>
        </w:tc>
        <w:tc>
          <w:tcPr>
            <w:tcW w:w="103" w:type="dxa"/>
            <w:tcBorders>
              <w:top w:val="nil" w:sz="6" w:space="0" w:color="auto"/>
              <w:left w:val="nil" w:sz="6" w:space="0" w:color="auto"/>
              <w:bottom w:val="nil" w:sz="6" w:space="0" w:color="auto"/>
              <w:right w:val="nil" w:sz="6" w:space="0" w:color="auto"/>
            </w:tcBorders>
          </w:tcPr>
          <w:p>
            <w:pPr/>
          </w:p>
        </w:tc>
        <w:tc>
          <w:tcPr>
            <w:tcW w:w="1178" w:type="dxa"/>
            <w:tcBorders>
              <w:top w:val="single" w:sz="4" w:space="0" w:color="000000"/>
              <w:left w:val="nil" w:sz="6" w:space="0" w:color="auto"/>
              <w:bottom w:val="nil" w:sz="6" w:space="0" w:color="auto"/>
              <w:right w:val="nil" w:sz="6" w:space="0" w:color="auto"/>
            </w:tcBorders>
          </w:tcPr>
          <w:p>
            <w:pPr>
              <w:pStyle w:val="TableParagraph"/>
              <w:spacing w:line="217" w:lineRule="exact"/>
              <w:ind w:right="25"/>
              <w:jc w:val="right"/>
              <w:rPr>
                <w:rFonts w:ascii="宋体" w:hAnsi="宋体" w:cs="宋体" w:eastAsia="宋体" w:hint="default"/>
                <w:sz w:val="18"/>
                <w:szCs w:val="18"/>
              </w:rPr>
            </w:pPr>
            <w:r>
              <w:rPr>
                <w:rFonts w:ascii="宋体"/>
                <w:sz w:val="18"/>
              </w:rPr>
              <w:t>-</w:t>
            </w:r>
          </w:p>
        </w:tc>
        <w:tc>
          <w:tcPr>
            <w:tcW w:w="2004" w:type="dxa"/>
            <w:tcBorders>
              <w:top w:val="single" w:sz="4" w:space="0" w:color="000000"/>
              <w:left w:val="nil" w:sz="6" w:space="0" w:color="auto"/>
              <w:bottom w:val="nil" w:sz="6" w:space="0" w:color="auto"/>
              <w:right w:val="nil" w:sz="6" w:space="0" w:color="auto"/>
            </w:tcBorders>
          </w:tcPr>
          <w:p>
            <w:pPr>
              <w:pStyle w:val="TableParagraph"/>
              <w:spacing w:line="217" w:lineRule="exact"/>
              <w:ind w:right="559"/>
              <w:jc w:val="right"/>
              <w:rPr>
                <w:rFonts w:ascii="宋体" w:hAnsi="宋体" w:cs="宋体" w:eastAsia="宋体" w:hint="default"/>
                <w:sz w:val="18"/>
                <w:szCs w:val="18"/>
              </w:rPr>
            </w:pPr>
            <w:r>
              <w:rPr>
                <w:rFonts w:ascii="宋体"/>
                <w:spacing w:val="-1"/>
                <w:sz w:val="18"/>
              </w:rPr>
              <w:t>23,311,990.32</w:t>
            </w:r>
            <w:r>
              <w:rPr>
                <w:rFonts w:ascii="宋体"/>
                <w:sz w:val="18"/>
              </w:rPr>
            </w:r>
          </w:p>
        </w:tc>
      </w:tr>
      <w:tr>
        <w:trPr>
          <w:trHeight w:val="254" w:hRule="exact"/>
        </w:trPr>
        <w:tc>
          <w:tcPr>
            <w:tcW w:w="108" w:type="dxa"/>
            <w:tcBorders>
              <w:top w:val="nil" w:sz="6" w:space="0" w:color="auto"/>
              <w:left w:val="nil" w:sz="6" w:space="0" w:color="auto"/>
              <w:bottom w:val="nil" w:sz="6" w:space="0" w:color="auto"/>
              <w:right w:val="nil" w:sz="6" w:space="0" w:color="auto"/>
            </w:tcBorders>
          </w:tcPr>
          <w:p>
            <w:pPr/>
          </w:p>
        </w:tc>
        <w:tc>
          <w:tcPr>
            <w:tcW w:w="2621" w:type="dxa"/>
            <w:tcBorders>
              <w:top w:val="nil" w:sz="6" w:space="0" w:color="auto"/>
              <w:left w:val="nil" w:sz="6" w:space="0" w:color="auto"/>
              <w:bottom w:val="nil" w:sz="6" w:space="0" w:color="auto"/>
              <w:right w:val="nil" w:sz="6" w:space="0" w:color="auto"/>
            </w:tcBorders>
          </w:tcPr>
          <w:p>
            <w:pPr>
              <w:pStyle w:val="TableParagraph"/>
              <w:spacing w:line="217" w:lineRule="exact"/>
              <w:ind w:left="28"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61" w:type="dxa"/>
            <w:tcBorders>
              <w:top w:val="nil" w:sz="6" w:space="0" w:color="auto"/>
              <w:left w:val="nil" w:sz="6" w:space="0" w:color="auto"/>
              <w:bottom w:val="nil" w:sz="6" w:space="0" w:color="auto"/>
              <w:right w:val="nil" w:sz="6" w:space="0" w:color="auto"/>
            </w:tcBorders>
          </w:tcPr>
          <w:p>
            <w:pPr/>
          </w:p>
        </w:tc>
        <w:tc>
          <w:tcPr>
            <w:tcW w:w="2270" w:type="dxa"/>
            <w:tcBorders>
              <w:top w:val="nil" w:sz="6" w:space="0" w:color="auto"/>
              <w:left w:val="nil" w:sz="6" w:space="0" w:color="auto"/>
              <w:bottom w:val="nil" w:sz="6" w:space="0" w:color="auto"/>
              <w:right w:val="nil" w:sz="6" w:space="0" w:color="auto"/>
            </w:tcBorders>
          </w:tcPr>
          <w:p>
            <w:pPr>
              <w:pStyle w:val="TableParagraph"/>
              <w:spacing w:line="217" w:lineRule="exact"/>
              <w:ind w:right="25"/>
              <w:jc w:val="right"/>
              <w:rPr>
                <w:rFonts w:ascii="宋体" w:hAnsi="宋体" w:cs="宋体" w:eastAsia="宋体" w:hint="default"/>
                <w:sz w:val="18"/>
                <w:szCs w:val="18"/>
              </w:rPr>
            </w:pPr>
            <w:r>
              <w:rPr>
                <w:rFonts w:ascii="宋体"/>
                <w:sz w:val="18"/>
              </w:rPr>
              <w:t>-</w:t>
            </w:r>
          </w:p>
        </w:tc>
        <w:tc>
          <w:tcPr>
            <w:tcW w:w="113"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17" w:lineRule="exact"/>
              <w:ind w:right="25"/>
              <w:jc w:val="right"/>
              <w:rPr>
                <w:rFonts w:ascii="宋体" w:hAnsi="宋体" w:cs="宋体" w:eastAsia="宋体" w:hint="default"/>
                <w:sz w:val="18"/>
                <w:szCs w:val="18"/>
              </w:rPr>
            </w:pPr>
            <w:r>
              <w:rPr>
                <w:rFonts w:ascii="宋体"/>
                <w:sz w:val="18"/>
              </w:rPr>
              <w:t>-</w:t>
            </w:r>
          </w:p>
        </w:tc>
        <w:tc>
          <w:tcPr>
            <w:tcW w:w="168" w:type="dxa"/>
            <w:tcBorders>
              <w:top w:val="nil" w:sz="6" w:space="0" w:color="auto"/>
              <w:left w:val="nil" w:sz="6" w:space="0" w:color="auto"/>
              <w:bottom w:val="nil" w:sz="6" w:space="0" w:color="auto"/>
              <w:right w:val="nil" w:sz="6" w:space="0" w:color="auto"/>
            </w:tcBorders>
          </w:tcPr>
          <w:p>
            <w:pPr/>
          </w:p>
        </w:tc>
        <w:tc>
          <w:tcPr>
            <w:tcW w:w="982" w:type="dxa"/>
            <w:tcBorders>
              <w:top w:val="nil" w:sz="6" w:space="0" w:color="auto"/>
              <w:left w:val="nil" w:sz="6" w:space="0" w:color="auto"/>
              <w:bottom w:val="nil" w:sz="6" w:space="0" w:color="auto"/>
              <w:right w:val="nil" w:sz="6" w:space="0" w:color="auto"/>
            </w:tcBorders>
          </w:tcPr>
          <w:p>
            <w:pPr>
              <w:pStyle w:val="TableParagraph"/>
              <w:spacing w:line="217" w:lineRule="exact"/>
              <w:ind w:right="28"/>
              <w:jc w:val="right"/>
              <w:rPr>
                <w:rFonts w:ascii="宋体" w:hAnsi="宋体" w:cs="宋体" w:eastAsia="宋体" w:hint="default"/>
                <w:sz w:val="18"/>
                <w:szCs w:val="18"/>
              </w:rPr>
            </w:pPr>
            <w:r>
              <w:rPr>
                <w:rFonts w:ascii="宋体"/>
                <w:sz w:val="18"/>
              </w:rPr>
              <w:t>-</w:t>
            </w:r>
          </w:p>
        </w:tc>
        <w:tc>
          <w:tcPr>
            <w:tcW w:w="120" w:type="dxa"/>
            <w:tcBorders>
              <w:top w:val="nil" w:sz="6" w:space="0" w:color="auto"/>
              <w:left w:val="nil" w:sz="6" w:space="0" w:color="auto"/>
              <w:bottom w:val="nil" w:sz="6" w:space="0" w:color="auto"/>
              <w:right w:val="nil" w:sz="6" w:space="0" w:color="auto"/>
            </w:tcBorders>
          </w:tcPr>
          <w:p>
            <w:pPr/>
          </w:p>
        </w:tc>
        <w:tc>
          <w:tcPr>
            <w:tcW w:w="799" w:type="dxa"/>
            <w:tcBorders>
              <w:top w:val="nil" w:sz="6" w:space="0" w:color="auto"/>
              <w:left w:val="nil" w:sz="6" w:space="0" w:color="auto"/>
              <w:bottom w:val="nil" w:sz="6" w:space="0" w:color="auto"/>
              <w:right w:val="nil" w:sz="6" w:space="0" w:color="auto"/>
            </w:tcBorders>
          </w:tcPr>
          <w:p>
            <w:pPr>
              <w:pStyle w:val="TableParagraph"/>
              <w:spacing w:line="217" w:lineRule="exact"/>
              <w:ind w:right="25"/>
              <w:jc w:val="right"/>
              <w:rPr>
                <w:rFonts w:ascii="宋体" w:hAnsi="宋体" w:cs="宋体" w:eastAsia="宋体" w:hint="default"/>
                <w:sz w:val="18"/>
                <w:szCs w:val="18"/>
              </w:rPr>
            </w:pPr>
            <w:r>
              <w:rPr>
                <w:rFonts w:ascii="宋体"/>
                <w:sz w:val="18"/>
              </w:rPr>
              <w:t>-</w:t>
            </w:r>
          </w:p>
        </w:tc>
        <w:tc>
          <w:tcPr>
            <w:tcW w:w="1118" w:type="dxa"/>
            <w:tcBorders>
              <w:top w:val="nil" w:sz="6" w:space="0" w:color="auto"/>
              <w:left w:val="nil" w:sz="6" w:space="0" w:color="auto"/>
              <w:bottom w:val="nil" w:sz="6" w:space="0" w:color="auto"/>
              <w:right w:val="nil" w:sz="6" w:space="0" w:color="auto"/>
            </w:tcBorders>
          </w:tcPr>
          <w:p>
            <w:pPr/>
          </w:p>
        </w:tc>
        <w:tc>
          <w:tcPr>
            <w:tcW w:w="1398" w:type="dxa"/>
            <w:tcBorders>
              <w:top w:val="nil" w:sz="6" w:space="0" w:color="auto"/>
              <w:left w:val="nil" w:sz="6" w:space="0" w:color="auto"/>
              <w:bottom w:val="nil" w:sz="6" w:space="0" w:color="auto"/>
              <w:right w:val="nil" w:sz="6" w:space="0" w:color="auto"/>
            </w:tcBorders>
          </w:tcPr>
          <w:p>
            <w:pPr>
              <w:pStyle w:val="TableParagraph"/>
              <w:spacing w:line="217" w:lineRule="exact"/>
              <w:ind w:left="67" w:right="0"/>
              <w:jc w:val="left"/>
              <w:rPr>
                <w:rFonts w:ascii="宋体" w:hAnsi="宋体" w:cs="宋体" w:eastAsia="宋体" w:hint="default"/>
                <w:sz w:val="18"/>
                <w:szCs w:val="18"/>
              </w:rPr>
            </w:pPr>
            <w:r>
              <w:rPr>
                <w:rFonts w:ascii="宋体"/>
                <w:sz w:val="18"/>
              </w:rPr>
              <w:t>-</w:t>
            </w:r>
          </w:p>
        </w:tc>
        <w:tc>
          <w:tcPr>
            <w:tcW w:w="1439" w:type="dxa"/>
            <w:tcBorders>
              <w:top w:val="nil" w:sz="6" w:space="0" w:color="auto"/>
              <w:left w:val="nil" w:sz="6" w:space="0" w:color="auto"/>
              <w:bottom w:val="nil" w:sz="6" w:space="0" w:color="auto"/>
              <w:right w:val="nil" w:sz="6" w:space="0" w:color="auto"/>
            </w:tcBorders>
          </w:tcPr>
          <w:p>
            <w:pPr/>
          </w:p>
        </w:tc>
        <w:tc>
          <w:tcPr>
            <w:tcW w:w="161" w:type="dxa"/>
            <w:tcBorders>
              <w:top w:val="nil" w:sz="6" w:space="0" w:color="auto"/>
              <w:left w:val="nil" w:sz="6" w:space="0" w:color="auto"/>
              <w:bottom w:val="nil" w:sz="6" w:space="0" w:color="auto"/>
              <w:right w:val="nil" w:sz="6" w:space="0" w:color="auto"/>
            </w:tcBorders>
          </w:tcPr>
          <w:p>
            <w:pPr>
              <w:pStyle w:val="TableParagraph"/>
              <w:spacing w:line="217" w:lineRule="exact"/>
              <w:ind w:left="43" w:right="0"/>
              <w:jc w:val="left"/>
              <w:rPr>
                <w:rFonts w:ascii="宋体" w:hAnsi="宋体" w:cs="宋体" w:eastAsia="宋体" w:hint="default"/>
                <w:sz w:val="18"/>
                <w:szCs w:val="18"/>
              </w:rPr>
            </w:pPr>
            <w:r>
              <w:rPr>
                <w:rFonts w:ascii="宋体"/>
                <w:sz w:val="18"/>
              </w:rPr>
              <w:t>-</w:t>
            </w:r>
          </w:p>
        </w:tc>
        <w:tc>
          <w:tcPr>
            <w:tcW w:w="103" w:type="dxa"/>
            <w:tcBorders>
              <w:top w:val="nil" w:sz="6" w:space="0" w:color="auto"/>
              <w:left w:val="nil" w:sz="6" w:space="0" w:color="auto"/>
              <w:bottom w:val="nil" w:sz="6" w:space="0" w:color="auto"/>
              <w:right w:val="nil" w:sz="6" w:space="0" w:color="auto"/>
            </w:tcBorders>
          </w:tcPr>
          <w:p>
            <w:pPr/>
          </w:p>
        </w:tc>
        <w:tc>
          <w:tcPr>
            <w:tcW w:w="1178" w:type="dxa"/>
            <w:tcBorders>
              <w:top w:val="nil" w:sz="6" w:space="0" w:color="auto"/>
              <w:left w:val="nil" w:sz="6" w:space="0" w:color="auto"/>
              <w:bottom w:val="nil" w:sz="6" w:space="0" w:color="auto"/>
              <w:right w:val="nil" w:sz="6" w:space="0" w:color="auto"/>
            </w:tcBorders>
          </w:tcPr>
          <w:p>
            <w:pPr>
              <w:pStyle w:val="TableParagraph"/>
              <w:spacing w:line="217" w:lineRule="exact"/>
              <w:ind w:right="25"/>
              <w:jc w:val="right"/>
              <w:rPr>
                <w:rFonts w:ascii="宋体" w:hAnsi="宋体" w:cs="宋体" w:eastAsia="宋体" w:hint="default"/>
                <w:sz w:val="18"/>
                <w:szCs w:val="18"/>
              </w:rPr>
            </w:pPr>
            <w:r>
              <w:rPr>
                <w:rFonts w:ascii="宋体"/>
                <w:sz w:val="18"/>
              </w:rPr>
              <w:t>-</w:t>
            </w:r>
          </w:p>
        </w:tc>
        <w:tc>
          <w:tcPr>
            <w:tcW w:w="2004" w:type="dxa"/>
            <w:tcBorders>
              <w:top w:val="nil" w:sz="6" w:space="0" w:color="auto"/>
              <w:left w:val="nil" w:sz="6" w:space="0" w:color="auto"/>
              <w:bottom w:val="nil" w:sz="6" w:space="0" w:color="auto"/>
              <w:right w:val="nil" w:sz="6" w:space="0" w:color="auto"/>
            </w:tcBorders>
          </w:tcPr>
          <w:p>
            <w:pPr>
              <w:pStyle w:val="TableParagraph"/>
              <w:spacing w:line="217" w:lineRule="exact"/>
              <w:ind w:right="563"/>
              <w:jc w:val="right"/>
              <w:rPr>
                <w:rFonts w:ascii="宋体" w:hAnsi="宋体" w:cs="宋体" w:eastAsia="宋体" w:hint="default"/>
                <w:sz w:val="18"/>
                <w:szCs w:val="18"/>
              </w:rPr>
            </w:pPr>
            <w:r>
              <w:rPr>
                <w:rFonts w:ascii="宋体"/>
                <w:sz w:val="18"/>
              </w:rPr>
              <w:t>-</w:t>
            </w:r>
          </w:p>
        </w:tc>
      </w:tr>
      <w:tr>
        <w:trPr>
          <w:trHeight w:val="254" w:hRule="exact"/>
        </w:trPr>
        <w:tc>
          <w:tcPr>
            <w:tcW w:w="108" w:type="dxa"/>
            <w:tcBorders>
              <w:top w:val="nil" w:sz="6" w:space="0" w:color="auto"/>
              <w:left w:val="nil" w:sz="6" w:space="0" w:color="auto"/>
              <w:bottom w:val="nil" w:sz="6" w:space="0" w:color="auto"/>
              <w:right w:val="nil" w:sz="6" w:space="0" w:color="auto"/>
            </w:tcBorders>
          </w:tcPr>
          <w:p>
            <w:pPr/>
          </w:p>
        </w:tc>
        <w:tc>
          <w:tcPr>
            <w:tcW w:w="2621" w:type="dxa"/>
            <w:tcBorders>
              <w:top w:val="nil" w:sz="6" w:space="0" w:color="auto"/>
              <w:left w:val="nil" w:sz="6" w:space="0" w:color="auto"/>
              <w:bottom w:val="nil" w:sz="6" w:space="0" w:color="auto"/>
              <w:right w:val="nil" w:sz="6" w:space="0" w:color="auto"/>
            </w:tcBorders>
          </w:tcPr>
          <w:p>
            <w:pPr>
              <w:pStyle w:val="TableParagraph"/>
              <w:spacing w:line="217" w:lineRule="exact"/>
              <w:ind w:left="28"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61" w:type="dxa"/>
            <w:tcBorders>
              <w:top w:val="nil" w:sz="6" w:space="0" w:color="auto"/>
              <w:left w:val="nil" w:sz="6" w:space="0" w:color="auto"/>
              <w:bottom w:val="nil" w:sz="6" w:space="0" w:color="auto"/>
              <w:right w:val="nil" w:sz="6" w:space="0" w:color="auto"/>
            </w:tcBorders>
          </w:tcPr>
          <w:p>
            <w:pPr/>
          </w:p>
        </w:tc>
        <w:tc>
          <w:tcPr>
            <w:tcW w:w="2270" w:type="dxa"/>
            <w:tcBorders>
              <w:top w:val="nil" w:sz="6" w:space="0" w:color="auto"/>
              <w:left w:val="nil" w:sz="6" w:space="0" w:color="auto"/>
              <w:bottom w:val="nil" w:sz="6" w:space="0" w:color="auto"/>
              <w:right w:val="nil" w:sz="6" w:space="0" w:color="auto"/>
            </w:tcBorders>
          </w:tcPr>
          <w:p>
            <w:pPr>
              <w:pStyle w:val="TableParagraph"/>
              <w:spacing w:line="217" w:lineRule="exact"/>
              <w:ind w:right="25"/>
              <w:jc w:val="right"/>
              <w:rPr>
                <w:rFonts w:ascii="宋体" w:hAnsi="宋体" w:cs="宋体" w:eastAsia="宋体" w:hint="default"/>
                <w:sz w:val="18"/>
                <w:szCs w:val="18"/>
              </w:rPr>
            </w:pPr>
            <w:r>
              <w:rPr>
                <w:rFonts w:ascii="宋体"/>
                <w:sz w:val="18"/>
              </w:rPr>
              <w:t>-</w:t>
            </w:r>
          </w:p>
        </w:tc>
        <w:tc>
          <w:tcPr>
            <w:tcW w:w="113"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17" w:lineRule="exact"/>
              <w:ind w:right="25"/>
              <w:jc w:val="right"/>
              <w:rPr>
                <w:rFonts w:ascii="宋体" w:hAnsi="宋体" w:cs="宋体" w:eastAsia="宋体" w:hint="default"/>
                <w:sz w:val="18"/>
                <w:szCs w:val="18"/>
              </w:rPr>
            </w:pPr>
            <w:r>
              <w:rPr>
                <w:rFonts w:ascii="宋体"/>
                <w:sz w:val="18"/>
              </w:rPr>
              <w:t>-</w:t>
            </w:r>
          </w:p>
        </w:tc>
        <w:tc>
          <w:tcPr>
            <w:tcW w:w="168" w:type="dxa"/>
            <w:tcBorders>
              <w:top w:val="nil" w:sz="6" w:space="0" w:color="auto"/>
              <w:left w:val="nil" w:sz="6" w:space="0" w:color="auto"/>
              <w:bottom w:val="nil" w:sz="6" w:space="0" w:color="auto"/>
              <w:right w:val="nil" w:sz="6" w:space="0" w:color="auto"/>
            </w:tcBorders>
          </w:tcPr>
          <w:p>
            <w:pPr/>
          </w:p>
        </w:tc>
        <w:tc>
          <w:tcPr>
            <w:tcW w:w="982" w:type="dxa"/>
            <w:tcBorders>
              <w:top w:val="nil" w:sz="6" w:space="0" w:color="auto"/>
              <w:left w:val="nil" w:sz="6" w:space="0" w:color="auto"/>
              <w:bottom w:val="nil" w:sz="6" w:space="0" w:color="auto"/>
              <w:right w:val="nil" w:sz="6" w:space="0" w:color="auto"/>
            </w:tcBorders>
          </w:tcPr>
          <w:p>
            <w:pPr>
              <w:pStyle w:val="TableParagraph"/>
              <w:spacing w:line="217" w:lineRule="exact"/>
              <w:ind w:right="28"/>
              <w:jc w:val="right"/>
              <w:rPr>
                <w:rFonts w:ascii="宋体" w:hAnsi="宋体" w:cs="宋体" w:eastAsia="宋体" w:hint="default"/>
                <w:sz w:val="18"/>
                <w:szCs w:val="18"/>
              </w:rPr>
            </w:pPr>
            <w:r>
              <w:rPr>
                <w:rFonts w:ascii="宋体"/>
                <w:sz w:val="18"/>
              </w:rPr>
              <w:t>-</w:t>
            </w:r>
          </w:p>
        </w:tc>
        <w:tc>
          <w:tcPr>
            <w:tcW w:w="120" w:type="dxa"/>
            <w:tcBorders>
              <w:top w:val="nil" w:sz="6" w:space="0" w:color="auto"/>
              <w:left w:val="nil" w:sz="6" w:space="0" w:color="auto"/>
              <w:bottom w:val="nil" w:sz="6" w:space="0" w:color="auto"/>
              <w:right w:val="nil" w:sz="6" w:space="0" w:color="auto"/>
            </w:tcBorders>
          </w:tcPr>
          <w:p>
            <w:pPr/>
          </w:p>
        </w:tc>
        <w:tc>
          <w:tcPr>
            <w:tcW w:w="799" w:type="dxa"/>
            <w:tcBorders>
              <w:top w:val="nil" w:sz="6" w:space="0" w:color="auto"/>
              <w:left w:val="nil" w:sz="6" w:space="0" w:color="auto"/>
              <w:bottom w:val="nil" w:sz="6" w:space="0" w:color="auto"/>
              <w:right w:val="nil" w:sz="6" w:space="0" w:color="auto"/>
            </w:tcBorders>
          </w:tcPr>
          <w:p>
            <w:pPr>
              <w:pStyle w:val="TableParagraph"/>
              <w:spacing w:line="217" w:lineRule="exact"/>
              <w:ind w:right="25"/>
              <w:jc w:val="right"/>
              <w:rPr>
                <w:rFonts w:ascii="宋体" w:hAnsi="宋体" w:cs="宋体" w:eastAsia="宋体" w:hint="default"/>
                <w:sz w:val="18"/>
                <w:szCs w:val="18"/>
              </w:rPr>
            </w:pPr>
            <w:r>
              <w:rPr>
                <w:rFonts w:ascii="宋体"/>
                <w:sz w:val="18"/>
              </w:rPr>
              <w:t>-</w:t>
            </w:r>
          </w:p>
        </w:tc>
        <w:tc>
          <w:tcPr>
            <w:tcW w:w="1118" w:type="dxa"/>
            <w:tcBorders>
              <w:top w:val="nil" w:sz="6" w:space="0" w:color="auto"/>
              <w:left w:val="nil" w:sz="6" w:space="0" w:color="auto"/>
              <w:bottom w:val="nil" w:sz="6" w:space="0" w:color="auto"/>
              <w:right w:val="nil" w:sz="6" w:space="0" w:color="auto"/>
            </w:tcBorders>
          </w:tcPr>
          <w:p>
            <w:pPr/>
          </w:p>
        </w:tc>
        <w:tc>
          <w:tcPr>
            <w:tcW w:w="1398" w:type="dxa"/>
            <w:tcBorders>
              <w:top w:val="nil" w:sz="6" w:space="0" w:color="auto"/>
              <w:left w:val="nil" w:sz="6" w:space="0" w:color="auto"/>
              <w:bottom w:val="nil" w:sz="6" w:space="0" w:color="auto"/>
              <w:right w:val="nil" w:sz="6" w:space="0" w:color="auto"/>
            </w:tcBorders>
          </w:tcPr>
          <w:p>
            <w:pPr>
              <w:pStyle w:val="TableParagraph"/>
              <w:spacing w:line="217" w:lineRule="exact"/>
              <w:ind w:left="67" w:right="0"/>
              <w:jc w:val="left"/>
              <w:rPr>
                <w:rFonts w:ascii="宋体" w:hAnsi="宋体" w:cs="宋体" w:eastAsia="宋体" w:hint="default"/>
                <w:sz w:val="18"/>
                <w:szCs w:val="18"/>
              </w:rPr>
            </w:pPr>
            <w:r>
              <w:rPr>
                <w:rFonts w:ascii="宋体"/>
                <w:sz w:val="18"/>
              </w:rPr>
              <w:t>-</w:t>
            </w:r>
          </w:p>
        </w:tc>
        <w:tc>
          <w:tcPr>
            <w:tcW w:w="1600" w:type="dxa"/>
            <w:gridSpan w:val="2"/>
            <w:tcBorders>
              <w:top w:val="nil" w:sz="6" w:space="0" w:color="auto"/>
              <w:left w:val="nil" w:sz="6" w:space="0" w:color="auto"/>
              <w:bottom w:val="nil" w:sz="6" w:space="0" w:color="auto"/>
              <w:right w:val="nil" w:sz="6" w:space="0" w:color="auto"/>
            </w:tcBorders>
          </w:tcPr>
          <w:p>
            <w:pPr>
              <w:pStyle w:val="TableParagraph"/>
              <w:spacing w:line="217" w:lineRule="exact"/>
              <w:ind w:left="402" w:right="0"/>
              <w:jc w:val="left"/>
              <w:rPr>
                <w:rFonts w:ascii="宋体" w:hAnsi="宋体" w:cs="宋体" w:eastAsia="宋体" w:hint="default"/>
                <w:sz w:val="18"/>
                <w:szCs w:val="18"/>
              </w:rPr>
            </w:pPr>
            <w:r>
              <w:rPr>
                <w:rFonts w:ascii="宋体"/>
                <w:sz w:val="18"/>
              </w:rPr>
              <w:t>23,311,990.32</w:t>
            </w:r>
          </w:p>
        </w:tc>
        <w:tc>
          <w:tcPr>
            <w:tcW w:w="103" w:type="dxa"/>
            <w:tcBorders>
              <w:top w:val="nil" w:sz="6" w:space="0" w:color="auto"/>
              <w:left w:val="nil" w:sz="6" w:space="0" w:color="auto"/>
              <w:bottom w:val="nil" w:sz="6" w:space="0" w:color="auto"/>
              <w:right w:val="nil" w:sz="6" w:space="0" w:color="auto"/>
            </w:tcBorders>
          </w:tcPr>
          <w:p>
            <w:pPr/>
          </w:p>
        </w:tc>
        <w:tc>
          <w:tcPr>
            <w:tcW w:w="1178" w:type="dxa"/>
            <w:tcBorders>
              <w:top w:val="nil" w:sz="6" w:space="0" w:color="auto"/>
              <w:left w:val="nil" w:sz="6" w:space="0" w:color="auto"/>
              <w:bottom w:val="nil" w:sz="6" w:space="0" w:color="auto"/>
              <w:right w:val="nil" w:sz="6" w:space="0" w:color="auto"/>
            </w:tcBorders>
          </w:tcPr>
          <w:p>
            <w:pPr>
              <w:pStyle w:val="TableParagraph"/>
              <w:spacing w:line="217" w:lineRule="exact"/>
              <w:ind w:right="25"/>
              <w:jc w:val="right"/>
              <w:rPr>
                <w:rFonts w:ascii="宋体" w:hAnsi="宋体" w:cs="宋体" w:eastAsia="宋体" w:hint="default"/>
                <w:sz w:val="18"/>
                <w:szCs w:val="18"/>
              </w:rPr>
            </w:pPr>
            <w:r>
              <w:rPr>
                <w:rFonts w:ascii="宋体"/>
                <w:sz w:val="18"/>
              </w:rPr>
              <w:t>-</w:t>
            </w:r>
          </w:p>
        </w:tc>
        <w:tc>
          <w:tcPr>
            <w:tcW w:w="2004" w:type="dxa"/>
            <w:tcBorders>
              <w:top w:val="nil" w:sz="6" w:space="0" w:color="auto"/>
              <w:left w:val="nil" w:sz="6" w:space="0" w:color="auto"/>
              <w:bottom w:val="nil" w:sz="6" w:space="0" w:color="auto"/>
              <w:right w:val="nil" w:sz="6" w:space="0" w:color="auto"/>
            </w:tcBorders>
          </w:tcPr>
          <w:p>
            <w:pPr>
              <w:pStyle w:val="TableParagraph"/>
              <w:spacing w:line="217" w:lineRule="exact"/>
              <w:ind w:right="559"/>
              <w:jc w:val="right"/>
              <w:rPr>
                <w:rFonts w:ascii="宋体" w:hAnsi="宋体" w:cs="宋体" w:eastAsia="宋体" w:hint="default"/>
                <w:sz w:val="18"/>
                <w:szCs w:val="18"/>
              </w:rPr>
            </w:pPr>
            <w:r>
              <w:rPr>
                <w:rFonts w:ascii="宋体"/>
                <w:spacing w:val="-1"/>
                <w:sz w:val="18"/>
              </w:rPr>
              <w:t>23,311,990.32</w:t>
            </w:r>
            <w:r>
              <w:rPr>
                <w:rFonts w:ascii="宋体"/>
                <w:sz w:val="18"/>
              </w:rPr>
            </w:r>
          </w:p>
        </w:tc>
      </w:tr>
      <w:tr>
        <w:trPr>
          <w:trHeight w:val="256" w:hRule="exact"/>
        </w:trPr>
        <w:tc>
          <w:tcPr>
            <w:tcW w:w="108" w:type="dxa"/>
            <w:tcBorders>
              <w:top w:val="nil" w:sz="6" w:space="0" w:color="auto"/>
              <w:left w:val="nil" w:sz="6" w:space="0" w:color="auto"/>
              <w:bottom w:val="nil" w:sz="6" w:space="0" w:color="auto"/>
              <w:right w:val="nil" w:sz="6" w:space="0" w:color="auto"/>
            </w:tcBorders>
          </w:tcPr>
          <w:p>
            <w:pPr/>
          </w:p>
        </w:tc>
        <w:tc>
          <w:tcPr>
            <w:tcW w:w="2621" w:type="dxa"/>
            <w:tcBorders>
              <w:top w:val="nil" w:sz="6" w:space="0" w:color="auto"/>
              <w:left w:val="nil" w:sz="6" w:space="0" w:color="auto"/>
              <w:bottom w:val="nil" w:sz="6" w:space="0" w:color="auto"/>
              <w:right w:val="nil" w:sz="6" w:space="0" w:color="auto"/>
            </w:tcBorders>
          </w:tcPr>
          <w:p>
            <w:pPr>
              <w:pStyle w:val="TableParagraph"/>
              <w:spacing w:line="217" w:lineRule="exact"/>
              <w:ind w:left="28" w:right="0"/>
              <w:jc w:val="left"/>
              <w:rPr>
                <w:rFonts w:ascii="宋体" w:hAnsi="宋体" w:cs="宋体" w:eastAsia="宋体" w:hint="default"/>
                <w:sz w:val="18"/>
                <w:szCs w:val="18"/>
              </w:rPr>
            </w:pPr>
            <w:r>
              <w:rPr>
                <w:rFonts w:ascii="宋体" w:hAnsi="宋体" w:cs="宋体" w:eastAsia="宋体" w:hint="default"/>
                <w:sz w:val="18"/>
                <w:szCs w:val="18"/>
              </w:rPr>
              <w:t>（三）股东投入和减少股本</w:t>
            </w:r>
          </w:p>
        </w:tc>
        <w:tc>
          <w:tcPr>
            <w:tcW w:w="161" w:type="dxa"/>
            <w:tcBorders>
              <w:top w:val="nil" w:sz="6" w:space="0" w:color="auto"/>
              <w:left w:val="nil" w:sz="6" w:space="0" w:color="auto"/>
              <w:bottom w:val="nil" w:sz="6" w:space="0" w:color="auto"/>
              <w:right w:val="nil" w:sz="6" w:space="0" w:color="auto"/>
            </w:tcBorders>
          </w:tcPr>
          <w:p>
            <w:pPr/>
          </w:p>
        </w:tc>
        <w:tc>
          <w:tcPr>
            <w:tcW w:w="2270" w:type="dxa"/>
            <w:tcBorders>
              <w:top w:val="nil" w:sz="6" w:space="0" w:color="auto"/>
              <w:left w:val="nil" w:sz="6" w:space="0" w:color="auto"/>
              <w:bottom w:val="nil" w:sz="6" w:space="0" w:color="auto"/>
              <w:right w:val="nil" w:sz="6" w:space="0" w:color="auto"/>
            </w:tcBorders>
          </w:tcPr>
          <w:p>
            <w:pPr>
              <w:pStyle w:val="TableParagraph"/>
              <w:spacing w:line="217" w:lineRule="exact"/>
              <w:ind w:right="25"/>
              <w:jc w:val="right"/>
              <w:rPr>
                <w:rFonts w:ascii="宋体" w:hAnsi="宋体" w:cs="宋体" w:eastAsia="宋体" w:hint="default"/>
                <w:sz w:val="18"/>
                <w:szCs w:val="18"/>
              </w:rPr>
            </w:pPr>
            <w:r>
              <w:rPr>
                <w:rFonts w:ascii="宋体"/>
                <w:sz w:val="18"/>
              </w:rPr>
              <w:t>-</w:t>
            </w:r>
          </w:p>
        </w:tc>
        <w:tc>
          <w:tcPr>
            <w:tcW w:w="113"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17" w:lineRule="exact"/>
              <w:ind w:right="25"/>
              <w:jc w:val="right"/>
              <w:rPr>
                <w:rFonts w:ascii="宋体" w:hAnsi="宋体" w:cs="宋体" w:eastAsia="宋体" w:hint="default"/>
                <w:sz w:val="18"/>
                <w:szCs w:val="18"/>
              </w:rPr>
            </w:pPr>
            <w:r>
              <w:rPr>
                <w:rFonts w:ascii="宋体"/>
                <w:sz w:val="18"/>
              </w:rPr>
              <w:t>-</w:t>
            </w:r>
          </w:p>
        </w:tc>
        <w:tc>
          <w:tcPr>
            <w:tcW w:w="168" w:type="dxa"/>
            <w:tcBorders>
              <w:top w:val="nil" w:sz="6" w:space="0" w:color="auto"/>
              <w:left w:val="nil" w:sz="6" w:space="0" w:color="auto"/>
              <w:bottom w:val="nil" w:sz="6" w:space="0" w:color="auto"/>
              <w:right w:val="nil" w:sz="6" w:space="0" w:color="auto"/>
            </w:tcBorders>
          </w:tcPr>
          <w:p>
            <w:pPr/>
          </w:p>
        </w:tc>
        <w:tc>
          <w:tcPr>
            <w:tcW w:w="982" w:type="dxa"/>
            <w:tcBorders>
              <w:top w:val="nil" w:sz="6" w:space="0" w:color="auto"/>
              <w:left w:val="nil" w:sz="6" w:space="0" w:color="auto"/>
              <w:bottom w:val="nil" w:sz="6" w:space="0" w:color="auto"/>
              <w:right w:val="nil" w:sz="6" w:space="0" w:color="auto"/>
            </w:tcBorders>
          </w:tcPr>
          <w:p>
            <w:pPr>
              <w:pStyle w:val="TableParagraph"/>
              <w:spacing w:line="217" w:lineRule="exact"/>
              <w:ind w:right="28"/>
              <w:jc w:val="right"/>
              <w:rPr>
                <w:rFonts w:ascii="宋体" w:hAnsi="宋体" w:cs="宋体" w:eastAsia="宋体" w:hint="default"/>
                <w:sz w:val="18"/>
                <w:szCs w:val="18"/>
              </w:rPr>
            </w:pPr>
            <w:r>
              <w:rPr>
                <w:rFonts w:ascii="宋体"/>
                <w:sz w:val="18"/>
              </w:rPr>
              <w:t>-</w:t>
            </w:r>
          </w:p>
        </w:tc>
        <w:tc>
          <w:tcPr>
            <w:tcW w:w="120" w:type="dxa"/>
            <w:tcBorders>
              <w:top w:val="nil" w:sz="6" w:space="0" w:color="auto"/>
              <w:left w:val="nil" w:sz="6" w:space="0" w:color="auto"/>
              <w:bottom w:val="nil" w:sz="6" w:space="0" w:color="auto"/>
              <w:right w:val="nil" w:sz="6" w:space="0" w:color="auto"/>
            </w:tcBorders>
          </w:tcPr>
          <w:p>
            <w:pPr/>
          </w:p>
        </w:tc>
        <w:tc>
          <w:tcPr>
            <w:tcW w:w="799" w:type="dxa"/>
            <w:tcBorders>
              <w:top w:val="nil" w:sz="6" w:space="0" w:color="auto"/>
              <w:left w:val="nil" w:sz="6" w:space="0" w:color="auto"/>
              <w:bottom w:val="nil" w:sz="6" w:space="0" w:color="auto"/>
              <w:right w:val="nil" w:sz="6" w:space="0" w:color="auto"/>
            </w:tcBorders>
          </w:tcPr>
          <w:p>
            <w:pPr>
              <w:pStyle w:val="TableParagraph"/>
              <w:spacing w:line="217" w:lineRule="exact"/>
              <w:ind w:right="25"/>
              <w:jc w:val="right"/>
              <w:rPr>
                <w:rFonts w:ascii="宋体" w:hAnsi="宋体" w:cs="宋体" w:eastAsia="宋体" w:hint="default"/>
                <w:sz w:val="18"/>
                <w:szCs w:val="18"/>
              </w:rPr>
            </w:pPr>
            <w:r>
              <w:rPr>
                <w:rFonts w:ascii="宋体"/>
                <w:sz w:val="18"/>
              </w:rPr>
              <w:t>-</w:t>
            </w:r>
          </w:p>
        </w:tc>
        <w:tc>
          <w:tcPr>
            <w:tcW w:w="1118" w:type="dxa"/>
            <w:tcBorders>
              <w:top w:val="nil" w:sz="6" w:space="0" w:color="auto"/>
              <w:left w:val="nil" w:sz="6" w:space="0" w:color="auto"/>
              <w:bottom w:val="nil" w:sz="6" w:space="0" w:color="auto"/>
              <w:right w:val="nil" w:sz="6" w:space="0" w:color="auto"/>
            </w:tcBorders>
          </w:tcPr>
          <w:p>
            <w:pPr/>
          </w:p>
        </w:tc>
        <w:tc>
          <w:tcPr>
            <w:tcW w:w="1398" w:type="dxa"/>
            <w:tcBorders>
              <w:top w:val="nil" w:sz="6" w:space="0" w:color="auto"/>
              <w:left w:val="nil" w:sz="6" w:space="0" w:color="auto"/>
              <w:bottom w:val="nil" w:sz="6" w:space="0" w:color="auto"/>
              <w:right w:val="nil" w:sz="6" w:space="0" w:color="auto"/>
            </w:tcBorders>
          </w:tcPr>
          <w:p>
            <w:pPr>
              <w:pStyle w:val="TableParagraph"/>
              <w:spacing w:line="217" w:lineRule="exact"/>
              <w:ind w:left="67" w:right="0"/>
              <w:jc w:val="left"/>
              <w:rPr>
                <w:rFonts w:ascii="宋体" w:hAnsi="宋体" w:cs="宋体" w:eastAsia="宋体" w:hint="default"/>
                <w:sz w:val="18"/>
                <w:szCs w:val="18"/>
              </w:rPr>
            </w:pPr>
            <w:r>
              <w:rPr>
                <w:rFonts w:ascii="宋体"/>
                <w:sz w:val="18"/>
              </w:rPr>
              <w:t>-</w:t>
            </w:r>
          </w:p>
        </w:tc>
        <w:tc>
          <w:tcPr>
            <w:tcW w:w="1439" w:type="dxa"/>
            <w:tcBorders>
              <w:top w:val="nil" w:sz="6" w:space="0" w:color="auto"/>
              <w:left w:val="nil" w:sz="6" w:space="0" w:color="auto"/>
              <w:bottom w:val="nil" w:sz="6" w:space="0" w:color="auto"/>
              <w:right w:val="nil" w:sz="6" w:space="0" w:color="auto"/>
            </w:tcBorders>
          </w:tcPr>
          <w:p>
            <w:pPr/>
          </w:p>
        </w:tc>
        <w:tc>
          <w:tcPr>
            <w:tcW w:w="161" w:type="dxa"/>
            <w:tcBorders>
              <w:top w:val="nil" w:sz="6" w:space="0" w:color="auto"/>
              <w:left w:val="nil" w:sz="6" w:space="0" w:color="auto"/>
              <w:bottom w:val="nil" w:sz="6" w:space="0" w:color="auto"/>
              <w:right w:val="nil" w:sz="6" w:space="0" w:color="auto"/>
            </w:tcBorders>
          </w:tcPr>
          <w:p>
            <w:pPr>
              <w:pStyle w:val="TableParagraph"/>
              <w:spacing w:line="217" w:lineRule="exact"/>
              <w:ind w:left="43" w:right="0"/>
              <w:jc w:val="left"/>
              <w:rPr>
                <w:rFonts w:ascii="宋体" w:hAnsi="宋体" w:cs="宋体" w:eastAsia="宋体" w:hint="default"/>
                <w:sz w:val="18"/>
                <w:szCs w:val="18"/>
              </w:rPr>
            </w:pPr>
            <w:r>
              <w:rPr>
                <w:rFonts w:ascii="宋体"/>
                <w:sz w:val="18"/>
              </w:rPr>
              <w:t>-</w:t>
            </w:r>
          </w:p>
        </w:tc>
        <w:tc>
          <w:tcPr>
            <w:tcW w:w="103" w:type="dxa"/>
            <w:tcBorders>
              <w:top w:val="nil" w:sz="6" w:space="0" w:color="auto"/>
              <w:left w:val="nil" w:sz="6" w:space="0" w:color="auto"/>
              <w:bottom w:val="nil" w:sz="6" w:space="0" w:color="auto"/>
              <w:right w:val="nil" w:sz="6" w:space="0" w:color="auto"/>
            </w:tcBorders>
          </w:tcPr>
          <w:p>
            <w:pPr/>
          </w:p>
        </w:tc>
        <w:tc>
          <w:tcPr>
            <w:tcW w:w="1178" w:type="dxa"/>
            <w:tcBorders>
              <w:top w:val="nil" w:sz="6" w:space="0" w:color="auto"/>
              <w:left w:val="nil" w:sz="6" w:space="0" w:color="auto"/>
              <w:bottom w:val="nil" w:sz="6" w:space="0" w:color="auto"/>
              <w:right w:val="nil" w:sz="6" w:space="0" w:color="auto"/>
            </w:tcBorders>
          </w:tcPr>
          <w:p>
            <w:pPr>
              <w:pStyle w:val="TableParagraph"/>
              <w:spacing w:line="217" w:lineRule="exact"/>
              <w:ind w:right="25"/>
              <w:jc w:val="right"/>
              <w:rPr>
                <w:rFonts w:ascii="宋体" w:hAnsi="宋体" w:cs="宋体" w:eastAsia="宋体" w:hint="default"/>
                <w:sz w:val="18"/>
                <w:szCs w:val="18"/>
              </w:rPr>
            </w:pPr>
            <w:r>
              <w:rPr>
                <w:rFonts w:ascii="宋体"/>
                <w:sz w:val="18"/>
              </w:rPr>
              <w:t>-</w:t>
            </w:r>
          </w:p>
        </w:tc>
        <w:tc>
          <w:tcPr>
            <w:tcW w:w="2004" w:type="dxa"/>
            <w:tcBorders>
              <w:top w:val="nil" w:sz="6" w:space="0" w:color="auto"/>
              <w:left w:val="nil" w:sz="6" w:space="0" w:color="auto"/>
              <w:bottom w:val="nil" w:sz="6" w:space="0" w:color="auto"/>
              <w:right w:val="nil" w:sz="6" w:space="0" w:color="auto"/>
            </w:tcBorders>
          </w:tcPr>
          <w:p>
            <w:pPr>
              <w:pStyle w:val="TableParagraph"/>
              <w:spacing w:line="217" w:lineRule="exact"/>
              <w:ind w:right="563"/>
              <w:jc w:val="right"/>
              <w:rPr>
                <w:rFonts w:ascii="宋体" w:hAnsi="宋体" w:cs="宋体" w:eastAsia="宋体" w:hint="default"/>
                <w:sz w:val="18"/>
                <w:szCs w:val="18"/>
              </w:rPr>
            </w:pPr>
            <w:r>
              <w:rPr>
                <w:rFonts w:ascii="宋体"/>
                <w:sz w:val="18"/>
              </w:rPr>
              <w:t>-</w:t>
            </w:r>
          </w:p>
        </w:tc>
      </w:tr>
      <w:tr>
        <w:trPr>
          <w:trHeight w:val="251" w:hRule="exact"/>
        </w:trPr>
        <w:tc>
          <w:tcPr>
            <w:tcW w:w="108" w:type="dxa"/>
            <w:tcBorders>
              <w:top w:val="nil" w:sz="6" w:space="0" w:color="auto"/>
              <w:left w:val="nil" w:sz="6" w:space="0" w:color="auto"/>
              <w:bottom w:val="nil" w:sz="6" w:space="0" w:color="auto"/>
              <w:right w:val="nil" w:sz="6" w:space="0" w:color="auto"/>
            </w:tcBorders>
          </w:tcPr>
          <w:p>
            <w:pPr/>
          </w:p>
        </w:tc>
        <w:tc>
          <w:tcPr>
            <w:tcW w:w="2621" w:type="dxa"/>
            <w:tcBorders>
              <w:top w:val="nil" w:sz="6" w:space="0" w:color="auto"/>
              <w:left w:val="nil" w:sz="6" w:space="0" w:color="auto"/>
              <w:bottom w:val="nil" w:sz="6" w:space="0" w:color="auto"/>
              <w:right w:val="nil" w:sz="6" w:space="0" w:color="auto"/>
            </w:tcBorders>
          </w:tcPr>
          <w:p>
            <w:pPr>
              <w:pStyle w:val="TableParagraph"/>
              <w:spacing w:line="218" w:lineRule="exact"/>
              <w:ind w:left="391" w:right="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股东投入股本</w:t>
            </w:r>
          </w:p>
        </w:tc>
        <w:tc>
          <w:tcPr>
            <w:tcW w:w="161" w:type="dxa"/>
            <w:tcBorders>
              <w:top w:val="nil" w:sz="6" w:space="0" w:color="auto"/>
              <w:left w:val="nil" w:sz="6" w:space="0" w:color="auto"/>
              <w:bottom w:val="nil" w:sz="6" w:space="0" w:color="auto"/>
              <w:right w:val="nil" w:sz="6" w:space="0" w:color="auto"/>
            </w:tcBorders>
          </w:tcPr>
          <w:p>
            <w:pPr/>
          </w:p>
        </w:tc>
        <w:tc>
          <w:tcPr>
            <w:tcW w:w="2270" w:type="dxa"/>
            <w:tcBorders>
              <w:top w:val="nil" w:sz="6" w:space="0" w:color="auto"/>
              <w:left w:val="nil" w:sz="6" w:space="0" w:color="auto"/>
              <w:bottom w:val="nil" w:sz="6" w:space="0" w:color="auto"/>
              <w:right w:val="nil" w:sz="6" w:space="0" w:color="auto"/>
            </w:tcBorders>
          </w:tcPr>
          <w:p>
            <w:pPr>
              <w:pStyle w:val="TableParagraph"/>
              <w:spacing w:line="218" w:lineRule="exact"/>
              <w:ind w:right="25"/>
              <w:jc w:val="right"/>
              <w:rPr>
                <w:rFonts w:ascii="宋体" w:hAnsi="宋体" w:cs="宋体" w:eastAsia="宋体" w:hint="default"/>
                <w:sz w:val="18"/>
                <w:szCs w:val="18"/>
              </w:rPr>
            </w:pPr>
            <w:r>
              <w:rPr>
                <w:rFonts w:ascii="宋体"/>
                <w:sz w:val="18"/>
              </w:rPr>
              <w:t>-</w:t>
            </w:r>
          </w:p>
        </w:tc>
        <w:tc>
          <w:tcPr>
            <w:tcW w:w="113"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18" w:lineRule="exact"/>
              <w:ind w:right="25"/>
              <w:jc w:val="right"/>
              <w:rPr>
                <w:rFonts w:ascii="宋体" w:hAnsi="宋体" w:cs="宋体" w:eastAsia="宋体" w:hint="default"/>
                <w:sz w:val="18"/>
                <w:szCs w:val="18"/>
              </w:rPr>
            </w:pPr>
            <w:r>
              <w:rPr>
                <w:rFonts w:ascii="宋体"/>
                <w:sz w:val="18"/>
              </w:rPr>
              <w:t>-</w:t>
            </w:r>
          </w:p>
        </w:tc>
        <w:tc>
          <w:tcPr>
            <w:tcW w:w="168" w:type="dxa"/>
            <w:tcBorders>
              <w:top w:val="nil" w:sz="6" w:space="0" w:color="auto"/>
              <w:left w:val="nil" w:sz="6" w:space="0" w:color="auto"/>
              <w:bottom w:val="nil" w:sz="6" w:space="0" w:color="auto"/>
              <w:right w:val="nil" w:sz="6" w:space="0" w:color="auto"/>
            </w:tcBorders>
          </w:tcPr>
          <w:p>
            <w:pPr/>
          </w:p>
        </w:tc>
        <w:tc>
          <w:tcPr>
            <w:tcW w:w="982" w:type="dxa"/>
            <w:tcBorders>
              <w:top w:val="nil" w:sz="6" w:space="0" w:color="auto"/>
              <w:left w:val="nil" w:sz="6" w:space="0" w:color="auto"/>
              <w:bottom w:val="nil" w:sz="6" w:space="0" w:color="auto"/>
              <w:right w:val="nil" w:sz="6" w:space="0" w:color="auto"/>
            </w:tcBorders>
          </w:tcPr>
          <w:p>
            <w:pPr>
              <w:pStyle w:val="TableParagraph"/>
              <w:spacing w:line="218" w:lineRule="exact"/>
              <w:ind w:right="28"/>
              <w:jc w:val="right"/>
              <w:rPr>
                <w:rFonts w:ascii="宋体" w:hAnsi="宋体" w:cs="宋体" w:eastAsia="宋体" w:hint="default"/>
                <w:sz w:val="18"/>
                <w:szCs w:val="18"/>
              </w:rPr>
            </w:pPr>
            <w:r>
              <w:rPr>
                <w:rFonts w:ascii="宋体"/>
                <w:sz w:val="18"/>
              </w:rPr>
              <w:t>-</w:t>
            </w:r>
          </w:p>
        </w:tc>
        <w:tc>
          <w:tcPr>
            <w:tcW w:w="120" w:type="dxa"/>
            <w:tcBorders>
              <w:top w:val="nil" w:sz="6" w:space="0" w:color="auto"/>
              <w:left w:val="nil" w:sz="6" w:space="0" w:color="auto"/>
              <w:bottom w:val="nil" w:sz="6" w:space="0" w:color="auto"/>
              <w:right w:val="nil" w:sz="6" w:space="0" w:color="auto"/>
            </w:tcBorders>
          </w:tcPr>
          <w:p>
            <w:pPr/>
          </w:p>
        </w:tc>
        <w:tc>
          <w:tcPr>
            <w:tcW w:w="799" w:type="dxa"/>
            <w:tcBorders>
              <w:top w:val="nil" w:sz="6" w:space="0" w:color="auto"/>
              <w:left w:val="nil" w:sz="6" w:space="0" w:color="auto"/>
              <w:bottom w:val="nil" w:sz="6" w:space="0" w:color="auto"/>
              <w:right w:val="nil" w:sz="6" w:space="0" w:color="auto"/>
            </w:tcBorders>
          </w:tcPr>
          <w:p>
            <w:pPr>
              <w:pStyle w:val="TableParagraph"/>
              <w:spacing w:line="218" w:lineRule="exact"/>
              <w:ind w:right="25"/>
              <w:jc w:val="right"/>
              <w:rPr>
                <w:rFonts w:ascii="宋体" w:hAnsi="宋体" w:cs="宋体" w:eastAsia="宋体" w:hint="default"/>
                <w:sz w:val="18"/>
                <w:szCs w:val="18"/>
              </w:rPr>
            </w:pPr>
            <w:r>
              <w:rPr>
                <w:rFonts w:ascii="宋体"/>
                <w:sz w:val="18"/>
              </w:rPr>
              <w:t>-</w:t>
            </w:r>
          </w:p>
        </w:tc>
        <w:tc>
          <w:tcPr>
            <w:tcW w:w="1118" w:type="dxa"/>
            <w:tcBorders>
              <w:top w:val="nil" w:sz="6" w:space="0" w:color="auto"/>
              <w:left w:val="nil" w:sz="6" w:space="0" w:color="auto"/>
              <w:bottom w:val="nil" w:sz="6" w:space="0" w:color="auto"/>
              <w:right w:val="nil" w:sz="6" w:space="0" w:color="auto"/>
            </w:tcBorders>
          </w:tcPr>
          <w:p>
            <w:pPr/>
          </w:p>
        </w:tc>
        <w:tc>
          <w:tcPr>
            <w:tcW w:w="1398" w:type="dxa"/>
            <w:tcBorders>
              <w:top w:val="nil" w:sz="6" w:space="0" w:color="auto"/>
              <w:left w:val="nil" w:sz="6" w:space="0" w:color="auto"/>
              <w:bottom w:val="nil" w:sz="6" w:space="0" w:color="auto"/>
              <w:right w:val="nil" w:sz="6" w:space="0" w:color="auto"/>
            </w:tcBorders>
          </w:tcPr>
          <w:p>
            <w:pPr>
              <w:pStyle w:val="TableParagraph"/>
              <w:spacing w:line="218" w:lineRule="exact"/>
              <w:ind w:left="67" w:right="0"/>
              <w:jc w:val="left"/>
              <w:rPr>
                <w:rFonts w:ascii="宋体" w:hAnsi="宋体" w:cs="宋体" w:eastAsia="宋体" w:hint="default"/>
                <w:sz w:val="18"/>
                <w:szCs w:val="18"/>
              </w:rPr>
            </w:pPr>
            <w:r>
              <w:rPr>
                <w:rFonts w:ascii="宋体"/>
                <w:sz w:val="18"/>
              </w:rPr>
              <w:t>-</w:t>
            </w:r>
          </w:p>
        </w:tc>
        <w:tc>
          <w:tcPr>
            <w:tcW w:w="1439" w:type="dxa"/>
            <w:tcBorders>
              <w:top w:val="nil" w:sz="6" w:space="0" w:color="auto"/>
              <w:left w:val="nil" w:sz="6" w:space="0" w:color="auto"/>
              <w:bottom w:val="nil" w:sz="6" w:space="0" w:color="auto"/>
              <w:right w:val="nil" w:sz="6" w:space="0" w:color="auto"/>
            </w:tcBorders>
          </w:tcPr>
          <w:p>
            <w:pPr/>
          </w:p>
        </w:tc>
        <w:tc>
          <w:tcPr>
            <w:tcW w:w="161" w:type="dxa"/>
            <w:tcBorders>
              <w:top w:val="nil" w:sz="6" w:space="0" w:color="auto"/>
              <w:left w:val="nil" w:sz="6" w:space="0" w:color="auto"/>
              <w:bottom w:val="nil" w:sz="6" w:space="0" w:color="auto"/>
              <w:right w:val="nil" w:sz="6" w:space="0" w:color="auto"/>
            </w:tcBorders>
          </w:tcPr>
          <w:p>
            <w:pPr>
              <w:pStyle w:val="TableParagraph"/>
              <w:spacing w:line="218" w:lineRule="exact"/>
              <w:ind w:left="43" w:right="0"/>
              <w:jc w:val="left"/>
              <w:rPr>
                <w:rFonts w:ascii="宋体" w:hAnsi="宋体" w:cs="宋体" w:eastAsia="宋体" w:hint="default"/>
                <w:sz w:val="18"/>
                <w:szCs w:val="18"/>
              </w:rPr>
            </w:pPr>
            <w:r>
              <w:rPr>
                <w:rFonts w:ascii="宋体"/>
                <w:sz w:val="18"/>
              </w:rPr>
              <w:t>-</w:t>
            </w:r>
          </w:p>
        </w:tc>
        <w:tc>
          <w:tcPr>
            <w:tcW w:w="103" w:type="dxa"/>
            <w:tcBorders>
              <w:top w:val="nil" w:sz="6" w:space="0" w:color="auto"/>
              <w:left w:val="nil" w:sz="6" w:space="0" w:color="auto"/>
              <w:bottom w:val="nil" w:sz="6" w:space="0" w:color="auto"/>
              <w:right w:val="nil" w:sz="6" w:space="0" w:color="auto"/>
            </w:tcBorders>
          </w:tcPr>
          <w:p>
            <w:pPr/>
          </w:p>
        </w:tc>
        <w:tc>
          <w:tcPr>
            <w:tcW w:w="1178" w:type="dxa"/>
            <w:tcBorders>
              <w:top w:val="nil" w:sz="6" w:space="0" w:color="auto"/>
              <w:left w:val="nil" w:sz="6" w:space="0" w:color="auto"/>
              <w:bottom w:val="nil" w:sz="6" w:space="0" w:color="auto"/>
              <w:right w:val="nil" w:sz="6" w:space="0" w:color="auto"/>
            </w:tcBorders>
          </w:tcPr>
          <w:p>
            <w:pPr>
              <w:pStyle w:val="TableParagraph"/>
              <w:spacing w:line="218" w:lineRule="exact"/>
              <w:ind w:right="25"/>
              <w:jc w:val="right"/>
              <w:rPr>
                <w:rFonts w:ascii="宋体" w:hAnsi="宋体" w:cs="宋体" w:eastAsia="宋体" w:hint="default"/>
                <w:sz w:val="18"/>
                <w:szCs w:val="18"/>
              </w:rPr>
            </w:pPr>
            <w:r>
              <w:rPr>
                <w:rFonts w:ascii="宋体"/>
                <w:sz w:val="18"/>
              </w:rPr>
              <w:t>-</w:t>
            </w:r>
          </w:p>
        </w:tc>
        <w:tc>
          <w:tcPr>
            <w:tcW w:w="2004" w:type="dxa"/>
            <w:tcBorders>
              <w:top w:val="nil" w:sz="6" w:space="0" w:color="auto"/>
              <w:left w:val="nil" w:sz="6" w:space="0" w:color="auto"/>
              <w:bottom w:val="nil" w:sz="6" w:space="0" w:color="auto"/>
              <w:right w:val="nil" w:sz="6" w:space="0" w:color="auto"/>
            </w:tcBorders>
          </w:tcPr>
          <w:p>
            <w:pPr>
              <w:pStyle w:val="TableParagraph"/>
              <w:spacing w:line="218" w:lineRule="exact"/>
              <w:ind w:right="563"/>
              <w:jc w:val="right"/>
              <w:rPr>
                <w:rFonts w:ascii="宋体" w:hAnsi="宋体" w:cs="宋体" w:eastAsia="宋体" w:hint="default"/>
                <w:sz w:val="18"/>
                <w:szCs w:val="18"/>
              </w:rPr>
            </w:pPr>
            <w:r>
              <w:rPr>
                <w:rFonts w:ascii="宋体"/>
                <w:sz w:val="18"/>
              </w:rPr>
              <w:t>-</w:t>
            </w:r>
          </w:p>
        </w:tc>
      </w:tr>
      <w:tr>
        <w:trPr>
          <w:trHeight w:val="478" w:hRule="exact"/>
        </w:trPr>
        <w:tc>
          <w:tcPr>
            <w:tcW w:w="108" w:type="dxa"/>
            <w:tcBorders>
              <w:top w:val="nil" w:sz="6" w:space="0" w:color="auto"/>
              <w:left w:val="nil" w:sz="6" w:space="0" w:color="auto"/>
              <w:bottom w:val="nil" w:sz="6" w:space="0" w:color="auto"/>
              <w:right w:val="nil" w:sz="6" w:space="0" w:color="auto"/>
            </w:tcBorders>
          </w:tcPr>
          <w:p>
            <w:pPr/>
          </w:p>
        </w:tc>
        <w:tc>
          <w:tcPr>
            <w:tcW w:w="2621" w:type="dxa"/>
            <w:tcBorders>
              <w:top w:val="nil" w:sz="6" w:space="0" w:color="auto"/>
              <w:left w:val="nil" w:sz="6" w:space="0" w:color="auto"/>
              <w:bottom w:val="nil" w:sz="6" w:space="0" w:color="auto"/>
              <w:right w:val="nil" w:sz="6" w:space="0" w:color="auto"/>
            </w:tcBorders>
          </w:tcPr>
          <w:p>
            <w:pPr>
              <w:pStyle w:val="TableParagraph"/>
              <w:spacing w:line="211" w:lineRule="exact"/>
              <w:ind w:left="391" w:right="0"/>
              <w:jc w:val="left"/>
              <w:rPr>
                <w:rFonts w:ascii="宋体" w:hAnsi="宋体" w:cs="宋体" w:eastAsia="宋体" w:hint="default"/>
                <w:sz w:val="18"/>
                <w:szCs w:val="18"/>
              </w:rPr>
            </w:pPr>
            <w:r>
              <w:rPr>
                <w:rFonts w:ascii="宋体" w:hAnsi="宋体" w:cs="宋体" w:eastAsia="宋体" w:hint="default"/>
                <w:spacing w:val="-4"/>
                <w:sz w:val="18"/>
                <w:szCs w:val="18"/>
              </w:rPr>
              <w:t>2</w:t>
            </w:r>
            <w:r>
              <w:rPr>
                <w:rFonts w:ascii="宋体" w:hAnsi="宋体" w:cs="宋体" w:eastAsia="宋体" w:hint="default"/>
                <w:spacing w:val="-4"/>
                <w:sz w:val="18"/>
                <w:szCs w:val="18"/>
              </w:rPr>
              <w:t>．股份支付计入股东权益的</w:t>
            </w:r>
          </w:p>
          <w:p>
            <w:pPr>
              <w:pStyle w:val="TableParagraph"/>
              <w:spacing w:line="234" w:lineRule="exact"/>
              <w:ind w:left="2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61" w:type="dxa"/>
            <w:tcBorders>
              <w:top w:val="nil" w:sz="6" w:space="0" w:color="auto"/>
              <w:left w:val="nil" w:sz="6" w:space="0" w:color="auto"/>
              <w:bottom w:val="nil" w:sz="6" w:space="0" w:color="auto"/>
              <w:right w:val="nil" w:sz="6" w:space="0" w:color="auto"/>
            </w:tcBorders>
          </w:tcPr>
          <w:p>
            <w:pPr/>
          </w:p>
        </w:tc>
        <w:tc>
          <w:tcPr>
            <w:tcW w:w="227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5"/>
              <w:jc w:val="right"/>
              <w:rPr>
                <w:rFonts w:ascii="宋体" w:hAnsi="宋体" w:cs="宋体" w:eastAsia="宋体" w:hint="default"/>
                <w:sz w:val="18"/>
                <w:szCs w:val="18"/>
              </w:rPr>
            </w:pPr>
            <w:r>
              <w:rPr>
                <w:rFonts w:ascii="宋体"/>
                <w:sz w:val="18"/>
              </w:rPr>
              <w:t>-</w:t>
            </w:r>
          </w:p>
        </w:tc>
        <w:tc>
          <w:tcPr>
            <w:tcW w:w="113"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5"/>
              <w:jc w:val="right"/>
              <w:rPr>
                <w:rFonts w:ascii="宋体" w:hAnsi="宋体" w:cs="宋体" w:eastAsia="宋体" w:hint="default"/>
                <w:sz w:val="18"/>
                <w:szCs w:val="18"/>
              </w:rPr>
            </w:pPr>
            <w:r>
              <w:rPr>
                <w:rFonts w:ascii="宋体"/>
                <w:sz w:val="18"/>
              </w:rPr>
              <w:t>-</w:t>
            </w:r>
          </w:p>
        </w:tc>
        <w:tc>
          <w:tcPr>
            <w:tcW w:w="168" w:type="dxa"/>
            <w:tcBorders>
              <w:top w:val="nil" w:sz="6" w:space="0" w:color="auto"/>
              <w:left w:val="nil" w:sz="6" w:space="0" w:color="auto"/>
              <w:bottom w:val="nil" w:sz="6" w:space="0" w:color="auto"/>
              <w:right w:val="nil" w:sz="6" w:space="0" w:color="auto"/>
            </w:tcBorders>
          </w:tcPr>
          <w:p>
            <w:pPr/>
          </w:p>
        </w:tc>
        <w:tc>
          <w:tcPr>
            <w:tcW w:w="98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8"/>
              <w:jc w:val="right"/>
              <w:rPr>
                <w:rFonts w:ascii="宋体" w:hAnsi="宋体" w:cs="宋体" w:eastAsia="宋体" w:hint="default"/>
                <w:sz w:val="18"/>
                <w:szCs w:val="18"/>
              </w:rPr>
            </w:pPr>
            <w:r>
              <w:rPr>
                <w:rFonts w:ascii="宋体"/>
                <w:sz w:val="18"/>
              </w:rPr>
              <w:t>-</w:t>
            </w:r>
          </w:p>
        </w:tc>
        <w:tc>
          <w:tcPr>
            <w:tcW w:w="120" w:type="dxa"/>
            <w:tcBorders>
              <w:top w:val="nil" w:sz="6" w:space="0" w:color="auto"/>
              <w:left w:val="nil" w:sz="6" w:space="0" w:color="auto"/>
              <w:bottom w:val="nil" w:sz="6" w:space="0" w:color="auto"/>
              <w:right w:val="nil" w:sz="6" w:space="0" w:color="auto"/>
            </w:tcBorders>
          </w:tcPr>
          <w:p>
            <w:pPr/>
          </w:p>
        </w:tc>
        <w:tc>
          <w:tcPr>
            <w:tcW w:w="79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5"/>
              <w:jc w:val="right"/>
              <w:rPr>
                <w:rFonts w:ascii="宋体" w:hAnsi="宋体" w:cs="宋体" w:eastAsia="宋体" w:hint="default"/>
                <w:sz w:val="18"/>
                <w:szCs w:val="18"/>
              </w:rPr>
            </w:pPr>
            <w:r>
              <w:rPr>
                <w:rFonts w:ascii="宋体"/>
                <w:sz w:val="18"/>
              </w:rPr>
              <w:t>-</w:t>
            </w:r>
          </w:p>
        </w:tc>
        <w:tc>
          <w:tcPr>
            <w:tcW w:w="1118" w:type="dxa"/>
            <w:tcBorders>
              <w:top w:val="nil" w:sz="6" w:space="0" w:color="auto"/>
              <w:left w:val="nil" w:sz="6" w:space="0" w:color="auto"/>
              <w:bottom w:val="nil" w:sz="6" w:space="0" w:color="auto"/>
              <w:right w:val="nil" w:sz="6" w:space="0" w:color="auto"/>
            </w:tcBorders>
          </w:tcPr>
          <w:p>
            <w:pP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92"/>
              <w:ind w:left="67" w:right="0"/>
              <w:jc w:val="left"/>
              <w:rPr>
                <w:rFonts w:ascii="宋体" w:hAnsi="宋体" w:cs="宋体" w:eastAsia="宋体" w:hint="default"/>
                <w:sz w:val="18"/>
                <w:szCs w:val="18"/>
              </w:rPr>
            </w:pPr>
            <w:r>
              <w:rPr>
                <w:rFonts w:ascii="宋体"/>
                <w:sz w:val="18"/>
              </w:rPr>
              <w:t>-</w:t>
            </w:r>
          </w:p>
        </w:tc>
        <w:tc>
          <w:tcPr>
            <w:tcW w:w="1439" w:type="dxa"/>
            <w:tcBorders>
              <w:top w:val="nil" w:sz="6" w:space="0" w:color="auto"/>
              <w:left w:val="nil" w:sz="6" w:space="0" w:color="auto"/>
              <w:bottom w:val="nil" w:sz="6" w:space="0" w:color="auto"/>
              <w:right w:val="nil" w:sz="6" w:space="0" w:color="auto"/>
            </w:tcBorders>
          </w:tcPr>
          <w:p>
            <w:pPr/>
          </w:p>
        </w:tc>
        <w:tc>
          <w:tcPr>
            <w:tcW w:w="161" w:type="dxa"/>
            <w:tcBorders>
              <w:top w:val="nil" w:sz="6" w:space="0" w:color="auto"/>
              <w:left w:val="nil" w:sz="6" w:space="0" w:color="auto"/>
              <w:bottom w:val="nil" w:sz="6" w:space="0" w:color="auto"/>
              <w:right w:val="nil" w:sz="6" w:space="0" w:color="auto"/>
            </w:tcBorders>
          </w:tcPr>
          <w:p>
            <w:pPr>
              <w:pStyle w:val="TableParagraph"/>
              <w:spacing w:line="240" w:lineRule="auto" w:before="92"/>
              <w:ind w:left="43" w:right="0"/>
              <w:jc w:val="left"/>
              <w:rPr>
                <w:rFonts w:ascii="宋体" w:hAnsi="宋体" w:cs="宋体" w:eastAsia="宋体" w:hint="default"/>
                <w:sz w:val="18"/>
                <w:szCs w:val="18"/>
              </w:rPr>
            </w:pPr>
            <w:r>
              <w:rPr>
                <w:rFonts w:ascii="宋体"/>
                <w:sz w:val="18"/>
              </w:rPr>
              <w:t>-</w:t>
            </w:r>
          </w:p>
        </w:tc>
        <w:tc>
          <w:tcPr>
            <w:tcW w:w="103" w:type="dxa"/>
            <w:tcBorders>
              <w:top w:val="nil" w:sz="6" w:space="0" w:color="auto"/>
              <w:left w:val="nil" w:sz="6" w:space="0" w:color="auto"/>
              <w:bottom w:val="nil" w:sz="6" w:space="0" w:color="auto"/>
              <w:right w:val="nil" w:sz="6" w:space="0" w:color="auto"/>
            </w:tcBorders>
          </w:tcPr>
          <w:p>
            <w:pP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5"/>
              <w:jc w:val="right"/>
              <w:rPr>
                <w:rFonts w:ascii="宋体" w:hAnsi="宋体" w:cs="宋体" w:eastAsia="宋体" w:hint="default"/>
                <w:sz w:val="18"/>
                <w:szCs w:val="18"/>
              </w:rPr>
            </w:pPr>
            <w:r>
              <w:rPr>
                <w:rFonts w:ascii="宋体"/>
                <w:sz w:val="18"/>
              </w:rPr>
              <w:t>-</w:t>
            </w:r>
          </w:p>
        </w:tc>
        <w:tc>
          <w:tcPr>
            <w:tcW w:w="200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563"/>
              <w:jc w:val="right"/>
              <w:rPr>
                <w:rFonts w:ascii="宋体" w:hAnsi="宋体" w:cs="宋体" w:eastAsia="宋体" w:hint="default"/>
                <w:sz w:val="18"/>
                <w:szCs w:val="18"/>
              </w:rPr>
            </w:pPr>
            <w:r>
              <w:rPr>
                <w:rFonts w:ascii="宋体"/>
                <w:sz w:val="18"/>
              </w:rPr>
              <w:t>-</w:t>
            </w:r>
          </w:p>
        </w:tc>
      </w:tr>
      <w:tr>
        <w:trPr>
          <w:trHeight w:val="250" w:hRule="exact"/>
        </w:trPr>
        <w:tc>
          <w:tcPr>
            <w:tcW w:w="108" w:type="dxa"/>
            <w:tcBorders>
              <w:top w:val="nil" w:sz="6" w:space="0" w:color="auto"/>
              <w:left w:val="nil" w:sz="6" w:space="0" w:color="auto"/>
              <w:bottom w:val="nil" w:sz="6" w:space="0" w:color="auto"/>
              <w:right w:val="nil" w:sz="6" w:space="0" w:color="auto"/>
            </w:tcBorders>
          </w:tcPr>
          <w:p>
            <w:pPr/>
          </w:p>
        </w:tc>
        <w:tc>
          <w:tcPr>
            <w:tcW w:w="2621" w:type="dxa"/>
            <w:tcBorders>
              <w:top w:val="nil" w:sz="6" w:space="0" w:color="auto"/>
              <w:left w:val="nil" w:sz="6" w:space="0" w:color="auto"/>
              <w:bottom w:val="nil" w:sz="6" w:space="0" w:color="auto"/>
              <w:right w:val="nil" w:sz="6" w:space="0" w:color="auto"/>
            </w:tcBorders>
          </w:tcPr>
          <w:p>
            <w:pPr>
              <w:pStyle w:val="TableParagraph"/>
              <w:spacing w:line="212" w:lineRule="exact"/>
              <w:ind w:left="39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61" w:type="dxa"/>
            <w:tcBorders>
              <w:top w:val="nil" w:sz="6" w:space="0" w:color="auto"/>
              <w:left w:val="nil" w:sz="6" w:space="0" w:color="auto"/>
              <w:bottom w:val="nil" w:sz="6" w:space="0" w:color="auto"/>
              <w:right w:val="nil" w:sz="6" w:space="0" w:color="auto"/>
            </w:tcBorders>
          </w:tcPr>
          <w:p>
            <w:pPr/>
          </w:p>
        </w:tc>
        <w:tc>
          <w:tcPr>
            <w:tcW w:w="2270" w:type="dxa"/>
            <w:tcBorders>
              <w:top w:val="nil" w:sz="6" w:space="0" w:color="auto"/>
              <w:left w:val="nil" w:sz="6" w:space="0" w:color="auto"/>
              <w:bottom w:val="nil" w:sz="6" w:space="0" w:color="auto"/>
              <w:right w:val="nil" w:sz="6" w:space="0" w:color="auto"/>
            </w:tcBorders>
          </w:tcPr>
          <w:p>
            <w:pPr>
              <w:pStyle w:val="TableParagraph"/>
              <w:spacing w:line="212" w:lineRule="exact"/>
              <w:ind w:right="25"/>
              <w:jc w:val="right"/>
              <w:rPr>
                <w:rFonts w:ascii="宋体" w:hAnsi="宋体" w:cs="宋体" w:eastAsia="宋体" w:hint="default"/>
                <w:sz w:val="18"/>
                <w:szCs w:val="18"/>
              </w:rPr>
            </w:pPr>
            <w:r>
              <w:rPr>
                <w:rFonts w:ascii="宋体"/>
                <w:sz w:val="18"/>
              </w:rPr>
              <w:t>-</w:t>
            </w:r>
          </w:p>
        </w:tc>
        <w:tc>
          <w:tcPr>
            <w:tcW w:w="113"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12" w:lineRule="exact"/>
              <w:ind w:right="25"/>
              <w:jc w:val="right"/>
              <w:rPr>
                <w:rFonts w:ascii="宋体" w:hAnsi="宋体" w:cs="宋体" w:eastAsia="宋体" w:hint="default"/>
                <w:sz w:val="18"/>
                <w:szCs w:val="18"/>
              </w:rPr>
            </w:pPr>
            <w:r>
              <w:rPr>
                <w:rFonts w:ascii="宋体"/>
                <w:sz w:val="18"/>
              </w:rPr>
              <w:t>-</w:t>
            </w:r>
          </w:p>
        </w:tc>
        <w:tc>
          <w:tcPr>
            <w:tcW w:w="168" w:type="dxa"/>
            <w:tcBorders>
              <w:top w:val="nil" w:sz="6" w:space="0" w:color="auto"/>
              <w:left w:val="nil" w:sz="6" w:space="0" w:color="auto"/>
              <w:bottom w:val="nil" w:sz="6" w:space="0" w:color="auto"/>
              <w:right w:val="nil" w:sz="6" w:space="0" w:color="auto"/>
            </w:tcBorders>
          </w:tcPr>
          <w:p>
            <w:pPr/>
          </w:p>
        </w:tc>
        <w:tc>
          <w:tcPr>
            <w:tcW w:w="982" w:type="dxa"/>
            <w:tcBorders>
              <w:top w:val="nil" w:sz="6" w:space="0" w:color="auto"/>
              <w:left w:val="nil" w:sz="6" w:space="0" w:color="auto"/>
              <w:bottom w:val="nil" w:sz="6" w:space="0" w:color="auto"/>
              <w:right w:val="nil" w:sz="6" w:space="0" w:color="auto"/>
            </w:tcBorders>
          </w:tcPr>
          <w:p>
            <w:pPr>
              <w:pStyle w:val="TableParagraph"/>
              <w:spacing w:line="212" w:lineRule="exact"/>
              <w:ind w:right="28"/>
              <w:jc w:val="right"/>
              <w:rPr>
                <w:rFonts w:ascii="宋体" w:hAnsi="宋体" w:cs="宋体" w:eastAsia="宋体" w:hint="default"/>
                <w:sz w:val="18"/>
                <w:szCs w:val="18"/>
              </w:rPr>
            </w:pPr>
            <w:r>
              <w:rPr>
                <w:rFonts w:ascii="宋体"/>
                <w:sz w:val="18"/>
              </w:rPr>
              <w:t>-</w:t>
            </w:r>
          </w:p>
        </w:tc>
        <w:tc>
          <w:tcPr>
            <w:tcW w:w="120" w:type="dxa"/>
            <w:tcBorders>
              <w:top w:val="nil" w:sz="6" w:space="0" w:color="auto"/>
              <w:left w:val="nil" w:sz="6" w:space="0" w:color="auto"/>
              <w:bottom w:val="nil" w:sz="6" w:space="0" w:color="auto"/>
              <w:right w:val="nil" w:sz="6" w:space="0" w:color="auto"/>
            </w:tcBorders>
          </w:tcPr>
          <w:p>
            <w:pPr/>
          </w:p>
        </w:tc>
        <w:tc>
          <w:tcPr>
            <w:tcW w:w="799" w:type="dxa"/>
            <w:tcBorders>
              <w:top w:val="nil" w:sz="6" w:space="0" w:color="auto"/>
              <w:left w:val="nil" w:sz="6" w:space="0" w:color="auto"/>
              <w:bottom w:val="nil" w:sz="6" w:space="0" w:color="auto"/>
              <w:right w:val="nil" w:sz="6" w:space="0" w:color="auto"/>
            </w:tcBorders>
          </w:tcPr>
          <w:p>
            <w:pPr>
              <w:pStyle w:val="TableParagraph"/>
              <w:spacing w:line="212" w:lineRule="exact"/>
              <w:ind w:right="25"/>
              <w:jc w:val="right"/>
              <w:rPr>
                <w:rFonts w:ascii="宋体" w:hAnsi="宋体" w:cs="宋体" w:eastAsia="宋体" w:hint="default"/>
                <w:sz w:val="18"/>
                <w:szCs w:val="18"/>
              </w:rPr>
            </w:pPr>
            <w:r>
              <w:rPr>
                <w:rFonts w:ascii="宋体"/>
                <w:sz w:val="18"/>
              </w:rPr>
              <w:t>-</w:t>
            </w:r>
          </w:p>
        </w:tc>
        <w:tc>
          <w:tcPr>
            <w:tcW w:w="1118" w:type="dxa"/>
            <w:tcBorders>
              <w:top w:val="nil" w:sz="6" w:space="0" w:color="auto"/>
              <w:left w:val="nil" w:sz="6" w:space="0" w:color="auto"/>
              <w:bottom w:val="nil" w:sz="6" w:space="0" w:color="auto"/>
              <w:right w:val="nil" w:sz="6" w:space="0" w:color="auto"/>
            </w:tcBorders>
          </w:tcPr>
          <w:p>
            <w:pPr/>
          </w:p>
        </w:tc>
        <w:tc>
          <w:tcPr>
            <w:tcW w:w="1398" w:type="dxa"/>
            <w:tcBorders>
              <w:top w:val="nil" w:sz="6" w:space="0" w:color="auto"/>
              <w:left w:val="nil" w:sz="6" w:space="0" w:color="auto"/>
              <w:bottom w:val="nil" w:sz="6" w:space="0" w:color="auto"/>
              <w:right w:val="nil" w:sz="6" w:space="0" w:color="auto"/>
            </w:tcBorders>
          </w:tcPr>
          <w:p>
            <w:pPr>
              <w:pStyle w:val="TableParagraph"/>
              <w:spacing w:line="212" w:lineRule="exact"/>
              <w:ind w:left="67" w:right="0"/>
              <w:jc w:val="left"/>
              <w:rPr>
                <w:rFonts w:ascii="宋体" w:hAnsi="宋体" w:cs="宋体" w:eastAsia="宋体" w:hint="default"/>
                <w:sz w:val="18"/>
                <w:szCs w:val="18"/>
              </w:rPr>
            </w:pPr>
            <w:r>
              <w:rPr>
                <w:rFonts w:ascii="宋体"/>
                <w:sz w:val="18"/>
              </w:rPr>
              <w:t>-</w:t>
            </w:r>
          </w:p>
        </w:tc>
        <w:tc>
          <w:tcPr>
            <w:tcW w:w="1439" w:type="dxa"/>
            <w:tcBorders>
              <w:top w:val="nil" w:sz="6" w:space="0" w:color="auto"/>
              <w:left w:val="nil" w:sz="6" w:space="0" w:color="auto"/>
              <w:bottom w:val="nil" w:sz="6" w:space="0" w:color="auto"/>
              <w:right w:val="nil" w:sz="6" w:space="0" w:color="auto"/>
            </w:tcBorders>
          </w:tcPr>
          <w:p>
            <w:pPr/>
          </w:p>
        </w:tc>
        <w:tc>
          <w:tcPr>
            <w:tcW w:w="161" w:type="dxa"/>
            <w:tcBorders>
              <w:top w:val="nil" w:sz="6" w:space="0" w:color="auto"/>
              <w:left w:val="nil" w:sz="6" w:space="0" w:color="auto"/>
              <w:bottom w:val="nil" w:sz="6" w:space="0" w:color="auto"/>
              <w:right w:val="nil" w:sz="6" w:space="0" w:color="auto"/>
            </w:tcBorders>
          </w:tcPr>
          <w:p>
            <w:pPr>
              <w:pStyle w:val="TableParagraph"/>
              <w:spacing w:line="212" w:lineRule="exact"/>
              <w:ind w:left="43" w:right="0"/>
              <w:jc w:val="left"/>
              <w:rPr>
                <w:rFonts w:ascii="宋体" w:hAnsi="宋体" w:cs="宋体" w:eastAsia="宋体" w:hint="default"/>
                <w:sz w:val="18"/>
                <w:szCs w:val="18"/>
              </w:rPr>
            </w:pPr>
            <w:r>
              <w:rPr>
                <w:rFonts w:ascii="宋体"/>
                <w:sz w:val="18"/>
              </w:rPr>
              <w:t>-</w:t>
            </w:r>
          </w:p>
        </w:tc>
        <w:tc>
          <w:tcPr>
            <w:tcW w:w="103" w:type="dxa"/>
            <w:tcBorders>
              <w:top w:val="nil" w:sz="6" w:space="0" w:color="auto"/>
              <w:left w:val="nil" w:sz="6" w:space="0" w:color="auto"/>
              <w:bottom w:val="nil" w:sz="6" w:space="0" w:color="auto"/>
              <w:right w:val="nil" w:sz="6" w:space="0" w:color="auto"/>
            </w:tcBorders>
          </w:tcPr>
          <w:p>
            <w:pPr/>
          </w:p>
        </w:tc>
        <w:tc>
          <w:tcPr>
            <w:tcW w:w="1178" w:type="dxa"/>
            <w:tcBorders>
              <w:top w:val="nil" w:sz="6" w:space="0" w:color="auto"/>
              <w:left w:val="nil" w:sz="6" w:space="0" w:color="auto"/>
              <w:bottom w:val="nil" w:sz="6" w:space="0" w:color="auto"/>
              <w:right w:val="nil" w:sz="6" w:space="0" w:color="auto"/>
            </w:tcBorders>
          </w:tcPr>
          <w:p>
            <w:pPr>
              <w:pStyle w:val="TableParagraph"/>
              <w:spacing w:line="212" w:lineRule="exact"/>
              <w:ind w:right="25"/>
              <w:jc w:val="right"/>
              <w:rPr>
                <w:rFonts w:ascii="宋体" w:hAnsi="宋体" w:cs="宋体" w:eastAsia="宋体" w:hint="default"/>
                <w:sz w:val="18"/>
                <w:szCs w:val="18"/>
              </w:rPr>
            </w:pPr>
            <w:r>
              <w:rPr>
                <w:rFonts w:ascii="宋体"/>
                <w:sz w:val="18"/>
              </w:rPr>
              <w:t>-</w:t>
            </w:r>
          </w:p>
        </w:tc>
        <w:tc>
          <w:tcPr>
            <w:tcW w:w="2004" w:type="dxa"/>
            <w:tcBorders>
              <w:top w:val="nil" w:sz="6" w:space="0" w:color="auto"/>
              <w:left w:val="nil" w:sz="6" w:space="0" w:color="auto"/>
              <w:bottom w:val="nil" w:sz="6" w:space="0" w:color="auto"/>
              <w:right w:val="nil" w:sz="6" w:space="0" w:color="auto"/>
            </w:tcBorders>
          </w:tcPr>
          <w:p>
            <w:pPr>
              <w:pStyle w:val="TableParagraph"/>
              <w:spacing w:line="212" w:lineRule="exact"/>
              <w:ind w:right="563"/>
              <w:jc w:val="right"/>
              <w:rPr>
                <w:rFonts w:ascii="宋体" w:hAnsi="宋体" w:cs="宋体" w:eastAsia="宋体" w:hint="default"/>
                <w:sz w:val="18"/>
                <w:szCs w:val="18"/>
              </w:rPr>
            </w:pPr>
            <w:r>
              <w:rPr>
                <w:rFonts w:ascii="宋体"/>
                <w:sz w:val="18"/>
              </w:rPr>
              <w:t>-</w:t>
            </w:r>
          </w:p>
        </w:tc>
      </w:tr>
      <w:tr>
        <w:trPr>
          <w:trHeight w:val="254" w:hRule="exact"/>
        </w:trPr>
        <w:tc>
          <w:tcPr>
            <w:tcW w:w="108" w:type="dxa"/>
            <w:tcBorders>
              <w:top w:val="nil" w:sz="6" w:space="0" w:color="auto"/>
              <w:left w:val="nil" w:sz="6" w:space="0" w:color="auto"/>
              <w:bottom w:val="nil" w:sz="6" w:space="0" w:color="auto"/>
              <w:right w:val="nil" w:sz="6" w:space="0" w:color="auto"/>
            </w:tcBorders>
          </w:tcPr>
          <w:p>
            <w:pPr/>
          </w:p>
        </w:tc>
        <w:tc>
          <w:tcPr>
            <w:tcW w:w="2621" w:type="dxa"/>
            <w:tcBorders>
              <w:top w:val="nil" w:sz="6" w:space="0" w:color="auto"/>
              <w:left w:val="nil" w:sz="6" w:space="0" w:color="auto"/>
              <w:bottom w:val="nil" w:sz="6" w:space="0" w:color="auto"/>
              <w:right w:val="nil" w:sz="6" w:space="0" w:color="auto"/>
            </w:tcBorders>
          </w:tcPr>
          <w:p>
            <w:pPr>
              <w:pStyle w:val="TableParagraph"/>
              <w:spacing w:line="217" w:lineRule="exact"/>
              <w:ind w:left="28"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61" w:type="dxa"/>
            <w:tcBorders>
              <w:top w:val="nil" w:sz="6" w:space="0" w:color="auto"/>
              <w:left w:val="nil" w:sz="6" w:space="0" w:color="auto"/>
              <w:bottom w:val="nil" w:sz="6" w:space="0" w:color="auto"/>
              <w:right w:val="nil" w:sz="6" w:space="0" w:color="auto"/>
            </w:tcBorders>
          </w:tcPr>
          <w:p>
            <w:pPr/>
          </w:p>
        </w:tc>
        <w:tc>
          <w:tcPr>
            <w:tcW w:w="2270" w:type="dxa"/>
            <w:tcBorders>
              <w:top w:val="nil" w:sz="6" w:space="0" w:color="auto"/>
              <w:left w:val="nil" w:sz="6" w:space="0" w:color="auto"/>
              <w:bottom w:val="nil" w:sz="6" w:space="0" w:color="auto"/>
              <w:right w:val="nil" w:sz="6" w:space="0" w:color="auto"/>
            </w:tcBorders>
          </w:tcPr>
          <w:p>
            <w:pPr>
              <w:pStyle w:val="TableParagraph"/>
              <w:spacing w:line="217" w:lineRule="exact"/>
              <w:ind w:right="25"/>
              <w:jc w:val="right"/>
              <w:rPr>
                <w:rFonts w:ascii="宋体" w:hAnsi="宋体" w:cs="宋体" w:eastAsia="宋体" w:hint="default"/>
                <w:sz w:val="18"/>
                <w:szCs w:val="18"/>
              </w:rPr>
            </w:pPr>
            <w:r>
              <w:rPr>
                <w:rFonts w:ascii="宋体"/>
                <w:sz w:val="18"/>
              </w:rPr>
              <w:t>-</w:t>
            </w:r>
          </w:p>
        </w:tc>
        <w:tc>
          <w:tcPr>
            <w:tcW w:w="113"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17" w:lineRule="exact"/>
              <w:ind w:right="25"/>
              <w:jc w:val="right"/>
              <w:rPr>
                <w:rFonts w:ascii="宋体" w:hAnsi="宋体" w:cs="宋体" w:eastAsia="宋体" w:hint="default"/>
                <w:sz w:val="18"/>
                <w:szCs w:val="18"/>
              </w:rPr>
            </w:pPr>
            <w:r>
              <w:rPr>
                <w:rFonts w:ascii="宋体"/>
                <w:sz w:val="18"/>
              </w:rPr>
              <w:t>-</w:t>
            </w:r>
          </w:p>
        </w:tc>
        <w:tc>
          <w:tcPr>
            <w:tcW w:w="168" w:type="dxa"/>
            <w:tcBorders>
              <w:top w:val="nil" w:sz="6" w:space="0" w:color="auto"/>
              <w:left w:val="nil" w:sz="6" w:space="0" w:color="auto"/>
              <w:bottom w:val="nil" w:sz="6" w:space="0" w:color="auto"/>
              <w:right w:val="nil" w:sz="6" w:space="0" w:color="auto"/>
            </w:tcBorders>
          </w:tcPr>
          <w:p>
            <w:pPr/>
          </w:p>
        </w:tc>
        <w:tc>
          <w:tcPr>
            <w:tcW w:w="982" w:type="dxa"/>
            <w:tcBorders>
              <w:top w:val="nil" w:sz="6" w:space="0" w:color="auto"/>
              <w:left w:val="nil" w:sz="6" w:space="0" w:color="auto"/>
              <w:bottom w:val="nil" w:sz="6" w:space="0" w:color="auto"/>
              <w:right w:val="nil" w:sz="6" w:space="0" w:color="auto"/>
            </w:tcBorders>
          </w:tcPr>
          <w:p>
            <w:pPr>
              <w:pStyle w:val="TableParagraph"/>
              <w:spacing w:line="217" w:lineRule="exact"/>
              <w:ind w:right="28"/>
              <w:jc w:val="right"/>
              <w:rPr>
                <w:rFonts w:ascii="宋体" w:hAnsi="宋体" w:cs="宋体" w:eastAsia="宋体" w:hint="default"/>
                <w:sz w:val="18"/>
                <w:szCs w:val="18"/>
              </w:rPr>
            </w:pPr>
            <w:r>
              <w:rPr>
                <w:rFonts w:ascii="宋体"/>
                <w:sz w:val="18"/>
              </w:rPr>
              <w:t>-</w:t>
            </w:r>
          </w:p>
        </w:tc>
        <w:tc>
          <w:tcPr>
            <w:tcW w:w="120" w:type="dxa"/>
            <w:tcBorders>
              <w:top w:val="nil" w:sz="6" w:space="0" w:color="auto"/>
              <w:left w:val="nil" w:sz="6" w:space="0" w:color="auto"/>
              <w:bottom w:val="nil" w:sz="6" w:space="0" w:color="auto"/>
              <w:right w:val="nil" w:sz="6" w:space="0" w:color="auto"/>
            </w:tcBorders>
          </w:tcPr>
          <w:p>
            <w:pPr/>
          </w:p>
        </w:tc>
        <w:tc>
          <w:tcPr>
            <w:tcW w:w="799" w:type="dxa"/>
            <w:tcBorders>
              <w:top w:val="nil" w:sz="6" w:space="0" w:color="auto"/>
              <w:left w:val="nil" w:sz="6" w:space="0" w:color="auto"/>
              <w:bottom w:val="nil" w:sz="6" w:space="0" w:color="auto"/>
              <w:right w:val="nil" w:sz="6" w:space="0" w:color="auto"/>
            </w:tcBorders>
          </w:tcPr>
          <w:p>
            <w:pPr>
              <w:pStyle w:val="TableParagraph"/>
              <w:spacing w:line="217" w:lineRule="exact"/>
              <w:ind w:right="25"/>
              <w:jc w:val="right"/>
              <w:rPr>
                <w:rFonts w:ascii="宋体" w:hAnsi="宋体" w:cs="宋体" w:eastAsia="宋体" w:hint="default"/>
                <w:sz w:val="18"/>
                <w:szCs w:val="18"/>
              </w:rPr>
            </w:pPr>
            <w:r>
              <w:rPr>
                <w:rFonts w:ascii="宋体"/>
                <w:sz w:val="18"/>
              </w:rPr>
              <w:t>-</w:t>
            </w:r>
          </w:p>
        </w:tc>
        <w:tc>
          <w:tcPr>
            <w:tcW w:w="2516" w:type="dxa"/>
            <w:gridSpan w:val="2"/>
            <w:tcBorders>
              <w:top w:val="nil" w:sz="6" w:space="0" w:color="auto"/>
              <w:left w:val="nil" w:sz="6" w:space="0" w:color="auto"/>
              <w:bottom w:val="nil" w:sz="6" w:space="0" w:color="auto"/>
              <w:right w:val="nil" w:sz="6" w:space="0" w:color="auto"/>
            </w:tcBorders>
          </w:tcPr>
          <w:p>
            <w:pPr>
              <w:pStyle w:val="TableParagraph"/>
              <w:spacing w:line="217" w:lineRule="exact"/>
              <w:ind w:left="196" w:right="0"/>
              <w:jc w:val="left"/>
              <w:rPr>
                <w:rFonts w:ascii="宋体" w:hAnsi="宋体" w:cs="宋体" w:eastAsia="宋体" w:hint="default"/>
                <w:sz w:val="18"/>
                <w:szCs w:val="18"/>
              </w:rPr>
            </w:pPr>
            <w:r>
              <w:rPr>
                <w:rFonts w:ascii="宋体"/>
                <w:sz w:val="18"/>
              </w:rPr>
              <w:t>2,237,688.08</w:t>
            </w:r>
          </w:p>
        </w:tc>
        <w:tc>
          <w:tcPr>
            <w:tcW w:w="1600" w:type="dxa"/>
            <w:gridSpan w:val="2"/>
            <w:tcBorders>
              <w:top w:val="nil" w:sz="6" w:space="0" w:color="auto"/>
              <w:left w:val="nil" w:sz="6" w:space="0" w:color="auto"/>
              <w:bottom w:val="nil" w:sz="6" w:space="0" w:color="auto"/>
              <w:right w:val="nil" w:sz="6" w:space="0" w:color="auto"/>
            </w:tcBorders>
          </w:tcPr>
          <w:p>
            <w:pPr>
              <w:pStyle w:val="TableParagraph"/>
              <w:spacing w:line="217" w:lineRule="exact"/>
              <w:ind w:left="313" w:right="0"/>
              <w:jc w:val="left"/>
              <w:rPr>
                <w:rFonts w:ascii="宋体" w:hAnsi="宋体" w:cs="宋体" w:eastAsia="宋体" w:hint="default"/>
                <w:sz w:val="18"/>
                <w:szCs w:val="18"/>
              </w:rPr>
            </w:pPr>
            <w:r>
              <w:rPr>
                <w:rFonts w:ascii="宋体"/>
                <w:sz w:val="18"/>
              </w:rPr>
              <w:t>(2,237,688.08)</w:t>
            </w:r>
          </w:p>
        </w:tc>
        <w:tc>
          <w:tcPr>
            <w:tcW w:w="103" w:type="dxa"/>
            <w:tcBorders>
              <w:top w:val="nil" w:sz="6" w:space="0" w:color="auto"/>
              <w:left w:val="nil" w:sz="6" w:space="0" w:color="auto"/>
              <w:bottom w:val="nil" w:sz="6" w:space="0" w:color="auto"/>
              <w:right w:val="nil" w:sz="6" w:space="0" w:color="auto"/>
            </w:tcBorders>
          </w:tcPr>
          <w:p>
            <w:pPr/>
          </w:p>
        </w:tc>
        <w:tc>
          <w:tcPr>
            <w:tcW w:w="1178" w:type="dxa"/>
            <w:tcBorders>
              <w:top w:val="nil" w:sz="6" w:space="0" w:color="auto"/>
              <w:left w:val="nil" w:sz="6" w:space="0" w:color="auto"/>
              <w:bottom w:val="nil" w:sz="6" w:space="0" w:color="auto"/>
              <w:right w:val="nil" w:sz="6" w:space="0" w:color="auto"/>
            </w:tcBorders>
          </w:tcPr>
          <w:p>
            <w:pPr>
              <w:pStyle w:val="TableParagraph"/>
              <w:spacing w:line="217" w:lineRule="exact"/>
              <w:ind w:right="25"/>
              <w:jc w:val="right"/>
              <w:rPr>
                <w:rFonts w:ascii="宋体" w:hAnsi="宋体" w:cs="宋体" w:eastAsia="宋体" w:hint="default"/>
                <w:sz w:val="18"/>
                <w:szCs w:val="18"/>
              </w:rPr>
            </w:pPr>
            <w:r>
              <w:rPr>
                <w:rFonts w:ascii="宋体"/>
                <w:sz w:val="18"/>
              </w:rPr>
              <w:t>-</w:t>
            </w:r>
          </w:p>
        </w:tc>
        <w:tc>
          <w:tcPr>
            <w:tcW w:w="2004" w:type="dxa"/>
            <w:tcBorders>
              <w:top w:val="nil" w:sz="6" w:space="0" w:color="auto"/>
              <w:left w:val="nil" w:sz="6" w:space="0" w:color="auto"/>
              <w:bottom w:val="nil" w:sz="6" w:space="0" w:color="auto"/>
              <w:right w:val="nil" w:sz="6" w:space="0" w:color="auto"/>
            </w:tcBorders>
          </w:tcPr>
          <w:p>
            <w:pPr>
              <w:pStyle w:val="TableParagraph"/>
              <w:spacing w:line="217" w:lineRule="exact"/>
              <w:ind w:right="563"/>
              <w:jc w:val="right"/>
              <w:rPr>
                <w:rFonts w:ascii="宋体" w:hAnsi="宋体" w:cs="宋体" w:eastAsia="宋体" w:hint="default"/>
                <w:sz w:val="18"/>
                <w:szCs w:val="18"/>
              </w:rPr>
            </w:pPr>
            <w:r>
              <w:rPr>
                <w:rFonts w:ascii="宋体"/>
                <w:sz w:val="18"/>
              </w:rPr>
              <w:t>-</w:t>
            </w:r>
          </w:p>
        </w:tc>
      </w:tr>
      <w:tr>
        <w:trPr>
          <w:trHeight w:val="256" w:hRule="exact"/>
        </w:trPr>
        <w:tc>
          <w:tcPr>
            <w:tcW w:w="108" w:type="dxa"/>
            <w:tcBorders>
              <w:top w:val="nil" w:sz="6" w:space="0" w:color="auto"/>
              <w:left w:val="nil" w:sz="6" w:space="0" w:color="auto"/>
              <w:bottom w:val="nil" w:sz="6" w:space="0" w:color="auto"/>
              <w:right w:val="nil" w:sz="6" w:space="0" w:color="auto"/>
            </w:tcBorders>
          </w:tcPr>
          <w:p>
            <w:pPr/>
          </w:p>
        </w:tc>
        <w:tc>
          <w:tcPr>
            <w:tcW w:w="2621" w:type="dxa"/>
            <w:tcBorders>
              <w:top w:val="nil" w:sz="6" w:space="0" w:color="auto"/>
              <w:left w:val="nil" w:sz="6" w:space="0" w:color="auto"/>
              <w:bottom w:val="nil" w:sz="6" w:space="0" w:color="auto"/>
              <w:right w:val="nil" w:sz="6" w:space="0" w:color="auto"/>
            </w:tcBorders>
          </w:tcPr>
          <w:p>
            <w:pPr>
              <w:pStyle w:val="TableParagraph"/>
              <w:spacing w:line="217" w:lineRule="exact"/>
              <w:ind w:left="39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61" w:type="dxa"/>
            <w:tcBorders>
              <w:top w:val="nil" w:sz="6" w:space="0" w:color="auto"/>
              <w:left w:val="nil" w:sz="6" w:space="0" w:color="auto"/>
              <w:bottom w:val="nil" w:sz="6" w:space="0" w:color="auto"/>
              <w:right w:val="nil" w:sz="6" w:space="0" w:color="auto"/>
            </w:tcBorders>
          </w:tcPr>
          <w:p>
            <w:pPr/>
          </w:p>
        </w:tc>
        <w:tc>
          <w:tcPr>
            <w:tcW w:w="2270" w:type="dxa"/>
            <w:tcBorders>
              <w:top w:val="nil" w:sz="6" w:space="0" w:color="auto"/>
              <w:left w:val="nil" w:sz="6" w:space="0" w:color="auto"/>
              <w:bottom w:val="nil" w:sz="6" w:space="0" w:color="auto"/>
              <w:right w:val="nil" w:sz="6" w:space="0" w:color="auto"/>
            </w:tcBorders>
          </w:tcPr>
          <w:p>
            <w:pPr>
              <w:pStyle w:val="TableParagraph"/>
              <w:spacing w:line="217" w:lineRule="exact"/>
              <w:ind w:right="25"/>
              <w:jc w:val="right"/>
              <w:rPr>
                <w:rFonts w:ascii="宋体" w:hAnsi="宋体" w:cs="宋体" w:eastAsia="宋体" w:hint="default"/>
                <w:sz w:val="18"/>
                <w:szCs w:val="18"/>
              </w:rPr>
            </w:pPr>
            <w:r>
              <w:rPr>
                <w:rFonts w:ascii="宋体"/>
                <w:sz w:val="18"/>
              </w:rPr>
              <w:t>-</w:t>
            </w:r>
          </w:p>
        </w:tc>
        <w:tc>
          <w:tcPr>
            <w:tcW w:w="113"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17" w:lineRule="exact"/>
              <w:ind w:right="25"/>
              <w:jc w:val="right"/>
              <w:rPr>
                <w:rFonts w:ascii="宋体" w:hAnsi="宋体" w:cs="宋体" w:eastAsia="宋体" w:hint="default"/>
                <w:sz w:val="18"/>
                <w:szCs w:val="18"/>
              </w:rPr>
            </w:pPr>
            <w:r>
              <w:rPr>
                <w:rFonts w:ascii="宋体"/>
                <w:sz w:val="18"/>
              </w:rPr>
              <w:t>-</w:t>
            </w:r>
          </w:p>
        </w:tc>
        <w:tc>
          <w:tcPr>
            <w:tcW w:w="168" w:type="dxa"/>
            <w:tcBorders>
              <w:top w:val="nil" w:sz="6" w:space="0" w:color="auto"/>
              <w:left w:val="nil" w:sz="6" w:space="0" w:color="auto"/>
              <w:bottom w:val="nil" w:sz="6" w:space="0" w:color="auto"/>
              <w:right w:val="nil" w:sz="6" w:space="0" w:color="auto"/>
            </w:tcBorders>
          </w:tcPr>
          <w:p>
            <w:pPr/>
          </w:p>
        </w:tc>
        <w:tc>
          <w:tcPr>
            <w:tcW w:w="982" w:type="dxa"/>
            <w:tcBorders>
              <w:top w:val="nil" w:sz="6" w:space="0" w:color="auto"/>
              <w:left w:val="nil" w:sz="6" w:space="0" w:color="auto"/>
              <w:bottom w:val="nil" w:sz="6" w:space="0" w:color="auto"/>
              <w:right w:val="nil" w:sz="6" w:space="0" w:color="auto"/>
            </w:tcBorders>
          </w:tcPr>
          <w:p>
            <w:pPr>
              <w:pStyle w:val="TableParagraph"/>
              <w:spacing w:line="217" w:lineRule="exact"/>
              <w:ind w:right="28"/>
              <w:jc w:val="right"/>
              <w:rPr>
                <w:rFonts w:ascii="宋体" w:hAnsi="宋体" w:cs="宋体" w:eastAsia="宋体" w:hint="default"/>
                <w:sz w:val="18"/>
                <w:szCs w:val="18"/>
              </w:rPr>
            </w:pPr>
            <w:r>
              <w:rPr>
                <w:rFonts w:ascii="宋体"/>
                <w:sz w:val="18"/>
              </w:rPr>
              <w:t>-</w:t>
            </w:r>
          </w:p>
        </w:tc>
        <w:tc>
          <w:tcPr>
            <w:tcW w:w="120" w:type="dxa"/>
            <w:tcBorders>
              <w:top w:val="nil" w:sz="6" w:space="0" w:color="auto"/>
              <w:left w:val="nil" w:sz="6" w:space="0" w:color="auto"/>
              <w:bottom w:val="nil" w:sz="6" w:space="0" w:color="auto"/>
              <w:right w:val="nil" w:sz="6" w:space="0" w:color="auto"/>
            </w:tcBorders>
          </w:tcPr>
          <w:p>
            <w:pPr/>
          </w:p>
        </w:tc>
        <w:tc>
          <w:tcPr>
            <w:tcW w:w="799" w:type="dxa"/>
            <w:tcBorders>
              <w:top w:val="nil" w:sz="6" w:space="0" w:color="auto"/>
              <w:left w:val="nil" w:sz="6" w:space="0" w:color="auto"/>
              <w:bottom w:val="nil" w:sz="6" w:space="0" w:color="auto"/>
              <w:right w:val="nil" w:sz="6" w:space="0" w:color="auto"/>
            </w:tcBorders>
          </w:tcPr>
          <w:p>
            <w:pPr>
              <w:pStyle w:val="TableParagraph"/>
              <w:spacing w:line="217" w:lineRule="exact"/>
              <w:ind w:right="25"/>
              <w:jc w:val="right"/>
              <w:rPr>
                <w:rFonts w:ascii="宋体" w:hAnsi="宋体" w:cs="宋体" w:eastAsia="宋体" w:hint="default"/>
                <w:sz w:val="18"/>
                <w:szCs w:val="18"/>
              </w:rPr>
            </w:pPr>
            <w:r>
              <w:rPr>
                <w:rFonts w:ascii="宋体"/>
                <w:sz w:val="18"/>
              </w:rPr>
              <w:t>-</w:t>
            </w:r>
          </w:p>
        </w:tc>
        <w:tc>
          <w:tcPr>
            <w:tcW w:w="2516" w:type="dxa"/>
            <w:gridSpan w:val="2"/>
            <w:tcBorders>
              <w:top w:val="nil" w:sz="6" w:space="0" w:color="auto"/>
              <w:left w:val="nil" w:sz="6" w:space="0" w:color="auto"/>
              <w:bottom w:val="nil" w:sz="6" w:space="0" w:color="auto"/>
              <w:right w:val="nil" w:sz="6" w:space="0" w:color="auto"/>
            </w:tcBorders>
          </w:tcPr>
          <w:p>
            <w:pPr>
              <w:pStyle w:val="TableParagraph"/>
              <w:spacing w:line="217" w:lineRule="exact"/>
              <w:ind w:left="196" w:right="0"/>
              <w:jc w:val="left"/>
              <w:rPr>
                <w:rFonts w:ascii="宋体" w:hAnsi="宋体" w:cs="宋体" w:eastAsia="宋体" w:hint="default"/>
                <w:sz w:val="18"/>
                <w:szCs w:val="18"/>
              </w:rPr>
            </w:pPr>
            <w:r>
              <w:rPr>
                <w:rFonts w:ascii="宋体"/>
                <w:sz w:val="18"/>
              </w:rPr>
              <w:t>2,237,688.08</w:t>
            </w:r>
          </w:p>
        </w:tc>
        <w:tc>
          <w:tcPr>
            <w:tcW w:w="1600" w:type="dxa"/>
            <w:gridSpan w:val="2"/>
            <w:tcBorders>
              <w:top w:val="nil" w:sz="6" w:space="0" w:color="auto"/>
              <w:left w:val="nil" w:sz="6" w:space="0" w:color="auto"/>
              <w:bottom w:val="nil" w:sz="6" w:space="0" w:color="auto"/>
              <w:right w:val="nil" w:sz="6" w:space="0" w:color="auto"/>
            </w:tcBorders>
          </w:tcPr>
          <w:p>
            <w:pPr>
              <w:pStyle w:val="TableParagraph"/>
              <w:spacing w:line="217" w:lineRule="exact"/>
              <w:ind w:left="313" w:right="0"/>
              <w:jc w:val="left"/>
              <w:rPr>
                <w:rFonts w:ascii="宋体" w:hAnsi="宋体" w:cs="宋体" w:eastAsia="宋体" w:hint="default"/>
                <w:sz w:val="18"/>
                <w:szCs w:val="18"/>
              </w:rPr>
            </w:pPr>
            <w:r>
              <w:rPr>
                <w:rFonts w:ascii="宋体"/>
                <w:sz w:val="18"/>
              </w:rPr>
              <w:t>(2,237,688.08)</w:t>
            </w:r>
          </w:p>
        </w:tc>
        <w:tc>
          <w:tcPr>
            <w:tcW w:w="103" w:type="dxa"/>
            <w:tcBorders>
              <w:top w:val="nil" w:sz="6" w:space="0" w:color="auto"/>
              <w:left w:val="nil" w:sz="6" w:space="0" w:color="auto"/>
              <w:bottom w:val="nil" w:sz="6" w:space="0" w:color="auto"/>
              <w:right w:val="nil" w:sz="6" w:space="0" w:color="auto"/>
            </w:tcBorders>
          </w:tcPr>
          <w:p>
            <w:pPr/>
          </w:p>
        </w:tc>
        <w:tc>
          <w:tcPr>
            <w:tcW w:w="1178" w:type="dxa"/>
            <w:tcBorders>
              <w:top w:val="nil" w:sz="6" w:space="0" w:color="auto"/>
              <w:left w:val="nil" w:sz="6" w:space="0" w:color="auto"/>
              <w:bottom w:val="nil" w:sz="6" w:space="0" w:color="auto"/>
              <w:right w:val="nil" w:sz="6" w:space="0" w:color="auto"/>
            </w:tcBorders>
          </w:tcPr>
          <w:p>
            <w:pPr>
              <w:pStyle w:val="TableParagraph"/>
              <w:spacing w:line="217" w:lineRule="exact"/>
              <w:ind w:right="25"/>
              <w:jc w:val="right"/>
              <w:rPr>
                <w:rFonts w:ascii="宋体" w:hAnsi="宋体" w:cs="宋体" w:eastAsia="宋体" w:hint="default"/>
                <w:sz w:val="18"/>
                <w:szCs w:val="18"/>
              </w:rPr>
            </w:pPr>
            <w:r>
              <w:rPr>
                <w:rFonts w:ascii="宋体"/>
                <w:sz w:val="18"/>
              </w:rPr>
              <w:t>-</w:t>
            </w:r>
          </w:p>
        </w:tc>
        <w:tc>
          <w:tcPr>
            <w:tcW w:w="2004" w:type="dxa"/>
            <w:tcBorders>
              <w:top w:val="nil" w:sz="6" w:space="0" w:color="auto"/>
              <w:left w:val="nil" w:sz="6" w:space="0" w:color="auto"/>
              <w:bottom w:val="nil" w:sz="6" w:space="0" w:color="auto"/>
              <w:right w:val="nil" w:sz="6" w:space="0" w:color="auto"/>
            </w:tcBorders>
          </w:tcPr>
          <w:p>
            <w:pPr>
              <w:pStyle w:val="TableParagraph"/>
              <w:spacing w:line="217" w:lineRule="exact"/>
              <w:ind w:right="563"/>
              <w:jc w:val="right"/>
              <w:rPr>
                <w:rFonts w:ascii="宋体" w:hAnsi="宋体" w:cs="宋体" w:eastAsia="宋体" w:hint="default"/>
                <w:sz w:val="18"/>
                <w:szCs w:val="18"/>
              </w:rPr>
            </w:pPr>
            <w:r>
              <w:rPr>
                <w:rFonts w:ascii="宋体"/>
                <w:sz w:val="18"/>
              </w:rPr>
              <w:t>-</w:t>
            </w:r>
          </w:p>
        </w:tc>
      </w:tr>
      <w:tr>
        <w:trPr>
          <w:trHeight w:val="256" w:hRule="exact"/>
        </w:trPr>
        <w:tc>
          <w:tcPr>
            <w:tcW w:w="108" w:type="dxa"/>
            <w:tcBorders>
              <w:top w:val="nil" w:sz="6" w:space="0" w:color="auto"/>
              <w:left w:val="nil" w:sz="6" w:space="0" w:color="auto"/>
              <w:bottom w:val="nil" w:sz="6" w:space="0" w:color="auto"/>
              <w:right w:val="nil" w:sz="6" w:space="0" w:color="auto"/>
            </w:tcBorders>
          </w:tcPr>
          <w:p>
            <w:pPr/>
          </w:p>
        </w:tc>
        <w:tc>
          <w:tcPr>
            <w:tcW w:w="2621" w:type="dxa"/>
            <w:tcBorders>
              <w:top w:val="nil" w:sz="6" w:space="0" w:color="auto"/>
              <w:left w:val="nil" w:sz="6" w:space="0" w:color="auto"/>
              <w:bottom w:val="nil" w:sz="6" w:space="0" w:color="auto"/>
              <w:right w:val="nil" w:sz="6" w:space="0" w:color="auto"/>
            </w:tcBorders>
          </w:tcPr>
          <w:p>
            <w:pPr>
              <w:pStyle w:val="TableParagraph"/>
              <w:spacing w:line="218" w:lineRule="exact"/>
              <w:ind w:left="39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．对股东的分配</w:t>
            </w:r>
          </w:p>
        </w:tc>
        <w:tc>
          <w:tcPr>
            <w:tcW w:w="161" w:type="dxa"/>
            <w:tcBorders>
              <w:top w:val="nil" w:sz="6" w:space="0" w:color="auto"/>
              <w:left w:val="nil" w:sz="6" w:space="0" w:color="auto"/>
              <w:bottom w:val="nil" w:sz="6" w:space="0" w:color="auto"/>
              <w:right w:val="nil" w:sz="6" w:space="0" w:color="auto"/>
            </w:tcBorders>
          </w:tcPr>
          <w:p>
            <w:pPr/>
          </w:p>
        </w:tc>
        <w:tc>
          <w:tcPr>
            <w:tcW w:w="2270" w:type="dxa"/>
            <w:tcBorders>
              <w:top w:val="nil" w:sz="6" w:space="0" w:color="auto"/>
              <w:left w:val="nil" w:sz="6" w:space="0" w:color="auto"/>
              <w:bottom w:val="nil" w:sz="6" w:space="0" w:color="auto"/>
              <w:right w:val="nil" w:sz="6" w:space="0" w:color="auto"/>
            </w:tcBorders>
          </w:tcPr>
          <w:p>
            <w:pPr/>
          </w:p>
        </w:tc>
        <w:tc>
          <w:tcPr>
            <w:tcW w:w="113"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c>
          <w:tcPr>
            <w:tcW w:w="168" w:type="dxa"/>
            <w:tcBorders>
              <w:top w:val="nil" w:sz="6" w:space="0" w:color="auto"/>
              <w:left w:val="nil" w:sz="6" w:space="0" w:color="auto"/>
              <w:bottom w:val="nil" w:sz="6" w:space="0" w:color="auto"/>
              <w:right w:val="nil" w:sz="6" w:space="0" w:color="auto"/>
            </w:tcBorders>
          </w:tcPr>
          <w:p>
            <w:pPr/>
          </w:p>
        </w:tc>
        <w:tc>
          <w:tcPr>
            <w:tcW w:w="982" w:type="dxa"/>
            <w:tcBorders>
              <w:top w:val="nil" w:sz="6" w:space="0" w:color="auto"/>
              <w:left w:val="nil" w:sz="6" w:space="0" w:color="auto"/>
              <w:bottom w:val="nil" w:sz="6" w:space="0" w:color="auto"/>
              <w:right w:val="nil" w:sz="6" w:space="0" w:color="auto"/>
            </w:tcBorders>
          </w:tcPr>
          <w:p>
            <w:pPr/>
          </w:p>
        </w:tc>
        <w:tc>
          <w:tcPr>
            <w:tcW w:w="120" w:type="dxa"/>
            <w:tcBorders>
              <w:top w:val="nil" w:sz="6" w:space="0" w:color="auto"/>
              <w:left w:val="nil" w:sz="6" w:space="0" w:color="auto"/>
              <w:bottom w:val="nil" w:sz="6" w:space="0" w:color="auto"/>
              <w:right w:val="nil" w:sz="6" w:space="0" w:color="auto"/>
            </w:tcBorders>
          </w:tcPr>
          <w:p>
            <w:pPr/>
          </w:p>
        </w:tc>
        <w:tc>
          <w:tcPr>
            <w:tcW w:w="799" w:type="dxa"/>
            <w:tcBorders>
              <w:top w:val="nil" w:sz="6" w:space="0" w:color="auto"/>
              <w:left w:val="nil" w:sz="6" w:space="0" w:color="auto"/>
              <w:bottom w:val="nil" w:sz="6" w:space="0" w:color="auto"/>
              <w:right w:val="nil" w:sz="6" w:space="0" w:color="auto"/>
            </w:tcBorders>
          </w:tcPr>
          <w:p>
            <w:pPr/>
          </w:p>
        </w:tc>
        <w:tc>
          <w:tcPr>
            <w:tcW w:w="1118" w:type="dxa"/>
            <w:tcBorders>
              <w:top w:val="nil" w:sz="6" w:space="0" w:color="auto"/>
              <w:left w:val="nil" w:sz="6" w:space="0" w:color="auto"/>
              <w:bottom w:val="nil" w:sz="6" w:space="0" w:color="auto"/>
              <w:right w:val="nil" w:sz="6" w:space="0" w:color="auto"/>
            </w:tcBorders>
          </w:tcPr>
          <w:p>
            <w:pPr/>
          </w:p>
        </w:tc>
        <w:tc>
          <w:tcPr>
            <w:tcW w:w="1398" w:type="dxa"/>
            <w:tcBorders>
              <w:top w:val="nil" w:sz="6" w:space="0" w:color="auto"/>
              <w:left w:val="nil" w:sz="6" w:space="0" w:color="auto"/>
              <w:bottom w:val="nil" w:sz="6" w:space="0" w:color="auto"/>
              <w:right w:val="nil" w:sz="6" w:space="0" w:color="auto"/>
            </w:tcBorders>
          </w:tcPr>
          <w:p>
            <w:pPr/>
          </w:p>
        </w:tc>
        <w:tc>
          <w:tcPr>
            <w:tcW w:w="1439" w:type="dxa"/>
            <w:tcBorders>
              <w:top w:val="nil" w:sz="6" w:space="0" w:color="auto"/>
              <w:left w:val="nil" w:sz="6" w:space="0" w:color="auto"/>
              <w:bottom w:val="nil" w:sz="6" w:space="0" w:color="auto"/>
              <w:right w:val="nil" w:sz="6" w:space="0" w:color="auto"/>
            </w:tcBorders>
          </w:tcPr>
          <w:p>
            <w:pPr/>
          </w:p>
        </w:tc>
        <w:tc>
          <w:tcPr>
            <w:tcW w:w="161" w:type="dxa"/>
            <w:tcBorders>
              <w:top w:val="nil" w:sz="6" w:space="0" w:color="auto"/>
              <w:left w:val="nil" w:sz="6" w:space="0" w:color="auto"/>
              <w:bottom w:val="nil" w:sz="6" w:space="0" w:color="auto"/>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
        </w:tc>
        <w:tc>
          <w:tcPr>
            <w:tcW w:w="1178" w:type="dxa"/>
            <w:tcBorders>
              <w:top w:val="nil" w:sz="6" w:space="0" w:color="auto"/>
              <w:left w:val="nil" w:sz="6" w:space="0" w:color="auto"/>
              <w:bottom w:val="nil" w:sz="6" w:space="0" w:color="auto"/>
              <w:right w:val="nil" w:sz="6" w:space="0" w:color="auto"/>
            </w:tcBorders>
          </w:tcPr>
          <w:p>
            <w:pPr/>
          </w:p>
        </w:tc>
        <w:tc>
          <w:tcPr>
            <w:tcW w:w="2004" w:type="dxa"/>
            <w:tcBorders>
              <w:top w:val="nil" w:sz="6" w:space="0" w:color="auto"/>
              <w:left w:val="nil" w:sz="6" w:space="0" w:color="auto"/>
              <w:bottom w:val="nil" w:sz="6" w:space="0" w:color="auto"/>
              <w:right w:val="nil" w:sz="6" w:space="0" w:color="auto"/>
            </w:tcBorders>
          </w:tcPr>
          <w:p>
            <w:pPr/>
          </w:p>
        </w:tc>
      </w:tr>
      <w:tr>
        <w:trPr>
          <w:trHeight w:val="254" w:hRule="exact"/>
        </w:trPr>
        <w:tc>
          <w:tcPr>
            <w:tcW w:w="108" w:type="dxa"/>
            <w:tcBorders>
              <w:top w:val="nil" w:sz="6" w:space="0" w:color="auto"/>
              <w:left w:val="nil" w:sz="6" w:space="0" w:color="auto"/>
              <w:bottom w:val="nil" w:sz="6" w:space="0" w:color="auto"/>
              <w:right w:val="nil" w:sz="6" w:space="0" w:color="auto"/>
            </w:tcBorders>
          </w:tcPr>
          <w:p>
            <w:pPr/>
          </w:p>
        </w:tc>
        <w:tc>
          <w:tcPr>
            <w:tcW w:w="2621" w:type="dxa"/>
            <w:tcBorders>
              <w:top w:val="nil" w:sz="6" w:space="0" w:color="auto"/>
              <w:left w:val="nil" w:sz="6" w:space="0" w:color="auto"/>
              <w:bottom w:val="nil" w:sz="6" w:space="0" w:color="auto"/>
              <w:right w:val="nil" w:sz="6" w:space="0" w:color="auto"/>
            </w:tcBorders>
          </w:tcPr>
          <w:p>
            <w:pPr>
              <w:pStyle w:val="TableParagraph"/>
              <w:spacing w:line="217" w:lineRule="exact"/>
              <w:ind w:left="39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61" w:type="dxa"/>
            <w:tcBorders>
              <w:top w:val="nil" w:sz="6" w:space="0" w:color="auto"/>
              <w:left w:val="nil" w:sz="6" w:space="0" w:color="auto"/>
              <w:bottom w:val="nil" w:sz="6" w:space="0" w:color="auto"/>
              <w:right w:val="nil" w:sz="6" w:space="0" w:color="auto"/>
            </w:tcBorders>
          </w:tcPr>
          <w:p>
            <w:pPr/>
          </w:p>
        </w:tc>
        <w:tc>
          <w:tcPr>
            <w:tcW w:w="2270" w:type="dxa"/>
            <w:tcBorders>
              <w:top w:val="nil" w:sz="6" w:space="0" w:color="auto"/>
              <w:left w:val="nil" w:sz="6" w:space="0" w:color="auto"/>
              <w:bottom w:val="nil" w:sz="6" w:space="0" w:color="auto"/>
              <w:right w:val="nil" w:sz="6" w:space="0" w:color="auto"/>
            </w:tcBorders>
          </w:tcPr>
          <w:p>
            <w:pPr>
              <w:pStyle w:val="TableParagraph"/>
              <w:spacing w:line="217" w:lineRule="exact"/>
              <w:ind w:right="25"/>
              <w:jc w:val="right"/>
              <w:rPr>
                <w:rFonts w:ascii="宋体" w:hAnsi="宋体" w:cs="宋体" w:eastAsia="宋体" w:hint="default"/>
                <w:sz w:val="18"/>
                <w:szCs w:val="18"/>
              </w:rPr>
            </w:pPr>
            <w:r>
              <w:rPr>
                <w:rFonts w:ascii="宋体"/>
                <w:sz w:val="18"/>
              </w:rPr>
              <w:t>-</w:t>
            </w:r>
          </w:p>
        </w:tc>
        <w:tc>
          <w:tcPr>
            <w:tcW w:w="113"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17" w:lineRule="exact"/>
              <w:ind w:right="25"/>
              <w:jc w:val="right"/>
              <w:rPr>
                <w:rFonts w:ascii="宋体" w:hAnsi="宋体" w:cs="宋体" w:eastAsia="宋体" w:hint="default"/>
                <w:sz w:val="18"/>
                <w:szCs w:val="18"/>
              </w:rPr>
            </w:pPr>
            <w:r>
              <w:rPr>
                <w:rFonts w:ascii="宋体"/>
                <w:sz w:val="18"/>
              </w:rPr>
              <w:t>-</w:t>
            </w:r>
          </w:p>
        </w:tc>
        <w:tc>
          <w:tcPr>
            <w:tcW w:w="168" w:type="dxa"/>
            <w:tcBorders>
              <w:top w:val="nil" w:sz="6" w:space="0" w:color="auto"/>
              <w:left w:val="nil" w:sz="6" w:space="0" w:color="auto"/>
              <w:bottom w:val="nil" w:sz="6" w:space="0" w:color="auto"/>
              <w:right w:val="nil" w:sz="6" w:space="0" w:color="auto"/>
            </w:tcBorders>
          </w:tcPr>
          <w:p>
            <w:pPr/>
          </w:p>
        </w:tc>
        <w:tc>
          <w:tcPr>
            <w:tcW w:w="982" w:type="dxa"/>
            <w:tcBorders>
              <w:top w:val="nil" w:sz="6" w:space="0" w:color="auto"/>
              <w:left w:val="nil" w:sz="6" w:space="0" w:color="auto"/>
              <w:bottom w:val="nil" w:sz="6" w:space="0" w:color="auto"/>
              <w:right w:val="nil" w:sz="6" w:space="0" w:color="auto"/>
            </w:tcBorders>
          </w:tcPr>
          <w:p>
            <w:pPr>
              <w:pStyle w:val="TableParagraph"/>
              <w:spacing w:line="217" w:lineRule="exact"/>
              <w:ind w:right="28"/>
              <w:jc w:val="right"/>
              <w:rPr>
                <w:rFonts w:ascii="宋体" w:hAnsi="宋体" w:cs="宋体" w:eastAsia="宋体" w:hint="default"/>
                <w:sz w:val="18"/>
                <w:szCs w:val="18"/>
              </w:rPr>
            </w:pPr>
            <w:r>
              <w:rPr>
                <w:rFonts w:ascii="宋体"/>
                <w:sz w:val="18"/>
              </w:rPr>
              <w:t>-</w:t>
            </w:r>
          </w:p>
        </w:tc>
        <w:tc>
          <w:tcPr>
            <w:tcW w:w="120" w:type="dxa"/>
            <w:tcBorders>
              <w:top w:val="nil" w:sz="6" w:space="0" w:color="auto"/>
              <w:left w:val="nil" w:sz="6" w:space="0" w:color="auto"/>
              <w:bottom w:val="nil" w:sz="6" w:space="0" w:color="auto"/>
              <w:right w:val="nil" w:sz="6" w:space="0" w:color="auto"/>
            </w:tcBorders>
          </w:tcPr>
          <w:p>
            <w:pPr/>
          </w:p>
        </w:tc>
        <w:tc>
          <w:tcPr>
            <w:tcW w:w="799" w:type="dxa"/>
            <w:tcBorders>
              <w:top w:val="nil" w:sz="6" w:space="0" w:color="auto"/>
              <w:left w:val="nil" w:sz="6" w:space="0" w:color="auto"/>
              <w:bottom w:val="nil" w:sz="6" w:space="0" w:color="auto"/>
              <w:right w:val="nil" w:sz="6" w:space="0" w:color="auto"/>
            </w:tcBorders>
          </w:tcPr>
          <w:p>
            <w:pPr>
              <w:pStyle w:val="TableParagraph"/>
              <w:spacing w:line="217" w:lineRule="exact"/>
              <w:ind w:right="25"/>
              <w:jc w:val="right"/>
              <w:rPr>
                <w:rFonts w:ascii="宋体" w:hAnsi="宋体" w:cs="宋体" w:eastAsia="宋体" w:hint="default"/>
                <w:sz w:val="18"/>
                <w:szCs w:val="18"/>
              </w:rPr>
            </w:pPr>
            <w:r>
              <w:rPr>
                <w:rFonts w:ascii="宋体"/>
                <w:sz w:val="18"/>
              </w:rPr>
              <w:t>-</w:t>
            </w:r>
          </w:p>
        </w:tc>
        <w:tc>
          <w:tcPr>
            <w:tcW w:w="1118" w:type="dxa"/>
            <w:tcBorders>
              <w:top w:val="nil" w:sz="6" w:space="0" w:color="auto"/>
              <w:left w:val="nil" w:sz="6" w:space="0" w:color="auto"/>
              <w:bottom w:val="nil" w:sz="6" w:space="0" w:color="auto"/>
              <w:right w:val="nil" w:sz="6" w:space="0" w:color="auto"/>
            </w:tcBorders>
          </w:tcPr>
          <w:p>
            <w:pPr/>
          </w:p>
        </w:tc>
        <w:tc>
          <w:tcPr>
            <w:tcW w:w="1398" w:type="dxa"/>
            <w:tcBorders>
              <w:top w:val="nil" w:sz="6" w:space="0" w:color="auto"/>
              <w:left w:val="nil" w:sz="6" w:space="0" w:color="auto"/>
              <w:bottom w:val="nil" w:sz="6" w:space="0" w:color="auto"/>
              <w:right w:val="nil" w:sz="6" w:space="0" w:color="auto"/>
            </w:tcBorders>
          </w:tcPr>
          <w:p>
            <w:pPr>
              <w:pStyle w:val="TableParagraph"/>
              <w:spacing w:line="217" w:lineRule="exact"/>
              <w:ind w:left="67" w:right="0"/>
              <w:jc w:val="left"/>
              <w:rPr>
                <w:rFonts w:ascii="宋体" w:hAnsi="宋体" w:cs="宋体" w:eastAsia="宋体" w:hint="default"/>
                <w:sz w:val="18"/>
                <w:szCs w:val="18"/>
              </w:rPr>
            </w:pPr>
            <w:r>
              <w:rPr>
                <w:rFonts w:ascii="宋体"/>
                <w:sz w:val="18"/>
              </w:rPr>
              <w:t>-</w:t>
            </w:r>
          </w:p>
        </w:tc>
        <w:tc>
          <w:tcPr>
            <w:tcW w:w="1439" w:type="dxa"/>
            <w:tcBorders>
              <w:top w:val="nil" w:sz="6" w:space="0" w:color="auto"/>
              <w:left w:val="nil" w:sz="6" w:space="0" w:color="auto"/>
              <w:bottom w:val="nil" w:sz="6" w:space="0" w:color="auto"/>
              <w:right w:val="nil" w:sz="6" w:space="0" w:color="auto"/>
            </w:tcBorders>
          </w:tcPr>
          <w:p>
            <w:pPr/>
          </w:p>
        </w:tc>
        <w:tc>
          <w:tcPr>
            <w:tcW w:w="161" w:type="dxa"/>
            <w:tcBorders>
              <w:top w:val="nil" w:sz="6" w:space="0" w:color="auto"/>
              <w:left w:val="nil" w:sz="6" w:space="0" w:color="auto"/>
              <w:bottom w:val="nil" w:sz="6" w:space="0" w:color="auto"/>
              <w:right w:val="nil" w:sz="6" w:space="0" w:color="auto"/>
            </w:tcBorders>
          </w:tcPr>
          <w:p>
            <w:pPr>
              <w:pStyle w:val="TableParagraph"/>
              <w:spacing w:line="217" w:lineRule="exact"/>
              <w:ind w:left="43" w:right="0"/>
              <w:jc w:val="left"/>
              <w:rPr>
                <w:rFonts w:ascii="宋体" w:hAnsi="宋体" w:cs="宋体" w:eastAsia="宋体" w:hint="default"/>
                <w:sz w:val="18"/>
                <w:szCs w:val="18"/>
              </w:rPr>
            </w:pPr>
            <w:r>
              <w:rPr>
                <w:rFonts w:ascii="宋体"/>
                <w:sz w:val="18"/>
              </w:rPr>
              <w:t>-</w:t>
            </w:r>
          </w:p>
        </w:tc>
        <w:tc>
          <w:tcPr>
            <w:tcW w:w="103" w:type="dxa"/>
            <w:tcBorders>
              <w:top w:val="nil" w:sz="6" w:space="0" w:color="auto"/>
              <w:left w:val="nil" w:sz="6" w:space="0" w:color="auto"/>
              <w:bottom w:val="nil" w:sz="6" w:space="0" w:color="auto"/>
              <w:right w:val="nil" w:sz="6" w:space="0" w:color="auto"/>
            </w:tcBorders>
          </w:tcPr>
          <w:p>
            <w:pPr/>
          </w:p>
        </w:tc>
        <w:tc>
          <w:tcPr>
            <w:tcW w:w="1178" w:type="dxa"/>
            <w:tcBorders>
              <w:top w:val="nil" w:sz="6" w:space="0" w:color="auto"/>
              <w:left w:val="nil" w:sz="6" w:space="0" w:color="auto"/>
              <w:bottom w:val="nil" w:sz="6" w:space="0" w:color="auto"/>
              <w:right w:val="nil" w:sz="6" w:space="0" w:color="auto"/>
            </w:tcBorders>
          </w:tcPr>
          <w:p>
            <w:pPr>
              <w:pStyle w:val="TableParagraph"/>
              <w:spacing w:line="217" w:lineRule="exact"/>
              <w:ind w:right="25"/>
              <w:jc w:val="right"/>
              <w:rPr>
                <w:rFonts w:ascii="宋体" w:hAnsi="宋体" w:cs="宋体" w:eastAsia="宋体" w:hint="default"/>
                <w:sz w:val="18"/>
                <w:szCs w:val="18"/>
              </w:rPr>
            </w:pPr>
            <w:r>
              <w:rPr>
                <w:rFonts w:ascii="宋体"/>
                <w:sz w:val="18"/>
              </w:rPr>
              <w:t>-</w:t>
            </w:r>
          </w:p>
        </w:tc>
        <w:tc>
          <w:tcPr>
            <w:tcW w:w="2004" w:type="dxa"/>
            <w:tcBorders>
              <w:top w:val="nil" w:sz="6" w:space="0" w:color="auto"/>
              <w:left w:val="nil" w:sz="6" w:space="0" w:color="auto"/>
              <w:bottom w:val="nil" w:sz="6" w:space="0" w:color="auto"/>
              <w:right w:val="nil" w:sz="6" w:space="0" w:color="auto"/>
            </w:tcBorders>
          </w:tcPr>
          <w:p>
            <w:pPr>
              <w:pStyle w:val="TableParagraph"/>
              <w:spacing w:line="217" w:lineRule="exact"/>
              <w:ind w:right="563"/>
              <w:jc w:val="right"/>
              <w:rPr>
                <w:rFonts w:ascii="宋体" w:hAnsi="宋体" w:cs="宋体" w:eastAsia="宋体" w:hint="default"/>
                <w:sz w:val="18"/>
                <w:szCs w:val="18"/>
              </w:rPr>
            </w:pPr>
            <w:r>
              <w:rPr>
                <w:rFonts w:ascii="宋体"/>
                <w:sz w:val="18"/>
              </w:rPr>
              <w:t>-</w:t>
            </w:r>
          </w:p>
        </w:tc>
      </w:tr>
      <w:tr>
        <w:trPr>
          <w:trHeight w:val="254" w:hRule="exact"/>
        </w:trPr>
        <w:tc>
          <w:tcPr>
            <w:tcW w:w="108" w:type="dxa"/>
            <w:tcBorders>
              <w:top w:val="nil" w:sz="6" w:space="0" w:color="auto"/>
              <w:left w:val="nil" w:sz="6" w:space="0" w:color="auto"/>
              <w:bottom w:val="nil" w:sz="6" w:space="0" w:color="auto"/>
              <w:right w:val="nil" w:sz="6" w:space="0" w:color="auto"/>
            </w:tcBorders>
          </w:tcPr>
          <w:p>
            <w:pPr/>
          </w:p>
        </w:tc>
        <w:tc>
          <w:tcPr>
            <w:tcW w:w="2621" w:type="dxa"/>
            <w:tcBorders>
              <w:top w:val="nil" w:sz="6" w:space="0" w:color="auto"/>
              <w:left w:val="nil" w:sz="6" w:space="0" w:color="auto"/>
              <w:bottom w:val="nil" w:sz="6" w:space="0" w:color="auto"/>
              <w:right w:val="nil" w:sz="6" w:space="0" w:color="auto"/>
            </w:tcBorders>
          </w:tcPr>
          <w:p>
            <w:pPr>
              <w:pStyle w:val="TableParagraph"/>
              <w:spacing w:line="217" w:lineRule="exact"/>
              <w:ind w:left="28" w:right="0"/>
              <w:jc w:val="left"/>
              <w:rPr>
                <w:rFonts w:ascii="宋体" w:hAnsi="宋体" w:cs="宋体" w:eastAsia="宋体" w:hint="default"/>
                <w:sz w:val="18"/>
                <w:szCs w:val="18"/>
              </w:rPr>
            </w:pPr>
            <w:r>
              <w:rPr>
                <w:rFonts w:ascii="宋体" w:hAnsi="宋体" w:cs="宋体" w:eastAsia="宋体" w:hint="default"/>
                <w:sz w:val="18"/>
                <w:szCs w:val="18"/>
              </w:rPr>
              <w:t>（五）股东权益内部结转</w:t>
            </w:r>
          </w:p>
        </w:tc>
        <w:tc>
          <w:tcPr>
            <w:tcW w:w="161" w:type="dxa"/>
            <w:tcBorders>
              <w:top w:val="nil" w:sz="6" w:space="0" w:color="auto"/>
              <w:left w:val="nil" w:sz="6" w:space="0" w:color="auto"/>
              <w:bottom w:val="nil" w:sz="6" w:space="0" w:color="auto"/>
              <w:right w:val="nil" w:sz="6" w:space="0" w:color="auto"/>
            </w:tcBorders>
          </w:tcPr>
          <w:p>
            <w:pPr/>
          </w:p>
        </w:tc>
        <w:tc>
          <w:tcPr>
            <w:tcW w:w="2270" w:type="dxa"/>
            <w:tcBorders>
              <w:top w:val="nil" w:sz="6" w:space="0" w:color="auto"/>
              <w:left w:val="nil" w:sz="6" w:space="0" w:color="auto"/>
              <w:bottom w:val="nil" w:sz="6" w:space="0" w:color="auto"/>
              <w:right w:val="nil" w:sz="6" w:space="0" w:color="auto"/>
            </w:tcBorders>
          </w:tcPr>
          <w:p>
            <w:pPr>
              <w:pStyle w:val="TableParagraph"/>
              <w:spacing w:line="217" w:lineRule="exact"/>
              <w:ind w:right="25"/>
              <w:jc w:val="right"/>
              <w:rPr>
                <w:rFonts w:ascii="宋体" w:hAnsi="宋体" w:cs="宋体" w:eastAsia="宋体" w:hint="default"/>
                <w:sz w:val="18"/>
                <w:szCs w:val="18"/>
              </w:rPr>
            </w:pPr>
            <w:r>
              <w:rPr>
                <w:rFonts w:ascii="宋体"/>
                <w:sz w:val="18"/>
              </w:rPr>
              <w:t>-</w:t>
            </w:r>
          </w:p>
        </w:tc>
        <w:tc>
          <w:tcPr>
            <w:tcW w:w="113"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17" w:lineRule="exact"/>
              <w:ind w:right="25"/>
              <w:jc w:val="right"/>
              <w:rPr>
                <w:rFonts w:ascii="宋体" w:hAnsi="宋体" w:cs="宋体" w:eastAsia="宋体" w:hint="default"/>
                <w:sz w:val="18"/>
                <w:szCs w:val="18"/>
              </w:rPr>
            </w:pPr>
            <w:r>
              <w:rPr>
                <w:rFonts w:ascii="宋体"/>
                <w:sz w:val="18"/>
              </w:rPr>
              <w:t>-</w:t>
            </w:r>
          </w:p>
        </w:tc>
        <w:tc>
          <w:tcPr>
            <w:tcW w:w="168" w:type="dxa"/>
            <w:tcBorders>
              <w:top w:val="nil" w:sz="6" w:space="0" w:color="auto"/>
              <w:left w:val="nil" w:sz="6" w:space="0" w:color="auto"/>
              <w:bottom w:val="nil" w:sz="6" w:space="0" w:color="auto"/>
              <w:right w:val="nil" w:sz="6" w:space="0" w:color="auto"/>
            </w:tcBorders>
          </w:tcPr>
          <w:p>
            <w:pPr/>
          </w:p>
        </w:tc>
        <w:tc>
          <w:tcPr>
            <w:tcW w:w="982" w:type="dxa"/>
            <w:tcBorders>
              <w:top w:val="nil" w:sz="6" w:space="0" w:color="auto"/>
              <w:left w:val="nil" w:sz="6" w:space="0" w:color="auto"/>
              <w:bottom w:val="nil" w:sz="6" w:space="0" w:color="auto"/>
              <w:right w:val="nil" w:sz="6" w:space="0" w:color="auto"/>
            </w:tcBorders>
          </w:tcPr>
          <w:p>
            <w:pPr>
              <w:pStyle w:val="TableParagraph"/>
              <w:spacing w:line="217" w:lineRule="exact"/>
              <w:ind w:right="28"/>
              <w:jc w:val="right"/>
              <w:rPr>
                <w:rFonts w:ascii="宋体" w:hAnsi="宋体" w:cs="宋体" w:eastAsia="宋体" w:hint="default"/>
                <w:sz w:val="18"/>
                <w:szCs w:val="18"/>
              </w:rPr>
            </w:pPr>
            <w:r>
              <w:rPr>
                <w:rFonts w:ascii="宋体"/>
                <w:sz w:val="18"/>
              </w:rPr>
              <w:t>-</w:t>
            </w:r>
          </w:p>
        </w:tc>
        <w:tc>
          <w:tcPr>
            <w:tcW w:w="120" w:type="dxa"/>
            <w:tcBorders>
              <w:top w:val="nil" w:sz="6" w:space="0" w:color="auto"/>
              <w:left w:val="nil" w:sz="6" w:space="0" w:color="auto"/>
              <w:bottom w:val="nil" w:sz="6" w:space="0" w:color="auto"/>
              <w:right w:val="nil" w:sz="6" w:space="0" w:color="auto"/>
            </w:tcBorders>
          </w:tcPr>
          <w:p>
            <w:pPr/>
          </w:p>
        </w:tc>
        <w:tc>
          <w:tcPr>
            <w:tcW w:w="799" w:type="dxa"/>
            <w:tcBorders>
              <w:top w:val="nil" w:sz="6" w:space="0" w:color="auto"/>
              <w:left w:val="nil" w:sz="6" w:space="0" w:color="auto"/>
              <w:bottom w:val="nil" w:sz="6" w:space="0" w:color="auto"/>
              <w:right w:val="nil" w:sz="6" w:space="0" w:color="auto"/>
            </w:tcBorders>
          </w:tcPr>
          <w:p>
            <w:pPr>
              <w:pStyle w:val="TableParagraph"/>
              <w:spacing w:line="217" w:lineRule="exact"/>
              <w:ind w:right="25"/>
              <w:jc w:val="right"/>
              <w:rPr>
                <w:rFonts w:ascii="宋体" w:hAnsi="宋体" w:cs="宋体" w:eastAsia="宋体" w:hint="default"/>
                <w:sz w:val="18"/>
                <w:szCs w:val="18"/>
              </w:rPr>
            </w:pPr>
            <w:r>
              <w:rPr>
                <w:rFonts w:ascii="宋体"/>
                <w:sz w:val="18"/>
              </w:rPr>
              <w:t>-</w:t>
            </w:r>
          </w:p>
        </w:tc>
        <w:tc>
          <w:tcPr>
            <w:tcW w:w="1118" w:type="dxa"/>
            <w:tcBorders>
              <w:top w:val="nil" w:sz="6" w:space="0" w:color="auto"/>
              <w:left w:val="nil" w:sz="6" w:space="0" w:color="auto"/>
              <w:bottom w:val="nil" w:sz="6" w:space="0" w:color="auto"/>
              <w:right w:val="nil" w:sz="6" w:space="0" w:color="auto"/>
            </w:tcBorders>
          </w:tcPr>
          <w:p>
            <w:pPr/>
          </w:p>
        </w:tc>
        <w:tc>
          <w:tcPr>
            <w:tcW w:w="1398" w:type="dxa"/>
            <w:tcBorders>
              <w:top w:val="nil" w:sz="6" w:space="0" w:color="auto"/>
              <w:left w:val="nil" w:sz="6" w:space="0" w:color="auto"/>
              <w:bottom w:val="nil" w:sz="6" w:space="0" w:color="auto"/>
              <w:right w:val="nil" w:sz="6" w:space="0" w:color="auto"/>
            </w:tcBorders>
          </w:tcPr>
          <w:p>
            <w:pPr>
              <w:pStyle w:val="TableParagraph"/>
              <w:spacing w:line="217" w:lineRule="exact"/>
              <w:ind w:left="67" w:right="0"/>
              <w:jc w:val="left"/>
              <w:rPr>
                <w:rFonts w:ascii="宋体" w:hAnsi="宋体" w:cs="宋体" w:eastAsia="宋体" w:hint="default"/>
                <w:sz w:val="18"/>
                <w:szCs w:val="18"/>
              </w:rPr>
            </w:pPr>
            <w:r>
              <w:rPr>
                <w:rFonts w:ascii="宋体"/>
                <w:sz w:val="18"/>
              </w:rPr>
              <w:t>-</w:t>
            </w:r>
          </w:p>
        </w:tc>
        <w:tc>
          <w:tcPr>
            <w:tcW w:w="1439" w:type="dxa"/>
            <w:tcBorders>
              <w:top w:val="nil" w:sz="6" w:space="0" w:color="auto"/>
              <w:left w:val="nil" w:sz="6" w:space="0" w:color="auto"/>
              <w:bottom w:val="nil" w:sz="6" w:space="0" w:color="auto"/>
              <w:right w:val="nil" w:sz="6" w:space="0" w:color="auto"/>
            </w:tcBorders>
          </w:tcPr>
          <w:p>
            <w:pPr/>
          </w:p>
        </w:tc>
        <w:tc>
          <w:tcPr>
            <w:tcW w:w="161" w:type="dxa"/>
            <w:tcBorders>
              <w:top w:val="nil" w:sz="6" w:space="0" w:color="auto"/>
              <w:left w:val="nil" w:sz="6" w:space="0" w:color="auto"/>
              <w:bottom w:val="nil" w:sz="6" w:space="0" w:color="auto"/>
              <w:right w:val="nil" w:sz="6" w:space="0" w:color="auto"/>
            </w:tcBorders>
          </w:tcPr>
          <w:p>
            <w:pPr>
              <w:pStyle w:val="TableParagraph"/>
              <w:spacing w:line="217" w:lineRule="exact"/>
              <w:ind w:left="43" w:right="0"/>
              <w:jc w:val="left"/>
              <w:rPr>
                <w:rFonts w:ascii="宋体" w:hAnsi="宋体" w:cs="宋体" w:eastAsia="宋体" w:hint="default"/>
                <w:sz w:val="18"/>
                <w:szCs w:val="18"/>
              </w:rPr>
            </w:pPr>
            <w:r>
              <w:rPr>
                <w:rFonts w:ascii="宋体"/>
                <w:sz w:val="18"/>
              </w:rPr>
              <w:t>-</w:t>
            </w:r>
          </w:p>
        </w:tc>
        <w:tc>
          <w:tcPr>
            <w:tcW w:w="103" w:type="dxa"/>
            <w:tcBorders>
              <w:top w:val="nil" w:sz="6" w:space="0" w:color="auto"/>
              <w:left w:val="nil" w:sz="6" w:space="0" w:color="auto"/>
              <w:bottom w:val="nil" w:sz="6" w:space="0" w:color="auto"/>
              <w:right w:val="nil" w:sz="6" w:space="0" w:color="auto"/>
            </w:tcBorders>
          </w:tcPr>
          <w:p>
            <w:pPr/>
          </w:p>
        </w:tc>
        <w:tc>
          <w:tcPr>
            <w:tcW w:w="1178" w:type="dxa"/>
            <w:tcBorders>
              <w:top w:val="nil" w:sz="6" w:space="0" w:color="auto"/>
              <w:left w:val="nil" w:sz="6" w:space="0" w:color="auto"/>
              <w:bottom w:val="nil" w:sz="6" w:space="0" w:color="auto"/>
              <w:right w:val="nil" w:sz="6" w:space="0" w:color="auto"/>
            </w:tcBorders>
          </w:tcPr>
          <w:p>
            <w:pPr>
              <w:pStyle w:val="TableParagraph"/>
              <w:spacing w:line="217" w:lineRule="exact"/>
              <w:ind w:right="25"/>
              <w:jc w:val="right"/>
              <w:rPr>
                <w:rFonts w:ascii="宋体" w:hAnsi="宋体" w:cs="宋体" w:eastAsia="宋体" w:hint="default"/>
                <w:sz w:val="18"/>
                <w:szCs w:val="18"/>
              </w:rPr>
            </w:pPr>
            <w:r>
              <w:rPr>
                <w:rFonts w:ascii="宋体"/>
                <w:sz w:val="18"/>
              </w:rPr>
              <w:t>-</w:t>
            </w:r>
          </w:p>
        </w:tc>
        <w:tc>
          <w:tcPr>
            <w:tcW w:w="2004" w:type="dxa"/>
            <w:tcBorders>
              <w:top w:val="nil" w:sz="6" w:space="0" w:color="auto"/>
              <w:left w:val="nil" w:sz="6" w:space="0" w:color="auto"/>
              <w:bottom w:val="nil" w:sz="6" w:space="0" w:color="auto"/>
              <w:right w:val="nil" w:sz="6" w:space="0" w:color="auto"/>
            </w:tcBorders>
          </w:tcPr>
          <w:p>
            <w:pPr>
              <w:pStyle w:val="TableParagraph"/>
              <w:spacing w:line="217" w:lineRule="exact"/>
              <w:ind w:right="563"/>
              <w:jc w:val="right"/>
              <w:rPr>
                <w:rFonts w:ascii="宋体" w:hAnsi="宋体" w:cs="宋体" w:eastAsia="宋体" w:hint="default"/>
                <w:sz w:val="18"/>
                <w:szCs w:val="18"/>
              </w:rPr>
            </w:pPr>
            <w:r>
              <w:rPr>
                <w:rFonts w:ascii="宋体"/>
                <w:sz w:val="18"/>
              </w:rPr>
              <w:t>-</w:t>
            </w:r>
          </w:p>
        </w:tc>
      </w:tr>
      <w:tr>
        <w:trPr>
          <w:trHeight w:val="256" w:hRule="exact"/>
        </w:trPr>
        <w:tc>
          <w:tcPr>
            <w:tcW w:w="108" w:type="dxa"/>
            <w:tcBorders>
              <w:top w:val="nil" w:sz="6" w:space="0" w:color="auto"/>
              <w:left w:val="nil" w:sz="6" w:space="0" w:color="auto"/>
              <w:bottom w:val="nil" w:sz="6" w:space="0" w:color="auto"/>
              <w:right w:val="nil" w:sz="6" w:space="0" w:color="auto"/>
            </w:tcBorders>
          </w:tcPr>
          <w:p>
            <w:pPr/>
          </w:p>
        </w:tc>
        <w:tc>
          <w:tcPr>
            <w:tcW w:w="2621" w:type="dxa"/>
            <w:tcBorders>
              <w:top w:val="nil" w:sz="6" w:space="0" w:color="auto"/>
              <w:left w:val="nil" w:sz="6" w:space="0" w:color="auto"/>
              <w:bottom w:val="nil" w:sz="6" w:space="0" w:color="auto"/>
              <w:right w:val="nil" w:sz="6" w:space="0" w:color="auto"/>
            </w:tcBorders>
          </w:tcPr>
          <w:p>
            <w:pPr>
              <w:pStyle w:val="TableParagraph"/>
              <w:spacing w:line="217" w:lineRule="exact"/>
              <w:ind w:left="39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．资本公积转增股本</w:t>
            </w:r>
          </w:p>
        </w:tc>
        <w:tc>
          <w:tcPr>
            <w:tcW w:w="161" w:type="dxa"/>
            <w:tcBorders>
              <w:top w:val="nil" w:sz="6" w:space="0" w:color="auto"/>
              <w:left w:val="nil" w:sz="6" w:space="0" w:color="auto"/>
              <w:bottom w:val="nil" w:sz="6" w:space="0" w:color="auto"/>
              <w:right w:val="nil" w:sz="6" w:space="0" w:color="auto"/>
            </w:tcBorders>
          </w:tcPr>
          <w:p>
            <w:pPr/>
          </w:p>
        </w:tc>
        <w:tc>
          <w:tcPr>
            <w:tcW w:w="2270" w:type="dxa"/>
            <w:tcBorders>
              <w:top w:val="nil" w:sz="6" w:space="0" w:color="auto"/>
              <w:left w:val="nil" w:sz="6" w:space="0" w:color="auto"/>
              <w:bottom w:val="nil" w:sz="6" w:space="0" w:color="auto"/>
              <w:right w:val="nil" w:sz="6" w:space="0" w:color="auto"/>
            </w:tcBorders>
          </w:tcPr>
          <w:p>
            <w:pPr>
              <w:pStyle w:val="TableParagraph"/>
              <w:spacing w:line="217" w:lineRule="exact"/>
              <w:ind w:right="25"/>
              <w:jc w:val="right"/>
              <w:rPr>
                <w:rFonts w:ascii="宋体" w:hAnsi="宋体" w:cs="宋体" w:eastAsia="宋体" w:hint="default"/>
                <w:sz w:val="18"/>
                <w:szCs w:val="18"/>
              </w:rPr>
            </w:pPr>
            <w:r>
              <w:rPr>
                <w:rFonts w:ascii="宋体"/>
                <w:sz w:val="18"/>
              </w:rPr>
              <w:t>-</w:t>
            </w:r>
          </w:p>
        </w:tc>
        <w:tc>
          <w:tcPr>
            <w:tcW w:w="113"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17" w:lineRule="exact"/>
              <w:ind w:right="25"/>
              <w:jc w:val="right"/>
              <w:rPr>
                <w:rFonts w:ascii="宋体" w:hAnsi="宋体" w:cs="宋体" w:eastAsia="宋体" w:hint="default"/>
                <w:sz w:val="18"/>
                <w:szCs w:val="18"/>
              </w:rPr>
            </w:pPr>
            <w:r>
              <w:rPr>
                <w:rFonts w:ascii="宋体"/>
                <w:sz w:val="18"/>
              </w:rPr>
              <w:t>-</w:t>
            </w:r>
          </w:p>
        </w:tc>
        <w:tc>
          <w:tcPr>
            <w:tcW w:w="168" w:type="dxa"/>
            <w:tcBorders>
              <w:top w:val="nil" w:sz="6" w:space="0" w:color="auto"/>
              <w:left w:val="nil" w:sz="6" w:space="0" w:color="auto"/>
              <w:bottom w:val="nil" w:sz="6" w:space="0" w:color="auto"/>
              <w:right w:val="nil" w:sz="6" w:space="0" w:color="auto"/>
            </w:tcBorders>
          </w:tcPr>
          <w:p>
            <w:pPr/>
          </w:p>
        </w:tc>
        <w:tc>
          <w:tcPr>
            <w:tcW w:w="982" w:type="dxa"/>
            <w:tcBorders>
              <w:top w:val="nil" w:sz="6" w:space="0" w:color="auto"/>
              <w:left w:val="nil" w:sz="6" w:space="0" w:color="auto"/>
              <w:bottom w:val="nil" w:sz="6" w:space="0" w:color="auto"/>
              <w:right w:val="nil" w:sz="6" w:space="0" w:color="auto"/>
            </w:tcBorders>
          </w:tcPr>
          <w:p>
            <w:pPr>
              <w:pStyle w:val="TableParagraph"/>
              <w:spacing w:line="217" w:lineRule="exact"/>
              <w:ind w:right="28"/>
              <w:jc w:val="right"/>
              <w:rPr>
                <w:rFonts w:ascii="宋体" w:hAnsi="宋体" w:cs="宋体" w:eastAsia="宋体" w:hint="default"/>
                <w:sz w:val="18"/>
                <w:szCs w:val="18"/>
              </w:rPr>
            </w:pPr>
            <w:r>
              <w:rPr>
                <w:rFonts w:ascii="宋体"/>
                <w:sz w:val="18"/>
              </w:rPr>
              <w:t>-</w:t>
            </w:r>
          </w:p>
        </w:tc>
        <w:tc>
          <w:tcPr>
            <w:tcW w:w="120" w:type="dxa"/>
            <w:tcBorders>
              <w:top w:val="nil" w:sz="6" w:space="0" w:color="auto"/>
              <w:left w:val="nil" w:sz="6" w:space="0" w:color="auto"/>
              <w:bottom w:val="nil" w:sz="6" w:space="0" w:color="auto"/>
              <w:right w:val="nil" w:sz="6" w:space="0" w:color="auto"/>
            </w:tcBorders>
          </w:tcPr>
          <w:p>
            <w:pPr/>
          </w:p>
        </w:tc>
        <w:tc>
          <w:tcPr>
            <w:tcW w:w="799" w:type="dxa"/>
            <w:tcBorders>
              <w:top w:val="nil" w:sz="6" w:space="0" w:color="auto"/>
              <w:left w:val="nil" w:sz="6" w:space="0" w:color="auto"/>
              <w:bottom w:val="nil" w:sz="6" w:space="0" w:color="auto"/>
              <w:right w:val="nil" w:sz="6" w:space="0" w:color="auto"/>
            </w:tcBorders>
          </w:tcPr>
          <w:p>
            <w:pPr>
              <w:pStyle w:val="TableParagraph"/>
              <w:spacing w:line="217" w:lineRule="exact"/>
              <w:ind w:right="25"/>
              <w:jc w:val="right"/>
              <w:rPr>
                <w:rFonts w:ascii="宋体" w:hAnsi="宋体" w:cs="宋体" w:eastAsia="宋体" w:hint="default"/>
                <w:sz w:val="18"/>
                <w:szCs w:val="18"/>
              </w:rPr>
            </w:pPr>
            <w:r>
              <w:rPr>
                <w:rFonts w:ascii="宋体"/>
                <w:sz w:val="18"/>
              </w:rPr>
              <w:t>-</w:t>
            </w:r>
          </w:p>
        </w:tc>
        <w:tc>
          <w:tcPr>
            <w:tcW w:w="1118" w:type="dxa"/>
            <w:tcBorders>
              <w:top w:val="nil" w:sz="6" w:space="0" w:color="auto"/>
              <w:left w:val="nil" w:sz="6" w:space="0" w:color="auto"/>
              <w:bottom w:val="nil" w:sz="6" w:space="0" w:color="auto"/>
              <w:right w:val="nil" w:sz="6" w:space="0" w:color="auto"/>
            </w:tcBorders>
          </w:tcPr>
          <w:p>
            <w:pPr/>
          </w:p>
        </w:tc>
        <w:tc>
          <w:tcPr>
            <w:tcW w:w="1398" w:type="dxa"/>
            <w:tcBorders>
              <w:top w:val="nil" w:sz="6" w:space="0" w:color="auto"/>
              <w:left w:val="nil" w:sz="6" w:space="0" w:color="auto"/>
              <w:bottom w:val="nil" w:sz="6" w:space="0" w:color="auto"/>
              <w:right w:val="nil" w:sz="6" w:space="0" w:color="auto"/>
            </w:tcBorders>
          </w:tcPr>
          <w:p>
            <w:pPr>
              <w:pStyle w:val="TableParagraph"/>
              <w:spacing w:line="217" w:lineRule="exact"/>
              <w:ind w:left="67" w:right="0"/>
              <w:jc w:val="left"/>
              <w:rPr>
                <w:rFonts w:ascii="宋体" w:hAnsi="宋体" w:cs="宋体" w:eastAsia="宋体" w:hint="default"/>
                <w:sz w:val="18"/>
                <w:szCs w:val="18"/>
              </w:rPr>
            </w:pPr>
            <w:r>
              <w:rPr>
                <w:rFonts w:ascii="宋体"/>
                <w:sz w:val="18"/>
              </w:rPr>
              <w:t>-</w:t>
            </w:r>
          </w:p>
        </w:tc>
        <w:tc>
          <w:tcPr>
            <w:tcW w:w="1439" w:type="dxa"/>
            <w:tcBorders>
              <w:top w:val="nil" w:sz="6" w:space="0" w:color="auto"/>
              <w:left w:val="nil" w:sz="6" w:space="0" w:color="auto"/>
              <w:bottom w:val="nil" w:sz="6" w:space="0" w:color="auto"/>
              <w:right w:val="nil" w:sz="6" w:space="0" w:color="auto"/>
            </w:tcBorders>
          </w:tcPr>
          <w:p>
            <w:pPr>
              <w:pStyle w:val="TableParagraph"/>
              <w:spacing w:line="217" w:lineRule="exact"/>
              <w:ind w:left="-1" w:right="0"/>
              <w:jc w:val="left"/>
              <w:rPr>
                <w:rFonts w:ascii="宋体" w:hAnsi="宋体" w:cs="宋体" w:eastAsia="宋体" w:hint="default"/>
                <w:sz w:val="18"/>
                <w:szCs w:val="18"/>
              </w:rPr>
            </w:pPr>
            <w:r>
              <w:rPr>
                <w:rFonts w:ascii="宋体"/>
                <w:sz w:val="18"/>
              </w:rPr>
              <w:t>-</w:t>
            </w:r>
          </w:p>
        </w:tc>
        <w:tc>
          <w:tcPr>
            <w:tcW w:w="161" w:type="dxa"/>
            <w:tcBorders>
              <w:top w:val="nil" w:sz="6" w:space="0" w:color="auto"/>
              <w:left w:val="nil" w:sz="6" w:space="0" w:color="auto"/>
              <w:bottom w:val="nil" w:sz="6" w:space="0" w:color="auto"/>
              <w:right w:val="nil" w:sz="6" w:space="0" w:color="auto"/>
            </w:tcBorders>
          </w:tcPr>
          <w:p>
            <w:pPr>
              <w:pStyle w:val="TableParagraph"/>
              <w:spacing w:line="217" w:lineRule="exact"/>
              <w:ind w:left="43" w:right="0"/>
              <w:jc w:val="left"/>
              <w:rPr>
                <w:rFonts w:ascii="宋体" w:hAnsi="宋体" w:cs="宋体" w:eastAsia="宋体" w:hint="default"/>
                <w:sz w:val="18"/>
                <w:szCs w:val="18"/>
              </w:rPr>
            </w:pPr>
            <w:r>
              <w:rPr>
                <w:rFonts w:ascii="宋体"/>
                <w:sz w:val="18"/>
              </w:rPr>
              <w:t>-</w:t>
            </w:r>
          </w:p>
        </w:tc>
        <w:tc>
          <w:tcPr>
            <w:tcW w:w="103" w:type="dxa"/>
            <w:tcBorders>
              <w:top w:val="nil" w:sz="6" w:space="0" w:color="auto"/>
              <w:left w:val="nil" w:sz="6" w:space="0" w:color="auto"/>
              <w:bottom w:val="nil" w:sz="6" w:space="0" w:color="auto"/>
              <w:right w:val="nil" w:sz="6" w:space="0" w:color="auto"/>
            </w:tcBorders>
          </w:tcPr>
          <w:p>
            <w:pPr/>
          </w:p>
        </w:tc>
        <w:tc>
          <w:tcPr>
            <w:tcW w:w="1178" w:type="dxa"/>
            <w:tcBorders>
              <w:top w:val="nil" w:sz="6" w:space="0" w:color="auto"/>
              <w:left w:val="nil" w:sz="6" w:space="0" w:color="auto"/>
              <w:bottom w:val="nil" w:sz="6" w:space="0" w:color="auto"/>
              <w:right w:val="nil" w:sz="6" w:space="0" w:color="auto"/>
            </w:tcBorders>
          </w:tcPr>
          <w:p>
            <w:pPr>
              <w:pStyle w:val="TableParagraph"/>
              <w:spacing w:line="217" w:lineRule="exact"/>
              <w:ind w:right="25"/>
              <w:jc w:val="right"/>
              <w:rPr>
                <w:rFonts w:ascii="宋体" w:hAnsi="宋体" w:cs="宋体" w:eastAsia="宋体" w:hint="default"/>
                <w:sz w:val="18"/>
                <w:szCs w:val="18"/>
              </w:rPr>
            </w:pPr>
            <w:r>
              <w:rPr>
                <w:rFonts w:ascii="宋体"/>
                <w:sz w:val="18"/>
              </w:rPr>
              <w:t>-</w:t>
            </w:r>
          </w:p>
        </w:tc>
        <w:tc>
          <w:tcPr>
            <w:tcW w:w="2004" w:type="dxa"/>
            <w:tcBorders>
              <w:top w:val="nil" w:sz="6" w:space="0" w:color="auto"/>
              <w:left w:val="nil" w:sz="6" w:space="0" w:color="auto"/>
              <w:bottom w:val="nil" w:sz="6" w:space="0" w:color="auto"/>
              <w:right w:val="nil" w:sz="6" w:space="0" w:color="auto"/>
            </w:tcBorders>
          </w:tcPr>
          <w:p>
            <w:pPr>
              <w:pStyle w:val="TableParagraph"/>
              <w:spacing w:line="217" w:lineRule="exact"/>
              <w:ind w:right="563"/>
              <w:jc w:val="right"/>
              <w:rPr>
                <w:rFonts w:ascii="宋体" w:hAnsi="宋体" w:cs="宋体" w:eastAsia="宋体" w:hint="default"/>
                <w:sz w:val="18"/>
                <w:szCs w:val="18"/>
              </w:rPr>
            </w:pPr>
            <w:r>
              <w:rPr>
                <w:rFonts w:ascii="宋体"/>
                <w:sz w:val="18"/>
              </w:rPr>
              <w:t>-</w:t>
            </w:r>
          </w:p>
        </w:tc>
      </w:tr>
      <w:tr>
        <w:trPr>
          <w:trHeight w:val="256" w:hRule="exact"/>
        </w:trPr>
        <w:tc>
          <w:tcPr>
            <w:tcW w:w="108" w:type="dxa"/>
            <w:tcBorders>
              <w:top w:val="nil" w:sz="6" w:space="0" w:color="auto"/>
              <w:left w:val="nil" w:sz="6" w:space="0" w:color="auto"/>
              <w:bottom w:val="nil" w:sz="6" w:space="0" w:color="auto"/>
              <w:right w:val="nil" w:sz="6" w:space="0" w:color="auto"/>
            </w:tcBorders>
          </w:tcPr>
          <w:p>
            <w:pPr/>
          </w:p>
        </w:tc>
        <w:tc>
          <w:tcPr>
            <w:tcW w:w="2621" w:type="dxa"/>
            <w:tcBorders>
              <w:top w:val="nil" w:sz="6" w:space="0" w:color="auto"/>
              <w:left w:val="nil" w:sz="6" w:space="0" w:color="auto"/>
              <w:bottom w:val="nil" w:sz="6" w:space="0" w:color="auto"/>
              <w:right w:val="nil" w:sz="6" w:space="0" w:color="auto"/>
            </w:tcBorders>
          </w:tcPr>
          <w:p>
            <w:pPr>
              <w:pStyle w:val="TableParagraph"/>
              <w:spacing w:line="218" w:lineRule="exact"/>
              <w:ind w:left="39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．盈余公积转增股本</w:t>
            </w:r>
          </w:p>
        </w:tc>
        <w:tc>
          <w:tcPr>
            <w:tcW w:w="161" w:type="dxa"/>
            <w:tcBorders>
              <w:top w:val="nil" w:sz="6" w:space="0" w:color="auto"/>
              <w:left w:val="nil" w:sz="6" w:space="0" w:color="auto"/>
              <w:bottom w:val="nil" w:sz="6" w:space="0" w:color="auto"/>
              <w:right w:val="nil" w:sz="6" w:space="0" w:color="auto"/>
            </w:tcBorders>
          </w:tcPr>
          <w:p>
            <w:pPr/>
          </w:p>
        </w:tc>
        <w:tc>
          <w:tcPr>
            <w:tcW w:w="2270" w:type="dxa"/>
            <w:tcBorders>
              <w:top w:val="nil" w:sz="6" w:space="0" w:color="auto"/>
              <w:left w:val="nil" w:sz="6" w:space="0" w:color="auto"/>
              <w:bottom w:val="nil" w:sz="6" w:space="0" w:color="auto"/>
              <w:right w:val="nil" w:sz="6" w:space="0" w:color="auto"/>
            </w:tcBorders>
          </w:tcPr>
          <w:p>
            <w:pPr>
              <w:pStyle w:val="TableParagraph"/>
              <w:spacing w:line="218" w:lineRule="exact"/>
              <w:ind w:right="25"/>
              <w:jc w:val="right"/>
              <w:rPr>
                <w:rFonts w:ascii="宋体" w:hAnsi="宋体" w:cs="宋体" w:eastAsia="宋体" w:hint="default"/>
                <w:sz w:val="18"/>
                <w:szCs w:val="18"/>
              </w:rPr>
            </w:pPr>
            <w:r>
              <w:rPr>
                <w:rFonts w:ascii="宋体"/>
                <w:sz w:val="18"/>
              </w:rPr>
              <w:t>-</w:t>
            </w:r>
          </w:p>
        </w:tc>
        <w:tc>
          <w:tcPr>
            <w:tcW w:w="113"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18" w:lineRule="exact"/>
              <w:ind w:right="25"/>
              <w:jc w:val="right"/>
              <w:rPr>
                <w:rFonts w:ascii="宋体" w:hAnsi="宋体" w:cs="宋体" w:eastAsia="宋体" w:hint="default"/>
                <w:sz w:val="18"/>
                <w:szCs w:val="18"/>
              </w:rPr>
            </w:pPr>
            <w:r>
              <w:rPr>
                <w:rFonts w:ascii="宋体"/>
                <w:sz w:val="18"/>
              </w:rPr>
              <w:t>-</w:t>
            </w:r>
          </w:p>
        </w:tc>
        <w:tc>
          <w:tcPr>
            <w:tcW w:w="168" w:type="dxa"/>
            <w:tcBorders>
              <w:top w:val="nil" w:sz="6" w:space="0" w:color="auto"/>
              <w:left w:val="nil" w:sz="6" w:space="0" w:color="auto"/>
              <w:bottom w:val="nil" w:sz="6" w:space="0" w:color="auto"/>
              <w:right w:val="nil" w:sz="6" w:space="0" w:color="auto"/>
            </w:tcBorders>
          </w:tcPr>
          <w:p>
            <w:pPr/>
          </w:p>
        </w:tc>
        <w:tc>
          <w:tcPr>
            <w:tcW w:w="982" w:type="dxa"/>
            <w:tcBorders>
              <w:top w:val="nil" w:sz="6" w:space="0" w:color="auto"/>
              <w:left w:val="nil" w:sz="6" w:space="0" w:color="auto"/>
              <w:bottom w:val="nil" w:sz="6" w:space="0" w:color="auto"/>
              <w:right w:val="nil" w:sz="6" w:space="0" w:color="auto"/>
            </w:tcBorders>
          </w:tcPr>
          <w:p>
            <w:pPr>
              <w:pStyle w:val="TableParagraph"/>
              <w:spacing w:line="218" w:lineRule="exact"/>
              <w:ind w:right="28"/>
              <w:jc w:val="right"/>
              <w:rPr>
                <w:rFonts w:ascii="宋体" w:hAnsi="宋体" w:cs="宋体" w:eastAsia="宋体" w:hint="default"/>
                <w:sz w:val="18"/>
                <w:szCs w:val="18"/>
              </w:rPr>
            </w:pPr>
            <w:r>
              <w:rPr>
                <w:rFonts w:ascii="宋体"/>
                <w:sz w:val="18"/>
              </w:rPr>
              <w:t>-</w:t>
            </w:r>
          </w:p>
        </w:tc>
        <w:tc>
          <w:tcPr>
            <w:tcW w:w="120" w:type="dxa"/>
            <w:tcBorders>
              <w:top w:val="nil" w:sz="6" w:space="0" w:color="auto"/>
              <w:left w:val="nil" w:sz="6" w:space="0" w:color="auto"/>
              <w:bottom w:val="nil" w:sz="6" w:space="0" w:color="auto"/>
              <w:right w:val="nil" w:sz="6" w:space="0" w:color="auto"/>
            </w:tcBorders>
          </w:tcPr>
          <w:p>
            <w:pPr/>
          </w:p>
        </w:tc>
        <w:tc>
          <w:tcPr>
            <w:tcW w:w="799" w:type="dxa"/>
            <w:tcBorders>
              <w:top w:val="nil" w:sz="6" w:space="0" w:color="auto"/>
              <w:left w:val="nil" w:sz="6" w:space="0" w:color="auto"/>
              <w:bottom w:val="nil" w:sz="6" w:space="0" w:color="auto"/>
              <w:right w:val="nil" w:sz="6" w:space="0" w:color="auto"/>
            </w:tcBorders>
          </w:tcPr>
          <w:p>
            <w:pPr>
              <w:pStyle w:val="TableParagraph"/>
              <w:spacing w:line="218" w:lineRule="exact"/>
              <w:ind w:right="25"/>
              <w:jc w:val="right"/>
              <w:rPr>
                <w:rFonts w:ascii="宋体" w:hAnsi="宋体" w:cs="宋体" w:eastAsia="宋体" w:hint="default"/>
                <w:sz w:val="18"/>
                <w:szCs w:val="18"/>
              </w:rPr>
            </w:pPr>
            <w:r>
              <w:rPr>
                <w:rFonts w:ascii="宋体"/>
                <w:sz w:val="18"/>
              </w:rPr>
              <w:t>-</w:t>
            </w:r>
          </w:p>
        </w:tc>
        <w:tc>
          <w:tcPr>
            <w:tcW w:w="1118" w:type="dxa"/>
            <w:tcBorders>
              <w:top w:val="nil" w:sz="6" w:space="0" w:color="auto"/>
              <w:left w:val="nil" w:sz="6" w:space="0" w:color="auto"/>
              <w:bottom w:val="nil" w:sz="6" w:space="0" w:color="auto"/>
              <w:right w:val="nil" w:sz="6" w:space="0" w:color="auto"/>
            </w:tcBorders>
          </w:tcPr>
          <w:p>
            <w:pPr/>
          </w:p>
        </w:tc>
        <w:tc>
          <w:tcPr>
            <w:tcW w:w="1398" w:type="dxa"/>
            <w:tcBorders>
              <w:top w:val="nil" w:sz="6" w:space="0" w:color="auto"/>
              <w:left w:val="nil" w:sz="6" w:space="0" w:color="auto"/>
              <w:bottom w:val="nil" w:sz="6" w:space="0" w:color="auto"/>
              <w:right w:val="nil" w:sz="6" w:space="0" w:color="auto"/>
            </w:tcBorders>
          </w:tcPr>
          <w:p>
            <w:pPr>
              <w:pStyle w:val="TableParagraph"/>
              <w:spacing w:line="218" w:lineRule="exact"/>
              <w:ind w:left="67" w:right="0"/>
              <w:jc w:val="left"/>
              <w:rPr>
                <w:rFonts w:ascii="宋体" w:hAnsi="宋体" w:cs="宋体" w:eastAsia="宋体" w:hint="default"/>
                <w:sz w:val="18"/>
                <w:szCs w:val="18"/>
              </w:rPr>
            </w:pPr>
            <w:r>
              <w:rPr>
                <w:rFonts w:ascii="宋体"/>
                <w:sz w:val="18"/>
              </w:rPr>
              <w:t>-</w:t>
            </w:r>
          </w:p>
        </w:tc>
        <w:tc>
          <w:tcPr>
            <w:tcW w:w="1439" w:type="dxa"/>
            <w:tcBorders>
              <w:top w:val="nil" w:sz="6" w:space="0" w:color="auto"/>
              <w:left w:val="nil" w:sz="6" w:space="0" w:color="auto"/>
              <w:bottom w:val="nil" w:sz="6" w:space="0" w:color="auto"/>
              <w:right w:val="nil" w:sz="6" w:space="0" w:color="auto"/>
            </w:tcBorders>
          </w:tcPr>
          <w:p>
            <w:pPr>
              <w:pStyle w:val="TableParagraph"/>
              <w:spacing w:line="218" w:lineRule="exact"/>
              <w:ind w:left="-1" w:right="0"/>
              <w:jc w:val="left"/>
              <w:rPr>
                <w:rFonts w:ascii="宋体" w:hAnsi="宋体" w:cs="宋体" w:eastAsia="宋体" w:hint="default"/>
                <w:sz w:val="18"/>
                <w:szCs w:val="18"/>
              </w:rPr>
            </w:pPr>
            <w:r>
              <w:rPr>
                <w:rFonts w:ascii="宋体"/>
                <w:sz w:val="18"/>
              </w:rPr>
              <w:t>-</w:t>
            </w:r>
          </w:p>
        </w:tc>
        <w:tc>
          <w:tcPr>
            <w:tcW w:w="161" w:type="dxa"/>
            <w:tcBorders>
              <w:top w:val="nil" w:sz="6" w:space="0" w:color="auto"/>
              <w:left w:val="nil" w:sz="6" w:space="0" w:color="auto"/>
              <w:bottom w:val="nil" w:sz="6" w:space="0" w:color="auto"/>
              <w:right w:val="nil" w:sz="6" w:space="0" w:color="auto"/>
            </w:tcBorders>
          </w:tcPr>
          <w:p>
            <w:pPr>
              <w:pStyle w:val="TableParagraph"/>
              <w:spacing w:line="218" w:lineRule="exact"/>
              <w:ind w:left="43" w:right="0"/>
              <w:jc w:val="left"/>
              <w:rPr>
                <w:rFonts w:ascii="宋体" w:hAnsi="宋体" w:cs="宋体" w:eastAsia="宋体" w:hint="default"/>
                <w:sz w:val="18"/>
                <w:szCs w:val="18"/>
              </w:rPr>
            </w:pPr>
            <w:r>
              <w:rPr>
                <w:rFonts w:ascii="宋体"/>
                <w:sz w:val="18"/>
              </w:rPr>
              <w:t>-</w:t>
            </w:r>
          </w:p>
        </w:tc>
        <w:tc>
          <w:tcPr>
            <w:tcW w:w="103" w:type="dxa"/>
            <w:tcBorders>
              <w:top w:val="nil" w:sz="6" w:space="0" w:color="auto"/>
              <w:left w:val="nil" w:sz="6" w:space="0" w:color="auto"/>
              <w:bottom w:val="nil" w:sz="6" w:space="0" w:color="auto"/>
              <w:right w:val="nil" w:sz="6" w:space="0" w:color="auto"/>
            </w:tcBorders>
          </w:tcPr>
          <w:p>
            <w:pPr/>
          </w:p>
        </w:tc>
        <w:tc>
          <w:tcPr>
            <w:tcW w:w="1178" w:type="dxa"/>
            <w:tcBorders>
              <w:top w:val="nil" w:sz="6" w:space="0" w:color="auto"/>
              <w:left w:val="nil" w:sz="6" w:space="0" w:color="auto"/>
              <w:bottom w:val="nil" w:sz="6" w:space="0" w:color="auto"/>
              <w:right w:val="nil" w:sz="6" w:space="0" w:color="auto"/>
            </w:tcBorders>
          </w:tcPr>
          <w:p>
            <w:pPr>
              <w:pStyle w:val="TableParagraph"/>
              <w:spacing w:line="218" w:lineRule="exact"/>
              <w:ind w:right="25"/>
              <w:jc w:val="right"/>
              <w:rPr>
                <w:rFonts w:ascii="宋体" w:hAnsi="宋体" w:cs="宋体" w:eastAsia="宋体" w:hint="default"/>
                <w:sz w:val="18"/>
                <w:szCs w:val="18"/>
              </w:rPr>
            </w:pPr>
            <w:r>
              <w:rPr>
                <w:rFonts w:ascii="宋体"/>
                <w:sz w:val="18"/>
              </w:rPr>
              <w:t>-</w:t>
            </w:r>
          </w:p>
        </w:tc>
        <w:tc>
          <w:tcPr>
            <w:tcW w:w="2004" w:type="dxa"/>
            <w:tcBorders>
              <w:top w:val="nil" w:sz="6" w:space="0" w:color="auto"/>
              <w:left w:val="nil" w:sz="6" w:space="0" w:color="auto"/>
              <w:bottom w:val="nil" w:sz="6" w:space="0" w:color="auto"/>
              <w:right w:val="nil" w:sz="6" w:space="0" w:color="auto"/>
            </w:tcBorders>
          </w:tcPr>
          <w:p>
            <w:pPr>
              <w:pStyle w:val="TableParagraph"/>
              <w:spacing w:line="218" w:lineRule="exact"/>
              <w:ind w:right="563"/>
              <w:jc w:val="right"/>
              <w:rPr>
                <w:rFonts w:ascii="宋体" w:hAnsi="宋体" w:cs="宋体" w:eastAsia="宋体" w:hint="default"/>
                <w:sz w:val="18"/>
                <w:szCs w:val="18"/>
              </w:rPr>
            </w:pPr>
            <w:r>
              <w:rPr>
                <w:rFonts w:ascii="宋体"/>
                <w:sz w:val="18"/>
              </w:rPr>
              <w:t>-</w:t>
            </w:r>
          </w:p>
        </w:tc>
      </w:tr>
      <w:tr>
        <w:trPr>
          <w:trHeight w:val="254" w:hRule="exact"/>
        </w:trPr>
        <w:tc>
          <w:tcPr>
            <w:tcW w:w="108" w:type="dxa"/>
            <w:tcBorders>
              <w:top w:val="nil" w:sz="6" w:space="0" w:color="auto"/>
              <w:left w:val="nil" w:sz="6" w:space="0" w:color="auto"/>
              <w:bottom w:val="nil" w:sz="6" w:space="0" w:color="auto"/>
              <w:right w:val="nil" w:sz="6" w:space="0" w:color="auto"/>
            </w:tcBorders>
          </w:tcPr>
          <w:p>
            <w:pPr/>
          </w:p>
        </w:tc>
        <w:tc>
          <w:tcPr>
            <w:tcW w:w="2621" w:type="dxa"/>
            <w:tcBorders>
              <w:top w:val="nil" w:sz="6" w:space="0" w:color="auto"/>
              <w:left w:val="nil" w:sz="6" w:space="0" w:color="auto"/>
              <w:bottom w:val="nil" w:sz="6" w:space="0" w:color="auto"/>
              <w:right w:val="nil" w:sz="6" w:space="0" w:color="auto"/>
            </w:tcBorders>
          </w:tcPr>
          <w:p>
            <w:pPr>
              <w:pStyle w:val="TableParagraph"/>
              <w:spacing w:line="217" w:lineRule="exact"/>
              <w:ind w:left="39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61" w:type="dxa"/>
            <w:tcBorders>
              <w:top w:val="nil" w:sz="6" w:space="0" w:color="auto"/>
              <w:left w:val="nil" w:sz="6" w:space="0" w:color="auto"/>
              <w:bottom w:val="nil" w:sz="6" w:space="0" w:color="auto"/>
              <w:right w:val="nil" w:sz="6" w:space="0" w:color="auto"/>
            </w:tcBorders>
          </w:tcPr>
          <w:p>
            <w:pPr/>
          </w:p>
        </w:tc>
        <w:tc>
          <w:tcPr>
            <w:tcW w:w="2270" w:type="dxa"/>
            <w:tcBorders>
              <w:top w:val="nil" w:sz="6" w:space="0" w:color="auto"/>
              <w:left w:val="nil" w:sz="6" w:space="0" w:color="auto"/>
              <w:bottom w:val="nil" w:sz="6" w:space="0" w:color="auto"/>
              <w:right w:val="nil" w:sz="6" w:space="0" w:color="auto"/>
            </w:tcBorders>
          </w:tcPr>
          <w:p>
            <w:pPr>
              <w:pStyle w:val="TableParagraph"/>
              <w:spacing w:line="217" w:lineRule="exact"/>
              <w:ind w:right="25"/>
              <w:jc w:val="right"/>
              <w:rPr>
                <w:rFonts w:ascii="宋体" w:hAnsi="宋体" w:cs="宋体" w:eastAsia="宋体" w:hint="default"/>
                <w:sz w:val="18"/>
                <w:szCs w:val="18"/>
              </w:rPr>
            </w:pPr>
            <w:r>
              <w:rPr>
                <w:rFonts w:ascii="宋体"/>
                <w:sz w:val="18"/>
              </w:rPr>
              <w:t>-</w:t>
            </w:r>
          </w:p>
        </w:tc>
        <w:tc>
          <w:tcPr>
            <w:tcW w:w="113"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17" w:lineRule="exact"/>
              <w:ind w:right="25"/>
              <w:jc w:val="right"/>
              <w:rPr>
                <w:rFonts w:ascii="宋体" w:hAnsi="宋体" w:cs="宋体" w:eastAsia="宋体" w:hint="default"/>
                <w:sz w:val="18"/>
                <w:szCs w:val="18"/>
              </w:rPr>
            </w:pPr>
            <w:r>
              <w:rPr>
                <w:rFonts w:ascii="宋体"/>
                <w:sz w:val="18"/>
              </w:rPr>
              <w:t>-</w:t>
            </w:r>
          </w:p>
        </w:tc>
        <w:tc>
          <w:tcPr>
            <w:tcW w:w="168" w:type="dxa"/>
            <w:tcBorders>
              <w:top w:val="nil" w:sz="6" w:space="0" w:color="auto"/>
              <w:left w:val="nil" w:sz="6" w:space="0" w:color="auto"/>
              <w:bottom w:val="nil" w:sz="6" w:space="0" w:color="auto"/>
              <w:right w:val="nil" w:sz="6" w:space="0" w:color="auto"/>
            </w:tcBorders>
          </w:tcPr>
          <w:p>
            <w:pPr/>
          </w:p>
        </w:tc>
        <w:tc>
          <w:tcPr>
            <w:tcW w:w="982" w:type="dxa"/>
            <w:tcBorders>
              <w:top w:val="nil" w:sz="6" w:space="0" w:color="auto"/>
              <w:left w:val="nil" w:sz="6" w:space="0" w:color="auto"/>
              <w:bottom w:val="nil" w:sz="6" w:space="0" w:color="auto"/>
              <w:right w:val="nil" w:sz="6" w:space="0" w:color="auto"/>
            </w:tcBorders>
          </w:tcPr>
          <w:p>
            <w:pPr>
              <w:pStyle w:val="TableParagraph"/>
              <w:spacing w:line="217" w:lineRule="exact"/>
              <w:ind w:right="28"/>
              <w:jc w:val="right"/>
              <w:rPr>
                <w:rFonts w:ascii="宋体" w:hAnsi="宋体" w:cs="宋体" w:eastAsia="宋体" w:hint="default"/>
                <w:sz w:val="18"/>
                <w:szCs w:val="18"/>
              </w:rPr>
            </w:pPr>
            <w:r>
              <w:rPr>
                <w:rFonts w:ascii="宋体"/>
                <w:sz w:val="18"/>
              </w:rPr>
              <w:t>-</w:t>
            </w:r>
          </w:p>
        </w:tc>
        <w:tc>
          <w:tcPr>
            <w:tcW w:w="120" w:type="dxa"/>
            <w:tcBorders>
              <w:top w:val="nil" w:sz="6" w:space="0" w:color="auto"/>
              <w:left w:val="nil" w:sz="6" w:space="0" w:color="auto"/>
              <w:bottom w:val="nil" w:sz="6" w:space="0" w:color="auto"/>
              <w:right w:val="nil" w:sz="6" w:space="0" w:color="auto"/>
            </w:tcBorders>
          </w:tcPr>
          <w:p>
            <w:pPr/>
          </w:p>
        </w:tc>
        <w:tc>
          <w:tcPr>
            <w:tcW w:w="799" w:type="dxa"/>
            <w:tcBorders>
              <w:top w:val="nil" w:sz="6" w:space="0" w:color="auto"/>
              <w:left w:val="nil" w:sz="6" w:space="0" w:color="auto"/>
              <w:bottom w:val="nil" w:sz="6" w:space="0" w:color="auto"/>
              <w:right w:val="nil" w:sz="6" w:space="0" w:color="auto"/>
            </w:tcBorders>
          </w:tcPr>
          <w:p>
            <w:pPr>
              <w:pStyle w:val="TableParagraph"/>
              <w:spacing w:line="217" w:lineRule="exact"/>
              <w:ind w:right="25"/>
              <w:jc w:val="right"/>
              <w:rPr>
                <w:rFonts w:ascii="宋体" w:hAnsi="宋体" w:cs="宋体" w:eastAsia="宋体" w:hint="default"/>
                <w:sz w:val="18"/>
                <w:szCs w:val="18"/>
              </w:rPr>
            </w:pPr>
            <w:r>
              <w:rPr>
                <w:rFonts w:ascii="宋体"/>
                <w:sz w:val="18"/>
              </w:rPr>
              <w:t>-</w:t>
            </w:r>
          </w:p>
        </w:tc>
        <w:tc>
          <w:tcPr>
            <w:tcW w:w="1118" w:type="dxa"/>
            <w:tcBorders>
              <w:top w:val="nil" w:sz="6" w:space="0" w:color="auto"/>
              <w:left w:val="nil" w:sz="6" w:space="0" w:color="auto"/>
              <w:bottom w:val="nil" w:sz="6" w:space="0" w:color="auto"/>
              <w:right w:val="nil" w:sz="6" w:space="0" w:color="auto"/>
            </w:tcBorders>
          </w:tcPr>
          <w:p>
            <w:pPr/>
          </w:p>
        </w:tc>
        <w:tc>
          <w:tcPr>
            <w:tcW w:w="1398" w:type="dxa"/>
            <w:tcBorders>
              <w:top w:val="nil" w:sz="6" w:space="0" w:color="auto"/>
              <w:left w:val="nil" w:sz="6" w:space="0" w:color="auto"/>
              <w:bottom w:val="nil" w:sz="6" w:space="0" w:color="auto"/>
              <w:right w:val="nil" w:sz="6" w:space="0" w:color="auto"/>
            </w:tcBorders>
          </w:tcPr>
          <w:p>
            <w:pPr>
              <w:pStyle w:val="TableParagraph"/>
              <w:spacing w:line="217" w:lineRule="exact"/>
              <w:ind w:left="67" w:right="0"/>
              <w:jc w:val="left"/>
              <w:rPr>
                <w:rFonts w:ascii="宋体" w:hAnsi="宋体" w:cs="宋体" w:eastAsia="宋体" w:hint="default"/>
                <w:sz w:val="18"/>
                <w:szCs w:val="18"/>
              </w:rPr>
            </w:pPr>
            <w:r>
              <w:rPr>
                <w:rFonts w:ascii="宋体"/>
                <w:sz w:val="18"/>
              </w:rPr>
              <w:t>-</w:t>
            </w:r>
          </w:p>
        </w:tc>
        <w:tc>
          <w:tcPr>
            <w:tcW w:w="1439" w:type="dxa"/>
            <w:tcBorders>
              <w:top w:val="nil" w:sz="6" w:space="0" w:color="auto"/>
              <w:left w:val="nil" w:sz="6" w:space="0" w:color="auto"/>
              <w:bottom w:val="nil" w:sz="6" w:space="0" w:color="auto"/>
              <w:right w:val="nil" w:sz="6" w:space="0" w:color="auto"/>
            </w:tcBorders>
          </w:tcPr>
          <w:p>
            <w:pPr>
              <w:pStyle w:val="TableParagraph"/>
              <w:spacing w:line="217" w:lineRule="exact"/>
              <w:ind w:left="-1" w:right="0"/>
              <w:jc w:val="left"/>
              <w:rPr>
                <w:rFonts w:ascii="宋体" w:hAnsi="宋体" w:cs="宋体" w:eastAsia="宋体" w:hint="default"/>
                <w:sz w:val="18"/>
                <w:szCs w:val="18"/>
              </w:rPr>
            </w:pPr>
            <w:r>
              <w:rPr>
                <w:rFonts w:ascii="宋体"/>
                <w:sz w:val="18"/>
              </w:rPr>
              <w:t>-</w:t>
            </w:r>
          </w:p>
        </w:tc>
        <w:tc>
          <w:tcPr>
            <w:tcW w:w="161" w:type="dxa"/>
            <w:tcBorders>
              <w:top w:val="nil" w:sz="6" w:space="0" w:color="auto"/>
              <w:left w:val="nil" w:sz="6" w:space="0" w:color="auto"/>
              <w:bottom w:val="nil" w:sz="6" w:space="0" w:color="auto"/>
              <w:right w:val="nil" w:sz="6" w:space="0" w:color="auto"/>
            </w:tcBorders>
          </w:tcPr>
          <w:p>
            <w:pPr>
              <w:pStyle w:val="TableParagraph"/>
              <w:spacing w:line="217" w:lineRule="exact"/>
              <w:ind w:left="43" w:right="0"/>
              <w:jc w:val="left"/>
              <w:rPr>
                <w:rFonts w:ascii="宋体" w:hAnsi="宋体" w:cs="宋体" w:eastAsia="宋体" w:hint="default"/>
                <w:sz w:val="18"/>
                <w:szCs w:val="18"/>
              </w:rPr>
            </w:pPr>
            <w:r>
              <w:rPr>
                <w:rFonts w:ascii="宋体"/>
                <w:sz w:val="18"/>
              </w:rPr>
              <w:t>-</w:t>
            </w:r>
          </w:p>
        </w:tc>
        <w:tc>
          <w:tcPr>
            <w:tcW w:w="103" w:type="dxa"/>
            <w:tcBorders>
              <w:top w:val="nil" w:sz="6" w:space="0" w:color="auto"/>
              <w:left w:val="nil" w:sz="6" w:space="0" w:color="auto"/>
              <w:bottom w:val="nil" w:sz="6" w:space="0" w:color="auto"/>
              <w:right w:val="nil" w:sz="6" w:space="0" w:color="auto"/>
            </w:tcBorders>
          </w:tcPr>
          <w:p>
            <w:pPr/>
          </w:p>
        </w:tc>
        <w:tc>
          <w:tcPr>
            <w:tcW w:w="1178" w:type="dxa"/>
            <w:tcBorders>
              <w:top w:val="nil" w:sz="6" w:space="0" w:color="auto"/>
              <w:left w:val="nil" w:sz="6" w:space="0" w:color="auto"/>
              <w:bottom w:val="nil" w:sz="6" w:space="0" w:color="auto"/>
              <w:right w:val="nil" w:sz="6" w:space="0" w:color="auto"/>
            </w:tcBorders>
          </w:tcPr>
          <w:p>
            <w:pPr>
              <w:pStyle w:val="TableParagraph"/>
              <w:spacing w:line="217" w:lineRule="exact"/>
              <w:ind w:right="25"/>
              <w:jc w:val="right"/>
              <w:rPr>
                <w:rFonts w:ascii="宋体" w:hAnsi="宋体" w:cs="宋体" w:eastAsia="宋体" w:hint="default"/>
                <w:sz w:val="18"/>
                <w:szCs w:val="18"/>
              </w:rPr>
            </w:pPr>
            <w:r>
              <w:rPr>
                <w:rFonts w:ascii="宋体"/>
                <w:sz w:val="18"/>
              </w:rPr>
              <w:t>-</w:t>
            </w:r>
          </w:p>
        </w:tc>
        <w:tc>
          <w:tcPr>
            <w:tcW w:w="2004" w:type="dxa"/>
            <w:tcBorders>
              <w:top w:val="nil" w:sz="6" w:space="0" w:color="auto"/>
              <w:left w:val="nil" w:sz="6" w:space="0" w:color="auto"/>
              <w:bottom w:val="nil" w:sz="6" w:space="0" w:color="auto"/>
              <w:right w:val="nil" w:sz="6" w:space="0" w:color="auto"/>
            </w:tcBorders>
          </w:tcPr>
          <w:p>
            <w:pPr>
              <w:pStyle w:val="TableParagraph"/>
              <w:spacing w:line="217" w:lineRule="exact"/>
              <w:ind w:right="563"/>
              <w:jc w:val="right"/>
              <w:rPr>
                <w:rFonts w:ascii="宋体" w:hAnsi="宋体" w:cs="宋体" w:eastAsia="宋体" w:hint="default"/>
                <w:sz w:val="18"/>
                <w:szCs w:val="18"/>
              </w:rPr>
            </w:pPr>
            <w:r>
              <w:rPr>
                <w:rFonts w:ascii="宋体"/>
                <w:sz w:val="18"/>
              </w:rPr>
              <w:t>-</w:t>
            </w:r>
          </w:p>
        </w:tc>
      </w:tr>
      <w:tr>
        <w:trPr>
          <w:trHeight w:val="254" w:hRule="exact"/>
        </w:trPr>
        <w:tc>
          <w:tcPr>
            <w:tcW w:w="108" w:type="dxa"/>
            <w:tcBorders>
              <w:top w:val="nil" w:sz="6" w:space="0" w:color="auto"/>
              <w:left w:val="nil" w:sz="6" w:space="0" w:color="auto"/>
              <w:bottom w:val="nil" w:sz="6" w:space="0" w:color="auto"/>
              <w:right w:val="nil" w:sz="6" w:space="0" w:color="auto"/>
            </w:tcBorders>
          </w:tcPr>
          <w:p>
            <w:pPr/>
          </w:p>
        </w:tc>
        <w:tc>
          <w:tcPr>
            <w:tcW w:w="2621" w:type="dxa"/>
            <w:tcBorders>
              <w:top w:val="nil" w:sz="6" w:space="0" w:color="auto"/>
              <w:left w:val="nil" w:sz="6" w:space="0" w:color="auto"/>
              <w:bottom w:val="nil" w:sz="6" w:space="0" w:color="auto"/>
              <w:right w:val="nil" w:sz="6" w:space="0" w:color="auto"/>
            </w:tcBorders>
          </w:tcPr>
          <w:p>
            <w:pPr>
              <w:pStyle w:val="TableParagraph"/>
              <w:spacing w:line="217" w:lineRule="exact"/>
              <w:ind w:left="39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61" w:type="dxa"/>
            <w:tcBorders>
              <w:top w:val="nil" w:sz="6" w:space="0" w:color="auto"/>
              <w:left w:val="nil" w:sz="6" w:space="0" w:color="auto"/>
              <w:bottom w:val="nil" w:sz="6" w:space="0" w:color="auto"/>
              <w:right w:val="nil" w:sz="6" w:space="0" w:color="auto"/>
            </w:tcBorders>
          </w:tcPr>
          <w:p>
            <w:pPr/>
          </w:p>
        </w:tc>
        <w:tc>
          <w:tcPr>
            <w:tcW w:w="2270" w:type="dxa"/>
            <w:tcBorders>
              <w:top w:val="nil" w:sz="6" w:space="0" w:color="auto"/>
              <w:left w:val="nil" w:sz="6" w:space="0" w:color="auto"/>
              <w:bottom w:val="nil" w:sz="6" w:space="0" w:color="auto"/>
              <w:right w:val="nil" w:sz="6" w:space="0" w:color="auto"/>
            </w:tcBorders>
          </w:tcPr>
          <w:p>
            <w:pPr>
              <w:pStyle w:val="TableParagraph"/>
              <w:spacing w:line="217" w:lineRule="exact"/>
              <w:ind w:right="25"/>
              <w:jc w:val="right"/>
              <w:rPr>
                <w:rFonts w:ascii="宋体" w:hAnsi="宋体" w:cs="宋体" w:eastAsia="宋体" w:hint="default"/>
                <w:sz w:val="18"/>
                <w:szCs w:val="18"/>
              </w:rPr>
            </w:pPr>
            <w:r>
              <w:rPr>
                <w:rFonts w:ascii="宋体"/>
                <w:sz w:val="18"/>
              </w:rPr>
              <w:t>-</w:t>
            </w:r>
          </w:p>
        </w:tc>
        <w:tc>
          <w:tcPr>
            <w:tcW w:w="113"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17" w:lineRule="exact"/>
              <w:ind w:right="25"/>
              <w:jc w:val="right"/>
              <w:rPr>
                <w:rFonts w:ascii="宋体" w:hAnsi="宋体" w:cs="宋体" w:eastAsia="宋体" w:hint="default"/>
                <w:sz w:val="18"/>
                <w:szCs w:val="18"/>
              </w:rPr>
            </w:pPr>
            <w:r>
              <w:rPr>
                <w:rFonts w:ascii="宋体"/>
                <w:sz w:val="18"/>
              </w:rPr>
              <w:t>-</w:t>
            </w:r>
          </w:p>
        </w:tc>
        <w:tc>
          <w:tcPr>
            <w:tcW w:w="168" w:type="dxa"/>
            <w:tcBorders>
              <w:top w:val="nil" w:sz="6" w:space="0" w:color="auto"/>
              <w:left w:val="nil" w:sz="6" w:space="0" w:color="auto"/>
              <w:bottom w:val="nil" w:sz="6" w:space="0" w:color="auto"/>
              <w:right w:val="nil" w:sz="6" w:space="0" w:color="auto"/>
            </w:tcBorders>
          </w:tcPr>
          <w:p>
            <w:pPr/>
          </w:p>
        </w:tc>
        <w:tc>
          <w:tcPr>
            <w:tcW w:w="982" w:type="dxa"/>
            <w:tcBorders>
              <w:top w:val="nil" w:sz="6" w:space="0" w:color="auto"/>
              <w:left w:val="nil" w:sz="6" w:space="0" w:color="auto"/>
              <w:bottom w:val="nil" w:sz="6" w:space="0" w:color="auto"/>
              <w:right w:val="nil" w:sz="6" w:space="0" w:color="auto"/>
            </w:tcBorders>
          </w:tcPr>
          <w:p>
            <w:pPr>
              <w:pStyle w:val="TableParagraph"/>
              <w:spacing w:line="217" w:lineRule="exact"/>
              <w:ind w:right="28"/>
              <w:jc w:val="right"/>
              <w:rPr>
                <w:rFonts w:ascii="宋体" w:hAnsi="宋体" w:cs="宋体" w:eastAsia="宋体" w:hint="default"/>
                <w:sz w:val="18"/>
                <w:szCs w:val="18"/>
              </w:rPr>
            </w:pPr>
            <w:r>
              <w:rPr>
                <w:rFonts w:ascii="宋体"/>
                <w:sz w:val="18"/>
              </w:rPr>
              <w:t>-</w:t>
            </w:r>
          </w:p>
        </w:tc>
        <w:tc>
          <w:tcPr>
            <w:tcW w:w="120" w:type="dxa"/>
            <w:tcBorders>
              <w:top w:val="nil" w:sz="6" w:space="0" w:color="auto"/>
              <w:left w:val="nil" w:sz="6" w:space="0" w:color="auto"/>
              <w:bottom w:val="nil" w:sz="6" w:space="0" w:color="auto"/>
              <w:right w:val="nil" w:sz="6" w:space="0" w:color="auto"/>
            </w:tcBorders>
          </w:tcPr>
          <w:p>
            <w:pPr/>
          </w:p>
        </w:tc>
        <w:tc>
          <w:tcPr>
            <w:tcW w:w="799" w:type="dxa"/>
            <w:tcBorders>
              <w:top w:val="nil" w:sz="6" w:space="0" w:color="auto"/>
              <w:left w:val="nil" w:sz="6" w:space="0" w:color="auto"/>
              <w:bottom w:val="nil" w:sz="6" w:space="0" w:color="auto"/>
              <w:right w:val="nil" w:sz="6" w:space="0" w:color="auto"/>
            </w:tcBorders>
          </w:tcPr>
          <w:p>
            <w:pPr>
              <w:pStyle w:val="TableParagraph"/>
              <w:spacing w:line="217" w:lineRule="exact"/>
              <w:ind w:right="25"/>
              <w:jc w:val="right"/>
              <w:rPr>
                <w:rFonts w:ascii="宋体" w:hAnsi="宋体" w:cs="宋体" w:eastAsia="宋体" w:hint="default"/>
                <w:sz w:val="18"/>
                <w:szCs w:val="18"/>
              </w:rPr>
            </w:pPr>
            <w:r>
              <w:rPr>
                <w:rFonts w:ascii="宋体"/>
                <w:sz w:val="18"/>
              </w:rPr>
              <w:t>-</w:t>
            </w:r>
          </w:p>
        </w:tc>
        <w:tc>
          <w:tcPr>
            <w:tcW w:w="1118" w:type="dxa"/>
            <w:tcBorders>
              <w:top w:val="nil" w:sz="6" w:space="0" w:color="auto"/>
              <w:left w:val="nil" w:sz="6" w:space="0" w:color="auto"/>
              <w:bottom w:val="nil" w:sz="6" w:space="0" w:color="auto"/>
              <w:right w:val="nil" w:sz="6" w:space="0" w:color="auto"/>
            </w:tcBorders>
          </w:tcPr>
          <w:p>
            <w:pPr/>
          </w:p>
        </w:tc>
        <w:tc>
          <w:tcPr>
            <w:tcW w:w="1398" w:type="dxa"/>
            <w:tcBorders>
              <w:top w:val="nil" w:sz="6" w:space="0" w:color="auto"/>
              <w:left w:val="nil" w:sz="6" w:space="0" w:color="auto"/>
              <w:bottom w:val="nil" w:sz="6" w:space="0" w:color="auto"/>
              <w:right w:val="nil" w:sz="6" w:space="0" w:color="auto"/>
            </w:tcBorders>
          </w:tcPr>
          <w:p>
            <w:pPr>
              <w:pStyle w:val="TableParagraph"/>
              <w:spacing w:line="217" w:lineRule="exact"/>
              <w:ind w:left="67" w:right="0"/>
              <w:jc w:val="left"/>
              <w:rPr>
                <w:rFonts w:ascii="宋体" w:hAnsi="宋体" w:cs="宋体" w:eastAsia="宋体" w:hint="default"/>
                <w:sz w:val="18"/>
                <w:szCs w:val="18"/>
              </w:rPr>
            </w:pPr>
            <w:r>
              <w:rPr>
                <w:rFonts w:ascii="宋体"/>
                <w:sz w:val="18"/>
              </w:rPr>
              <w:t>-</w:t>
            </w:r>
          </w:p>
        </w:tc>
        <w:tc>
          <w:tcPr>
            <w:tcW w:w="1439" w:type="dxa"/>
            <w:tcBorders>
              <w:top w:val="nil" w:sz="6" w:space="0" w:color="auto"/>
              <w:left w:val="nil" w:sz="6" w:space="0" w:color="auto"/>
              <w:bottom w:val="nil" w:sz="6" w:space="0" w:color="auto"/>
              <w:right w:val="nil" w:sz="6" w:space="0" w:color="auto"/>
            </w:tcBorders>
          </w:tcPr>
          <w:p>
            <w:pPr>
              <w:pStyle w:val="TableParagraph"/>
              <w:spacing w:line="217" w:lineRule="exact"/>
              <w:ind w:left="-1" w:right="0"/>
              <w:jc w:val="left"/>
              <w:rPr>
                <w:rFonts w:ascii="宋体" w:hAnsi="宋体" w:cs="宋体" w:eastAsia="宋体" w:hint="default"/>
                <w:sz w:val="18"/>
                <w:szCs w:val="18"/>
              </w:rPr>
            </w:pPr>
            <w:r>
              <w:rPr>
                <w:rFonts w:ascii="宋体"/>
                <w:sz w:val="18"/>
              </w:rPr>
              <w:t>-</w:t>
            </w:r>
          </w:p>
        </w:tc>
        <w:tc>
          <w:tcPr>
            <w:tcW w:w="161" w:type="dxa"/>
            <w:tcBorders>
              <w:top w:val="nil" w:sz="6" w:space="0" w:color="auto"/>
              <w:left w:val="nil" w:sz="6" w:space="0" w:color="auto"/>
              <w:bottom w:val="nil" w:sz="6" w:space="0" w:color="auto"/>
              <w:right w:val="nil" w:sz="6" w:space="0" w:color="auto"/>
            </w:tcBorders>
          </w:tcPr>
          <w:p>
            <w:pPr>
              <w:pStyle w:val="TableParagraph"/>
              <w:spacing w:line="217" w:lineRule="exact"/>
              <w:ind w:left="43" w:right="0"/>
              <w:jc w:val="left"/>
              <w:rPr>
                <w:rFonts w:ascii="宋体" w:hAnsi="宋体" w:cs="宋体" w:eastAsia="宋体" w:hint="default"/>
                <w:sz w:val="18"/>
                <w:szCs w:val="18"/>
              </w:rPr>
            </w:pPr>
            <w:r>
              <w:rPr>
                <w:rFonts w:ascii="宋体"/>
                <w:sz w:val="18"/>
              </w:rPr>
              <w:t>-</w:t>
            </w:r>
          </w:p>
        </w:tc>
        <w:tc>
          <w:tcPr>
            <w:tcW w:w="103" w:type="dxa"/>
            <w:tcBorders>
              <w:top w:val="nil" w:sz="6" w:space="0" w:color="auto"/>
              <w:left w:val="nil" w:sz="6" w:space="0" w:color="auto"/>
              <w:bottom w:val="nil" w:sz="6" w:space="0" w:color="auto"/>
              <w:right w:val="nil" w:sz="6" w:space="0" w:color="auto"/>
            </w:tcBorders>
          </w:tcPr>
          <w:p>
            <w:pPr/>
          </w:p>
        </w:tc>
        <w:tc>
          <w:tcPr>
            <w:tcW w:w="1178" w:type="dxa"/>
            <w:tcBorders>
              <w:top w:val="nil" w:sz="6" w:space="0" w:color="auto"/>
              <w:left w:val="nil" w:sz="6" w:space="0" w:color="auto"/>
              <w:bottom w:val="nil" w:sz="6" w:space="0" w:color="auto"/>
              <w:right w:val="nil" w:sz="6" w:space="0" w:color="auto"/>
            </w:tcBorders>
          </w:tcPr>
          <w:p>
            <w:pPr>
              <w:pStyle w:val="TableParagraph"/>
              <w:spacing w:line="217" w:lineRule="exact"/>
              <w:ind w:right="25"/>
              <w:jc w:val="right"/>
              <w:rPr>
                <w:rFonts w:ascii="宋体" w:hAnsi="宋体" w:cs="宋体" w:eastAsia="宋体" w:hint="default"/>
                <w:sz w:val="18"/>
                <w:szCs w:val="18"/>
              </w:rPr>
            </w:pPr>
            <w:r>
              <w:rPr>
                <w:rFonts w:ascii="宋体"/>
                <w:sz w:val="18"/>
              </w:rPr>
              <w:t>-</w:t>
            </w:r>
          </w:p>
        </w:tc>
        <w:tc>
          <w:tcPr>
            <w:tcW w:w="2004" w:type="dxa"/>
            <w:tcBorders>
              <w:top w:val="nil" w:sz="6" w:space="0" w:color="auto"/>
              <w:left w:val="nil" w:sz="6" w:space="0" w:color="auto"/>
              <w:bottom w:val="nil" w:sz="6" w:space="0" w:color="auto"/>
              <w:right w:val="nil" w:sz="6" w:space="0" w:color="auto"/>
            </w:tcBorders>
          </w:tcPr>
          <w:p>
            <w:pPr>
              <w:pStyle w:val="TableParagraph"/>
              <w:spacing w:line="217" w:lineRule="exact"/>
              <w:ind w:right="563"/>
              <w:jc w:val="right"/>
              <w:rPr>
                <w:rFonts w:ascii="宋体" w:hAnsi="宋体" w:cs="宋体" w:eastAsia="宋体" w:hint="default"/>
                <w:sz w:val="18"/>
                <w:szCs w:val="18"/>
              </w:rPr>
            </w:pPr>
            <w:r>
              <w:rPr>
                <w:rFonts w:ascii="宋体"/>
                <w:sz w:val="18"/>
              </w:rPr>
              <w:t>-</w:t>
            </w:r>
          </w:p>
        </w:tc>
      </w:tr>
      <w:tr>
        <w:trPr>
          <w:trHeight w:val="256" w:hRule="exact"/>
        </w:trPr>
        <w:tc>
          <w:tcPr>
            <w:tcW w:w="108" w:type="dxa"/>
            <w:tcBorders>
              <w:top w:val="nil" w:sz="6" w:space="0" w:color="auto"/>
              <w:left w:val="nil" w:sz="6" w:space="0" w:color="auto"/>
              <w:bottom w:val="nil" w:sz="6" w:space="0" w:color="auto"/>
              <w:right w:val="nil" w:sz="6" w:space="0" w:color="auto"/>
            </w:tcBorders>
          </w:tcPr>
          <w:p>
            <w:pPr/>
          </w:p>
        </w:tc>
        <w:tc>
          <w:tcPr>
            <w:tcW w:w="2621" w:type="dxa"/>
            <w:tcBorders>
              <w:top w:val="nil" w:sz="6" w:space="0" w:color="auto"/>
              <w:left w:val="nil" w:sz="6" w:space="0" w:color="auto"/>
              <w:bottom w:val="nil" w:sz="6" w:space="0" w:color="auto"/>
              <w:right w:val="nil" w:sz="6" w:space="0" w:color="auto"/>
            </w:tcBorders>
          </w:tcPr>
          <w:p>
            <w:pPr>
              <w:pStyle w:val="TableParagraph"/>
              <w:spacing w:line="217" w:lineRule="exact"/>
              <w:ind w:left="28"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61" w:type="dxa"/>
            <w:tcBorders>
              <w:top w:val="nil" w:sz="6" w:space="0" w:color="auto"/>
              <w:left w:val="nil" w:sz="6" w:space="0" w:color="auto"/>
              <w:bottom w:val="nil" w:sz="6" w:space="0" w:color="auto"/>
              <w:right w:val="nil" w:sz="6" w:space="0" w:color="auto"/>
            </w:tcBorders>
          </w:tcPr>
          <w:p>
            <w:pPr/>
          </w:p>
        </w:tc>
        <w:tc>
          <w:tcPr>
            <w:tcW w:w="2270" w:type="dxa"/>
            <w:tcBorders>
              <w:top w:val="nil" w:sz="6" w:space="0" w:color="auto"/>
              <w:left w:val="nil" w:sz="6" w:space="0" w:color="auto"/>
              <w:bottom w:val="nil" w:sz="6" w:space="0" w:color="auto"/>
              <w:right w:val="nil" w:sz="6" w:space="0" w:color="auto"/>
            </w:tcBorders>
          </w:tcPr>
          <w:p>
            <w:pPr>
              <w:pStyle w:val="TableParagraph"/>
              <w:spacing w:line="217" w:lineRule="exact"/>
              <w:ind w:right="25"/>
              <w:jc w:val="right"/>
              <w:rPr>
                <w:rFonts w:ascii="宋体" w:hAnsi="宋体" w:cs="宋体" w:eastAsia="宋体" w:hint="default"/>
                <w:sz w:val="18"/>
                <w:szCs w:val="18"/>
              </w:rPr>
            </w:pPr>
            <w:r>
              <w:rPr>
                <w:rFonts w:ascii="宋体"/>
                <w:sz w:val="18"/>
              </w:rPr>
              <w:t>-</w:t>
            </w:r>
          </w:p>
        </w:tc>
        <w:tc>
          <w:tcPr>
            <w:tcW w:w="113"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17" w:lineRule="exact"/>
              <w:ind w:right="25"/>
              <w:jc w:val="right"/>
              <w:rPr>
                <w:rFonts w:ascii="宋体" w:hAnsi="宋体" w:cs="宋体" w:eastAsia="宋体" w:hint="default"/>
                <w:sz w:val="18"/>
                <w:szCs w:val="18"/>
              </w:rPr>
            </w:pPr>
            <w:r>
              <w:rPr>
                <w:rFonts w:ascii="宋体"/>
                <w:sz w:val="18"/>
              </w:rPr>
              <w:t>-</w:t>
            </w:r>
          </w:p>
        </w:tc>
        <w:tc>
          <w:tcPr>
            <w:tcW w:w="168" w:type="dxa"/>
            <w:tcBorders>
              <w:top w:val="nil" w:sz="6" w:space="0" w:color="auto"/>
              <w:left w:val="nil" w:sz="6" w:space="0" w:color="auto"/>
              <w:bottom w:val="nil" w:sz="6" w:space="0" w:color="auto"/>
              <w:right w:val="nil" w:sz="6" w:space="0" w:color="auto"/>
            </w:tcBorders>
          </w:tcPr>
          <w:p>
            <w:pPr/>
          </w:p>
        </w:tc>
        <w:tc>
          <w:tcPr>
            <w:tcW w:w="982" w:type="dxa"/>
            <w:tcBorders>
              <w:top w:val="nil" w:sz="6" w:space="0" w:color="auto"/>
              <w:left w:val="nil" w:sz="6" w:space="0" w:color="auto"/>
              <w:bottom w:val="nil" w:sz="6" w:space="0" w:color="auto"/>
              <w:right w:val="nil" w:sz="6" w:space="0" w:color="auto"/>
            </w:tcBorders>
          </w:tcPr>
          <w:p>
            <w:pPr>
              <w:pStyle w:val="TableParagraph"/>
              <w:spacing w:line="217" w:lineRule="exact"/>
              <w:ind w:right="28"/>
              <w:jc w:val="right"/>
              <w:rPr>
                <w:rFonts w:ascii="宋体" w:hAnsi="宋体" w:cs="宋体" w:eastAsia="宋体" w:hint="default"/>
                <w:sz w:val="18"/>
                <w:szCs w:val="18"/>
              </w:rPr>
            </w:pPr>
            <w:r>
              <w:rPr>
                <w:rFonts w:ascii="宋体"/>
                <w:sz w:val="18"/>
              </w:rPr>
              <w:t>-</w:t>
            </w:r>
          </w:p>
        </w:tc>
        <w:tc>
          <w:tcPr>
            <w:tcW w:w="120" w:type="dxa"/>
            <w:tcBorders>
              <w:top w:val="nil" w:sz="6" w:space="0" w:color="auto"/>
              <w:left w:val="nil" w:sz="6" w:space="0" w:color="auto"/>
              <w:bottom w:val="nil" w:sz="6" w:space="0" w:color="auto"/>
              <w:right w:val="nil" w:sz="6" w:space="0" w:color="auto"/>
            </w:tcBorders>
          </w:tcPr>
          <w:p>
            <w:pPr/>
          </w:p>
        </w:tc>
        <w:tc>
          <w:tcPr>
            <w:tcW w:w="799" w:type="dxa"/>
            <w:tcBorders>
              <w:top w:val="nil" w:sz="6" w:space="0" w:color="auto"/>
              <w:left w:val="nil" w:sz="6" w:space="0" w:color="auto"/>
              <w:bottom w:val="nil" w:sz="6" w:space="0" w:color="auto"/>
              <w:right w:val="nil" w:sz="6" w:space="0" w:color="auto"/>
            </w:tcBorders>
          </w:tcPr>
          <w:p>
            <w:pPr>
              <w:pStyle w:val="TableParagraph"/>
              <w:spacing w:line="217" w:lineRule="exact"/>
              <w:ind w:right="25"/>
              <w:jc w:val="right"/>
              <w:rPr>
                <w:rFonts w:ascii="宋体" w:hAnsi="宋体" w:cs="宋体" w:eastAsia="宋体" w:hint="default"/>
                <w:sz w:val="18"/>
                <w:szCs w:val="18"/>
              </w:rPr>
            </w:pPr>
            <w:r>
              <w:rPr>
                <w:rFonts w:ascii="宋体"/>
                <w:sz w:val="18"/>
              </w:rPr>
              <w:t>-</w:t>
            </w:r>
          </w:p>
        </w:tc>
        <w:tc>
          <w:tcPr>
            <w:tcW w:w="1118" w:type="dxa"/>
            <w:tcBorders>
              <w:top w:val="nil" w:sz="6" w:space="0" w:color="auto"/>
              <w:left w:val="nil" w:sz="6" w:space="0" w:color="auto"/>
              <w:bottom w:val="nil" w:sz="6" w:space="0" w:color="auto"/>
              <w:right w:val="nil" w:sz="6" w:space="0" w:color="auto"/>
            </w:tcBorders>
          </w:tcPr>
          <w:p>
            <w:pPr/>
          </w:p>
        </w:tc>
        <w:tc>
          <w:tcPr>
            <w:tcW w:w="1398" w:type="dxa"/>
            <w:tcBorders>
              <w:top w:val="nil" w:sz="6" w:space="0" w:color="auto"/>
              <w:left w:val="nil" w:sz="6" w:space="0" w:color="auto"/>
              <w:bottom w:val="nil" w:sz="6" w:space="0" w:color="auto"/>
              <w:right w:val="nil" w:sz="6" w:space="0" w:color="auto"/>
            </w:tcBorders>
          </w:tcPr>
          <w:p>
            <w:pPr>
              <w:pStyle w:val="TableParagraph"/>
              <w:spacing w:line="217" w:lineRule="exact"/>
              <w:ind w:left="67" w:right="0"/>
              <w:jc w:val="left"/>
              <w:rPr>
                <w:rFonts w:ascii="宋体" w:hAnsi="宋体" w:cs="宋体" w:eastAsia="宋体" w:hint="default"/>
                <w:sz w:val="18"/>
                <w:szCs w:val="18"/>
              </w:rPr>
            </w:pPr>
            <w:r>
              <w:rPr>
                <w:rFonts w:ascii="宋体"/>
                <w:sz w:val="18"/>
              </w:rPr>
              <w:t>-</w:t>
            </w:r>
          </w:p>
        </w:tc>
        <w:tc>
          <w:tcPr>
            <w:tcW w:w="1439" w:type="dxa"/>
            <w:tcBorders>
              <w:top w:val="nil" w:sz="6" w:space="0" w:color="auto"/>
              <w:left w:val="nil" w:sz="6" w:space="0" w:color="auto"/>
              <w:bottom w:val="nil" w:sz="6" w:space="0" w:color="auto"/>
              <w:right w:val="nil" w:sz="6" w:space="0" w:color="auto"/>
            </w:tcBorders>
          </w:tcPr>
          <w:p>
            <w:pPr>
              <w:pStyle w:val="TableParagraph"/>
              <w:spacing w:line="217" w:lineRule="exact"/>
              <w:ind w:left="-1" w:right="0"/>
              <w:jc w:val="left"/>
              <w:rPr>
                <w:rFonts w:ascii="宋体" w:hAnsi="宋体" w:cs="宋体" w:eastAsia="宋体" w:hint="default"/>
                <w:sz w:val="18"/>
                <w:szCs w:val="18"/>
              </w:rPr>
            </w:pPr>
            <w:r>
              <w:rPr>
                <w:rFonts w:ascii="宋体"/>
                <w:sz w:val="18"/>
              </w:rPr>
              <w:t>-</w:t>
            </w:r>
          </w:p>
        </w:tc>
        <w:tc>
          <w:tcPr>
            <w:tcW w:w="161" w:type="dxa"/>
            <w:tcBorders>
              <w:top w:val="nil" w:sz="6" w:space="0" w:color="auto"/>
              <w:left w:val="nil" w:sz="6" w:space="0" w:color="auto"/>
              <w:bottom w:val="nil" w:sz="6" w:space="0" w:color="auto"/>
              <w:right w:val="nil" w:sz="6" w:space="0" w:color="auto"/>
            </w:tcBorders>
          </w:tcPr>
          <w:p>
            <w:pPr>
              <w:pStyle w:val="TableParagraph"/>
              <w:spacing w:line="217" w:lineRule="exact"/>
              <w:ind w:left="43" w:right="0"/>
              <w:jc w:val="left"/>
              <w:rPr>
                <w:rFonts w:ascii="宋体" w:hAnsi="宋体" w:cs="宋体" w:eastAsia="宋体" w:hint="default"/>
                <w:sz w:val="18"/>
                <w:szCs w:val="18"/>
              </w:rPr>
            </w:pPr>
            <w:r>
              <w:rPr>
                <w:rFonts w:ascii="宋体"/>
                <w:sz w:val="18"/>
              </w:rPr>
              <w:t>-</w:t>
            </w:r>
          </w:p>
        </w:tc>
        <w:tc>
          <w:tcPr>
            <w:tcW w:w="103" w:type="dxa"/>
            <w:tcBorders>
              <w:top w:val="nil" w:sz="6" w:space="0" w:color="auto"/>
              <w:left w:val="nil" w:sz="6" w:space="0" w:color="auto"/>
              <w:bottom w:val="nil" w:sz="6" w:space="0" w:color="auto"/>
              <w:right w:val="nil" w:sz="6" w:space="0" w:color="auto"/>
            </w:tcBorders>
          </w:tcPr>
          <w:p>
            <w:pPr/>
          </w:p>
        </w:tc>
        <w:tc>
          <w:tcPr>
            <w:tcW w:w="1178" w:type="dxa"/>
            <w:tcBorders>
              <w:top w:val="nil" w:sz="6" w:space="0" w:color="auto"/>
              <w:left w:val="nil" w:sz="6" w:space="0" w:color="auto"/>
              <w:bottom w:val="nil" w:sz="6" w:space="0" w:color="auto"/>
              <w:right w:val="nil" w:sz="6" w:space="0" w:color="auto"/>
            </w:tcBorders>
          </w:tcPr>
          <w:p>
            <w:pPr>
              <w:pStyle w:val="TableParagraph"/>
              <w:spacing w:line="217" w:lineRule="exact"/>
              <w:ind w:right="25"/>
              <w:jc w:val="right"/>
              <w:rPr>
                <w:rFonts w:ascii="宋体" w:hAnsi="宋体" w:cs="宋体" w:eastAsia="宋体" w:hint="default"/>
                <w:sz w:val="18"/>
                <w:szCs w:val="18"/>
              </w:rPr>
            </w:pPr>
            <w:r>
              <w:rPr>
                <w:rFonts w:ascii="宋体"/>
                <w:sz w:val="18"/>
              </w:rPr>
              <w:t>-</w:t>
            </w:r>
          </w:p>
        </w:tc>
        <w:tc>
          <w:tcPr>
            <w:tcW w:w="2004" w:type="dxa"/>
            <w:tcBorders>
              <w:top w:val="nil" w:sz="6" w:space="0" w:color="auto"/>
              <w:left w:val="nil" w:sz="6" w:space="0" w:color="auto"/>
              <w:bottom w:val="nil" w:sz="6" w:space="0" w:color="auto"/>
              <w:right w:val="nil" w:sz="6" w:space="0" w:color="auto"/>
            </w:tcBorders>
          </w:tcPr>
          <w:p>
            <w:pPr>
              <w:pStyle w:val="TableParagraph"/>
              <w:spacing w:line="217" w:lineRule="exact"/>
              <w:ind w:right="563"/>
              <w:jc w:val="right"/>
              <w:rPr>
                <w:rFonts w:ascii="宋体" w:hAnsi="宋体" w:cs="宋体" w:eastAsia="宋体" w:hint="default"/>
                <w:sz w:val="18"/>
                <w:szCs w:val="18"/>
              </w:rPr>
            </w:pPr>
            <w:r>
              <w:rPr>
                <w:rFonts w:ascii="宋体"/>
                <w:sz w:val="18"/>
              </w:rPr>
              <w:t>-</w:t>
            </w:r>
          </w:p>
        </w:tc>
      </w:tr>
      <w:tr>
        <w:trPr>
          <w:trHeight w:val="256" w:hRule="exact"/>
        </w:trPr>
        <w:tc>
          <w:tcPr>
            <w:tcW w:w="108" w:type="dxa"/>
            <w:tcBorders>
              <w:top w:val="nil" w:sz="6" w:space="0" w:color="auto"/>
              <w:left w:val="nil" w:sz="6" w:space="0" w:color="auto"/>
              <w:bottom w:val="nil" w:sz="6" w:space="0" w:color="auto"/>
              <w:right w:val="nil" w:sz="6" w:space="0" w:color="auto"/>
            </w:tcBorders>
          </w:tcPr>
          <w:p>
            <w:pPr/>
          </w:p>
        </w:tc>
        <w:tc>
          <w:tcPr>
            <w:tcW w:w="2621" w:type="dxa"/>
            <w:tcBorders>
              <w:top w:val="nil" w:sz="6" w:space="0" w:color="auto"/>
              <w:left w:val="nil" w:sz="6" w:space="0" w:color="auto"/>
              <w:bottom w:val="nil" w:sz="6" w:space="0" w:color="auto"/>
              <w:right w:val="nil" w:sz="6" w:space="0" w:color="auto"/>
            </w:tcBorders>
          </w:tcPr>
          <w:p>
            <w:pPr>
              <w:pStyle w:val="TableParagraph"/>
              <w:spacing w:line="218" w:lineRule="exact"/>
              <w:ind w:left="39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．提取专项储备</w:t>
            </w:r>
          </w:p>
        </w:tc>
        <w:tc>
          <w:tcPr>
            <w:tcW w:w="161" w:type="dxa"/>
            <w:tcBorders>
              <w:top w:val="nil" w:sz="6" w:space="0" w:color="auto"/>
              <w:left w:val="nil" w:sz="6" w:space="0" w:color="auto"/>
              <w:bottom w:val="nil" w:sz="6" w:space="0" w:color="auto"/>
              <w:right w:val="nil" w:sz="6" w:space="0" w:color="auto"/>
            </w:tcBorders>
          </w:tcPr>
          <w:p>
            <w:pPr/>
          </w:p>
        </w:tc>
        <w:tc>
          <w:tcPr>
            <w:tcW w:w="2270" w:type="dxa"/>
            <w:tcBorders>
              <w:top w:val="nil" w:sz="6" w:space="0" w:color="auto"/>
              <w:left w:val="nil" w:sz="6" w:space="0" w:color="auto"/>
              <w:bottom w:val="nil" w:sz="6" w:space="0" w:color="auto"/>
              <w:right w:val="nil" w:sz="6" w:space="0" w:color="auto"/>
            </w:tcBorders>
          </w:tcPr>
          <w:p>
            <w:pPr>
              <w:pStyle w:val="TableParagraph"/>
              <w:spacing w:line="218" w:lineRule="exact"/>
              <w:ind w:right="25"/>
              <w:jc w:val="right"/>
              <w:rPr>
                <w:rFonts w:ascii="宋体" w:hAnsi="宋体" w:cs="宋体" w:eastAsia="宋体" w:hint="default"/>
                <w:sz w:val="18"/>
                <w:szCs w:val="18"/>
              </w:rPr>
            </w:pPr>
            <w:r>
              <w:rPr>
                <w:rFonts w:ascii="宋体"/>
                <w:sz w:val="18"/>
              </w:rPr>
              <w:t>-</w:t>
            </w:r>
          </w:p>
        </w:tc>
        <w:tc>
          <w:tcPr>
            <w:tcW w:w="113"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18" w:lineRule="exact"/>
              <w:ind w:right="25"/>
              <w:jc w:val="right"/>
              <w:rPr>
                <w:rFonts w:ascii="宋体" w:hAnsi="宋体" w:cs="宋体" w:eastAsia="宋体" w:hint="default"/>
                <w:sz w:val="18"/>
                <w:szCs w:val="18"/>
              </w:rPr>
            </w:pPr>
            <w:r>
              <w:rPr>
                <w:rFonts w:ascii="宋体"/>
                <w:sz w:val="18"/>
              </w:rPr>
              <w:t>-</w:t>
            </w:r>
          </w:p>
        </w:tc>
        <w:tc>
          <w:tcPr>
            <w:tcW w:w="168" w:type="dxa"/>
            <w:tcBorders>
              <w:top w:val="nil" w:sz="6" w:space="0" w:color="auto"/>
              <w:left w:val="nil" w:sz="6" w:space="0" w:color="auto"/>
              <w:bottom w:val="nil" w:sz="6" w:space="0" w:color="auto"/>
              <w:right w:val="nil" w:sz="6" w:space="0" w:color="auto"/>
            </w:tcBorders>
          </w:tcPr>
          <w:p>
            <w:pPr/>
          </w:p>
        </w:tc>
        <w:tc>
          <w:tcPr>
            <w:tcW w:w="982" w:type="dxa"/>
            <w:tcBorders>
              <w:top w:val="nil" w:sz="6" w:space="0" w:color="auto"/>
              <w:left w:val="nil" w:sz="6" w:space="0" w:color="auto"/>
              <w:bottom w:val="nil" w:sz="6" w:space="0" w:color="auto"/>
              <w:right w:val="nil" w:sz="6" w:space="0" w:color="auto"/>
            </w:tcBorders>
          </w:tcPr>
          <w:p>
            <w:pPr>
              <w:pStyle w:val="TableParagraph"/>
              <w:spacing w:line="218" w:lineRule="exact"/>
              <w:ind w:right="28"/>
              <w:jc w:val="right"/>
              <w:rPr>
                <w:rFonts w:ascii="宋体" w:hAnsi="宋体" w:cs="宋体" w:eastAsia="宋体" w:hint="default"/>
                <w:sz w:val="18"/>
                <w:szCs w:val="18"/>
              </w:rPr>
            </w:pPr>
            <w:r>
              <w:rPr>
                <w:rFonts w:ascii="宋体"/>
                <w:sz w:val="18"/>
              </w:rPr>
              <w:t>-</w:t>
            </w:r>
          </w:p>
        </w:tc>
        <w:tc>
          <w:tcPr>
            <w:tcW w:w="120" w:type="dxa"/>
            <w:tcBorders>
              <w:top w:val="nil" w:sz="6" w:space="0" w:color="auto"/>
              <w:left w:val="nil" w:sz="6" w:space="0" w:color="auto"/>
              <w:bottom w:val="nil" w:sz="6" w:space="0" w:color="auto"/>
              <w:right w:val="nil" w:sz="6" w:space="0" w:color="auto"/>
            </w:tcBorders>
          </w:tcPr>
          <w:p>
            <w:pPr/>
          </w:p>
        </w:tc>
        <w:tc>
          <w:tcPr>
            <w:tcW w:w="799" w:type="dxa"/>
            <w:tcBorders>
              <w:top w:val="nil" w:sz="6" w:space="0" w:color="auto"/>
              <w:left w:val="nil" w:sz="6" w:space="0" w:color="auto"/>
              <w:bottom w:val="nil" w:sz="6" w:space="0" w:color="auto"/>
              <w:right w:val="nil" w:sz="6" w:space="0" w:color="auto"/>
            </w:tcBorders>
          </w:tcPr>
          <w:p>
            <w:pPr>
              <w:pStyle w:val="TableParagraph"/>
              <w:spacing w:line="218" w:lineRule="exact"/>
              <w:ind w:right="25"/>
              <w:jc w:val="right"/>
              <w:rPr>
                <w:rFonts w:ascii="宋体" w:hAnsi="宋体" w:cs="宋体" w:eastAsia="宋体" w:hint="default"/>
                <w:sz w:val="18"/>
                <w:szCs w:val="18"/>
              </w:rPr>
            </w:pPr>
            <w:r>
              <w:rPr>
                <w:rFonts w:ascii="宋体"/>
                <w:sz w:val="18"/>
              </w:rPr>
              <w:t>-</w:t>
            </w:r>
          </w:p>
        </w:tc>
        <w:tc>
          <w:tcPr>
            <w:tcW w:w="1118" w:type="dxa"/>
            <w:tcBorders>
              <w:top w:val="nil" w:sz="6" w:space="0" w:color="auto"/>
              <w:left w:val="nil" w:sz="6" w:space="0" w:color="auto"/>
              <w:bottom w:val="nil" w:sz="6" w:space="0" w:color="auto"/>
              <w:right w:val="nil" w:sz="6" w:space="0" w:color="auto"/>
            </w:tcBorders>
          </w:tcPr>
          <w:p>
            <w:pPr/>
          </w:p>
        </w:tc>
        <w:tc>
          <w:tcPr>
            <w:tcW w:w="1398" w:type="dxa"/>
            <w:tcBorders>
              <w:top w:val="nil" w:sz="6" w:space="0" w:color="auto"/>
              <w:left w:val="nil" w:sz="6" w:space="0" w:color="auto"/>
              <w:bottom w:val="nil" w:sz="6" w:space="0" w:color="auto"/>
              <w:right w:val="nil" w:sz="6" w:space="0" w:color="auto"/>
            </w:tcBorders>
          </w:tcPr>
          <w:p>
            <w:pPr>
              <w:pStyle w:val="TableParagraph"/>
              <w:spacing w:line="218" w:lineRule="exact"/>
              <w:ind w:left="67" w:right="0"/>
              <w:jc w:val="left"/>
              <w:rPr>
                <w:rFonts w:ascii="宋体" w:hAnsi="宋体" w:cs="宋体" w:eastAsia="宋体" w:hint="default"/>
                <w:sz w:val="18"/>
                <w:szCs w:val="18"/>
              </w:rPr>
            </w:pPr>
            <w:r>
              <w:rPr>
                <w:rFonts w:ascii="宋体"/>
                <w:sz w:val="18"/>
              </w:rPr>
              <w:t>-</w:t>
            </w:r>
          </w:p>
        </w:tc>
        <w:tc>
          <w:tcPr>
            <w:tcW w:w="1439" w:type="dxa"/>
            <w:tcBorders>
              <w:top w:val="nil" w:sz="6" w:space="0" w:color="auto"/>
              <w:left w:val="nil" w:sz="6" w:space="0" w:color="auto"/>
              <w:bottom w:val="nil" w:sz="6" w:space="0" w:color="auto"/>
              <w:right w:val="nil" w:sz="6" w:space="0" w:color="auto"/>
            </w:tcBorders>
          </w:tcPr>
          <w:p>
            <w:pPr>
              <w:pStyle w:val="TableParagraph"/>
              <w:spacing w:line="218" w:lineRule="exact"/>
              <w:ind w:left="-1" w:right="0"/>
              <w:jc w:val="left"/>
              <w:rPr>
                <w:rFonts w:ascii="宋体" w:hAnsi="宋体" w:cs="宋体" w:eastAsia="宋体" w:hint="default"/>
                <w:sz w:val="18"/>
                <w:szCs w:val="18"/>
              </w:rPr>
            </w:pPr>
            <w:r>
              <w:rPr>
                <w:rFonts w:ascii="宋体"/>
                <w:sz w:val="18"/>
              </w:rPr>
              <w:t>-</w:t>
            </w:r>
          </w:p>
        </w:tc>
        <w:tc>
          <w:tcPr>
            <w:tcW w:w="161" w:type="dxa"/>
            <w:tcBorders>
              <w:top w:val="nil" w:sz="6" w:space="0" w:color="auto"/>
              <w:left w:val="nil" w:sz="6" w:space="0" w:color="auto"/>
              <w:bottom w:val="nil" w:sz="6" w:space="0" w:color="auto"/>
              <w:right w:val="nil" w:sz="6" w:space="0" w:color="auto"/>
            </w:tcBorders>
          </w:tcPr>
          <w:p>
            <w:pPr>
              <w:pStyle w:val="TableParagraph"/>
              <w:spacing w:line="218" w:lineRule="exact"/>
              <w:ind w:left="43" w:right="0"/>
              <w:jc w:val="left"/>
              <w:rPr>
                <w:rFonts w:ascii="宋体" w:hAnsi="宋体" w:cs="宋体" w:eastAsia="宋体" w:hint="default"/>
                <w:sz w:val="18"/>
                <w:szCs w:val="18"/>
              </w:rPr>
            </w:pPr>
            <w:r>
              <w:rPr>
                <w:rFonts w:ascii="宋体"/>
                <w:sz w:val="18"/>
              </w:rPr>
              <w:t>-</w:t>
            </w:r>
          </w:p>
        </w:tc>
        <w:tc>
          <w:tcPr>
            <w:tcW w:w="103" w:type="dxa"/>
            <w:tcBorders>
              <w:top w:val="nil" w:sz="6" w:space="0" w:color="auto"/>
              <w:left w:val="nil" w:sz="6" w:space="0" w:color="auto"/>
              <w:bottom w:val="nil" w:sz="6" w:space="0" w:color="auto"/>
              <w:right w:val="nil" w:sz="6" w:space="0" w:color="auto"/>
            </w:tcBorders>
          </w:tcPr>
          <w:p>
            <w:pPr/>
          </w:p>
        </w:tc>
        <w:tc>
          <w:tcPr>
            <w:tcW w:w="1178" w:type="dxa"/>
            <w:tcBorders>
              <w:top w:val="nil" w:sz="6" w:space="0" w:color="auto"/>
              <w:left w:val="nil" w:sz="6" w:space="0" w:color="auto"/>
              <w:bottom w:val="nil" w:sz="6" w:space="0" w:color="auto"/>
              <w:right w:val="nil" w:sz="6" w:space="0" w:color="auto"/>
            </w:tcBorders>
          </w:tcPr>
          <w:p>
            <w:pPr>
              <w:pStyle w:val="TableParagraph"/>
              <w:spacing w:line="218" w:lineRule="exact"/>
              <w:ind w:right="25"/>
              <w:jc w:val="right"/>
              <w:rPr>
                <w:rFonts w:ascii="宋体" w:hAnsi="宋体" w:cs="宋体" w:eastAsia="宋体" w:hint="default"/>
                <w:sz w:val="18"/>
                <w:szCs w:val="18"/>
              </w:rPr>
            </w:pPr>
            <w:r>
              <w:rPr>
                <w:rFonts w:ascii="宋体"/>
                <w:sz w:val="18"/>
              </w:rPr>
              <w:t>-</w:t>
            </w:r>
          </w:p>
        </w:tc>
        <w:tc>
          <w:tcPr>
            <w:tcW w:w="2004" w:type="dxa"/>
            <w:tcBorders>
              <w:top w:val="nil" w:sz="6" w:space="0" w:color="auto"/>
              <w:left w:val="nil" w:sz="6" w:space="0" w:color="auto"/>
              <w:bottom w:val="nil" w:sz="6" w:space="0" w:color="auto"/>
              <w:right w:val="nil" w:sz="6" w:space="0" w:color="auto"/>
            </w:tcBorders>
          </w:tcPr>
          <w:p>
            <w:pPr>
              <w:pStyle w:val="TableParagraph"/>
              <w:spacing w:line="218" w:lineRule="exact"/>
              <w:ind w:right="563"/>
              <w:jc w:val="right"/>
              <w:rPr>
                <w:rFonts w:ascii="宋体" w:hAnsi="宋体" w:cs="宋体" w:eastAsia="宋体" w:hint="default"/>
                <w:sz w:val="18"/>
                <w:szCs w:val="18"/>
              </w:rPr>
            </w:pPr>
            <w:r>
              <w:rPr>
                <w:rFonts w:ascii="宋体"/>
                <w:sz w:val="18"/>
              </w:rPr>
              <w:t>-</w:t>
            </w:r>
          </w:p>
        </w:tc>
      </w:tr>
      <w:tr>
        <w:trPr>
          <w:trHeight w:val="254" w:hRule="exact"/>
        </w:trPr>
        <w:tc>
          <w:tcPr>
            <w:tcW w:w="108" w:type="dxa"/>
            <w:tcBorders>
              <w:top w:val="nil" w:sz="6" w:space="0" w:color="auto"/>
              <w:left w:val="nil" w:sz="6" w:space="0" w:color="auto"/>
              <w:bottom w:val="nil" w:sz="6" w:space="0" w:color="auto"/>
              <w:right w:val="nil" w:sz="6" w:space="0" w:color="auto"/>
            </w:tcBorders>
          </w:tcPr>
          <w:p>
            <w:pPr/>
          </w:p>
        </w:tc>
        <w:tc>
          <w:tcPr>
            <w:tcW w:w="2621" w:type="dxa"/>
            <w:tcBorders>
              <w:top w:val="nil" w:sz="6" w:space="0" w:color="auto"/>
              <w:left w:val="nil" w:sz="6" w:space="0" w:color="auto"/>
              <w:bottom w:val="nil" w:sz="6" w:space="0" w:color="auto"/>
              <w:right w:val="nil" w:sz="6" w:space="0" w:color="auto"/>
            </w:tcBorders>
          </w:tcPr>
          <w:p>
            <w:pPr>
              <w:pStyle w:val="TableParagraph"/>
              <w:spacing w:line="217" w:lineRule="exact"/>
              <w:ind w:left="39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．使用专项储备</w:t>
            </w:r>
          </w:p>
        </w:tc>
        <w:tc>
          <w:tcPr>
            <w:tcW w:w="161" w:type="dxa"/>
            <w:tcBorders>
              <w:top w:val="nil" w:sz="6" w:space="0" w:color="auto"/>
              <w:left w:val="nil" w:sz="6" w:space="0" w:color="auto"/>
              <w:bottom w:val="nil" w:sz="6" w:space="0" w:color="auto"/>
              <w:right w:val="nil" w:sz="6" w:space="0" w:color="auto"/>
            </w:tcBorders>
          </w:tcPr>
          <w:p>
            <w:pPr/>
          </w:p>
        </w:tc>
        <w:tc>
          <w:tcPr>
            <w:tcW w:w="2270" w:type="dxa"/>
            <w:tcBorders>
              <w:top w:val="nil" w:sz="6" w:space="0" w:color="auto"/>
              <w:left w:val="nil" w:sz="6" w:space="0" w:color="auto"/>
              <w:bottom w:val="nil" w:sz="6" w:space="0" w:color="auto"/>
              <w:right w:val="nil" w:sz="6" w:space="0" w:color="auto"/>
            </w:tcBorders>
          </w:tcPr>
          <w:p>
            <w:pPr>
              <w:pStyle w:val="TableParagraph"/>
              <w:spacing w:line="217" w:lineRule="exact"/>
              <w:ind w:right="25"/>
              <w:jc w:val="right"/>
              <w:rPr>
                <w:rFonts w:ascii="宋体" w:hAnsi="宋体" w:cs="宋体" w:eastAsia="宋体" w:hint="default"/>
                <w:sz w:val="18"/>
                <w:szCs w:val="18"/>
              </w:rPr>
            </w:pPr>
            <w:r>
              <w:rPr>
                <w:rFonts w:ascii="宋体"/>
                <w:sz w:val="18"/>
              </w:rPr>
              <w:t>-</w:t>
            </w:r>
          </w:p>
        </w:tc>
        <w:tc>
          <w:tcPr>
            <w:tcW w:w="113"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17" w:lineRule="exact"/>
              <w:ind w:right="25"/>
              <w:jc w:val="right"/>
              <w:rPr>
                <w:rFonts w:ascii="宋体" w:hAnsi="宋体" w:cs="宋体" w:eastAsia="宋体" w:hint="default"/>
                <w:sz w:val="18"/>
                <w:szCs w:val="18"/>
              </w:rPr>
            </w:pPr>
            <w:r>
              <w:rPr>
                <w:rFonts w:ascii="宋体"/>
                <w:sz w:val="18"/>
              </w:rPr>
              <w:t>-</w:t>
            </w:r>
          </w:p>
        </w:tc>
        <w:tc>
          <w:tcPr>
            <w:tcW w:w="168" w:type="dxa"/>
            <w:tcBorders>
              <w:top w:val="nil" w:sz="6" w:space="0" w:color="auto"/>
              <w:left w:val="nil" w:sz="6" w:space="0" w:color="auto"/>
              <w:bottom w:val="nil" w:sz="6" w:space="0" w:color="auto"/>
              <w:right w:val="nil" w:sz="6" w:space="0" w:color="auto"/>
            </w:tcBorders>
          </w:tcPr>
          <w:p>
            <w:pPr/>
          </w:p>
        </w:tc>
        <w:tc>
          <w:tcPr>
            <w:tcW w:w="982" w:type="dxa"/>
            <w:tcBorders>
              <w:top w:val="nil" w:sz="6" w:space="0" w:color="auto"/>
              <w:left w:val="nil" w:sz="6" w:space="0" w:color="auto"/>
              <w:bottom w:val="nil" w:sz="6" w:space="0" w:color="auto"/>
              <w:right w:val="nil" w:sz="6" w:space="0" w:color="auto"/>
            </w:tcBorders>
          </w:tcPr>
          <w:p>
            <w:pPr>
              <w:pStyle w:val="TableParagraph"/>
              <w:spacing w:line="217" w:lineRule="exact"/>
              <w:ind w:right="28"/>
              <w:jc w:val="right"/>
              <w:rPr>
                <w:rFonts w:ascii="宋体" w:hAnsi="宋体" w:cs="宋体" w:eastAsia="宋体" w:hint="default"/>
                <w:sz w:val="18"/>
                <w:szCs w:val="18"/>
              </w:rPr>
            </w:pPr>
            <w:r>
              <w:rPr>
                <w:rFonts w:ascii="宋体"/>
                <w:sz w:val="18"/>
              </w:rPr>
              <w:t>-</w:t>
            </w:r>
          </w:p>
        </w:tc>
        <w:tc>
          <w:tcPr>
            <w:tcW w:w="120" w:type="dxa"/>
            <w:tcBorders>
              <w:top w:val="nil" w:sz="6" w:space="0" w:color="auto"/>
              <w:left w:val="nil" w:sz="6" w:space="0" w:color="auto"/>
              <w:bottom w:val="nil" w:sz="6" w:space="0" w:color="auto"/>
              <w:right w:val="nil" w:sz="6" w:space="0" w:color="auto"/>
            </w:tcBorders>
          </w:tcPr>
          <w:p>
            <w:pPr/>
          </w:p>
        </w:tc>
        <w:tc>
          <w:tcPr>
            <w:tcW w:w="799" w:type="dxa"/>
            <w:tcBorders>
              <w:top w:val="nil" w:sz="6" w:space="0" w:color="auto"/>
              <w:left w:val="nil" w:sz="6" w:space="0" w:color="auto"/>
              <w:bottom w:val="nil" w:sz="6" w:space="0" w:color="auto"/>
              <w:right w:val="nil" w:sz="6" w:space="0" w:color="auto"/>
            </w:tcBorders>
          </w:tcPr>
          <w:p>
            <w:pPr>
              <w:pStyle w:val="TableParagraph"/>
              <w:spacing w:line="217" w:lineRule="exact"/>
              <w:ind w:right="25"/>
              <w:jc w:val="right"/>
              <w:rPr>
                <w:rFonts w:ascii="宋体" w:hAnsi="宋体" w:cs="宋体" w:eastAsia="宋体" w:hint="default"/>
                <w:sz w:val="18"/>
                <w:szCs w:val="18"/>
              </w:rPr>
            </w:pPr>
            <w:r>
              <w:rPr>
                <w:rFonts w:ascii="宋体"/>
                <w:sz w:val="18"/>
              </w:rPr>
              <w:t>-</w:t>
            </w:r>
          </w:p>
        </w:tc>
        <w:tc>
          <w:tcPr>
            <w:tcW w:w="1118" w:type="dxa"/>
            <w:tcBorders>
              <w:top w:val="nil" w:sz="6" w:space="0" w:color="auto"/>
              <w:left w:val="nil" w:sz="6" w:space="0" w:color="auto"/>
              <w:bottom w:val="nil" w:sz="6" w:space="0" w:color="auto"/>
              <w:right w:val="nil" w:sz="6" w:space="0" w:color="auto"/>
            </w:tcBorders>
          </w:tcPr>
          <w:p>
            <w:pPr/>
          </w:p>
        </w:tc>
        <w:tc>
          <w:tcPr>
            <w:tcW w:w="1398" w:type="dxa"/>
            <w:tcBorders>
              <w:top w:val="nil" w:sz="6" w:space="0" w:color="auto"/>
              <w:left w:val="nil" w:sz="6" w:space="0" w:color="auto"/>
              <w:bottom w:val="nil" w:sz="6" w:space="0" w:color="auto"/>
              <w:right w:val="nil" w:sz="6" w:space="0" w:color="auto"/>
            </w:tcBorders>
          </w:tcPr>
          <w:p>
            <w:pPr>
              <w:pStyle w:val="TableParagraph"/>
              <w:spacing w:line="217" w:lineRule="exact"/>
              <w:ind w:left="67" w:right="0"/>
              <w:jc w:val="left"/>
              <w:rPr>
                <w:rFonts w:ascii="宋体" w:hAnsi="宋体" w:cs="宋体" w:eastAsia="宋体" w:hint="default"/>
                <w:sz w:val="18"/>
                <w:szCs w:val="18"/>
              </w:rPr>
            </w:pPr>
            <w:r>
              <w:rPr>
                <w:rFonts w:ascii="宋体"/>
                <w:sz w:val="18"/>
              </w:rPr>
              <w:t>-</w:t>
            </w:r>
          </w:p>
        </w:tc>
        <w:tc>
          <w:tcPr>
            <w:tcW w:w="1439" w:type="dxa"/>
            <w:tcBorders>
              <w:top w:val="nil" w:sz="6" w:space="0" w:color="auto"/>
              <w:left w:val="nil" w:sz="6" w:space="0" w:color="auto"/>
              <w:bottom w:val="nil" w:sz="6" w:space="0" w:color="auto"/>
              <w:right w:val="nil" w:sz="6" w:space="0" w:color="auto"/>
            </w:tcBorders>
          </w:tcPr>
          <w:p>
            <w:pPr>
              <w:pStyle w:val="TableParagraph"/>
              <w:spacing w:line="217" w:lineRule="exact"/>
              <w:ind w:left="-1" w:right="0"/>
              <w:jc w:val="left"/>
              <w:rPr>
                <w:rFonts w:ascii="宋体" w:hAnsi="宋体" w:cs="宋体" w:eastAsia="宋体" w:hint="default"/>
                <w:sz w:val="18"/>
                <w:szCs w:val="18"/>
              </w:rPr>
            </w:pPr>
            <w:r>
              <w:rPr>
                <w:rFonts w:ascii="宋体"/>
                <w:sz w:val="18"/>
              </w:rPr>
              <w:t>-</w:t>
            </w:r>
          </w:p>
        </w:tc>
        <w:tc>
          <w:tcPr>
            <w:tcW w:w="161" w:type="dxa"/>
            <w:tcBorders>
              <w:top w:val="nil" w:sz="6" w:space="0" w:color="auto"/>
              <w:left w:val="nil" w:sz="6" w:space="0" w:color="auto"/>
              <w:bottom w:val="nil" w:sz="6" w:space="0" w:color="auto"/>
              <w:right w:val="nil" w:sz="6" w:space="0" w:color="auto"/>
            </w:tcBorders>
          </w:tcPr>
          <w:p>
            <w:pPr>
              <w:pStyle w:val="TableParagraph"/>
              <w:spacing w:line="217" w:lineRule="exact"/>
              <w:ind w:left="43" w:right="0"/>
              <w:jc w:val="left"/>
              <w:rPr>
                <w:rFonts w:ascii="宋体" w:hAnsi="宋体" w:cs="宋体" w:eastAsia="宋体" w:hint="default"/>
                <w:sz w:val="18"/>
                <w:szCs w:val="18"/>
              </w:rPr>
            </w:pPr>
            <w:r>
              <w:rPr>
                <w:rFonts w:ascii="宋体"/>
                <w:sz w:val="18"/>
              </w:rPr>
              <w:t>-</w:t>
            </w:r>
          </w:p>
        </w:tc>
        <w:tc>
          <w:tcPr>
            <w:tcW w:w="103" w:type="dxa"/>
            <w:tcBorders>
              <w:top w:val="nil" w:sz="6" w:space="0" w:color="auto"/>
              <w:left w:val="nil" w:sz="6" w:space="0" w:color="auto"/>
              <w:bottom w:val="nil" w:sz="6" w:space="0" w:color="auto"/>
              <w:right w:val="nil" w:sz="6" w:space="0" w:color="auto"/>
            </w:tcBorders>
          </w:tcPr>
          <w:p>
            <w:pPr/>
          </w:p>
        </w:tc>
        <w:tc>
          <w:tcPr>
            <w:tcW w:w="1178" w:type="dxa"/>
            <w:tcBorders>
              <w:top w:val="nil" w:sz="6" w:space="0" w:color="auto"/>
              <w:left w:val="nil" w:sz="6" w:space="0" w:color="auto"/>
              <w:bottom w:val="nil" w:sz="6" w:space="0" w:color="auto"/>
              <w:right w:val="nil" w:sz="6" w:space="0" w:color="auto"/>
            </w:tcBorders>
          </w:tcPr>
          <w:p>
            <w:pPr>
              <w:pStyle w:val="TableParagraph"/>
              <w:spacing w:line="217" w:lineRule="exact"/>
              <w:ind w:right="25"/>
              <w:jc w:val="right"/>
              <w:rPr>
                <w:rFonts w:ascii="宋体" w:hAnsi="宋体" w:cs="宋体" w:eastAsia="宋体" w:hint="default"/>
                <w:sz w:val="18"/>
                <w:szCs w:val="18"/>
              </w:rPr>
            </w:pPr>
            <w:r>
              <w:rPr>
                <w:rFonts w:ascii="宋体"/>
                <w:sz w:val="18"/>
              </w:rPr>
              <w:t>-</w:t>
            </w:r>
          </w:p>
        </w:tc>
        <w:tc>
          <w:tcPr>
            <w:tcW w:w="2004" w:type="dxa"/>
            <w:tcBorders>
              <w:top w:val="nil" w:sz="6" w:space="0" w:color="auto"/>
              <w:left w:val="nil" w:sz="6" w:space="0" w:color="auto"/>
              <w:bottom w:val="nil" w:sz="6" w:space="0" w:color="auto"/>
              <w:right w:val="nil" w:sz="6" w:space="0" w:color="auto"/>
            </w:tcBorders>
          </w:tcPr>
          <w:p>
            <w:pPr>
              <w:pStyle w:val="TableParagraph"/>
              <w:spacing w:line="217" w:lineRule="exact"/>
              <w:ind w:right="563"/>
              <w:jc w:val="right"/>
              <w:rPr>
                <w:rFonts w:ascii="宋体" w:hAnsi="宋体" w:cs="宋体" w:eastAsia="宋体" w:hint="default"/>
                <w:sz w:val="18"/>
                <w:szCs w:val="18"/>
              </w:rPr>
            </w:pPr>
            <w:r>
              <w:rPr>
                <w:rFonts w:ascii="宋体"/>
                <w:sz w:val="18"/>
              </w:rPr>
              <w:t>-</w:t>
            </w:r>
          </w:p>
        </w:tc>
      </w:tr>
      <w:tr>
        <w:trPr>
          <w:trHeight w:val="254" w:hRule="exact"/>
        </w:trPr>
        <w:tc>
          <w:tcPr>
            <w:tcW w:w="108" w:type="dxa"/>
            <w:tcBorders>
              <w:top w:val="nil" w:sz="6" w:space="0" w:color="auto"/>
              <w:left w:val="nil" w:sz="6" w:space="0" w:color="auto"/>
              <w:bottom w:val="nil" w:sz="6" w:space="0" w:color="auto"/>
              <w:right w:val="nil" w:sz="6" w:space="0" w:color="auto"/>
            </w:tcBorders>
          </w:tcPr>
          <w:p>
            <w:pPr/>
          </w:p>
        </w:tc>
        <w:tc>
          <w:tcPr>
            <w:tcW w:w="2621" w:type="dxa"/>
            <w:tcBorders>
              <w:top w:val="nil" w:sz="6" w:space="0" w:color="auto"/>
              <w:left w:val="nil" w:sz="6" w:space="0" w:color="auto"/>
              <w:bottom w:val="nil" w:sz="6" w:space="0" w:color="auto"/>
              <w:right w:val="nil" w:sz="6" w:space="0" w:color="auto"/>
            </w:tcBorders>
          </w:tcPr>
          <w:p>
            <w:pPr>
              <w:pStyle w:val="TableParagraph"/>
              <w:spacing w:line="217" w:lineRule="exact"/>
              <w:ind w:left="39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61" w:type="dxa"/>
            <w:tcBorders>
              <w:top w:val="nil" w:sz="6" w:space="0" w:color="auto"/>
              <w:left w:val="nil" w:sz="6" w:space="0" w:color="auto"/>
              <w:bottom w:val="nil" w:sz="6" w:space="0" w:color="auto"/>
              <w:right w:val="nil" w:sz="6" w:space="0" w:color="auto"/>
            </w:tcBorders>
          </w:tcPr>
          <w:p>
            <w:pPr/>
          </w:p>
        </w:tc>
        <w:tc>
          <w:tcPr>
            <w:tcW w:w="2270" w:type="dxa"/>
            <w:tcBorders>
              <w:top w:val="nil" w:sz="6" w:space="0" w:color="auto"/>
              <w:left w:val="nil" w:sz="6" w:space="0" w:color="auto"/>
              <w:bottom w:val="nil" w:sz="6" w:space="0" w:color="auto"/>
              <w:right w:val="nil" w:sz="6" w:space="0" w:color="auto"/>
            </w:tcBorders>
          </w:tcPr>
          <w:p>
            <w:pPr>
              <w:pStyle w:val="TableParagraph"/>
              <w:spacing w:line="217" w:lineRule="exact"/>
              <w:ind w:right="25"/>
              <w:jc w:val="right"/>
              <w:rPr>
                <w:rFonts w:ascii="宋体" w:hAnsi="宋体" w:cs="宋体" w:eastAsia="宋体" w:hint="default"/>
                <w:sz w:val="18"/>
                <w:szCs w:val="18"/>
              </w:rPr>
            </w:pPr>
            <w:r>
              <w:rPr>
                <w:rFonts w:ascii="宋体"/>
                <w:sz w:val="18"/>
              </w:rPr>
              <w:t>-</w:t>
            </w:r>
          </w:p>
        </w:tc>
        <w:tc>
          <w:tcPr>
            <w:tcW w:w="113"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17" w:lineRule="exact"/>
              <w:ind w:right="25"/>
              <w:jc w:val="right"/>
              <w:rPr>
                <w:rFonts w:ascii="宋体" w:hAnsi="宋体" w:cs="宋体" w:eastAsia="宋体" w:hint="default"/>
                <w:sz w:val="18"/>
                <w:szCs w:val="18"/>
              </w:rPr>
            </w:pPr>
            <w:r>
              <w:rPr>
                <w:rFonts w:ascii="宋体"/>
                <w:sz w:val="18"/>
              </w:rPr>
              <w:t>-</w:t>
            </w:r>
          </w:p>
        </w:tc>
        <w:tc>
          <w:tcPr>
            <w:tcW w:w="168" w:type="dxa"/>
            <w:tcBorders>
              <w:top w:val="nil" w:sz="6" w:space="0" w:color="auto"/>
              <w:left w:val="nil" w:sz="6" w:space="0" w:color="auto"/>
              <w:bottom w:val="nil" w:sz="6" w:space="0" w:color="auto"/>
              <w:right w:val="nil" w:sz="6" w:space="0" w:color="auto"/>
            </w:tcBorders>
          </w:tcPr>
          <w:p>
            <w:pPr/>
          </w:p>
        </w:tc>
        <w:tc>
          <w:tcPr>
            <w:tcW w:w="982" w:type="dxa"/>
            <w:tcBorders>
              <w:top w:val="nil" w:sz="6" w:space="0" w:color="auto"/>
              <w:left w:val="nil" w:sz="6" w:space="0" w:color="auto"/>
              <w:bottom w:val="nil" w:sz="6" w:space="0" w:color="auto"/>
              <w:right w:val="nil" w:sz="6" w:space="0" w:color="auto"/>
            </w:tcBorders>
          </w:tcPr>
          <w:p>
            <w:pPr>
              <w:pStyle w:val="TableParagraph"/>
              <w:spacing w:line="217" w:lineRule="exact"/>
              <w:ind w:right="28"/>
              <w:jc w:val="right"/>
              <w:rPr>
                <w:rFonts w:ascii="宋体" w:hAnsi="宋体" w:cs="宋体" w:eastAsia="宋体" w:hint="default"/>
                <w:sz w:val="18"/>
                <w:szCs w:val="18"/>
              </w:rPr>
            </w:pPr>
            <w:r>
              <w:rPr>
                <w:rFonts w:ascii="宋体"/>
                <w:sz w:val="18"/>
              </w:rPr>
              <w:t>-</w:t>
            </w:r>
          </w:p>
        </w:tc>
        <w:tc>
          <w:tcPr>
            <w:tcW w:w="120" w:type="dxa"/>
            <w:tcBorders>
              <w:top w:val="nil" w:sz="6" w:space="0" w:color="auto"/>
              <w:left w:val="nil" w:sz="6" w:space="0" w:color="auto"/>
              <w:bottom w:val="nil" w:sz="6" w:space="0" w:color="auto"/>
              <w:right w:val="nil" w:sz="6" w:space="0" w:color="auto"/>
            </w:tcBorders>
          </w:tcPr>
          <w:p>
            <w:pPr/>
          </w:p>
        </w:tc>
        <w:tc>
          <w:tcPr>
            <w:tcW w:w="799" w:type="dxa"/>
            <w:tcBorders>
              <w:top w:val="nil" w:sz="6" w:space="0" w:color="auto"/>
              <w:left w:val="nil" w:sz="6" w:space="0" w:color="auto"/>
              <w:bottom w:val="nil" w:sz="6" w:space="0" w:color="auto"/>
              <w:right w:val="nil" w:sz="6" w:space="0" w:color="auto"/>
            </w:tcBorders>
          </w:tcPr>
          <w:p>
            <w:pPr>
              <w:pStyle w:val="TableParagraph"/>
              <w:spacing w:line="217" w:lineRule="exact"/>
              <w:ind w:right="25"/>
              <w:jc w:val="right"/>
              <w:rPr>
                <w:rFonts w:ascii="宋体" w:hAnsi="宋体" w:cs="宋体" w:eastAsia="宋体" w:hint="default"/>
                <w:sz w:val="18"/>
                <w:szCs w:val="18"/>
              </w:rPr>
            </w:pPr>
            <w:r>
              <w:rPr>
                <w:rFonts w:ascii="宋体"/>
                <w:sz w:val="18"/>
              </w:rPr>
              <w:t>-</w:t>
            </w:r>
          </w:p>
        </w:tc>
        <w:tc>
          <w:tcPr>
            <w:tcW w:w="1118" w:type="dxa"/>
            <w:tcBorders>
              <w:top w:val="nil" w:sz="6" w:space="0" w:color="auto"/>
              <w:left w:val="nil" w:sz="6" w:space="0" w:color="auto"/>
              <w:bottom w:val="nil" w:sz="6" w:space="0" w:color="auto"/>
              <w:right w:val="nil" w:sz="6" w:space="0" w:color="auto"/>
            </w:tcBorders>
          </w:tcPr>
          <w:p>
            <w:pPr/>
          </w:p>
        </w:tc>
        <w:tc>
          <w:tcPr>
            <w:tcW w:w="1398" w:type="dxa"/>
            <w:tcBorders>
              <w:top w:val="nil" w:sz="6" w:space="0" w:color="auto"/>
              <w:left w:val="nil" w:sz="6" w:space="0" w:color="auto"/>
              <w:bottom w:val="nil" w:sz="6" w:space="0" w:color="auto"/>
              <w:right w:val="nil" w:sz="6" w:space="0" w:color="auto"/>
            </w:tcBorders>
          </w:tcPr>
          <w:p>
            <w:pPr>
              <w:pStyle w:val="TableParagraph"/>
              <w:spacing w:line="217" w:lineRule="exact"/>
              <w:ind w:left="67" w:right="0"/>
              <w:jc w:val="left"/>
              <w:rPr>
                <w:rFonts w:ascii="宋体" w:hAnsi="宋体" w:cs="宋体" w:eastAsia="宋体" w:hint="default"/>
                <w:sz w:val="18"/>
                <w:szCs w:val="18"/>
              </w:rPr>
            </w:pPr>
            <w:r>
              <w:rPr>
                <w:rFonts w:ascii="宋体"/>
                <w:sz w:val="18"/>
              </w:rPr>
              <w:t>-</w:t>
            </w:r>
          </w:p>
        </w:tc>
        <w:tc>
          <w:tcPr>
            <w:tcW w:w="1439" w:type="dxa"/>
            <w:tcBorders>
              <w:top w:val="nil" w:sz="6" w:space="0" w:color="auto"/>
              <w:left w:val="nil" w:sz="6" w:space="0" w:color="auto"/>
              <w:bottom w:val="nil" w:sz="6" w:space="0" w:color="auto"/>
              <w:right w:val="nil" w:sz="6" w:space="0" w:color="auto"/>
            </w:tcBorders>
          </w:tcPr>
          <w:p>
            <w:pPr>
              <w:pStyle w:val="TableParagraph"/>
              <w:spacing w:line="217" w:lineRule="exact"/>
              <w:ind w:left="-1" w:right="0"/>
              <w:jc w:val="left"/>
              <w:rPr>
                <w:rFonts w:ascii="宋体" w:hAnsi="宋体" w:cs="宋体" w:eastAsia="宋体" w:hint="default"/>
                <w:sz w:val="18"/>
                <w:szCs w:val="18"/>
              </w:rPr>
            </w:pPr>
            <w:r>
              <w:rPr>
                <w:rFonts w:ascii="宋体"/>
                <w:sz w:val="18"/>
              </w:rPr>
              <w:t>-</w:t>
            </w:r>
          </w:p>
        </w:tc>
        <w:tc>
          <w:tcPr>
            <w:tcW w:w="161" w:type="dxa"/>
            <w:tcBorders>
              <w:top w:val="nil" w:sz="6" w:space="0" w:color="auto"/>
              <w:left w:val="nil" w:sz="6" w:space="0" w:color="auto"/>
              <w:bottom w:val="nil" w:sz="6" w:space="0" w:color="auto"/>
              <w:right w:val="nil" w:sz="6" w:space="0" w:color="auto"/>
            </w:tcBorders>
          </w:tcPr>
          <w:p>
            <w:pPr>
              <w:pStyle w:val="TableParagraph"/>
              <w:spacing w:line="217" w:lineRule="exact"/>
              <w:ind w:left="43" w:right="0"/>
              <w:jc w:val="left"/>
              <w:rPr>
                <w:rFonts w:ascii="宋体" w:hAnsi="宋体" w:cs="宋体" w:eastAsia="宋体" w:hint="default"/>
                <w:sz w:val="18"/>
                <w:szCs w:val="18"/>
              </w:rPr>
            </w:pPr>
            <w:r>
              <w:rPr>
                <w:rFonts w:ascii="宋体"/>
                <w:sz w:val="18"/>
              </w:rPr>
              <w:t>-</w:t>
            </w:r>
          </w:p>
        </w:tc>
        <w:tc>
          <w:tcPr>
            <w:tcW w:w="103" w:type="dxa"/>
            <w:tcBorders>
              <w:top w:val="nil" w:sz="6" w:space="0" w:color="auto"/>
              <w:left w:val="nil" w:sz="6" w:space="0" w:color="auto"/>
              <w:bottom w:val="nil" w:sz="6" w:space="0" w:color="auto"/>
              <w:right w:val="nil" w:sz="6" w:space="0" w:color="auto"/>
            </w:tcBorders>
          </w:tcPr>
          <w:p>
            <w:pPr/>
          </w:p>
        </w:tc>
        <w:tc>
          <w:tcPr>
            <w:tcW w:w="1178" w:type="dxa"/>
            <w:tcBorders>
              <w:top w:val="nil" w:sz="6" w:space="0" w:color="auto"/>
              <w:left w:val="nil" w:sz="6" w:space="0" w:color="auto"/>
              <w:bottom w:val="nil" w:sz="6" w:space="0" w:color="auto"/>
              <w:right w:val="nil" w:sz="6" w:space="0" w:color="auto"/>
            </w:tcBorders>
          </w:tcPr>
          <w:p>
            <w:pPr>
              <w:pStyle w:val="TableParagraph"/>
              <w:spacing w:line="217" w:lineRule="exact"/>
              <w:ind w:right="25"/>
              <w:jc w:val="right"/>
              <w:rPr>
                <w:rFonts w:ascii="宋体" w:hAnsi="宋体" w:cs="宋体" w:eastAsia="宋体" w:hint="default"/>
                <w:sz w:val="18"/>
                <w:szCs w:val="18"/>
              </w:rPr>
            </w:pPr>
            <w:r>
              <w:rPr>
                <w:rFonts w:ascii="宋体"/>
                <w:sz w:val="18"/>
              </w:rPr>
              <w:t>-</w:t>
            </w:r>
          </w:p>
        </w:tc>
        <w:tc>
          <w:tcPr>
            <w:tcW w:w="2004" w:type="dxa"/>
            <w:tcBorders>
              <w:top w:val="nil" w:sz="6" w:space="0" w:color="auto"/>
              <w:left w:val="nil" w:sz="6" w:space="0" w:color="auto"/>
              <w:bottom w:val="nil" w:sz="6" w:space="0" w:color="auto"/>
              <w:right w:val="nil" w:sz="6" w:space="0" w:color="auto"/>
            </w:tcBorders>
          </w:tcPr>
          <w:p>
            <w:pPr>
              <w:pStyle w:val="TableParagraph"/>
              <w:spacing w:line="217" w:lineRule="exact"/>
              <w:ind w:right="563"/>
              <w:jc w:val="right"/>
              <w:rPr>
                <w:rFonts w:ascii="宋体" w:hAnsi="宋体" w:cs="宋体" w:eastAsia="宋体" w:hint="default"/>
                <w:sz w:val="18"/>
                <w:szCs w:val="18"/>
              </w:rPr>
            </w:pPr>
            <w:r>
              <w:rPr>
                <w:rFonts w:ascii="宋体"/>
                <w:sz w:val="18"/>
              </w:rPr>
              <w:t>-</w:t>
            </w:r>
          </w:p>
        </w:tc>
      </w:tr>
      <w:tr>
        <w:trPr>
          <w:trHeight w:val="261" w:hRule="exact"/>
        </w:trPr>
        <w:tc>
          <w:tcPr>
            <w:tcW w:w="108" w:type="dxa"/>
            <w:tcBorders>
              <w:top w:val="nil" w:sz="6" w:space="0" w:color="auto"/>
              <w:left w:val="nil" w:sz="6" w:space="0" w:color="auto"/>
              <w:bottom w:val="nil" w:sz="6" w:space="0" w:color="auto"/>
              <w:right w:val="nil" w:sz="6" w:space="0" w:color="auto"/>
            </w:tcBorders>
          </w:tcPr>
          <w:p>
            <w:pPr/>
          </w:p>
        </w:tc>
        <w:tc>
          <w:tcPr>
            <w:tcW w:w="2621" w:type="dxa"/>
            <w:tcBorders>
              <w:top w:val="nil" w:sz="6" w:space="0" w:color="auto"/>
              <w:left w:val="nil" w:sz="6" w:space="0" w:color="auto"/>
              <w:bottom w:val="nil" w:sz="6" w:space="0" w:color="auto"/>
              <w:right w:val="nil" w:sz="6" w:space="0" w:color="auto"/>
            </w:tcBorders>
          </w:tcPr>
          <w:p>
            <w:pPr>
              <w:pStyle w:val="TableParagraph"/>
              <w:spacing w:line="217" w:lineRule="exact"/>
              <w:ind w:left="28"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61" w:type="dxa"/>
            <w:tcBorders>
              <w:top w:val="nil" w:sz="6" w:space="0" w:color="auto"/>
              <w:left w:val="nil" w:sz="6" w:space="0" w:color="auto"/>
              <w:bottom w:val="nil" w:sz="6" w:space="0" w:color="auto"/>
              <w:right w:val="nil" w:sz="6" w:space="0" w:color="auto"/>
            </w:tcBorders>
          </w:tcPr>
          <w:p>
            <w:pPr/>
          </w:p>
        </w:tc>
        <w:tc>
          <w:tcPr>
            <w:tcW w:w="2270" w:type="dxa"/>
            <w:tcBorders>
              <w:top w:val="nil" w:sz="6" w:space="0" w:color="auto"/>
              <w:left w:val="nil" w:sz="6" w:space="0" w:color="auto"/>
              <w:bottom w:val="single" w:sz="4" w:space="0" w:color="000000"/>
              <w:right w:val="nil" w:sz="6" w:space="0" w:color="auto"/>
            </w:tcBorders>
          </w:tcPr>
          <w:p>
            <w:pPr>
              <w:pStyle w:val="TableParagraph"/>
              <w:spacing w:line="217" w:lineRule="exact"/>
              <w:ind w:right="25"/>
              <w:jc w:val="right"/>
              <w:rPr>
                <w:rFonts w:ascii="宋体" w:hAnsi="宋体" w:cs="宋体" w:eastAsia="宋体" w:hint="default"/>
                <w:sz w:val="18"/>
                <w:szCs w:val="18"/>
              </w:rPr>
            </w:pPr>
            <w:r>
              <w:rPr>
                <w:rFonts w:ascii="宋体"/>
                <w:sz w:val="18"/>
              </w:rPr>
              <w:t>-</w:t>
            </w:r>
          </w:p>
        </w:tc>
        <w:tc>
          <w:tcPr>
            <w:tcW w:w="113"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single" w:sz="4" w:space="0" w:color="000000"/>
              <w:right w:val="nil" w:sz="6" w:space="0" w:color="auto"/>
            </w:tcBorders>
          </w:tcPr>
          <w:p>
            <w:pPr>
              <w:pStyle w:val="TableParagraph"/>
              <w:spacing w:line="217" w:lineRule="exact"/>
              <w:ind w:right="25"/>
              <w:jc w:val="right"/>
              <w:rPr>
                <w:rFonts w:ascii="宋体" w:hAnsi="宋体" w:cs="宋体" w:eastAsia="宋体" w:hint="default"/>
                <w:sz w:val="18"/>
                <w:szCs w:val="18"/>
              </w:rPr>
            </w:pPr>
            <w:r>
              <w:rPr>
                <w:rFonts w:ascii="宋体"/>
                <w:sz w:val="18"/>
              </w:rPr>
              <w:t>-</w:t>
            </w:r>
          </w:p>
        </w:tc>
        <w:tc>
          <w:tcPr>
            <w:tcW w:w="168" w:type="dxa"/>
            <w:tcBorders>
              <w:top w:val="nil" w:sz="6" w:space="0" w:color="auto"/>
              <w:left w:val="nil" w:sz="6" w:space="0" w:color="auto"/>
              <w:bottom w:val="nil" w:sz="6" w:space="0" w:color="auto"/>
              <w:right w:val="nil" w:sz="6" w:space="0" w:color="auto"/>
            </w:tcBorders>
          </w:tcPr>
          <w:p>
            <w:pPr/>
          </w:p>
        </w:tc>
        <w:tc>
          <w:tcPr>
            <w:tcW w:w="982" w:type="dxa"/>
            <w:tcBorders>
              <w:top w:val="nil" w:sz="6" w:space="0" w:color="auto"/>
              <w:left w:val="nil" w:sz="6" w:space="0" w:color="auto"/>
              <w:bottom w:val="single" w:sz="4" w:space="0" w:color="000000"/>
              <w:right w:val="nil" w:sz="6" w:space="0" w:color="auto"/>
            </w:tcBorders>
          </w:tcPr>
          <w:p>
            <w:pPr>
              <w:pStyle w:val="TableParagraph"/>
              <w:spacing w:line="217" w:lineRule="exact"/>
              <w:ind w:right="28"/>
              <w:jc w:val="right"/>
              <w:rPr>
                <w:rFonts w:ascii="宋体" w:hAnsi="宋体" w:cs="宋体" w:eastAsia="宋体" w:hint="default"/>
                <w:sz w:val="18"/>
                <w:szCs w:val="18"/>
              </w:rPr>
            </w:pPr>
            <w:r>
              <w:rPr>
                <w:rFonts w:ascii="宋体"/>
                <w:sz w:val="18"/>
              </w:rPr>
              <w:t>-</w:t>
            </w:r>
          </w:p>
        </w:tc>
        <w:tc>
          <w:tcPr>
            <w:tcW w:w="120" w:type="dxa"/>
            <w:tcBorders>
              <w:top w:val="nil" w:sz="6" w:space="0" w:color="auto"/>
              <w:left w:val="nil" w:sz="6" w:space="0" w:color="auto"/>
              <w:bottom w:val="nil" w:sz="6" w:space="0" w:color="auto"/>
              <w:right w:val="nil" w:sz="6" w:space="0" w:color="auto"/>
            </w:tcBorders>
          </w:tcPr>
          <w:p>
            <w:pPr/>
          </w:p>
        </w:tc>
        <w:tc>
          <w:tcPr>
            <w:tcW w:w="799" w:type="dxa"/>
            <w:tcBorders>
              <w:top w:val="nil" w:sz="6" w:space="0" w:color="auto"/>
              <w:left w:val="nil" w:sz="6" w:space="0" w:color="auto"/>
              <w:bottom w:val="single" w:sz="4" w:space="0" w:color="000000"/>
              <w:right w:val="nil" w:sz="6" w:space="0" w:color="auto"/>
            </w:tcBorders>
          </w:tcPr>
          <w:p>
            <w:pPr>
              <w:pStyle w:val="TableParagraph"/>
              <w:spacing w:line="217" w:lineRule="exact"/>
              <w:ind w:right="25"/>
              <w:jc w:val="right"/>
              <w:rPr>
                <w:rFonts w:ascii="宋体" w:hAnsi="宋体" w:cs="宋体" w:eastAsia="宋体" w:hint="default"/>
                <w:sz w:val="18"/>
                <w:szCs w:val="18"/>
              </w:rPr>
            </w:pPr>
            <w:r>
              <w:rPr>
                <w:rFonts w:ascii="宋体"/>
                <w:sz w:val="18"/>
              </w:rPr>
              <w:t>-</w:t>
            </w:r>
          </w:p>
        </w:tc>
        <w:tc>
          <w:tcPr>
            <w:tcW w:w="1118" w:type="dxa"/>
            <w:tcBorders>
              <w:top w:val="nil" w:sz="6" w:space="0" w:color="auto"/>
              <w:left w:val="nil" w:sz="6" w:space="0" w:color="auto"/>
              <w:bottom w:val="single" w:sz="4" w:space="0" w:color="000000"/>
              <w:right w:val="nil" w:sz="6" w:space="0" w:color="auto"/>
            </w:tcBorders>
          </w:tcPr>
          <w:p>
            <w:pPr/>
          </w:p>
        </w:tc>
        <w:tc>
          <w:tcPr>
            <w:tcW w:w="1398" w:type="dxa"/>
            <w:tcBorders>
              <w:top w:val="nil" w:sz="6" w:space="0" w:color="auto"/>
              <w:left w:val="nil" w:sz="6" w:space="0" w:color="auto"/>
              <w:bottom w:val="single" w:sz="4" w:space="0" w:color="000000"/>
              <w:right w:val="nil" w:sz="6" w:space="0" w:color="auto"/>
            </w:tcBorders>
          </w:tcPr>
          <w:p>
            <w:pPr>
              <w:pStyle w:val="TableParagraph"/>
              <w:spacing w:line="217" w:lineRule="exact"/>
              <w:ind w:left="67" w:right="0"/>
              <w:jc w:val="left"/>
              <w:rPr>
                <w:rFonts w:ascii="宋体" w:hAnsi="宋体" w:cs="宋体" w:eastAsia="宋体" w:hint="default"/>
                <w:sz w:val="18"/>
                <w:szCs w:val="18"/>
              </w:rPr>
            </w:pPr>
            <w:r>
              <w:rPr>
                <w:rFonts w:ascii="宋体"/>
                <w:sz w:val="18"/>
              </w:rPr>
              <w:t>-</w:t>
            </w:r>
          </w:p>
        </w:tc>
        <w:tc>
          <w:tcPr>
            <w:tcW w:w="1439" w:type="dxa"/>
            <w:tcBorders>
              <w:top w:val="nil" w:sz="6" w:space="0" w:color="auto"/>
              <w:left w:val="nil" w:sz="6" w:space="0" w:color="auto"/>
              <w:bottom w:val="single" w:sz="4" w:space="0" w:color="000000"/>
              <w:right w:val="nil" w:sz="6" w:space="0" w:color="auto"/>
            </w:tcBorders>
          </w:tcPr>
          <w:p>
            <w:pPr>
              <w:pStyle w:val="TableParagraph"/>
              <w:spacing w:line="217" w:lineRule="exact"/>
              <w:ind w:left="-1" w:right="0"/>
              <w:jc w:val="left"/>
              <w:rPr>
                <w:rFonts w:ascii="宋体" w:hAnsi="宋体" w:cs="宋体" w:eastAsia="宋体" w:hint="default"/>
                <w:sz w:val="18"/>
                <w:szCs w:val="18"/>
              </w:rPr>
            </w:pPr>
            <w:r>
              <w:rPr>
                <w:rFonts w:ascii="宋体"/>
                <w:sz w:val="18"/>
              </w:rPr>
              <w:t>-</w:t>
            </w:r>
          </w:p>
        </w:tc>
        <w:tc>
          <w:tcPr>
            <w:tcW w:w="161" w:type="dxa"/>
            <w:tcBorders>
              <w:top w:val="nil" w:sz="6" w:space="0" w:color="auto"/>
              <w:left w:val="nil" w:sz="6" w:space="0" w:color="auto"/>
              <w:bottom w:val="single" w:sz="4" w:space="0" w:color="000000"/>
              <w:right w:val="nil" w:sz="6" w:space="0" w:color="auto"/>
            </w:tcBorders>
          </w:tcPr>
          <w:p>
            <w:pPr>
              <w:pStyle w:val="TableParagraph"/>
              <w:spacing w:line="217" w:lineRule="exact"/>
              <w:ind w:left="43" w:right="0"/>
              <w:jc w:val="left"/>
              <w:rPr>
                <w:rFonts w:ascii="宋体" w:hAnsi="宋体" w:cs="宋体" w:eastAsia="宋体" w:hint="default"/>
                <w:sz w:val="18"/>
                <w:szCs w:val="18"/>
              </w:rPr>
            </w:pPr>
            <w:r>
              <w:rPr>
                <w:rFonts w:ascii="宋体"/>
                <w:sz w:val="18"/>
              </w:rPr>
              <w:t>-</w:t>
            </w:r>
          </w:p>
        </w:tc>
        <w:tc>
          <w:tcPr>
            <w:tcW w:w="103" w:type="dxa"/>
            <w:tcBorders>
              <w:top w:val="nil" w:sz="6" w:space="0" w:color="auto"/>
              <w:left w:val="nil" w:sz="6" w:space="0" w:color="auto"/>
              <w:bottom w:val="nil" w:sz="6" w:space="0" w:color="auto"/>
              <w:right w:val="nil" w:sz="6" w:space="0" w:color="auto"/>
            </w:tcBorders>
          </w:tcPr>
          <w:p>
            <w:pPr/>
          </w:p>
        </w:tc>
        <w:tc>
          <w:tcPr>
            <w:tcW w:w="1178" w:type="dxa"/>
            <w:tcBorders>
              <w:top w:val="nil" w:sz="6" w:space="0" w:color="auto"/>
              <w:left w:val="nil" w:sz="6" w:space="0" w:color="auto"/>
              <w:bottom w:val="single" w:sz="4" w:space="0" w:color="000000"/>
              <w:right w:val="nil" w:sz="6" w:space="0" w:color="auto"/>
            </w:tcBorders>
          </w:tcPr>
          <w:p>
            <w:pPr>
              <w:pStyle w:val="TableParagraph"/>
              <w:spacing w:line="217" w:lineRule="exact"/>
              <w:ind w:right="25"/>
              <w:jc w:val="right"/>
              <w:rPr>
                <w:rFonts w:ascii="宋体" w:hAnsi="宋体" w:cs="宋体" w:eastAsia="宋体" w:hint="default"/>
                <w:sz w:val="18"/>
                <w:szCs w:val="18"/>
              </w:rPr>
            </w:pPr>
            <w:r>
              <w:rPr>
                <w:rFonts w:ascii="宋体"/>
                <w:sz w:val="18"/>
              </w:rPr>
              <w:t>-</w:t>
            </w:r>
          </w:p>
        </w:tc>
        <w:tc>
          <w:tcPr>
            <w:tcW w:w="2004" w:type="dxa"/>
            <w:tcBorders>
              <w:top w:val="nil" w:sz="6" w:space="0" w:color="auto"/>
              <w:left w:val="nil" w:sz="6" w:space="0" w:color="auto"/>
              <w:bottom w:val="single" w:sz="4" w:space="0" w:color="000000"/>
              <w:right w:val="nil" w:sz="6" w:space="0" w:color="auto"/>
            </w:tcBorders>
          </w:tcPr>
          <w:p>
            <w:pPr>
              <w:pStyle w:val="TableParagraph"/>
              <w:spacing w:line="217" w:lineRule="exact"/>
              <w:ind w:right="563"/>
              <w:jc w:val="right"/>
              <w:rPr>
                <w:rFonts w:ascii="宋体" w:hAnsi="宋体" w:cs="宋体" w:eastAsia="宋体" w:hint="default"/>
                <w:sz w:val="18"/>
                <w:szCs w:val="18"/>
              </w:rPr>
            </w:pPr>
            <w:r>
              <w:rPr>
                <w:rFonts w:ascii="宋体"/>
                <w:sz w:val="18"/>
              </w:rPr>
              <w:t>-</w:t>
            </w:r>
          </w:p>
        </w:tc>
      </w:tr>
      <w:tr>
        <w:trPr>
          <w:trHeight w:val="283" w:hRule="exact"/>
        </w:trPr>
        <w:tc>
          <w:tcPr>
            <w:tcW w:w="108" w:type="dxa"/>
            <w:tcBorders>
              <w:top w:val="nil" w:sz="6" w:space="0" w:color="auto"/>
              <w:left w:val="nil" w:sz="6" w:space="0" w:color="auto"/>
              <w:bottom w:val="nil" w:sz="6" w:space="0" w:color="auto"/>
              <w:right w:val="nil" w:sz="6" w:space="0" w:color="auto"/>
            </w:tcBorders>
          </w:tcPr>
          <w:p>
            <w:pPr/>
          </w:p>
        </w:tc>
        <w:tc>
          <w:tcPr>
            <w:tcW w:w="2621" w:type="dxa"/>
            <w:tcBorders>
              <w:top w:val="nil" w:sz="6" w:space="0" w:color="auto"/>
              <w:left w:val="nil" w:sz="6" w:space="0" w:color="auto"/>
              <w:bottom w:val="nil" w:sz="6" w:space="0" w:color="auto"/>
              <w:right w:val="nil" w:sz="6" w:space="0" w:color="auto"/>
            </w:tcBorders>
          </w:tcPr>
          <w:p>
            <w:pPr>
              <w:pStyle w:val="TableParagraph"/>
              <w:spacing w:line="222" w:lineRule="exact"/>
              <w:ind w:left="28" w:right="0"/>
              <w:jc w:val="left"/>
              <w:rPr>
                <w:rFonts w:ascii="宋体" w:hAnsi="宋体" w:cs="宋体" w:eastAsia="宋体" w:hint="default"/>
                <w:sz w:val="18"/>
                <w:szCs w:val="18"/>
              </w:rPr>
            </w:pPr>
            <w:r>
              <w:rPr>
                <w:rFonts w:ascii="宋体" w:hAnsi="宋体" w:cs="宋体" w:eastAsia="宋体" w:hint="default"/>
                <w:b/>
                <w:bCs/>
                <w:sz w:val="18"/>
                <w:szCs w:val="18"/>
              </w:rPr>
              <w:t>四、本年年末余额</w:t>
            </w:r>
            <w:r>
              <w:rPr>
                <w:rFonts w:ascii="宋体" w:hAnsi="宋体" w:cs="宋体" w:eastAsia="宋体" w:hint="default"/>
                <w:sz w:val="18"/>
                <w:szCs w:val="18"/>
              </w:rPr>
            </w:r>
          </w:p>
        </w:tc>
        <w:tc>
          <w:tcPr>
            <w:tcW w:w="161" w:type="dxa"/>
            <w:tcBorders>
              <w:top w:val="nil" w:sz="6" w:space="0" w:color="auto"/>
              <w:left w:val="nil" w:sz="6" w:space="0" w:color="auto"/>
              <w:bottom w:val="nil" w:sz="6" w:space="0" w:color="auto"/>
              <w:right w:val="nil" w:sz="6" w:space="0" w:color="auto"/>
            </w:tcBorders>
          </w:tcPr>
          <w:p>
            <w:pPr/>
          </w:p>
        </w:tc>
        <w:tc>
          <w:tcPr>
            <w:tcW w:w="2270" w:type="dxa"/>
            <w:tcBorders>
              <w:top w:val="single" w:sz="4" w:space="0" w:color="000000"/>
              <w:left w:val="nil" w:sz="6" w:space="0" w:color="auto"/>
              <w:bottom w:val="nil" w:sz="6" w:space="0" w:color="auto"/>
              <w:right w:val="nil" w:sz="6" w:space="0" w:color="auto"/>
            </w:tcBorders>
          </w:tcPr>
          <w:p>
            <w:pPr>
              <w:pStyle w:val="TableParagraph"/>
              <w:spacing w:line="217" w:lineRule="exact"/>
              <w:ind w:right="98"/>
              <w:jc w:val="right"/>
              <w:rPr>
                <w:rFonts w:ascii="宋体" w:hAnsi="宋体" w:cs="宋体" w:eastAsia="宋体" w:hint="default"/>
                <w:sz w:val="18"/>
                <w:szCs w:val="18"/>
              </w:rPr>
            </w:pPr>
            <w:r>
              <w:rPr>
                <w:rFonts w:ascii="宋体"/>
                <w:spacing w:val="-1"/>
                <w:sz w:val="18"/>
              </w:rPr>
              <w:t>88,000,000.00</w:t>
            </w:r>
            <w:r>
              <w:rPr>
                <w:rFonts w:ascii="宋体"/>
                <w:sz w:val="18"/>
              </w:rPr>
            </w:r>
          </w:p>
        </w:tc>
        <w:tc>
          <w:tcPr>
            <w:tcW w:w="113" w:type="dxa"/>
            <w:tcBorders>
              <w:top w:val="nil" w:sz="6" w:space="0" w:color="auto"/>
              <w:left w:val="nil" w:sz="6" w:space="0" w:color="auto"/>
              <w:bottom w:val="nil" w:sz="6" w:space="0" w:color="auto"/>
              <w:right w:val="nil" w:sz="6" w:space="0" w:color="auto"/>
            </w:tcBorders>
          </w:tcPr>
          <w:p>
            <w:pPr/>
          </w:p>
        </w:tc>
        <w:tc>
          <w:tcPr>
            <w:tcW w:w="1418" w:type="dxa"/>
            <w:tcBorders>
              <w:top w:val="single" w:sz="4" w:space="0" w:color="000000"/>
              <w:left w:val="nil" w:sz="6" w:space="0" w:color="auto"/>
              <w:bottom w:val="nil" w:sz="6" w:space="0" w:color="auto"/>
              <w:right w:val="nil" w:sz="6" w:space="0" w:color="auto"/>
            </w:tcBorders>
          </w:tcPr>
          <w:p>
            <w:pPr>
              <w:pStyle w:val="TableParagraph"/>
              <w:spacing w:line="217" w:lineRule="exact"/>
              <w:ind w:left="28" w:right="0"/>
              <w:jc w:val="left"/>
              <w:rPr>
                <w:rFonts w:ascii="宋体" w:hAnsi="宋体" w:cs="宋体" w:eastAsia="宋体" w:hint="default"/>
                <w:sz w:val="18"/>
                <w:szCs w:val="18"/>
              </w:rPr>
            </w:pPr>
            <w:r>
              <w:rPr>
                <w:rFonts w:ascii="宋体"/>
                <w:sz w:val="18"/>
              </w:rPr>
              <w:t>132,980,990.76</w:t>
            </w:r>
          </w:p>
        </w:tc>
        <w:tc>
          <w:tcPr>
            <w:tcW w:w="168" w:type="dxa"/>
            <w:tcBorders>
              <w:top w:val="nil" w:sz="6" w:space="0" w:color="auto"/>
              <w:left w:val="nil" w:sz="6" w:space="0" w:color="auto"/>
              <w:bottom w:val="nil" w:sz="6" w:space="0" w:color="auto"/>
              <w:right w:val="nil" w:sz="6" w:space="0" w:color="auto"/>
            </w:tcBorders>
          </w:tcPr>
          <w:p>
            <w:pPr/>
          </w:p>
        </w:tc>
        <w:tc>
          <w:tcPr>
            <w:tcW w:w="982" w:type="dxa"/>
            <w:tcBorders>
              <w:top w:val="single" w:sz="4" w:space="0" w:color="000000"/>
              <w:left w:val="nil" w:sz="6" w:space="0" w:color="auto"/>
              <w:bottom w:val="nil" w:sz="6" w:space="0" w:color="auto"/>
              <w:right w:val="nil" w:sz="6" w:space="0" w:color="auto"/>
            </w:tcBorders>
          </w:tcPr>
          <w:p>
            <w:pPr>
              <w:pStyle w:val="TableParagraph"/>
              <w:spacing w:line="217" w:lineRule="exact"/>
              <w:ind w:left="28" w:right="0"/>
              <w:jc w:val="left"/>
              <w:rPr>
                <w:rFonts w:ascii="宋体" w:hAnsi="宋体" w:cs="宋体" w:eastAsia="宋体" w:hint="default"/>
                <w:sz w:val="18"/>
                <w:szCs w:val="18"/>
              </w:rPr>
            </w:pPr>
            <w:r>
              <w:rPr>
                <w:rFonts w:ascii="宋体"/>
                <w:sz w:val="18"/>
              </w:rPr>
              <w:t>-</w:t>
            </w:r>
          </w:p>
        </w:tc>
        <w:tc>
          <w:tcPr>
            <w:tcW w:w="120" w:type="dxa"/>
            <w:tcBorders>
              <w:top w:val="nil" w:sz="6" w:space="0" w:color="auto"/>
              <w:left w:val="nil" w:sz="6" w:space="0" w:color="auto"/>
              <w:bottom w:val="nil" w:sz="6" w:space="0" w:color="auto"/>
              <w:right w:val="nil" w:sz="6" w:space="0" w:color="auto"/>
            </w:tcBorders>
          </w:tcPr>
          <w:p>
            <w:pPr/>
          </w:p>
        </w:tc>
        <w:tc>
          <w:tcPr>
            <w:tcW w:w="799" w:type="dxa"/>
            <w:tcBorders>
              <w:top w:val="single" w:sz="4" w:space="0" w:color="000000"/>
              <w:left w:val="nil" w:sz="6" w:space="0" w:color="auto"/>
              <w:bottom w:val="single" w:sz="17" w:space="0" w:color="000000"/>
              <w:right w:val="nil" w:sz="6" w:space="0" w:color="auto"/>
            </w:tcBorders>
          </w:tcPr>
          <w:p>
            <w:pPr>
              <w:pStyle w:val="TableParagraph"/>
              <w:spacing w:line="217" w:lineRule="exact"/>
              <w:ind w:left="28" w:right="0"/>
              <w:jc w:val="left"/>
              <w:rPr>
                <w:rFonts w:ascii="宋体" w:hAnsi="宋体" w:cs="宋体" w:eastAsia="宋体" w:hint="default"/>
                <w:sz w:val="18"/>
                <w:szCs w:val="18"/>
              </w:rPr>
            </w:pPr>
            <w:r>
              <w:rPr>
                <w:rFonts w:ascii="宋体"/>
                <w:sz w:val="18"/>
              </w:rPr>
              <w:t>-</w:t>
            </w:r>
          </w:p>
        </w:tc>
        <w:tc>
          <w:tcPr>
            <w:tcW w:w="2516" w:type="dxa"/>
            <w:gridSpan w:val="2"/>
            <w:tcBorders>
              <w:top w:val="nil" w:sz="6" w:space="0" w:color="auto"/>
              <w:left w:val="nil" w:sz="6" w:space="0" w:color="auto"/>
              <w:bottom w:val="single" w:sz="17" w:space="0" w:color="000000"/>
              <w:right w:val="nil" w:sz="6" w:space="0" w:color="auto"/>
            </w:tcBorders>
          </w:tcPr>
          <w:p>
            <w:pPr>
              <w:pStyle w:val="TableParagraph"/>
              <w:spacing w:line="222" w:lineRule="exact"/>
              <w:ind w:left="105" w:right="0"/>
              <w:jc w:val="left"/>
              <w:rPr>
                <w:rFonts w:ascii="宋体" w:hAnsi="宋体" w:cs="宋体" w:eastAsia="宋体" w:hint="default"/>
                <w:sz w:val="18"/>
                <w:szCs w:val="18"/>
              </w:rPr>
            </w:pPr>
            <w:r>
              <w:rPr>
                <w:rFonts w:ascii="宋体"/>
                <w:sz w:val="18"/>
              </w:rPr>
              <w:t>11,736,079.47</w:t>
            </w:r>
          </w:p>
        </w:tc>
        <w:tc>
          <w:tcPr>
            <w:tcW w:w="1439" w:type="dxa"/>
            <w:tcBorders>
              <w:top w:val="single" w:sz="4" w:space="0" w:color="000000"/>
              <w:left w:val="nil" w:sz="6" w:space="0" w:color="auto"/>
              <w:bottom w:val="single" w:sz="17" w:space="0" w:color="000000"/>
              <w:right w:val="nil" w:sz="6" w:space="0" w:color="auto"/>
            </w:tcBorders>
          </w:tcPr>
          <w:p>
            <w:pPr>
              <w:pStyle w:val="TableParagraph"/>
              <w:spacing w:line="217" w:lineRule="exact"/>
              <w:ind w:right="41"/>
              <w:jc w:val="right"/>
              <w:rPr>
                <w:rFonts w:ascii="宋体" w:hAnsi="宋体" w:cs="宋体" w:eastAsia="宋体" w:hint="default"/>
                <w:sz w:val="18"/>
                <w:szCs w:val="18"/>
              </w:rPr>
            </w:pPr>
            <w:r>
              <w:rPr>
                <w:rFonts w:ascii="宋体"/>
                <w:spacing w:val="-1"/>
                <w:sz w:val="18"/>
              </w:rPr>
              <w:t>86,282,907.86</w:t>
            </w:r>
            <w:r>
              <w:rPr>
                <w:rFonts w:ascii="宋体"/>
                <w:sz w:val="18"/>
              </w:rPr>
            </w:r>
          </w:p>
        </w:tc>
        <w:tc>
          <w:tcPr>
            <w:tcW w:w="161" w:type="dxa"/>
            <w:tcBorders>
              <w:top w:val="single" w:sz="4" w:space="0" w:color="000000"/>
              <w:left w:val="nil" w:sz="6" w:space="0" w:color="auto"/>
              <w:bottom w:val="single" w:sz="17" w:space="0" w:color="000000"/>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
        </w:tc>
        <w:tc>
          <w:tcPr>
            <w:tcW w:w="1178" w:type="dxa"/>
            <w:tcBorders>
              <w:top w:val="single" w:sz="4" w:space="0" w:color="000000"/>
              <w:left w:val="nil" w:sz="6" w:space="0" w:color="auto"/>
              <w:bottom w:val="single" w:sz="17" w:space="0" w:color="000000"/>
              <w:right w:val="nil" w:sz="6" w:space="0" w:color="auto"/>
            </w:tcBorders>
          </w:tcPr>
          <w:p>
            <w:pPr/>
          </w:p>
        </w:tc>
        <w:tc>
          <w:tcPr>
            <w:tcW w:w="2004" w:type="dxa"/>
            <w:tcBorders>
              <w:top w:val="single" w:sz="4" w:space="0" w:color="000000"/>
              <w:left w:val="nil" w:sz="6" w:space="0" w:color="auto"/>
              <w:bottom w:val="single" w:sz="17" w:space="0" w:color="000000"/>
              <w:right w:val="nil" w:sz="6" w:space="0" w:color="auto"/>
            </w:tcBorders>
          </w:tcPr>
          <w:p>
            <w:pPr>
              <w:pStyle w:val="TableParagraph"/>
              <w:spacing w:line="217" w:lineRule="exact"/>
              <w:ind w:left="107" w:right="0"/>
              <w:jc w:val="left"/>
              <w:rPr>
                <w:rFonts w:ascii="宋体" w:hAnsi="宋体" w:cs="宋体" w:eastAsia="宋体" w:hint="default"/>
                <w:sz w:val="18"/>
                <w:szCs w:val="18"/>
              </w:rPr>
            </w:pPr>
            <w:r>
              <w:rPr>
                <w:rFonts w:ascii="宋体"/>
                <w:sz w:val="18"/>
              </w:rPr>
              <w:t>318,999,978.09</w:t>
            </w:r>
          </w:p>
        </w:tc>
      </w:tr>
      <w:tr>
        <w:trPr>
          <w:trHeight w:val="228" w:hRule="exact"/>
        </w:trPr>
        <w:tc>
          <w:tcPr>
            <w:tcW w:w="108" w:type="dxa"/>
            <w:tcBorders>
              <w:top w:val="nil" w:sz="6" w:space="0" w:color="auto"/>
              <w:left w:val="nil" w:sz="6" w:space="0" w:color="auto"/>
              <w:bottom w:val="nil" w:sz="6" w:space="0" w:color="auto"/>
              <w:right w:val="nil" w:sz="6" w:space="0" w:color="auto"/>
            </w:tcBorders>
          </w:tcPr>
          <w:p>
            <w:pPr/>
          </w:p>
        </w:tc>
        <w:tc>
          <w:tcPr>
            <w:tcW w:w="2621" w:type="dxa"/>
            <w:tcBorders>
              <w:top w:val="nil" w:sz="6" w:space="0" w:color="auto"/>
              <w:left w:val="nil" w:sz="6" w:space="0" w:color="auto"/>
              <w:bottom w:val="single" w:sz="4" w:space="0" w:color="000000"/>
              <w:right w:val="nil" w:sz="6" w:space="0" w:color="auto"/>
            </w:tcBorders>
          </w:tcPr>
          <w:p>
            <w:pPr/>
          </w:p>
        </w:tc>
        <w:tc>
          <w:tcPr>
            <w:tcW w:w="161" w:type="dxa"/>
            <w:tcBorders>
              <w:top w:val="nil" w:sz="6" w:space="0" w:color="auto"/>
              <w:left w:val="nil" w:sz="6" w:space="0" w:color="auto"/>
              <w:bottom w:val="single" w:sz="4" w:space="0" w:color="000000"/>
              <w:right w:val="nil" w:sz="6" w:space="0" w:color="auto"/>
            </w:tcBorders>
          </w:tcPr>
          <w:p>
            <w:pPr/>
          </w:p>
        </w:tc>
        <w:tc>
          <w:tcPr>
            <w:tcW w:w="2270" w:type="dxa"/>
            <w:tcBorders>
              <w:top w:val="nil" w:sz="6" w:space="0" w:color="auto"/>
              <w:left w:val="nil" w:sz="6" w:space="0" w:color="auto"/>
              <w:bottom w:val="single" w:sz="4" w:space="0" w:color="000000"/>
              <w:right w:val="nil" w:sz="6" w:space="0" w:color="auto"/>
            </w:tcBorders>
          </w:tcPr>
          <w:p>
            <w:pPr/>
          </w:p>
        </w:tc>
        <w:tc>
          <w:tcPr>
            <w:tcW w:w="113" w:type="dxa"/>
            <w:tcBorders>
              <w:top w:val="nil" w:sz="6" w:space="0" w:color="auto"/>
              <w:left w:val="nil" w:sz="6" w:space="0" w:color="auto"/>
              <w:bottom w:val="single" w:sz="4" w:space="0" w:color="000000"/>
              <w:right w:val="nil" w:sz="6" w:space="0" w:color="auto"/>
            </w:tcBorders>
          </w:tcPr>
          <w:p>
            <w:pPr/>
          </w:p>
        </w:tc>
        <w:tc>
          <w:tcPr>
            <w:tcW w:w="1418" w:type="dxa"/>
            <w:tcBorders>
              <w:top w:val="nil" w:sz="6" w:space="0" w:color="auto"/>
              <w:left w:val="nil" w:sz="6" w:space="0" w:color="auto"/>
              <w:bottom w:val="single" w:sz="4" w:space="0" w:color="000000"/>
              <w:right w:val="nil" w:sz="6" w:space="0" w:color="auto"/>
            </w:tcBorders>
          </w:tcPr>
          <w:p>
            <w:pPr/>
          </w:p>
        </w:tc>
        <w:tc>
          <w:tcPr>
            <w:tcW w:w="168" w:type="dxa"/>
            <w:tcBorders>
              <w:top w:val="nil" w:sz="6" w:space="0" w:color="auto"/>
              <w:left w:val="nil" w:sz="6" w:space="0" w:color="auto"/>
              <w:bottom w:val="single" w:sz="4" w:space="0" w:color="000000"/>
              <w:right w:val="nil" w:sz="6" w:space="0" w:color="auto"/>
            </w:tcBorders>
          </w:tcPr>
          <w:p>
            <w:pPr/>
          </w:p>
        </w:tc>
        <w:tc>
          <w:tcPr>
            <w:tcW w:w="982" w:type="dxa"/>
            <w:tcBorders>
              <w:top w:val="nil" w:sz="6" w:space="0" w:color="auto"/>
              <w:left w:val="nil" w:sz="6" w:space="0" w:color="auto"/>
              <w:bottom w:val="single" w:sz="4" w:space="0" w:color="000000"/>
              <w:right w:val="nil" w:sz="6" w:space="0" w:color="auto"/>
            </w:tcBorders>
          </w:tcPr>
          <w:p>
            <w:pPr/>
          </w:p>
        </w:tc>
        <w:tc>
          <w:tcPr>
            <w:tcW w:w="120" w:type="dxa"/>
            <w:tcBorders>
              <w:top w:val="nil" w:sz="6" w:space="0" w:color="auto"/>
              <w:left w:val="nil" w:sz="6" w:space="0" w:color="auto"/>
              <w:bottom w:val="single" w:sz="4" w:space="0" w:color="000000"/>
              <w:right w:val="nil" w:sz="6" w:space="0" w:color="auto"/>
            </w:tcBorders>
          </w:tcPr>
          <w:p>
            <w:pPr/>
          </w:p>
        </w:tc>
        <w:tc>
          <w:tcPr>
            <w:tcW w:w="799" w:type="dxa"/>
            <w:tcBorders>
              <w:top w:val="single" w:sz="17" w:space="0" w:color="000000"/>
              <w:left w:val="nil" w:sz="6" w:space="0" w:color="auto"/>
              <w:bottom w:val="single" w:sz="4" w:space="0" w:color="000000"/>
              <w:right w:val="nil" w:sz="6" w:space="0" w:color="auto"/>
            </w:tcBorders>
          </w:tcPr>
          <w:p>
            <w:pPr/>
          </w:p>
        </w:tc>
        <w:tc>
          <w:tcPr>
            <w:tcW w:w="2516" w:type="dxa"/>
            <w:gridSpan w:val="2"/>
            <w:tcBorders>
              <w:top w:val="single" w:sz="17" w:space="0" w:color="000000"/>
              <w:left w:val="nil" w:sz="6" w:space="0" w:color="auto"/>
              <w:bottom w:val="single" w:sz="4" w:space="0" w:color="000000"/>
              <w:right w:val="nil" w:sz="6" w:space="0" w:color="auto"/>
            </w:tcBorders>
          </w:tcPr>
          <w:p>
            <w:pPr/>
          </w:p>
        </w:tc>
        <w:tc>
          <w:tcPr>
            <w:tcW w:w="1439" w:type="dxa"/>
            <w:tcBorders>
              <w:top w:val="single" w:sz="17" w:space="0" w:color="000000"/>
              <w:left w:val="nil" w:sz="6" w:space="0" w:color="auto"/>
              <w:bottom w:val="single" w:sz="4" w:space="0" w:color="000000"/>
              <w:right w:val="nil" w:sz="6" w:space="0" w:color="auto"/>
            </w:tcBorders>
          </w:tcPr>
          <w:p>
            <w:pPr/>
          </w:p>
        </w:tc>
        <w:tc>
          <w:tcPr>
            <w:tcW w:w="161" w:type="dxa"/>
            <w:tcBorders>
              <w:top w:val="single" w:sz="17" w:space="0" w:color="000000"/>
              <w:left w:val="nil" w:sz="6" w:space="0" w:color="auto"/>
              <w:bottom w:val="single" w:sz="4" w:space="0" w:color="000000"/>
              <w:right w:val="nil" w:sz="6" w:space="0" w:color="auto"/>
            </w:tcBorders>
          </w:tcPr>
          <w:p>
            <w:pPr/>
          </w:p>
        </w:tc>
        <w:tc>
          <w:tcPr>
            <w:tcW w:w="103" w:type="dxa"/>
            <w:tcBorders>
              <w:top w:val="nil" w:sz="6" w:space="0" w:color="auto"/>
              <w:left w:val="nil" w:sz="6" w:space="0" w:color="auto"/>
              <w:bottom w:val="single" w:sz="4" w:space="0" w:color="000000"/>
              <w:right w:val="nil" w:sz="6" w:space="0" w:color="auto"/>
            </w:tcBorders>
          </w:tcPr>
          <w:p>
            <w:pPr/>
          </w:p>
        </w:tc>
        <w:tc>
          <w:tcPr>
            <w:tcW w:w="1178" w:type="dxa"/>
            <w:tcBorders>
              <w:top w:val="single" w:sz="17" w:space="0" w:color="000000"/>
              <w:left w:val="nil" w:sz="6" w:space="0" w:color="auto"/>
              <w:bottom w:val="single" w:sz="4" w:space="0" w:color="000000"/>
              <w:right w:val="nil" w:sz="6" w:space="0" w:color="auto"/>
            </w:tcBorders>
          </w:tcPr>
          <w:p>
            <w:pPr/>
          </w:p>
        </w:tc>
        <w:tc>
          <w:tcPr>
            <w:tcW w:w="2004" w:type="dxa"/>
            <w:tcBorders>
              <w:top w:val="single" w:sz="17" w:space="0" w:color="000000"/>
              <w:left w:val="nil" w:sz="6" w:space="0" w:color="auto"/>
              <w:bottom w:val="single" w:sz="4" w:space="0" w:color="000000"/>
              <w:right w:val="nil" w:sz="6" w:space="0" w:color="auto"/>
            </w:tcBorders>
          </w:tcPr>
          <w:p>
            <w:pPr/>
          </w:p>
        </w:tc>
      </w:tr>
      <w:tr>
        <w:trPr>
          <w:trHeight w:val="220" w:hRule="exact"/>
        </w:trPr>
        <w:tc>
          <w:tcPr>
            <w:tcW w:w="16162" w:type="dxa"/>
            <w:gridSpan w:val="17"/>
            <w:tcBorders>
              <w:top w:val="single" w:sz="4" w:space="0" w:color="000000"/>
              <w:left w:val="nil" w:sz="6" w:space="0" w:color="auto"/>
              <w:bottom w:val="nil" w:sz="6" w:space="0" w:color="auto"/>
              <w:right w:val="nil" w:sz="6" w:space="0" w:color="auto"/>
            </w:tcBorders>
          </w:tcPr>
          <w:p>
            <w:pPr>
              <w:pStyle w:val="TableParagraph"/>
              <w:tabs>
                <w:tab w:pos="5632" w:val="left" w:leader="none"/>
                <w:tab w:pos="11306" w:val="left" w:leader="none"/>
              </w:tabs>
              <w:spacing w:line="215" w:lineRule="exact"/>
              <w:ind w:left="228" w:right="0"/>
              <w:jc w:val="left"/>
              <w:rPr>
                <w:rFonts w:ascii="宋体" w:hAnsi="宋体" w:cs="宋体" w:eastAsia="宋体" w:hint="default"/>
                <w:sz w:val="18"/>
                <w:szCs w:val="18"/>
              </w:rPr>
            </w:pPr>
            <w:r>
              <w:rPr>
                <w:rFonts w:ascii="宋体" w:hAnsi="宋体" w:cs="宋体" w:eastAsia="宋体" w:hint="default"/>
                <w:sz w:val="18"/>
                <w:szCs w:val="18"/>
              </w:rPr>
              <w:t>公司负责人：</w:t>
            </w:r>
            <w:r>
              <w:rPr>
                <w:rFonts w:ascii="宋体" w:hAnsi="宋体" w:cs="宋体" w:eastAsia="宋体" w:hint="default"/>
                <w:spacing w:val="1"/>
                <w:sz w:val="18"/>
                <w:szCs w:val="18"/>
              </w:rPr>
              <w:t> </w:t>
            </w:r>
            <w:r>
              <w:rPr>
                <w:rFonts w:ascii="宋体" w:hAnsi="宋体" w:cs="宋体" w:eastAsia="宋体" w:hint="default"/>
                <w:sz w:val="18"/>
                <w:szCs w:val="18"/>
              </w:rPr>
              <w:t>黄元忠</w:t>
              <w:tab/>
              <w:t>主管会计工作负责人：</w:t>
            </w:r>
            <w:r>
              <w:rPr>
                <w:rFonts w:ascii="宋体" w:hAnsi="宋体" w:cs="宋体" w:eastAsia="宋体" w:hint="default"/>
                <w:spacing w:val="-2"/>
                <w:sz w:val="18"/>
                <w:szCs w:val="18"/>
              </w:rPr>
              <w:t> </w:t>
            </w:r>
            <w:r>
              <w:rPr>
                <w:rFonts w:ascii="宋体" w:hAnsi="宋体" w:cs="宋体" w:eastAsia="宋体" w:hint="default"/>
                <w:sz w:val="18"/>
                <w:szCs w:val="18"/>
              </w:rPr>
              <w:t>孙晓玲</w:t>
              <w:tab/>
              <w:t>会计机构负责人：全丽</w:t>
            </w:r>
          </w:p>
        </w:tc>
      </w:tr>
    </w:tbl>
    <w:p>
      <w:pPr>
        <w:spacing w:after="0" w:line="215" w:lineRule="exact"/>
        <w:jc w:val="left"/>
        <w:rPr>
          <w:rFonts w:ascii="宋体" w:hAnsi="宋体" w:cs="宋体" w:eastAsia="宋体" w:hint="default"/>
          <w:sz w:val="18"/>
          <w:szCs w:val="18"/>
        </w:rPr>
        <w:sectPr>
          <w:pgSz w:w="16840" w:h="11910" w:orient="landscape"/>
          <w:pgMar w:header="870" w:footer="979" w:top="1060" w:bottom="1160" w:left="420" w:right="20"/>
        </w:sectPr>
      </w:pPr>
    </w:p>
    <w:p>
      <w:pPr>
        <w:spacing w:line="240" w:lineRule="auto" w:before="2"/>
        <w:rPr>
          <w:rFonts w:ascii="Times New Roman" w:hAnsi="Times New Roman" w:cs="Times New Roman" w:eastAsia="Times New Roman" w:hint="default"/>
          <w:sz w:val="3"/>
          <w:szCs w:val="3"/>
        </w:rPr>
      </w:pPr>
      <w:r>
        <w:rPr/>
        <w:pict>
          <v:group style="position:absolute;margin-left:364.320007pt;margin-top:215.159973pt;width:202.95pt;height:.5pt;mso-position-horizontal-relative:page;mso-position-vertical-relative:page;z-index:-1159720" coordorigin="7286,4303" coordsize="4059,10">
            <v:shape style="position:absolute;left:7286;top:4303;width:2093;height:10" type="#_x0000_t75" stroked="false">
              <v:imagedata r:id="rId42" o:title=""/>
            </v:shape>
            <v:shape style="position:absolute;left:9379;top:4303;width:7;height:10" type="#_x0000_t75" stroked="false">
              <v:imagedata r:id="rId43" o:title=""/>
            </v:shape>
            <v:shape style="position:absolute;left:9374;top:4303;width:1970;height:10" type="#_x0000_t75" stroked="false">
              <v:imagedata r:id="rId44" o:title=""/>
            </v:shape>
            <w10:wrap type="none"/>
          </v:group>
        </w:pict>
      </w:r>
      <w:r>
        <w:rPr/>
        <w:pict>
          <v:group style="position:absolute;margin-left:364.320007pt;margin-top:280.199982pt;width:202.95pt;height:.5pt;mso-position-horizontal-relative:page;mso-position-vertical-relative:page;z-index:-1159696" coordorigin="7286,5604" coordsize="4059,10">
            <v:shape style="position:absolute;left:7286;top:5604;width:2093;height:10" type="#_x0000_t75" stroked="false">
              <v:imagedata r:id="rId24" o:title=""/>
            </v:shape>
            <v:shape style="position:absolute;left:9379;top:5604;width:7;height:10" type="#_x0000_t75" stroked="false">
              <v:imagedata r:id="rId43" o:title=""/>
            </v:shape>
            <v:shape style="position:absolute;left:9374;top:5604;width:1970;height:10" type="#_x0000_t75" stroked="false">
              <v:imagedata r:id="rId45" o:title=""/>
            </v:shape>
            <w10:wrap type="none"/>
          </v:group>
        </w:pict>
      </w:r>
      <w:r>
        <w:rPr/>
        <w:pict>
          <v:group style="position:absolute;margin-left:364.320007pt;margin-top:398.160004pt;width:202.95pt;height:.5pt;mso-position-horizontal-relative:page;mso-position-vertical-relative:page;z-index:-1159672" coordorigin="7286,7963" coordsize="4059,10">
            <v:shape style="position:absolute;left:7286;top:7963;width:2093;height:10" type="#_x0000_t75" stroked="false">
              <v:imagedata r:id="rId42" o:title=""/>
            </v:shape>
            <v:shape style="position:absolute;left:9379;top:7963;width:7;height:10" type="#_x0000_t75" stroked="false">
              <v:imagedata r:id="rId43" o:title=""/>
            </v:shape>
            <v:shape style="position:absolute;left:9374;top:7963;width:1970;height:10" type="#_x0000_t75" stroked="false">
              <v:imagedata r:id="rId44" o:title=""/>
            </v:shape>
            <w10:wrap type="none"/>
          </v:group>
        </w:pict>
      </w:r>
      <w:r>
        <w:rPr/>
        <w:pict>
          <v:group style="position:absolute;margin-left:364.320007pt;margin-top:475.679993pt;width:202.95pt;height:.5pt;mso-position-horizontal-relative:page;mso-position-vertical-relative:page;z-index:-1159648" coordorigin="7286,9514" coordsize="4059,10">
            <v:shape style="position:absolute;left:7286;top:9514;width:2093;height:10" type="#_x0000_t75" stroked="false">
              <v:imagedata r:id="rId24" o:title=""/>
            </v:shape>
            <v:shape style="position:absolute;left:9379;top:9514;width:7;height:10" type="#_x0000_t75" stroked="false">
              <v:imagedata r:id="rId43" o:title=""/>
            </v:shape>
            <v:shape style="position:absolute;left:9374;top:9514;width:1970;height:10" type="#_x0000_t75" stroked="false">
              <v:imagedata r:id="rId46" o:title=""/>
            </v:shape>
            <w10:wrap type="none"/>
          </v:group>
        </w:pict>
      </w:r>
      <w:r>
        <w:rPr/>
        <w:pict>
          <v:group style="position:absolute;margin-left:364.320007pt;margin-top:593.159973pt;width:202.95pt;height:.5pt;mso-position-horizontal-relative:page;mso-position-vertical-relative:page;z-index:-1159624" coordorigin="7286,11863" coordsize="4059,10">
            <v:shape style="position:absolute;left:7286;top:11863;width:2093;height:10" type="#_x0000_t75" stroked="false">
              <v:imagedata r:id="rId42" o:title=""/>
            </v:shape>
            <v:shape style="position:absolute;left:9379;top:11863;width:7;height:10" type="#_x0000_t75" stroked="false">
              <v:imagedata r:id="rId43" o:title=""/>
            </v:shape>
            <v:shape style="position:absolute;left:9374;top:11863;width:1970;height:10" type="#_x0000_t75" stroked="false">
              <v:imagedata r:id="rId44" o:title=""/>
            </v:shape>
            <w10:wrap type="none"/>
          </v:group>
        </w:pict>
      </w:r>
      <w:r>
        <w:rPr/>
        <w:pict>
          <v:group style="position:absolute;margin-left:364.320007pt;margin-top:658.200012pt;width:202.95pt;height:.5pt;mso-position-horizontal-relative:page;mso-position-vertical-relative:page;z-index:-1159600" coordorigin="7286,13164" coordsize="4059,10">
            <v:shape style="position:absolute;left:7286;top:13164;width:2093;height:10" type="#_x0000_t75" stroked="false">
              <v:imagedata r:id="rId24" o:title=""/>
            </v:shape>
            <v:shape style="position:absolute;left:9379;top:13164;width:7;height:10" type="#_x0000_t75" stroked="false">
              <v:imagedata r:id="rId43" o:title=""/>
            </v:shape>
            <v:shape style="position:absolute;left:9374;top:13164;width:1970;height:10" type="#_x0000_t75" stroked="false">
              <v:imagedata r:id="rId45" o:title=""/>
            </v:shape>
            <w10:wrap type="none"/>
          </v:group>
        </w:pict>
      </w:r>
    </w:p>
    <w:tbl>
      <w:tblPr>
        <w:tblW w:w="0" w:type="auto"/>
        <w:jc w:val="left"/>
        <w:tblInd w:w="117" w:type="dxa"/>
        <w:tblLayout w:type="fixed"/>
        <w:tblCellMar>
          <w:top w:w="0" w:type="dxa"/>
          <w:left w:w="0" w:type="dxa"/>
          <w:bottom w:w="0" w:type="dxa"/>
          <w:right w:w="0" w:type="dxa"/>
        </w:tblCellMar>
        <w:tblLook w:val="01E0"/>
      </w:tblPr>
      <w:tblGrid>
        <w:gridCol w:w="5266"/>
        <w:gridCol w:w="1404"/>
        <w:gridCol w:w="2179"/>
        <w:gridCol w:w="1980"/>
      </w:tblGrid>
      <w:tr>
        <w:trPr>
          <w:trHeight w:val="607" w:hRule="exact"/>
        </w:trPr>
        <w:tc>
          <w:tcPr>
            <w:tcW w:w="10829" w:type="dxa"/>
            <w:gridSpan w:val="4"/>
            <w:tcBorders>
              <w:top w:val="single" w:sz="6" w:space="0" w:color="000000"/>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67" w:right="0"/>
              <w:jc w:val="center"/>
              <w:rPr>
                <w:rFonts w:ascii="宋体" w:hAnsi="宋体" w:cs="宋体" w:eastAsia="宋体" w:hint="default"/>
                <w:sz w:val="24"/>
                <w:szCs w:val="24"/>
              </w:rPr>
            </w:pPr>
            <w:r>
              <w:rPr>
                <w:rFonts w:ascii="宋体" w:hAnsi="宋体" w:cs="宋体" w:eastAsia="宋体" w:hint="default"/>
                <w:sz w:val="24"/>
                <w:szCs w:val="24"/>
              </w:rPr>
              <w:t>深圳市方直科技股份有限公司</w:t>
            </w:r>
          </w:p>
        </w:tc>
      </w:tr>
      <w:tr>
        <w:trPr>
          <w:trHeight w:val="379" w:hRule="exact"/>
        </w:trPr>
        <w:tc>
          <w:tcPr>
            <w:tcW w:w="10829" w:type="dxa"/>
            <w:gridSpan w:val="4"/>
            <w:tcBorders>
              <w:top w:val="nil" w:sz="6" w:space="0" w:color="auto"/>
              <w:left w:val="nil" w:sz="6" w:space="0" w:color="auto"/>
              <w:bottom w:val="nil" w:sz="6" w:space="0" w:color="auto"/>
              <w:right w:val="nil" w:sz="6" w:space="0" w:color="auto"/>
            </w:tcBorders>
          </w:tcPr>
          <w:p>
            <w:pPr>
              <w:pStyle w:val="TableParagraph"/>
              <w:spacing w:line="307" w:lineRule="exact"/>
              <w:ind w:left="67" w:right="0"/>
              <w:jc w:val="center"/>
              <w:rPr>
                <w:rFonts w:ascii="宋体" w:hAnsi="宋体" w:cs="宋体" w:eastAsia="宋体" w:hint="default"/>
                <w:sz w:val="24"/>
                <w:szCs w:val="24"/>
              </w:rPr>
            </w:pPr>
            <w:r>
              <w:rPr>
                <w:rFonts w:ascii="宋体" w:hAnsi="宋体" w:cs="宋体" w:eastAsia="宋体" w:hint="default"/>
                <w:sz w:val="24"/>
                <w:szCs w:val="24"/>
              </w:rPr>
              <w:t>合并现金流量表</w:t>
            </w:r>
          </w:p>
        </w:tc>
      </w:tr>
      <w:tr>
        <w:trPr>
          <w:trHeight w:val="387" w:hRule="exact"/>
        </w:trPr>
        <w:tc>
          <w:tcPr>
            <w:tcW w:w="10829" w:type="dxa"/>
            <w:gridSpan w:val="4"/>
            <w:tcBorders>
              <w:top w:val="nil" w:sz="6" w:space="0" w:color="auto"/>
              <w:left w:val="nil" w:sz="6" w:space="0" w:color="auto"/>
              <w:bottom w:val="nil" w:sz="6" w:space="0" w:color="auto"/>
              <w:right w:val="nil" w:sz="6" w:space="0" w:color="auto"/>
            </w:tcBorders>
          </w:tcPr>
          <w:p>
            <w:pPr>
              <w:pStyle w:val="TableParagraph"/>
              <w:spacing w:line="312" w:lineRule="exact"/>
              <w:ind w:left="64" w:right="0"/>
              <w:jc w:val="center"/>
              <w:rPr>
                <w:rFonts w:ascii="宋体" w:hAnsi="宋体" w:cs="宋体" w:eastAsia="宋体" w:hint="default"/>
                <w:sz w:val="24"/>
                <w:szCs w:val="24"/>
              </w:rPr>
            </w:pPr>
            <w:r>
              <w:rPr>
                <w:rFonts w:ascii="宋体" w:hAnsi="宋体" w:cs="宋体" w:eastAsia="宋体" w:hint="default"/>
                <w:sz w:val="24"/>
                <w:szCs w:val="24"/>
              </w:rPr>
              <w:t>2014</w:t>
            </w:r>
            <w:r>
              <w:rPr>
                <w:rFonts w:ascii="宋体" w:hAnsi="宋体" w:cs="宋体" w:eastAsia="宋体" w:hint="default"/>
                <w:spacing w:val="-60"/>
                <w:sz w:val="24"/>
                <w:szCs w:val="24"/>
              </w:rPr>
              <w:t> </w:t>
            </w:r>
            <w:r>
              <w:rPr>
                <w:rFonts w:ascii="宋体" w:hAnsi="宋体" w:cs="宋体" w:eastAsia="宋体" w:hint="default"/>
                <w:sz w:val="24"/>
                <w:szCs w:val="24"/>
              </w:rPr>
              <w:t>年度</w:t>
            </w:r>
          </w:p>
        </w:tc>
      </w:tr>
      <w:tr>
        <w:trPr>
          <w:trHeight w:val="292" w:hRule="exact"/>
        </w:trPr>
        <w:tc>
          <w:tcPr>
            <w:tcW w:w="5266" w:type="dxa"/>
            <w:tcBorders>
              <w:top w:val="nil" w:sz="6" w:space="0" w:color="auto"/>
              <w:left w:val="nil" w:sz="6" w:space="0" w:color="auto"/>
              <w:bottom w:val="nil" w:sz="6" w:space="0" w:color="auto"/>
              <w:right w:val="nil" w:sz="6" w:space="0" w:color="auto"/>
            </w:tcBorders>
          </w:tcPr>
          <w:p>
            <w:pPr/>
          </w:p>
        </w:tc>
        <w:tc>
          <w:tcPr>
            <w:tcW w:w="1404" w:type="dxa"/>
            <w:tcBorders>
              <w:top w:val="nil" w:sz="6" w:space="0" w:color="auto"/>
              <w:left w:val="nil" w:sz="6" w:space="0" w:color="auto"/>
              <w:bottom w:val="nil" w:sz="6" w:space="0" w:color="auto"/>
              <w:right w:val="nil" w:sz="6" w:space="0" w:color="auto"/>
            </w:tcBorders>
          </w:tcPr>
          <w:p>
            <w:pPr/>
          </w:p>
        </w:tc>
        <w:tc>
          <w:tcPr>
            <w:tcW w:w="2179" w:type="dxa"/>
            <w:tcBorders>
              <w:top w:val="nil" w:sz="6" w:space="0" w:color="auto"/>
              <w:left w:val="nil" w:sz="6" w:space="0" w:color="auto"/>
              <w:bottom w:val="nil" w:sz="6" w:space="0" w:color="auto"/>
              <w:right w:val="nil" w:sz="6" w:space="0" w:color="auto"/>
            </w:tcBorders>
          </w:tcPr>
          <w:p>
            <w:pP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19"/>
              <w:ind w:left="664" w:right="0"/>
              <w:jc w:val="left"/>
              <w:rPr>
                <w:rFonts w:ascii="宋体" w:hAnsi="宋体" w:cs="宋体" w:eastAsia="宋体" w:hint="default"/>
                <w:sz w:val="18"/>
                <w:szCs w:val="18"/>
              </w:rPr>
            </w:pPr>
            <w:r>
              <w:rPr>
                <w:rFonts w:ascii="宋体" w:hAnsi="宋体" w:cs="宋体" w:eastAsia="宋体" w:hint="default"/>
                <w:sz w:val="18"/>
                <w:szCs w:val="18"/>
              </w:rPr>
              <w:t>单位：人民币元</w:t>
            </w:r>
          </w:p>
        </w:tc>
      </w:tr>
      <w:tr>
        <w:trPr>
          <w:trHeight w:val="254" w:hRule="exact"/>
        </w:trPr>
        <w:tc>
          <w:tcPr>
            <w:tcW w:w="5266" w:type="dxa"/>
            <w:tcBorders>
              <w:top w:val="nil" w:sz="6" w:space="0" w:color="auto"/>
              <w:left w:val="nil" w:sz="6" w:space="0" w:color="auto"/>
              <w:bottom w:val="single" w:sz="4" w:space="0" w:color="000000"/>
              <w:right w:val="nil" w:sz="6" w:space="0" w:color="auto"/>
            </w:tcBorders>
          </w:tcPr>
          <w:p>
            <w:pPr>
              <w:pStyle w:val="TableParagraph"/>
              <w:spacing w:line="217" w:lineRule="exact"/>
              <w:ind w:left="91"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1404" w:type="dxa"/>
            <w:tcBorders>
              <w:top w:val="nil" w:sz="6" w:space="0" w:color="auto"/>
              <w:left w:val="nil" w:sz="6" w:space="0" w:color="auto"/>
              <w:bottom w:val="single" w:sz="4" w:space="0" w:color="000000"/>
              <w:right w:val="nil" w:sz="6" w:space="0" w:color="auto"/>
            </w:tcBorders>
          </w:tcPr>
          <w:p>
            <w:pPr>
              <w:pStyle w:val="TableParagraph"/>
              <w:spacing w:line="217" w:lineRule="exact"/>
              <w:ind w:left="72" w:right="0"/>
              <w:jc w:val="center"/>
              <w:rPr>
                <w:rFonts w:ascii="宋体" w:hAnsi="宋体" w:cs="宋体" w:eastAsia="宋体" w:hint="default"/>
                <w:sz w:val="18"/>
                <w:szCs w:val="18"/>
              </w:rPr>
            </w:pPr>
            <w:r>
              <w:rPr>
                <w:rFonts w:ascii="宋体" w:hAnsi="宋体" w:cs="宋体" w:eastAsia="宋体" w:hint="default"/>
                <w:sz w:val="18"/>
                <w:szCs w:val="18"/>
              </w:rPr>
              <w:t>附注六</w:t>
            </w:r>
          </w:p>
        </w:tc>
        <w:tc>
          <w:tcPr>
            <w:tcW w:w="2179" w:type="dxa"/>
            <w:tcBorders>
              <w:top w:val="nil" w:sz="6" w:space="0" w:color="auto"/>
              <w:left w:val="nil" w:sz="6" w:space="0" w:color="auto"/>
              <w:bottom w:val="single" w:sz="4" w:space="0" w:color="000000"/>
              <w:right w:val="nil" w:sz="6" w:space="0" w:color="auto"/>
            </w:tcBorders>
          </w:tcPr>
          <w:p>
            <w:pPr>
              <w:pStyle w:val="TableParagraph"/>
              <w:spacing w:line="217" w:lineRule="exact"/>
              <w:ind w:left="74"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980" w:type="dxa"/>
            <w:tcBorders>
              <w:top w:val="nil" w:sz="6" w:space="0" w:color="auto"/>
              <w:left w:val="nil" w:sz="6" w:space="0" w:color="auto"/>
              <w:bottom w:val="single" w:sz="4" w:space="0" w:color="000000"/>
              <w:right w:val="nil" w:sz="6" w:space="0" w:color="auto"/>
            </w:tcBorders>
          </w:tcPr>
          <w:p>
            <w:pPr>
              <w:pStyle w:val="TableParagraph"/>
              <w:spacing w:line="217" w:lineRule="exact"/>
              <w:ind w:left="792" w:right="0"/>
              <w:jc w:val="left"/>
              <w:rPr>
                <w:rFonts w:ascii="宋体" w:hAnsi="宋体" w:cs="宋体" w:eastAsia="宋体" w:hint="default"/>
                <w:sz w:val="18"/>
                <w:szCs w:val="18"/>
              </w:rPr>
            </w:pPr>
            <w:r>
              <w:rPr>
                <w:rFonts w:ascii="宋体" w:hAnsi="宋体" w:cs="宋体" w:eastAsia="宋体" w:hint="default"/>
                <w:sz w:val="18"/>
                <w:szCs w:val="18"/>
              </w:rPr>
              <w:t>上期数</w:t>
            </w:r>
          </w:p>
        </w:tc>
      </w:tr>
      <w:tr>
        <w:trPr>
          <w:trHeight w:val="262" w:hRule="exact"/>
        </w:trPr>
        <w:tc>
          <w:tcPr>
            <w:tcW w:w="5266" w:type="dxa"/>
            <w:tcBorders>
              <w:top w:val="single" w:sz="4" w:space="0" w:color="000000"/>
              <w:left w:val="nil" w:sz="6" w:space="0" w:color="auto"/>
              <w:bottom w:val="nil" w:sz="6" w:space="0" w:color="auto"/>
              <w:right w:val="nil" w:sz="6" w:space="0" w:color="auto"/>
            </w:tcBorders>
          </w:tcPr>
          <w:p>
            <w:pPr>
              <w:pStyle w:val="TableParagraph"/>
              <w:spacing w:line="225"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一、经营活动产生的现金流量：</w:t>
            </w:r>
            <w:r>
              <w:rPr>
                <w:rFonts w:ascii="宋体" w:hAnsi="宋体" w:cs="宋体" w:eastAsia="宋体" w:hint="default"/>
                <w:sz w:val="18"/>
                <w:szCs w:val="18"/>
              </w:rPr>
            </w:r>
          </w:p>
        </w:tc>
        <w:tc>
          <w:tcPr>
            <w:tcW w:w="1404" w:type="dxa"/>
            <w:tcBorders>
              <w:top w:val="single" w:sz="4" w:space="0" w:color="000000"/>
              <w:left w:val="nil" w:sz="6" w:space="0" w:color="auto"/>
              <w:bottom w:val="nil" w:sz="6" w:space="0" w:color="auto"/>
              <w:right w:val="nil" w:sz="6" w:space="0" w:color="auto"/>
            </w:tcBorders>
          </w:tcPr>
          <w:p>
            <w:pPr/>
          </w:p>
        </w:tc>
        <w:tc>
          <w:tcPr>
            <w:tcW w:w="2179" w:type="dxa"/>
            <w:tcBorders>
              <w:top w:val="single" w:sz="4" w:space="0" w:color="000000"/>
              <w:left w:val="nil" w:sz="6" w:space="0" w:color="auto"/>
              <w:bottom w:val="nil" w:sz="6" w:space="0" w:color="auto"/>
              <w:right w:val="nil" w:sz="6" w:space="0" w:color="auto"/>
            </w:tcBorders>
          </w:tcPr>
          <w:p>
            <w:pPr/>
          </w:p>
        </w:tc>
        <w:tc>
          <w:tcPr>
            <w:tcW w:w="1980" w:type="dxa"/>
            <w:tcBorders>
              <w:top w:val="single" w:sz="4" w:space="0" w:color="000000"/>
              <w:left w:val="nil" w:sz="6" w:space="0" w:color="auto"/>
              <w:bottom w:val="nil" w:sz="6" w:space="0" w:color="auto"/>
              <w:right w:val="nil" w:sz="6" w:space="0" w:color="auto"/>
            </w:tcBorders>
          </w:tcPr>
          <w:p>
            <w:pPr/>
          </w:p>
        </w:tc>
      </w:tr>
      <w:tr>
        <w:trPr>
          <w:trHeight w:val="256" w:hRule="exact"/>
        </w:trPr>
        <w:tc>
          <w:tcPr>
            <w:tcW w:w="5266" w:type="dxa"/>
            <w:tcBorders>
              <w:top w:val="nil" w:sz="6" w:space="0" w:color="auto"/>
              <w:left w:val="nil" w:sz="6" w:space="0" w:color="auto"/>
              <w:bottom w:val="nil" w:sz="6" w:space="0" w:color="auto"/>
              <w:right w:val="nil" w:sz="6" w:space="0" w:color="auto"/>
            </w:tcBorders>
          </w:tcPr>
          <w:p>
            <w:pPr>
              <w:pStyle w:val="TableParagraph"/>
              <w:spacing w:line="222" w:lineRule="exact"/>
              <w:ind w:left="484"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1404" w:type="dxa"/>
            <w:tcBorders>
              <w:top w:val="nil" w:sz="6" w:space="0" w:color="auto"/>
              <w:left w:val="nil" w:sz="6" w:space="0" w:color="auto"/>
              <w:bottom w:val="nil" w:sz="6" w:space="0" w:color="auto"/>
              <w:right w:val="nil" w:sz="6" w:space="0" w:color="auto"/>
            </w:tcBorders>
          </w:tcPr>
          <w:p>
            <w:pPr/>
          </w:p>
        </w:tc>
        <w:tc>
          <w:tcPr>
            <w:tcW w:w="2179" w:type="dxa"/>
            <w:tcBorders>
              <w:top w:val="nil" w:sz="6" w:space="0" w:color="auto"/>
              <w:left w:val="nil" w:sz="6" w:space="0" w:color="auto"/>
              <w:bottom w:val="nil" w:sz="6" w:space="0" w:color="auto"/>
              <w:right w:val="nil" w:sz="6" w:space="0" w:color="auto"/>
            </w:tcBorders>
          </w:tcPr>
          <w:p>
            <w:pPr>
              <w:pStyle w:val="TableParagraph"/>
              <w:spacing w:line="212" w:lineRule="exact"/>
              <w:ind w:right="150"/>
              <w:jc w:val="right"/>
              <w:rPr>
                <w:rFonts w:ascii="宋体" w:hAnsi="宋体" w:cs="宋体" w:eastAsia="宋体" w:hint="default"/>
                <w:sz w:val="18"/>
                <w:szCs w:val="18"/>
              </w:rPr>
            </w:pPr>
            <w:r>
              <w:rPr>
                <w:rFonts w:ascii="宋体"/>
                <w:spacing w:val="-1"/>
                <w:sz w:val="18"/>
              </w:rPr>
              <w:t>95,653,094.39</w:t>
            </w:r>
          </w:p>
        </w:tc>
        <w:tc>
          <w:tcPr>
            <w:tcW w:w="1980" w:type="dxa"/>
            <w:tcBorders>
              <w:top w:val="nil" w:sz="6" w:space="0" w:color="auto"/>
              <w:left w:val="nil" w:sz="6" w:space="0" w:color="auto"/>
              <w:bottom w:val="nil" w:sz="6" w:space="0" w:color="auto"/>
              <w:right w:val="nil" w:sz="6" w:space="0" w:color="auto"/>
            </w:tcBorders>
          </w:tcPr>
          <w:p>
            <w:pPr>
              <w:pStyle w:val="TableParagraph"/>
              <w:spacing w:line="212" w:lineRule="exact"/>
              <w:ind w:left="432" w:right="0"/>
              <w:jc w:val="left"/>
              <w:rPr>
                <w:rFonts w:ascii="宋体" w:hAnsi="宋体" w:cs="宋体" w:eastAsia="宋体" w:hint="default"/>
                <w:sz w:val="18"/>
                <w:szCs w:val="18"/>
              </w:rPr>
            </w:pPr>
            <w:r>
              <w:rPr>
                <w:rFonts w:ascii="宋体"/>
                <w:sz w:val="18"/>
              </w:rPr>
              <w:t>76,799,398.34</w:t>
            </w:r>
          </w:p>
        </w:tc>
      </w:tr>
      <w:tr>
        <w:trPr>
          <w:trHeight w:val="252" w:hRule="exact"/>
        </w:trPr>
        <w:tc>
          <w:tcPr>
            <w:tcW w:w="5266" w:type="dxa"/>
            <w:tcBorders>
              <w:top w:val="nil" w:sz="6" w:space="0" w:color="auto"/>
              <w:left w:val="nil" w:sz="6" w:space="0" w:color="auto"/>
              <w:bottom w:val="nil" w:sz="6" w:space="0" w:color="auto"/>
              <w:right w:val="nil" w:sz="6" w:space="0" w:color="auto"/>
            </w:tcBorders>
          </w:tcPr>
          <w:p>
            <w:pPr>
              <w:pStyle w:val="TableParagraph"/>
              <w:spacing w:line="221" w:lineRule="exact"/>
              <w:ind w:left="48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404" w:type="dxa"/>
            <w:tcBorders>
              <w:top w:val="nil" w:sz="6" w:space="0" w:color="auto"/>
              <w:left w:val="nil" w:sz="6" w:space="0" w:color="auto"/>
              <w:bottom w:val="nil" w:sz="6" w:space="0" w:color="auto"/>
              <w:right w:val="nil" w:sz="6" w:space="0" w:color="auto"/>
            </w:tcBorders>
          </w:tcPr>
          <w:p>
            <w:pPr/>
          </w:p>
        </w:tc>
        <w:tc>
          <w:tcPr>
            <w:tcW w:w="2179" w:type="dxa"/>
            <w:tcBorders>
              <w:top w:val="nil" w:sz="6" w:space="0" w:color="auto"/>
              <w:left w:val="nil" w:sz="6" w:space="0" w:color="auto"/>
              <w:bottom w:val="nil" w:sz="6" w:space="0" w:color="auto"/>
              <w:right w:val="nil" w:sz="6" w:space="0" w:color="auto"/>
            </w:tcBorders>
          </w:tcPr>
          <w:p>
            <w:pPr>
              <w:pStyle w:val="TableParagraph"/>
              <w:spacing w:line="214" w:lineRule="exact"/>
              <w:ind w:right="151"/>
              <w:jc w:val="right"/>
              <w:rPr>
                <w:rFonts w:ascii="宋体" w:hAnsi="宋体" w:cs="宋体" w:eastAsia="宋体" w:hint="default"/>
                <w:sz w:val="18"/>
                <w:szCs w:val="18"/>
              </w:rPr>
            </w:pPr>
            <w:r>
              <w:rPr>
                <w:rFonts w:ascii="宋体"/>
                <w:spacing w:val="-1"/>
                <w:sz w:val="18"/>
              </w:rPr>
              <w:t>3,564,977.33</w:t>
            </w:r>
            <w:r>
              <w:rPr>
                <w:rFonts w:ascii="宋体"/>
                <w:sz w:val="18"/>
              </w:rPr>
            </w:r>
          </w:p>
        </w:tc>
        <w:tc>
          <w:tcPr>
            <w:tcW w:w="1980" w:type="dxa"/>
            <w:tcBorders>
              <w:top w:val="nil" w:sz="6" w:space="0" w:color="auto"/>
              <w:left w:val="nil" w:sz="6" w:space="0" w:color="auto"/>
              <w:bottom w:val="nil" w:sz="6" w:space="0" w:color="auto"/>
              <w:right w:val="nil" w:sz="6" w:space="0" w:color="auto"/>
            </w:tcBorders>
          </w:tcPr>
          <w:p>
            <w:pPr>
              <w:pStyle w:val="TableParagraph"/>
              <w:spacing w:line="214" w:lineRule="exact"/>
              <w:ind w:left="477" w:right="0"/>
              <w:jc w:val="left"/>
              <w:rPr>
                <w:rFonts w:ascii="宋体" w:hAnsi="宋体" w:cs="宋体" w:eastAsia="宋体" w:hint="default"/>
                <w:sz w:val="18"/>
                <w:szCs w:val="18"/>
              </w:rPr>
            </w:pPr>
            <w:r>
              <w:rPr>
                <w:rFonts w:ascii="宋体"/>
                <w:sz w:val="18"/>
              </w:rPr>
              <w:t>3,758,773.21</w:t>
            </w:r>
          </w:p>
        </w:tc>
      </w:tr>
      <w:tr>
        <w:trPr>
          <w:trHeight w:val="446" w:hRule="exact"/>
        </w:trPr>
        <w:tc>
          <w:tcPr>
            <w:tcW w:w="5266"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484"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1404" w:type="dxa"/>
            <w:tcBorders>
              <w:top w:val="nil" w:sz="6" w:space="0" w:color="auto"/>
              <w:left w:val="nil" w:sz="6" w:space="0" w:color="auto"/>
              <w:bottom w:val="nil" w:sz="6" w:space="0" w:color="auto"/>
              <w:right w:val="nil" w:sz="6" w:space="0" w:color="auto"/>
            </w:tcBorders>
          </w:tcPr>
          <w:p>
            <w:pPr>
              <w:pStyle w:val="TableParagraph"/>
              <w:spacing w:line="246" w:lineRule="exact"/>
              <w:ind w:left="71"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注释</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37</w:t>
            </w:r>
          </w:p>
        </w:tc>
        <w:tc>
          <w:tcPr>
            <w:tcW w:w="2179"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51"/>
              <w:jc w:val="right"/>
              <w:rPr>
                <w:rFonts w:ascii="宋体" w:hAnsi="宋体" w:cs="宋体" w:eastAsia="宋体" w:hint="default"/>
                <w:sz w:val="18"/>
                <w:szCs w:val="18"/>
              </w:rPr>
            </w:pPr>
            <w:r>
              <w:rPr>
                <w:rFonts w:ascii="宋体"/>
                <w:spacing w:val="-1"/>
                <w:sz w:val="18"/>
              </w:rPr>
              <w:t>5,450,303.25</w:t>
            </w:r>
            <w:r>
              <w:rPr>
                <w:rFonts w:ascii="宋体"/>
                <w:sz w:val="18"/>
              </w:rPr>
            </w: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477" w:right="0"/>
              <w:jc w:val="left"/>
              <w:rPr>
                <w:rFonts w:ascii="宋体" w:hAnsi="宋体" w:cs="宋体" w:eastAsia="宋体" w:hint="default"/>
                <w:sz w:val="18"/>
                <w:szCs w:val="18"/>
              </w:rPr>
            </w:pPr>
            <w:r>
              <w:rPr>
                <w:rFonts w:ascii="宋体"/>
                <w:sz w:val="18"/>
              </w:rPr>
              <w:t>8,778,761.18</w:t>
            </w:r>
          </w:p>
        </w:tc>
      </w:tr>
      <w:tr>
        <w:trPr>
          <w:trHeight w:val="323" w:hRule="exact"/>
        </w:trPr>
        <w:tc>
          <w:tcPr>
            <w:tcW w:w="526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66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404" w:type="dxa"/>
            <w:tcBorders>
              <w:top w:val="nil" w:sz="6" w:space="0" w:color="auto"/>
              <w:left w:val="nil" w:sz="6" w:space="0" w:color="auto"/>
              <w:bottom w:val="nil" w:sz="6" w:space="0" w:color="auto"/>
              <w:right w:val="nil" w:sz="6" w:space="0" w:color="auto"/>
            </w:tcBorders>
          </w:tcPr>
          <w:p>
            <w:pPr/>
          </w:p>
        </w:tc>
        <w:tc>
          <w:tcPr>
            <w:tcW w:w="2179" w:type="dxa"/>
            <w:tcBorders>
              <w:top w:val="nil" w:sz="6" w:space="0" w:color="auto"/>
              <w:left w:val="nil" w:sz="6" w:space="0" w:color="auto"/>
              <w:bottom w:val="single" w:sz="4" w:space="0" w:color="000000"/>
              <w:right w:val="nil" w:sz="6" w:space="0" w:color="auto"/>
            </w:tcBorders>
          </w:tcPr>
          <w:p>
            <w:pPr>
              <w:pStyle w:val="TableParagraph"/>
              <w:spacing w:line="240" w:lineRule="auto" w:before="43"/>
              <w:ind w:right="151"/>
              <w:jc w:val="right"/>
              <w:rPr>
                <w:rFonts w:ascii="宋体" w:hAnsi="宋体" w:cs="宋体" w:eastAsia="宋体" w:hint="default"/>
                <w:sz w:val="18"/>
                <w:szCs w:val="18"/>
              </w:rPr>
            </w:pPr>
            <w:r>
              <w:rPr>
                <w:rFonts w:ascii="宋体"/>
                <w:spacing w:val="-1"/>
                <w:sz w:val="18"/>
              </w:rPr>
              <w:t>104,668,374.97</w:t>
            </w:r>
            <w:r>
              <w:rPr>
                <w:rFonts w:ascii="宋体"/>
                <w:sz w:val="18"/>
              </w:rPr>
            </w:r>
          </w:p>
        </w:tc>
        <w:tc>
          <w:tcPr>
            <w:tcW w:w="1980" w:type="dxa"/>
            <w:tcBorders>
              <w:top w:val="nil" w:sz="6" w:space="0" w:color="auto"/>
              <w:left w:val="nil" w:sz="6" w:space="0" w:color="auto"/>
              <w:bottom w:val="single" w:sz="4" w:space="0" w:color="000000"/>
              <w:right w:val="nil" w:sz="6" w:space="0" w:color="auto"/>
            </w:tcBorders>
          </w:tcPr>
          <w:p>
            <w:pPr>
              <w:pStyle w:val="TableParagraph"/>
              <w:spacing w:line="240" w:lineRule="auto" w:before="43"/>
              <w:ind w:left="432" w:right="0"/>
              <w:jc w:val="left"/>
              <w:rPr>
                <w:rFonts w:ascii="宋体" w:hAnsi="宋体" w:cs="宋体" w:eastAsia="宋体" w:hint="default"/>
                <w:sz w:val="18"/>
                <w:szCs w:val="18"/>
              </w:rPr>
            </w:pPr>
            <w:r>
              <w:rPr>
                <w:rFonts w:ascii="宋体"/>
                <w:sz w:val="18"/>
              </w:rPr>
              <w:t>89,336,932.73</w:t>
            </w:r>
          </w:p>
        </w:tc>
      </w:tr>
      <w:tr>
        <w:trPr>
          <w:trHeight w:val="264" w:hRule="exact"/>
        </w:trPr>
        <w:tc>
          <w:tcPr>
            <w:tcW w:w="5266" w:type="dxa"/>
            <w:tcBorders>
              <w:top w:val="nil" w:sz="6" w:space="0" w:color="auto"/>
              <w:left w:val="nil" w:sz="6" w:space="0" w:color="auto"/>
              <w:bottom w:val="nil" w:sz="6" w:space="0" w:color="auto"/>
              <w:right w:val="nil" w:sz="6" w:space="0" w:color="auto"/>
            </w:tcBorders>
          </w:tcPr>
          <w:p>
            <w:pPr>
              <w:pStyle w:val="TableParagraph"/>
              <w:spacing w:line="232" w:lineRule="exact"/>
              <w:ind w:left="484"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1404" w:type="dxa"/>
            <w:tcBorders>
              <w:top w:val="nil" w:sz="6" w:space="0" w:color="auto"/>
              <w:left w:val="nil" w:sz="6" w:space="0" w:color="auto"/>
              <w:bottom w:val="nil" w:sz="6" w:space="0" w:color="auto"/>
              <w:right w:val="nil" w:sz="6" w:space="0" w:color="auto"/>
            </w:tcBorders>
          </w:tcPr>
          <w:p>
            <w:pPr/>
          </w:p>
        </w:tc>
        <w:tc>
          <w:tcPr>
            <w:tcW w:w="2179" w:type="dxa"/>
            <w:tcBorders>
              <w:top w:val="single" w:sz="4" w:space="0" w:color="000000"/>
              <w:left w:val="nil" w:sz="6" w:space="0" w:color="auto"/>
              <w:bottom w:val="nil" w:sz="6" w:space="0" w:color="auto"/>
              <w:right w:val="nil" w:sz="6" w:space="0" w:color="auto"/>
            </w:tcBorders>
          </w:tcPr>
          <w:p>
            <w:pPr>
              <w:pStyle w:val="TableParagraph"/>
              <w:spacing w:line="217" w:lineRule="exact"/>
              <w:ind w:right="150"/>
              <w:jc w:val="right"/>
              <w:rPr>
                <w:rFonts w:ascii="宋体" w:hAnsi="宋体" w:cs="宋体" w:eastAsia="宋体" w:hint="default"/>
                <w:sz w:val="18"/>
                <w:szCs w:val="18"/>
              </w:rPr>
            </w:pPr>
            <w:r>
              <w:rPr>
                <w:rFonts w:ascii="宋体"/>
                <w:spacing w:val="-1"/>
                <w:sz w:val="18"/>
              </w:rPr>
              <w:t>26,452,071.09</w:t>
            </w:r>
          </w:p>
        </w:tc>
        <w:tc>
          <w:tcPr>
            <w:tcW w:w="1980" w:type="dxa"/>
            <w:tcBorders>
              <w:top w:val="single" w:sz="4" w:space="0" w:color="000000"/>
              <w:left w:val="nil" w:sz="6" w:space="0" w:color="auto"/>
              <w:bottom w:val="nil" w:sz="6" w:space="0" w:color="auto"/>
              <w:right w:val="nil" w:sz="6" w:space="0" w:color="auto"/>
            </w:tcBorders>
          </w:tcPr>
          <w:p>
            <w:pPr>
              <w:pStyle w:val="TableParagraph"/>
              <w:spacing w:line="217" w:lineRule="exact"/>
              <w:ind w:left="432" w:right="0"/>
              <w:jc w:val="left"/>
              <w:rPr>
                <w:rFonts w:ascii="宋体" w:hAnsi="宋体" w:cs="宋体" w:eastAsia="宋体" w:hint="default"/>
                <w:sz w:val="18"/>
                <w:szCs w:val="18"/>
              </w:rPr>
            </w:pPr>
            <w:r>
              <w:rPr>
                <w:rFonts w:ascii="宋体"/>
                <w:sz w:val="18"/>
              </w:rPr>
              <w:t>21,211,381.65</w:t>
            </w:r>
          </w:p>
        </w:tc>
      </w:tr>
      <w:tr>
        <w:trPr>
          <w:trHeight w:val="254" w:hRule="exact"/>
        </w:trPr>
        <w:tc>
          <w:tcPr>
            <w:tcW w:w="5266" w:type="dxa"/>
            <w:tcBorders>
              <w:top w:val="nil" w:sz="6" w:space="0" w:color="auto"/>
              <w:left w:val="nil" w:sz="6" w:space="0" w:color="auto"/>
              <w:bottom w:val="nil" w:sz="6" w:space="0" w:color="auto"/>
              <w:right w:val="nil" w:sz="6" w:space="0" w:color="auto"/>
            </w:tcBorders>
          </w:tcPr>
          <w:p>
            <w:pPr>
              <w:pStyle w:val="TableParagraph"/>
              <w:spacing w:line="222" w:lineRule="exact"/>
              <w:ind w:left="484"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1404" w:type="dxa"/>
            <w:tcBorders>
              <w:top w:val="nil" w:sz="6" w:space="0" w:color="auto"/>
              <w:left w:val="nil" w:sz="6" w:space="0" w:color="auto"/>
              <w:bottom w:val="nil" w:sz="6" w:space="0" w:color="auto"/>
              <w:right w:val="nil" w:sz="6" w:space="0" w:color="auto"/>
            </w:tcBorders>
          </w:tcPr>
          <w:p>
            <w:pPr/>
          </w:p>
        </w:tc>
        <w:tc>
          <w:tcPr>
            <w:tcW w:w="2179" w:type="dxa"/>
            <w:tcBorders>
              <w:top w:val="nil" w:sz="6" w:space="0" w:color="auto"/>
              <w:left w:val="nil" w:sz="6" w:space="0" w:color="auto"/>
              <w:bottom w:val="nil" w:sz="6" w:space="0" w:color="auto"/>
              <w:right w:val="nil" w:sz="6" w:space="0" w:color="auto"/>
            </w:tcBorders>
          </w:tcPr>
          <w:p>
            <w:pPr>
              <w:pStyle w:val="TableParagraph"/>
              <w:spacing w:line="212" w:lineRule="exact"/>
              <w:ind w:right="151"/>
              <w:jc w:val="right"/>
              <w:rPr>
                <w:rFonts w:ascii="宋体" w:hAnsi="宋体" w:cs="宋体" w:eastAsia="宋体" w:hint="default"/>
                <w:sz w:val="18"/>
                <w:szCs w:val="18"/>
              </w:rPr>
            </w:pPr>
            <w:r>
              <w:rPr>
                <w:rFonts w:ascii="宋体"/>
                <w:spacing w:val="-1"/>
                <w:sz w:val="18"/>
              </w:rPr>
              <w:t>25,002,405.97</w:t>
            </w:r>
            <w:r>
              <w:rPr>
                <w:rFonts w:ascii="宋体"/>
                <w:sz w:val="18"/>
              </w:rPr>
            </w:r>
          </w:p>
        </w:tc>
        <w:tc>
          <w:tcPr>
            <w:tcW w:w="1980" w:type="dxa"/>
            <w:tcBorders>
              <w:top w:val="nil" w:sz="6" w:space="0" w:color="auto"/>
              <w:left w:val="nil" w:sz="6" w:space="0" w:color="auto"/>
              <w:bottom w:val="nil" w:sz="6" w:space="0" w:color="auto"/>
              <w:right w:val="nil" w:sz="6" w:space="0" w:color="auto"/>
            </w:tcBorders>
          </w:tcPr>
          <w:p>
            <w:pPr>
              <w:pStyle w:val="TableParagraph"/>
              <w:spacing w:line="212" w:lineRule="exact"/>
              <w:ind w:left="432" w:right="0"/>
              <w:jc w:val="left"/>
              <w:rPr>
                <w:rFonts w:ascii="宋体" w:hAnsi="宋体" w:cs="宋体" w:eastAsia="宋体" w:hint="default"/>
                <w:sz w:val="18"/>
                <w:szCs w:val="18"/>
              </w:rPr>
            </w:pPr>
            <w:r>
              <w:rPr>
                <w:rFonts w:ascii="宋体"/>
                <w:sz w:val="18"/>
              </w:rPr>
              <w:t>19,409,335.90</w:t>
            </w:r>
          </w:p>
        </w:tc>
      </w:tr>
      <w:tr>
        <w:trPr>
          <w:trHeight w:val="252" w:hRule="exact"/>
        </w:trPr>
        <w:tc>
          <w:tcPr>
            <w:tcW w:w="5266" w:type="dxa"/>
            <w:tcBorders>
              <w:top w:val="nil" w:sz="6" w:space="0" w:color="auto"/>
              <w:left w:val="nil" w:sz="6" w:space="0" w:color="auto"/>
              <w:bottom w:val="nil" w:sz="6" w:space="0" w:color="auto"/>
              <w:right w:val="nil" w:sz="6" w:space="0" w:color="auto"/>
            </w:tcBorders>
          </w:tcPr>
          <w:p>
            <w:pPr>
              <w:pStyle w:val="TableParagraph"/>
              <w:spacing w:line="222" w:lineRule="exact"/>
              <w:ind w:left="48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404" w:type="dxa"/>
            <w:tcBorders>
              <w:top w:val="nil" w:sz="6" w:space="0" w:color="auto"/>
              <w:left w:val="nil" w:sz="6" w:space="0" w:color="auto"/>
              <w:bottom w:val="nil" w:sz="6" w:space="0" w:color="auto"/>
              <w:right w:val="nil" w:sz="6" w:space="0" w:color="auto"/>
            </w:tcBorders>
          </w:tcPr>
          <w:p>
            <w:pPr/>
          </w:p>
        </w:tc>
        <w:tc>
          <w:tcPr>
            <w:tcW w:w="2179" w:type="dxa"/>
            <w:tcBorders>
              <w:top w:val="nil" w:sz="6" w:space="0" w:color="auto"/>
              <w:left w:val="nil" w:sz="6" w:space="0" w:color="auto"/>
              <w:bottom w:val="nil" w:sz="6" w:space="0" w:color="auto"/>
              <w:right w:val="nil" w:sz="6" w:space="0" w:color="auto"/>
            </w:tcBorders>
          </w:tcPr>
          <w:p>
            <w:pPr>
              <w:pStyle w:val="TableParagraph"/>
              <w:spacing w:line="212" w:lineRule="exact"/>
              <w:ind w:right="150"/>
              <w:jc w:val="right"/>
              <w:rPr>
                <w:rFonts w:ascii="宋体" w:hAnsi="宋体" w:cs="宋体" w:eastAsia="宋体" w:hint="default"/>
                <w:sz w:val="18"/>
                <w:szCs w:val="18"/>
              </w:rPr>
            </w:pPr>
            <w:r>
              <w:rPr>
                <w:rFonts w:ascii="宋体"/>
                <w:spacing w:val="-1"/>
                <w:sz w:val="18"/>
              </w:rPr>
              <w:t>13,397,392.86</w:t>
            </w:r>
          </w:p>
        </w:tc>
        <w:tc>
          <w:tcPr>
            <w:tcW w:w="1980" w:type="dxa"/>
            <w:tcBorders>
              <w:top w:val="nil" w:sz="6" w:space="0" w:color="auto"/>
              <w:left w:val="nil" w:sz="6" w:space="0" w:color="auto"/>
              <w:bottom w:val="nil" w:sz="6" w:space="0" w:color="auto"/>
              <w:right w:val="nil" w:sz="6" w:space="0" w:color="auto"/>
            </w:tcBorders>
          </w:tcPr>
          <w:p>
            <w:pPr>
              <w:pStyle w:val="TableParagraph"/>
              <w:spacing w:line="212" w:lineRule="exact"/>
              <w:ind w:left="432" w:right="0"/>
              <w:jc w:val="left"/>
              <w:rPr>
                <w:rFonts w:ascii="宋体" w:hAnsi="宋体" w:cs="宋体" w:eastAsia="宋体" w:hint="default"/>
                <w:sz w:val="18"/>
                <w:szCs w:val="18"/>
              </w:rPr>
            </w:pPr>
            <w:r>
              <w:rPr>
                <w:rFonts w:ascii="宋体"/>
                <w:sz w:val="18"/>
              </w:rPr>
              <w:t>13,279,168.44</w:t>
            </w:r>
          </w:p>
        </w:tc>
      </w:tr>
      <w:tr>
        <w:trPr>
          <w:trHeight w:val="273" w:hRule="exact"/>
        </w:trPr>
        <w:tc>
          <w:tcPr>
            <w:tcW w:w="5266" w:type="dxa"/>
            <w:tcBorders>
              <w:top w:val="nil" w:sz="6" w:space="0" w:color="auto"/>
              <w:left w:val="nil" w:sz="6" w:space="0" w:color="auto"/>
              <w:bottom w:val="nil" w:sz="6" w:space="0" w:color="auto"/>
              <w:right w:val="nil" w:sz="6" w:space="0" w:color="auto"/>
            </w:tcBorders>
          </w:tcPr>
          <w:p>
            <w:pPr>
              <w:pStyle w:val="TableParagraph"/>
              <w:spacing w:line="227" w:lineRule="exact"/>
              <w:ind w:left="484"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1404" w:type="dxa"/>
            <w:tcBorders>
              <w:top w:val="nil" w:sz="6" w:space="0" w:color="auto"/>
              <w:left w:val="nil" w:sz="6" w:space="0" w:color="auto"/>
              <w:bottom w:val="nil" w:sz="6" w:space="0" w:color="auto"/>
              <w:right w:val="nil" w:sz="6" w:space="0" w:color="auto"/>
            </w:tcBorders>
          </w:tcPr>
          <w:p>
            <w:pPr>
              <w:pStyle w:val="TableParagraph"/>
              <w:spacing w:line="245" w:lineRule="exact"/>
              <w:ind w:left="71"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注释</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37</w:t>
            </w:r>
          </w:p>
        </w:tc>
        <w:tc>
          <w:tcPr>
            <w:tcW w:w="2179" w:type="dxa"/>
            <w:tcBorders>
              <w:top w:val="nil" w:sz="6" w:space="0" w:color="auto"/>
              <w:left w:val="nil" w:sz="6" w:space="0" w:color="auto"/>
              <w:bottom w:val="nil" w:sz="6" w:space="0" w:color="auto"/>
              <w:right w:val="nil" w:sz="6" w:space="0" w:color="auto"/>
            </w:tcBorders>
          </w:tcPr>
          <w:p>
            <w:pPr>
              <w:pStyle w:val="TableParagraph"/>
              <w:spacing w:line="219" w:lineRule="exact"/>
              <w:ind w:right="151"/>
              <w:jc w:val="right"/>
              <w:rPr>
                <w:rFonts w:ascii="宋体" w:hAnsi="宋体" w:cs="宋体" w:eastAsia="宋体" w:hint="default"/>
                <w:sz w:val="18"/>
                <w:szCs w:val="18"/>
              </w:rPr>
            </w:pPr>
            <w:r>
              <w:rPr>
                <w:rFonts w:ascii="宋体"/>
                <w:spacing w:val="-1"/>
                <w:sz w:val="18"/>
              </w:rPr>
              <w:t>19,178,659.30</w:t>
            </w:r>
            <w:r>
              <w:rPr>
                <w:rFonts w:ascii="宋体"/>
                <w:sz w:val="18"/>
              </w:rPr>
            </w:r>
          </w:p>
        </w:tc>
        <w:tc>
          <w:tcPr>
            <w:tcW w:w="1980" w:type="dxa"/>
            <w:tcBorders>
              <w:top w:val="nil" w:sz="6" w:space="0" w:color="auto"/>
              <w:left w:val="nil" w:sz="6" w:space="0" w:color="auto"/>
              <w:bottom w:val="nil" w:sz="6" w:space="0" w:color="auto"/>
              <w:right w:val="nil" w:sz="6" w:space="0" w:color="auto"/>
            </w:tcBorders>
          </w:tcPr>
          <w:p>
            <w:pPr>
              <w:pStyle w:val="TableParagraph"/>
              <w:spacing w:line="219" w:lineRule="exact"/>
              <w:ind w:left="432" w:right="0"/>
              <w:jc w:val="left"/>
              <w:rPr>
                <w:rFonts w:ascii="宋体" w:hAnsi="宋体" w:cs="宋体" w:eastAsia="宋体" w:hint="default"/>
                <w:sz w:val="18"/>
                <w:szCs w:val="18"/>
              </w:rPr>
            </w:pPr>
            <w:r>
              <w:rPr>
                <w:rFonts w:ascii="宋体"/>
                <w:sz w:val="18"/>
              </w:rPr>
              <w:t>17,639,741.29</w:t>
            </w:r>
          </w:p>
        </w:tc>
      </w:tr>
      <w:tr>
        <w:trPr>
          <w:trHeight w:val="257" w:hRule="exact"/>
        </w:trPr>
        <w:tc>
          <w:tcPr>
            <w:tcW w:w="5266" w:type="dxa"/>
            <w:tcBorders>
              <w:top w:val="nil" w:sz="6" w:space="0" w:color="auto"/>
              <w:left w:val="nil" w:sz="6" w:space="0" w:color="auto"/>
              <w:bottom w:val="nil" w:sz="6" w:space="0" w:color="auto"/>
              <w:right w:val="nil" w:sz="6" w:space="0" w:color="auto"/>
            </w:tcBorders>
          </w:tcPr>
          <w:p>
            <w:pPr>
              <w:pStyle w:val="TableParagraph"/>
              <w:spacing w:line="222" w:lineRule="exact"/>
              <w:ind w:left="66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404" w:type="dxa"/>
            <w:tcBorders>
              <w:top w:val="nil" w:sz="6" w:space="0" w:color="auto"/>
              <w:left w:val="nil" w:sz="6" w:space="0" w:color="auto"/>
              <w:bottom w:val="nil" w:sz="6" w:space="0" w:color="auto"/>
              <w:right w:val="nil" w:sz="6" w:space="0" w:color="auto"/>
            </w:tcBorders>
          </w:tcPr>
          <w:p>
            <w:pPr/>
          </w:p>
        </w:tc>
        <w:tc>
          <w:tcPr>
            <w:tcW w:w="2179" w:type="dxa"/>
            <w:tcBorders>
              <w:top w:val="nil" w:sz="6" w:space="0" w:color="auto"/>
              <w:left w:val="nil" w:sz="6" w:space="0" w:color="auto"/>
              <w:bottom w:val="single" w:sz="4" w:space="0" w:color="000000"/>
              <w:right w:val="nil" w:sz="6" w:space="0" w:color="auto"/>
            </w:tcBorders>
          </w:tcPr>
          <w:p>
            <w:pPr>
              <w:pStyle w:val="TableParagraph"/>
              <w:spacing w:line="213" w:lineRule="exact"/>
              <w:ind w:right="150"/>
              <w:jc w:val="right"/>
              <w:rPr>
                <w:rFonts w:ascii="宋体" w:hAnsi="宋体" w:cs="宋体" w:eastAsia="宋体" w:hint="default"/>
                <w:sz w:val="18"/>
                <w:szCs w:val="18"/>
              </w:rPr>
            </w:pPr>
            <w:r>
              <w:rPr>
                <w:rFonts w:ascii="宋体"/>
                <w:spacing w:val="-1"/>
                <w:sz w:val="18"/>
              </w:rPr>
              <w:t>84,030,529.22</w:t>
            </w:r>
          </w:p>
        </w:tc>
        <w:tc>
          <w:tcPr>
            <w:tcW w:w="1980" w:type="dxa"/>
            <w:tcBorders>
              <w:top w:val="nil" w:sz="6" w:space="0" w:color="auto"/>
              <w:left w:val="nil" w:sz="6" w:space="0" w:color="auto"/>
              <w:bottom w:val="single" w:sz="4" w:space="0" w:color="000000"/>
              <w:right w:val="nil" w:sz="6" w:space="0" w:color="auto"/>
            </w:tcBorders>
          </w:tcPr>
          <w:p>
            <w:pPr>
              <w:pStyle w:val="TableParagraph"/>
              <w:spacing w:line="213" w:lineRule="exact"/>
              <w:ind w:left="432" w:right="0"/>
              <w:jc w:val="left"/>
              <w:rPr>
                <w:rFonts w:ascii="宋体" w:hAnsi="宋体" w:cs="宋体" w:eastAsia="宋体" w:hint="default"/>
                <w:sz w:val="18"/>
                <w:szCs w:val="18"/>
              </w:rPr>
            </w:pPr>
            <w:r>
              <w:rPr>
                <w:rFonts w:ascii="宋体"/>
                <w:sz w:val="18"/>
              </w:rPr>
              <w:t>71,539,627.28</w:t>
            </w:r>
          </w:p>
        </w:tc>
      </w:tr>
      <w:tr>
        <w:trPr>
          <w:trHeight w:val="281" w:hRule="exact"/>
        </w:trPr>
        <w:tc>
          <w:tcPr>
            <w:tcW w:w="5266" w:type="dxa"/>
            <w:tcBorders>
              <w:top w:val="nil" w:sz="6" w:space="0" w:color="auto"/>
              <w:left w:val="nil" w:sz="6" w:space="0" w:color="auto"/>
              <w:bottom w:val="nil" w:sz="6" w:space="0" w:color="auto"/>
              <w:right w:val="nil" w:sz="6" w:space="0" w:color="auto"/>
            </w:tcBorders>
          </w:tcPr>
          <w:p>
            <w:pPr>
              <w:pStyle w:val="TableParagraph"/>
              <w:spacing w:line="229" w:lineRule="exact"/>
              <w:ind w:left="66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404" w:type="dxa"/>
            <w:tcBorders>
              <w:top w:val="nil" w:sz="6" w:space="0" w:color="auto"/>
              <w:left w:val="nil" w:sz="6" w:space="0" w:color="auto"/>
              <w:bottom w:val="nil" w:sz="6" w:space="0" w:color="auto"/>
              <w:right w:val="nil" w:sz="6" w:space="0" w:color="auto"/>
            </w:tcBorders>
          </w:tcPr>
          <w:p>
            <w:pPr/>
          </w:p>
        </w:tc>
        <w:tc>
          <w:tcPr>
            <w:tcW w:w="2179" w:type="dxa"/>
            <w:tcBorders>
              <w:top w:val="single" w:sz="4" w:space="0" w:color="000000"/>
              <w:left w:val="nil" w:sz="6" w:space="0" w:color="auto"/>
              <w:bottom w:val="single" w:sz="17" w:space="0" w:color="000000"/>
              <w:right w:val="nil" w:sz="6" w:space="0" w:color="auto"/>
            </w:tcBorders>
          </w:tcPr>
          <w:p>
            <w:pPr>
              <w:pStyle w:val="TableParagraph"/>
              <w:spacing w:line="215" w:lineRule="exact"/>
              <w:ind w:right="150"/>
              <w:jc w:val="right"/>
              <w:rPr>
                <w:rFonts w:ascii="宋体" w:hAnsi="宋体" w:cs="宋体" w:eastAsia="宋体" w:hint="default"/>
                <w:sz w:val="18"/>
                <w:szCs w:val="18"/>
              </w:rPr>
            </w:pPr>
            <w:r>
              <w:rPr>
                <w:rFonts w:ascii="宋体"/>
                <w:spacing w:val="-1"/>
                <w:sz w:val="18"/>
              </w:rPr>
              <w:t>20,637,845.75</w:t>
            </w:r>
          </w:p>
        </w:tc>
        <w:tc>
          <w:tcPr>
            <w:tcW w:w="1980" w:type="dxa"/>
            <w:tcBorders>
              <w:top w:val="single" w:sz="4" w:space="0" w:color="000000"/>
              <w:left w:val="nil" w:sz="6" w:space="0" w:color="auto"/>
              <w:bottom w:val="single" w:sz="17" w:space="0" w:color="000000"/>
              <w:right w:val="nil" w:sz="6" w:space="0" w:color="auto"/>
            </w:tcBorders>
          </w:tcPr>
          <w:p>
            <w:pPr>
              <w:pStyle w:val="TableParagraph"/>
              <w:spacing w:line="215" w:lineRule="exact"/>
              <w:ind w:left="432" w:right="0"/>
              <w:jc w:val="left"/>
              <w:rPr>
                <w:rFonts w:ascii="宋体" w:hAnsi="宋体" w:cs="宋体" w:eastAsia="宋体" w:hint="default"/>
                <w:sz w:val="18"/>
                <w:szCs w:val="18"/>
              </w:rPr>
            </w:pPr>
            <w:r>
              <w:rPr>
                <w:rFonts w:ascii="宋体"/>
                <w:sz w:val="18"/>
              </w:rPr>
              <w:t>17,797,305.45</w:t>
            </w:r>
          </w:p>
        </w:tc>
      </w:tr>
      <w:tr>
        <w:trPr>
          <w:trHeight w:val="537" w:hRule="exact"/>
        </w:trPr>
        <w:tc>
          <w:tcPr>
            <w:tcW w:w="526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二、投资活动产生的现金流量：</w:t>
            </w:r>
            <w:r>
              <w:rPr>
                <w:rFonts w:ascii="宋体" w:hAnsi="宋体" w:cs="宋体" w:eastAsia="宋体" w:hint="default"/>
                <w:sz w:val="18"/>
                <w:szCs w:val="18"/>
              </w:rPr>
            </w:r>
          </w:p>
        </w:tc>
        <w:tc>
          <w:tcPr>
            <w:tcW w:w="1404" w:type="dxa"/>
            <w:tcBorders>
              <w:top w:val="nil" w:sz="6" w:space="0" w:color="auto"/>
              <w:left w:val="nil" w:sz="6" w:space="0" w:color="auto"/>
              <w:bottom w:val="nil" w:sz="6" w:space="0" w:color="auto"/>
              <w:right w:val="nil" w:sz="6" w:space="0" w:color="auto"/>
            </w:tcBorders>
          </w:tcPr>
          <w:p>
            <w:pPr/>
          </w:p>
        </w:tc>
        <w:tc>
          <w:tcPr>
            <w:tcW w:w="2179" w:type="dxa"/>
            <w:tcBorders>
              <w:top w:val="single" w:sz="17" w:space="0" w:color="000000"/>
              <w:left w:val="nil" w:sz="6" w:space="0" w:color="auto"/>
              <w:bottom w:val="nil" w:sz="6" w:space="0" w:color="auto"/>
              <w:right w:val="nil" w:sz="6" w:space="0" w:color="auto"/>
            </w:tcBorders>
          </w:tcPr>
          <w:p>
            <w:pPr/>
          </w:p>
        </w:tc>
        <w:tc>
          <w:tcPr>
            <w:tcW w:w="1980" w:type="dxa"/>
            <w:tcBorders>
              <w:top w:val="single" w:sz="17" w:space="0" w:color="000000"/>
              <w:left w:val="nil" w:sz="6" w:space="0" w:color="auto"/>
              <w:bottom w:val="nil" w:sz="6" w:space="0" w:color="auto"/>
              <w:right w:val="nil" w:sz="6" w:space="0" w:color="auto"/>
            </w:tcBorders>
          </w:tcPr>
          <w:p>
            <w:pPr/>
          </w:p>
        </w:tc>
      </w:tr>
      <w:tr>
        <w:trPr>
          <w:trHeight w:val="256" w:hRule="exact"/>
        </w:trPr>
        <w:tc>
          <w:tcPr>
            <w:tcW w:w="5266" w:type="dxa"/>
            <w:tcBorders>
              <w:top w:val="nil" w:sz="6" w:space="0" w:color="auto"/>
              <w:left w:val="nil" w:sz="6" w:space="0" w:color="auto"/>
              <w:bottom w:val="nil" w:sz="6" w:space="0" w:color="auto"/>
              <w:right w:val="nil" w:sz="6" w:space="0" w:color="auto"/>
            </w:tcBorders>
          </w:tcPr>
          <w:p>
            <w:pPr>
              <w:pStyle w:val="TableParagraph"/>
              <w:spacing w:line="223" w:lineRule="exact"/>
              <w:ind w:left="484" w:right="0"/>
              <w:jc w:val="left"/>
              <w:rPr>
                <w:rFonts w:ascii="宋体" w:hAnsi="宋体" w:cs="宋体" w:eastAsia="宋体" w:hint="default"/>
                <w:sz w:val="18"/>
                <w:szCs w:val="18"/>
              </w:rPr>
            </w:pPr>
            <w:r>
              <w:rPr>
                <w:rFonts w:ascii="宋体" w:hAnsi="宋体" w:cs="宋体" w:eastAsia="宋体" w:hint="default"/>
                <w:sz w:val="18"/>
                <w:szCs w:val="18"/>
              </w:rPr>
              <w:t>收回投资所收到的现金</w:t>
            </w:r>
          </w:p>
        </w:tc>
        <w:tc>
          <w:tcPr>
            <w:tcW w:w="1404" w:type="dxa"/>
            <w:tcBorders>
              <w:top w:val="nil" w:sz="6" w:space="0" w:color="auto"/>
              <w:left w:val="nil" w:sz="6" w:space="0" w:color="auto"/>
              <w:bottom w:val="nil" w:sz="6" w:space="0" w:color="auto"/>
              <w:right w:val="nil" w:sz="6" w:space="0" w:color="auto"/>
            </w:tcBorders>
          </w:tcPr>
          <w:p>
            <w:pPr/>
          </w:p>
        </w:tc>
        <w:tc>
          <w:tcPr>
            <w:tcW w:w="2179" w:type="dxa"/>
            <w:tcBorders>
              <w:top w:val="nil" w:sz="6" w:space="0" w:color="auto"/>
              <w:left w:val="nil" w:sz="6" w:space="0" w:color="auto"/>
              <w:bottom w:val="nil" w:sz="6" w:space="0" w:color="auto"/>
              <w:right w:val="nil" w:sz="6" w:space="0" w:color="auto"/>
            </w:tcBorders>
          </w:tcPr>
          <w:p>
            <w:pPr>
              <w:pStyle w:val="TableParagraph"/>
              <w:spacing w:line="214" w:lineRule="exact"/>
              <w:ind w:right="240"/>
              <w:jc w:val="right"/>
              <w:rPr>
                <w:rFonts w:ascii="宋体" w:hAnsi="宋体" w:cs="宋体" w:eastAsia="宋体" w:hint="default"/>
                <w:sz w:val="18"/>
                <w:szCs w:val="18"/>
              </w:rPr>
            </w:pPr>
            <w:r>
              <w:rPr>
                <w:rFonts w:ascii="宋体"/>
                <w:spacing w:val="-1"/>
                <w:sz w:val="18"/>
              </w:rPr>
              <w:t>215,000,000.00</w:t>
            </w:r>
            <w:r>
              <w:rPr>
                <w:rFonts w:ascii="宋体"/>
                <w:sz w:val="18"/>
              </w:rPr>
            </w:r>
          </w:p>
        </w:tc>
        <w:tc>
          <w:tcPr>
            <w:tcW w:w="1980" w:type="dxa"/>
            <w:tcBorders>
              <w:top w:val="nil" w:sz="6" w:space="0" w:color="auto"/>
              <w:left w:val="nil" w:sz="6" w:space="0" w:color="auto"/>
              <w:bottom w:val="nil" w:sz="6" w:space="0" w:color="auto"/>
              <w:right w:val="nil" w:sz="6" w:space="0" w:color="auto"/>
            </w:tcBorders>
          </w:tcPr>
          <w:p>
            <w:pPr>
              <w:pStyle w:val="TableParagraph"/>
              <w:spacing w:line="214" w:lineRule="exact"/>
              <w:ind w:left="386" w:right="0"/>
              <w:jc w:val="left"/>
              <w:rPr>
                <w:rFonts w:ascii="宋体" w:hAnsi="宋体" w:cs="宋体" w:eastAsia="宋体" w:hint="default"/>
                <w:sz w:val="18"/>
                <w:szCs w:val="18"/>
              </w:rPr>
            </w:pPr>
            <w:r>
              <w:rPr>
                <w:rFonts w:ascii="宋体"/>
                <w:sz w:val="18"/>
              </w:rPr>
              <w:t>334,000,000.00</w:t>
            </w:r>
          </w:p>
        </w:tc>
      </w:tr>
      <w:tr>
        <w:trPr>
          <w:trHeight w:val="254" w:hRule="exact"/>
        </w:trPr>
        <w:tc>
          <w:tcPr>
            <w:tcW w:w="5266" w:type="dxa"/>
            <w:tcBorders>
              <w:top w:val="nil" w:sz="6" w:space="0" w:color="auto"/>
              <w:left w:val="nil" w:sz="6" w:space="0" w:color="auto"/>
              <w:bottom w:val="nil" w:sz="6" w:space="0" w:color="auto"/>
              <w:right w:val="nil" w:sz="6" w:space="0" w:color="auto"/>
            </w:tcBorders>
          </w:tcPr>
          <w:p>
            <w:pPr>
              <w:pStyle w:val="TableParagraph"/>
              <w:spacing w:line="222" w:lineRule="exact"/>
              <w:ind w:left="484"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1404" w:type="dxa"/>
            <w:tcBorders>
              <w:top w:val="nil" w:sz="6" w:space="0" w:color="auto"/>
              <w:left w:val="nil" w:sz="6" w:space="0" w:color="auto"/>
              <w:bottom w:val="nil" w:sz="6" w:space="0" w:color="auto"/>
              <w:right w:val="nil" w:sz="6" w:space="0" w:color="auto"/>
            </w:tcBorders>
          </w:tcPr>
          <w:p>
            <w:pPr/>
          </w:p>
        </w:tc>
        <w:tc>
          <w:tcPr>
            <w:tcW w:w="2179" w:type="dxa"/>
            <w:tcBorders>
              <w:top w:val="nil" w:sz="6" w:space="0" w:color="auto"/>
              <w:left w:val="nil" w:sz="6" w:space="0" w:color="auto"/>
              <w:bottom w:val="nil" w:sz="6" w:space="0" w:color="auto"/>
              <w:right w:val="nil" w:sz="6" w:space="0" w:color="auto"/>
            </w:tcBorders>
          </w:tcPr>
          <w:p>
            <w:pPr>
              <w:pStyle w:val="TableParagraph"/>
              <w:spacing w:line="212" w:lineRule="exact"/>
              <w:ind w:right="240"/>
              <w:jc w:val="right"/>
              <w:rPr>
                <w:rFonts w:ascii="宋体" w:hAnsi="宋体" w:cs="宋体" w:eastAsia="宋体" w:hint="default"/>
                <w:sz w:val="18"/>
                <w:szCs w:val="18"/>
              </w:rPr>
            </w:pPr>
            <w:r>
              <w:rPr>
                <w:rFonts w:ascii="宋体"/>
                <w:spacing w:val="-1"/>
                <w:sz w:val="18"/>
              </w:rPr>
              <w:t>3,083,530.79</w:t>
            </w:r>
            <w:r>
              <w:rPr>
                <w:rFonts w:ascii="宋体"/>
                <w:sz w:val="18"/>
              </w:rPr>
            </w:r>
          </w:p>
        </w:tc>
        <w:tc>
          <w:tcPr>
            <w:tcW w:w="1980" w:type="dxa"/>
            <w:tcBorders>
              <w:top w:val="nil" w:sz="6" w:space="0" w:color="auto"/>
              <w:left w:val="nil" w:sz="6" w:space="0" w:color="auto"/>
              <w:bottom w:val="nil" w:sz="6" w:space="0" w:color="auto"/>
              <w:right w:val="nil" w:sz="6" w:space="0" w:color="auto"/>
            </w:tcBorders>
          </w:tcPr>
          <w:p>
            <w:pPr>
              <w:pStyle w:val="TableParagraph"/>
              <w:spacing w:line="212" w:lineRule="exact"/>
              <w:ind w:left="477" w:right="0"/>
              <w:jc w:val="left"/>
              <w:rPr>
                <w:rFonts w:ascii="宋体" w:hAnsi="宋体" w:cs="宋体" w:eastAsia="宋体" w:hint="default"/>
                <w:sz w:val="18"/>
                <w:szCs w:val="18"/>
              </w:rPr>
            </w:pPr>
            <w:r>
              <w:rPr>
                <w:rFonts w:ascii="宋体"/>
                <w:sz w:val="18"/>
              </w:rPr>
              <w:t>2,776,904.09</w:t>
            </w:r>
          </w:p>
        </w:tc>
      </w:tr>
      <w:tr>
        <w:trPr>
          <w:trHeight w:val="256" w:hRule="exact"/>
        </w:trPr>
        <w:tc>
          <w:tcPr>
            <w:tcW w:w="5266" w:type="dxa"/>
            <w:tcBorders>
              <w:top w:val="nil" w:sz="6" w:space="0" w:color="auto"/>
              <w:left w:val="nil" w:sz="6" w:space="0" w:color="auto"/>
              <w:bottom w:val="nil" w:sz="6" w:space="0" w:color="auto"/>
              <w:right w:val="nil" w:sz="6" w:space="0" w:color="auto"/>
            </w:tcBorders>
          </w:tcPr>
          <w:p>
            <w:pPr>
              <w:pStyle w:val="TableParagraph"/>
              <w:spacing w:line="222" w:lineRule="exact"/>
              <w:ind w:left="484"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1404" w:type="dxa"/>
            <w:tcBorders>
              <w:top w:val="nil" w:sz="6" w:space="0" w:color="auto"/>
              <w:left w:val="nil" w:sz="6" w:space="0" w:color="auto"/>
              <w:bottom w:val="nil" w:sz="6" w:space="0" w:color="auto"/>
              <w:right w:val="nil" w:sz="6" w:space="0" w:color="auto"/>
            </w:tcBorders>
          </w:tcPr>
          <w:p>
            <w:pPr/>
          </w:p>
        </w:tc>
        <w:tc>
          <w:tcPr>
            <w:tcW w:w="2179" w:type="dxa"/>
            <w:tcBorders>
              <w:top w:val="nil" w:sz="6" w:space="0" w:color="auto"/>
              <w:left w:val="nil" w:sz="6" w:space="0" w:color="auto"/>
              <w:bottom w:val="nil" w:sz="6" w:space="0" w:color="auto"/>
              <w:right w:val="nil" w:sz="6" w:space="0" w:color="auto"/>
            </w:tcBorders>
          </w:tcPr>
          <w:p>
            <w:pPr>
              <w:pStyle w:val="TableParagraph"/>
              <w:spacing w:line="212" w:lineRule="exact"/>
              <w:ind w:right="240"/>
              <w:jc w:val="right"/>
              <w:rPr>
                <w:rFonts w:ascii="宋体" w:hAnsi="宋体" w:cs="宋体" w:eastAsia="宋体" w:hint="default"/>
                <w:sz w:val="18"/>
                <w:szCs w:val="18"/>
              </w:rPr>
            </w:pPr>
            <w:r>
              <w:rPr>
                <w:rFonts w:ascii="宋体"/>
                <w:spacing w:val="-1"/>
                <w:sz w:val="18"/>
              </w:rPr>
              <w:t>850,800.00</w:t>
            </w:r>
            <w:r>
              <w:rPr>
                <w:rFonts w:ascii="宋体"/>
                <w:sz w:val="18"/>
              </w:rPr>
            </w:r>
          </w:p>
        </w:tc>
        <w:tc>
          <w:tcPr>
            <w:tcW w:w="1980" w:type="dxa"/>
            <w:tcBorders>
              <w:top w:val="nil" w:sz="6" w:space="0" w:color="auto"/>
              <w:left w:val="nil" w:sz="6" w:space="0" w:color="auto"/>
              <w:bottom w:val="nil" w:sz="6" w:space="0" w:color="auto"/>
              <w:right w:val="nil" w:sz="6" w:space="0" w:color="auto"/>
            </w:tcBorders>
          </w:tcPr>
          <w:p>
            <w:pPr>
              <w:pStyle w:val="TableParagraph"/>
              <w:spacing w:line="212" w:lineRule="exact"/>
              <w:ind w:left="54" w:right="0"/>
              <w:jc w:val="center"/>
              <w:rPr>
                <w:rFonts w:ascii="宋体" w:hAnsi="宋体" w:cs="宋体" w:eastAsia="宋体" w:hint="default"/>
                <w:sz w:val="18"/>
                <w:szCs w:val="18"/>
              </w:rPr>
            </w:pPr>
            <w:r>
              <w:rPr>
                <w:rFonts w:ascii="宋体"/>
                <w:sz w:val="18"/>
              </w:rPr>
              <w:t>900.00</w:t>
            </w:r>
          </w:p>
        </w:tc>
      </w:tr>
      <w:tr>
        <w:trPr>
          <w:trHeight w:val="254" w:hRule="exact"/>
        </w:trPr>
        <w:tc>
          <w:tcPr>
            <w:tcW w:w="5266" w:type="dxa"/>
            <w:tcBorders>
              <w:top w:val="nil" w:sz="6" w:space="0" w:color="auto"/>
              <w:left w:val="nil" w:sz="6" w:space="0" w:color="auto"/>
              <w:bottom w:val="nil" w:sz="6" w:space="0" w:color="auto"/>
              <w:right w:val="nil" w:sz="6" w:space="0" w:color="auto"/>
            </w:tcBorders>
          </w:tcPr>
          <w:p>
            <w:pPr>
              <w:pStyle w:val="TableParagraph"/>
              <w:spacing w:line="221" w:lineRule="exact"/>
              <w:ind w:left="482"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1404" w:type="dxa"/>
            <w:tcBorders>
              <w:top w:val="nil" w:sz="6" w:space="0" w:color="auto"/>
              <w:left w:val="nil" w:sz="6" w:space="0" w:color="auto"/>
              <w:bottom w:val="nil" w:sz="6" w:space="0" w:color="auto"/>
              <w:right w:val="nil" w:sz="6" w:space="0" w:color="auto"/>
            </w:tcBorders>
          </w:tcPr>
          <w:p>
            <w:pPr/>
          </w:p>
        </w:tc>
        <w:tc>
          <w:tcPr>
            <w:tcW w:w="2179" w:type="dxa"/>
            <w:tcBorders>
              <w:top w:val="nil" w:sz="6" w:space="0" w:color="auto"/>
              <w:left w:val="nil" w:sz="6" w:space="0" w:color="auto"/>
              <w:bottom w:val="nil" w:sz="6" w:space="0" w:color="auto"/>
              <w:right w:val="nil" w:sz="6" w:space="0" w:color="auto"/>
            </w:tcBorders>
          </w:tcPr>
          <w:p>
            <w:pPr>
              <w:pStyle w:val="TableParagraph"/>
              <w:spacing w:line="214" w:lineRule="exact"/>
              <w:ind w:left="75" w:right="0"/>
              <w:jc w:val="center"/>
              <w:rPr>
                <w:rFonts w:ascii="宋体" w:hAnsi="宋体" w:cs="宋体" w:eastAsia="宋体" w:hint="default"/>
                <w:sz w:val="18"/>
                <w:szCs w:val="18"/>
              </w:rPr>
            </w:pPr>
            <w:r>
              <w:rPr>
                <w:rFonts w:ascii="宋体"/>
                <w:sz w:val="18"/>
              </w:rPr>
              <w:t>-</w:t>
            </w:r>
          </w:p>
        </w:tc>
        <w:tc>
          <w:tcPr>
            <w:tcW w:w="1980" w:type="dxa"/>
            <w:tcBorders>
              <w:top w:val="nil" w:sz="6" w:space="0" w:color="auto"/>
              <w:left w:val="nil" w:sz="6" w:space="0" w:color="auto"/>
              <w:bottom w:val="nil" w:sz="6" w:space="0" w:color="auto"/>
              <w:right w:val="nil" w:sz="6" w:space="0" w:color="auto"/>
            </w:tcBorders>
          </w:tcPr>
          <w:p>
            <w:pPr>
              <w:pStyle w:val="TableParagraph"/>
              <w:spacing w:line="214" w:lineRule="exact"/>
              <w:ind w:left="54" w:right="0"/>
              <w:jc w:val="center"/>
              <w:rPr>
                <w:rFonts w:ascii="宋体" w:hAnsi="宋体" w:cs="宋体" w:eastAsia="宋体" w:hint="default"/>
                <w:sz w:val="18"/>
                <w:szCs w:val="18"/>
              </w:rPr>
            </w:pPr>
            <w:r>
              <w:rPr>
                <w:rFonts w:ascii="宋体"/>
                <w:sz w:val="18"/>
              </w:rPr>
              <w:t>-</w:t>
            </w:r>
          </w:p>
        </w:tc>
      </w:tr>
      <w:tr>
        <w:trPr>
          <w:trHeight w:val="260" w:hRule="exact"/>
        </w:trPr>
        <w:tc>
          <w:tcPr>
            <w:tcW w:w="5266" w:type="dxa"/>
            <w:tcBorders>
              <w:top w:val="nil" w:sz="6" w:space="0" w:color="auto"/>
              <w:left w:val="nil" w:sz="6" w:space="0" w:color="auto"/>
              <w:bottom w:val="nil" w:sz="6" w:space="0" w:color="auto"/>
              <w:right w:val="nil" w:sz="6" w:space="0" w:color="auto"/>
            </w:tcBorders>
          </w:tcPr>
          <w:p>
            <w:pPr>
              <w:pStyle w:val="TableParagraph"/>
              <w:spacing w:line="223" w:lineRule="exact"/>
              <w:ind w:left="484"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1404" w:type="dxa"/>
            <w:tcBorders>
              <w:top w:val="nil" w:sz="6" w:space="0" w:color="auto"/>
              <w:left w:val="nil" w:sz="6" w:space="0" w:color="auto"/>
              <w:bottom w:val="nil" w:sz="6" w:space="0" w:color="auto"/>
              <w:right w:val="nil" w:sz="6" w:space="0" w:color="auto"/>
            </w:tcBorders>
          </w:tcPr>
          <w:p>
            <w:pPr/>
          </w:p>
        </w:tc>
        <w:tc>
          <w:tcPr>
            <w:tcW w:w="2179" w:type="dxa"/>
            <w:tcBorders>
              <w:top w:val="nil" w:sz="6" w:space="0" w:color="auto"/>
              <w:left w:val="nil" w:sz="6" w:space="0" w:color="auto"/>
              <w:bottom w:val="nil" w:sz="6" w:space="0" w:color="auto"/>
              <w:right w:val="nil" w:sz="6" w:space="0" w:color="auto"/>
            </w:tcBorders>
          </w:tcPr>
          <w:p>
            <w:pPr>
              <w:pStyle w:val="TableParagraph"/>
              <w:spacing w:line="214" w:lineRule="exact"/>
              <w:ind w:left="75" w:right="0"/>
              <w:jc w:val="center"/>
              <w:rPr>
                <w:rFonts w:ascii="宋体" w:hAnsi="宋体" w:cs="宋体" w:eastAsia="宋体" w:hint="default"/>
                <w:sz w:val="18"/>
                <w:szCs w:val="18"/>
              </w:rPr>
            </w:pPr>
            <w:r>
              <w:rPr>
                <w:rFonts w:ascii="宋体"/>
                <w:sz w:val="18"/>
              </w:rPr>
              <w:t>-</w:t>
            </w:r>
          </w:p>
        </w:tc>
        <w:tc>
          <w:tcPr>
            <w:tcW w:w="1980" w:type="dxa"/>
            <w:tcBorders>
              <w:top w:val="nil" w:sz="6" w:space="0" w:color="auto"/>
              <w:left w:val="nil" w:sz="6" w:space="0" w:color="auto"/>
              <w:bottom w:val="nil" w:sz="6" w:space="0" w:color="auto"/>
              <w:right w:val="nil" w:sz="6" w:space="0" w:color="auto"/>
            </w:tcBorders>
          </w:tcPr>
          <w:p>
            <w:pPr>
              <w:pStyle w:val="TableParagraph"/>
              <w:spacing w:line="214" w:lineRule="exact"/>
              <w:ind w:left="54" w:right="0"/>
              <w:jc w:val="center"/>
              <w:rPr>
                <w:rFonts w:ascii="宋体" w:hAnsi="宋体" w:cs="宋体" w:eastAsia="宋体" w:hint="default"/>
                <w:sz w:val="18"/>
                <w:szCs w:val="18"/>
              </w:rPr>
            </w:pPr>
            <w:r>
              <w:rPr>
                <w:rFonts w:ascii="宋体"/>
                <w:sz w:val="18"/>
              </w:rPr>
              <w:t>-</w:t>
            </w:r>
          </w:p>
        </w:tc>
      </w:tr>
      <w:tr>
        <w:trPr>
          <w:trHeight w:val="261" w:hRule="exact"/>
        </w:trPr>
        <w:tc>
          <w:tcPr>
            <w:tcW w:w="5266" w:type="dxa"/>
            <w:tcBorders>
              <w:top w:val="nil" w:sz="6" w:space="0" w:color="auto"/>
              <w:left w:val="nil" w:sz="6" w:space="0" w:color="auto"/>
              <w:bottom w:val="nil" w:sz="6" w:space="0" w:color="auto"/>
              <w:right w:val="nil" w:sz="6" w:space="0" w:color="auto"/>
            </w:tcBorders>
          </w:tcPr>
          <w:p>
            <w:pPr>
              <w:pStyle w:val="TableParagraph"/>
              <w:spacing w:line="227" w:lineRule="exact"/>
              <w:ind w:left="66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404" w:type="dxa"/>
            <w:tcBorders>
              <w:top w:val="nil" w:sz="6" w:space="0" w:color="auto"/>
              <w:left w:val="nil" w:sz="6" w:space="0" w:color="auto"/>
              <w:bottom w:val="nil" w:sz="6" w:space="0" w:color="auto"/>
              <w:right w:val="nil" w:sz="6" w:space="0" w:color="auto"/>
            </w:tcBorders>
          </w:tcPr>
          <w:p>
            <w:pPr/>
          </w:p>
        </w:tc>
        <w:tc>
          <w:tcPr>
            <w:tcW w:w="2179" w:type="dxa"/>
            <w:tcBorders>
              <w:top w:val="nil" w:sz="6" w:space="0" w:color="auto"/>
              <w:left w:val="nil" w:sz="6" w:space="0" w:color="auto"/>
              <w:bottom w:val="single" w:sz="4" w:space="0" w:color="000000"/>
              <w:right w:val="nil" w:sz="6" w:space="0" w:color="auto"/>
            </w:tcBorders>
          </w:tcPr>
          <w:p>
            <w:pPr>
              <w:pStyle w:val="TableParagraph"/>
              <w:spacing w:line="217" w:lineRule="exact"/>
              <w:ind w:right="240"/>
              <w:jc w:val="right"/>
              <w:rPr>
                <w:rFonts w:ascii="宋体" w:hAnsi="宋体" w:cs="宋体" w:eastAsia="宋体" w:hint="default"/>
                <w:sz w:val="18"/>
                <w:szCs w:val="18"/>
              </w:rPr>
            </w:pPr>
            <w:r>
              <w:rPr>
                <w:rFonts w:ascii="宋体"/>
                <w:spacing w:val="-1"/>
                <w:sz w:val="18"/>
              </w:rPr>
              <w:t>218,934,330.79</w:t>
            </w:r>
            <w:r>
              <w:rPr>
                <w:rFonts w:ascii="宋体"/>
                <w:sz w:val="18"/>
              </w:rPr>
            </w:r>
          </w:p>
        </w:tc>
        <w:tc>
          <w:tcPr>
            <w:tcW w:w="1980" w:type="dxa"/>
            <w:tcBorders>
              <w:top w:val="nil" w:sz="6" w:space="0" w:color="auto"/>
              <w:left w:val="nil" w:sz="6" w:space="0" w:color="auto"/>
              <w:bottom w:val="single" w:sz="4" w:space="0" w:color="000000"/>
              <w:right w:val="nil" w:sz="6" w:space="0" w:color="auto"/>
            </w:tcBorders>
          </w:tcPr>
          <w:p>
            <w:pPr>
              <w:pStyle w:val="TableParagraph"/>
              <w:spacing w:line="217" w:lineRule="exact"/>
              <w:ind w:left="386" w:right="0"/>
              <w:jc w:val="left"/>
              <w:rPr>
                <w:rFonts w:ascii="宋体" w:hAnsi="宋体" w:cs="宋体" w:eastAsia="宋体" w:hint="default"/>
                <w:sz w:val="18"/>
                <w:szCs w:val="18"/>
              </w:rPr>
            </w:pPr>
            <w:r>
              <w:rPr>
                <w:rFonts w:ascii="宋体"/>
                <w:sz w:val="18"/>
              </w:rPr>
              <w:t>336,777,804.09</w:t>
            </w:r>
          </w:p>
        </w:tc>
      </w:tr>
      <w:tr>
        <w:trPr>
          <w:trHeight w:val="264" w:hRule="exact"/>
        </w:trPr>
        <w:tc>
          <w:tcPr>
            <w:tcW w:w="5266" w:type="dxa"/>
            <w:tcBorders>
              <w:top w:val="nil" w:sz="6" w:space="0" w:color="auto"/>
              <w:left w:val="nil" w:sz="6" w:space="0" w:color="auto"/>
              <w:bottom w:val="nil" w:sz="6" w:space="0" w:color="auto"/>
              <w:right w:val="nil" w:sz="6" w:space="0" w:color="auto"/>
            </w:tcBorders>
          </w:tcPr>
          <w:p>
            <w:pPr>
              <w:pStyle w:val="TableParagraph"/>
              <w:spacing w:line="232" w:lineRule="exact"/>
              <w:ind w:left="484"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1404" w:type="dxa"/>
            <w:tcBorders>
              <w:top w:val="nil" w:sz="6" w:space="0" w:color="auto"/>
              <w:left w:val="nil" w:sz="6" w:space="0" w:color="auto"/>
              <w:bottom w:val="nil" w:sz="6" w:space="0" w:color="auto"/>
              <w:right w:val="nil" w:sz="6" w:space="0" w:color="auto"/>
            </w:tcBorders>
          </w:tcPr>
          <w:p>
            <w:pPr/>
          </w:p>
        </w:tc>
        <w:tc>
          <w:tcPr>
            <w:tcW w:w="2179" w:type="dxa"/>
            <w:tcBorders>
              <w:top w:val="single" w:sz="4" w:space="0" w:color="000000"/>
              <w:left w:val="nil" w:sz="6" w:space="0" w:color="auto"/>
              <w:bottom w:val="nil" w:sz="6" w:space="0" w:color="auto"/>
              <w:right w:val="nil" w:sz="6" w:space="0" w:color="auto"/>
            </w:tcBorders>
          </w:tcPr>
          <w:p>
            <w:pPr>
              <w:pStyle w:val="TableParagraph"/>
              <w:spacing w:line="217" w:lineRule="exact"/>
              <w:ind w:right="240"/>
              <w:jc w:val="right"/>
              <w:rPr>
                <w:rFonts w:ascii="宋体" w:hAnsi="宋体" w:cs="宋体" w:eastAsia="宋体" w:hint="default"/>
                <w:sz w:val="18"/>
                <w:szCs w:val="18"/>
              </w:rPr>
            </w:pPr>
            <w:r>
              <w:rPr>
                <w:rFonts w:ascii="宋体"/>
                <w:spacing w:val="-1"/>
                <w:sz w:val="18"/>
              </w:rPr>
              <w:t>2,939,673.92</w:t>
            </w:r>
            <w:r>
              <w:rPr>
                <w:rFonts w:ascii="宋体"/>
                <w:sz w:val="18"/>
              </w:rPr>
            </w:r>
          </w:p>
        </w:tc>
        <w:tc>
          <w:tcPr>
            <w:tcW w:w="1980" w:type="dxa"/>
            <w:tcBorders>
              <w:top w:val="single" w:sz="4" w:space="0" w:color="000000"/>
              <w:left w:val="nil" w:sz="6" w:space="0" w:color="auto"/>
              <w:bottom w:val="nil" w:sz="6" w:space="0" w:color="auto"/>
              <w:right w:val="nil" w:sz="6" w:space="0" w:color="auto"/>
            </w:tcBorders>
          </w:tcPr>
          <w:p>
            <w:pPr>
              <w:pStyle w:val="TableParagraph"/>
              <w:spacing w:line="217" w:lineRule="exact"/>
              <w:ind w:left="432" w:right="0"/>
              <w:jc w:val="left"/>
              <w:rPr>
                <w:rFonts w:ascii="宋体" w:hAnsi="宋体" w:cs="宋体" w:eastAsia="宋体" w:hint="default"/>
                <w:sz w:val="18"/>
                <w:szCs w:val="18"/>
              </w:rPr>
            </w:pPr>
            <w:r>
              <w:rPr>
                <w:rFonts w:ascii="宋体"/>
                <w:sz w:val="18"/>
              </w:rPr>
              <w:t>89,746,604.52</w:t>
            </w:r>
          </w:p>
        </w:tc>
      </w:tr>
      <w:tr>
        <w:trPr>
          <w:trHeight w:val="254" w:hRule="exact"/>
        </w:trPr>
        <w:tc>
          <w:tcPr>
            <w:tcW w:w="5266" w:type="dxa"/>
            <w:tcBorders>
              <w:top w:val="nil" w:sz="6" w:space="0" w:color="auto"/>
              <w:left w:val="nil" w:sz="6" w:space="0" w:color="auto"/>
              <w:bottom w:val="nil" w:sz="6" w:space="0" w:color="auto"/>
              <w:right w:val="nil" w:sz="6" w:space="0" w:color="auto"/>
            </w:tcBorders>
          </w:tcPr>
          <w:p>
            <w:pPr>
              <w:pStyle w:val="TableParagraph"/>
              <w:spacing w:line="222" w:lineRule="exact"/>
              <w:ind w:left="48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404" w:type="dxa"/>
            <w:tcBorders>
              <w:top w:val="nil" w:sz="6" w:space="0" w:color="auto"/>
              <w:left w:val="nil" w:sz="6" w:space="0" w:color="auto"/>
              <w:bottom w:val="nil" w:sz="6" w:space="0" w:color="auto"/>
              <w:right w:val="nil" w:sz="6" w:space="0" w:color="auto"/>
            </w:tcBorders>
          </w:tcPr>
          <w:p>
            <w:pPr/>
          </w:p>
        </w:tc>
        <w:tc>
          <w:tcPr>
            <w:tcW w:w="2179" w:type="dxa"/>
            <w:tcBorders>
              <w:top w:val="nil" w:sz="6" w:space="0" w:color="auto"/>
              <w:left w:val="nil" w:sz="6" w:space="0" w:color="auto"/>
              <w:bottom w:val="nil" w:sz="6" w:space="0" w:color="auto"/>
              <w:right w:val="nil" w:sz="6" w:space="0" w:color="auto"/>
            </w:tcBorders>
          </w:tcPr>
          <w:p>
            <w:pPr>
              <w:pStyle w:val="TableParagraph"/>
              <w:spacing w:line="212" w:lineRule="exact"/>
              <w:ind w:right="240"/>
              <w:jc w:val="right"/>
              <w:rPr>
                <w:rFonts w:ascii="宋体" w:hAnsi="宋体" w:cs="宋体" w:eastAsia="宋体" w:hint="default"/>
                <w:sz w:val="18"/>
                <w:szCs w:val="18"/>
              </w:rPr>
            </w:pPr>
            <w:r>
              <w:rPr>
                <w:rFonts w:ascii="宋体"/>
                <w:spacing w:val="-1"/>
                <w:sz w:val="18"/>
              </w:rPr>
              <w:t>238,000,000.00</w:t>
            </w:r>
            <w:r>
              <w:rPr>
                <w:rFonts w:ascii="宋体"/>
                <w:sz w:val="18"/>
              </w:rPr>
            </w:r>
          </w:p>
        </w:tc>
        <w:tc>
          <w:tcPr>
            <w:tcW w:w="1980" w:type="dxa"/>
            <w:tcBorders>
              <w:top w:val="nil" w:sz="6" w:space="0" w:color="auto"/>
              <w:left w:val="nil" w:sz="6" w:space="0" w:color="auto"/>
              <w:bottom w:val="nil" w:sz="6" w:space="0" w:color="auto"/>
              <w:right w:val="nil" w:sz="6" w:space="0" w:color="auto"/>
            </w:tcBorders>
          </w:tcPr>
          <w:p>
            <w:pPr>
              <w:pStyle w:val="TableParagraph"/>
              <w:spacing w:line="212" w:lineRule="exact"/>
              <w:ind w:left="386" w:right="0"/>
              <w:jc w:val="left"/>
              <w:rPr>
                <w:rFonts w:ascii="宋体" w:hAnsi="宋体" w:cs="宋体" w:eastAsia="宋体" w:hint="default"/>
                <w:sz w:val="18"/>
                <w:szCs w:val="18"/>
              </w:rPr>
            </w:pPr>
            <w:r>
              <w:rPr>
                <w:rFonts w:ascii="宋体"/>
                <w:sz w:val="18"/>
              </w:rPr>
              <w:t>360,000,000.00</w:t>
            </w:r>
          </w:p>
        </w:tc>
      </w:tr>
      <w:tr>
        <w:trPr>
          <w:trHeight w:val="256" w:hRule="exact"/>
        </w:trPr>
        <w:tc>
          <w:tcPr>
            <w:tcW w:w="5266" w:type="dxa"/>
            <w:tcBorders>
              <w:top w:val="nil" w:sz="6" w:space="0" w:color="auto"/>
              <w:left w:val="nil" w:sz="6" w:space="0" w:color="auto"/>
              <w:bottom w:val="nil" w:sz="6" w:space="0" w:color="auto"/>
              <w:right w:val="nil" w:sz="6" w:space="0" w:color="auto"/>
            </w:tcBorders>
          </w:tcPr>
          <w:p>
            <w:pPr>
              <w:pStyle w:val="TableParagraph"/>
              <w:spacing w:line="222" w:lineRule="exact"/>
              <w:ind w:left="48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1404" w:type="dxa"/>
            <w:tcBorders>
              <w:top w:val="nil" w:sz="6" w:space="0" w:color="auto"/>
              <w:left w:val="nil" w:sz="6" w:space="0" w:color="auto"/>
              <w:bottom w:val="nil" w:sz="6" w:space="0" w:color="auto"/>
              <w:right w:val="nil" w:sz="6" w:space="0" w:color="auto"/>
            </w:tcBorders>
          </w:tcPr>
          <w:p>
            <w:pPr/>
          </w:p>
        </w:tc>
        <w:tc>
          <w:tcPr>
            <w:tcW w:w="2179" w:type="dxa"/>
            <w:tcBorders>
              <w:top w:val="nil" w:sz="6" w:space="0" w:color="auto"/>
              <w:left w:val="nil" w:sz="6" w:space="0" w:color="auto"/>
              <w:bottom w:val="nil" w:sz="6" w:space="0" w:color="auto"/>
              <w:right w:val="nil" w:sz="6" w:space="0" w:color="auto"/>
            </w:tcBorders>
          </w:tcPr>
          <w:p>
            <w:pPr>
              <w:pStyle w:val="TableParagraph"/>
              <w:spacing w:line="212" w:lineRule="exact"/>
              <w:ind w:left="75" w:right="0"/>
              <w:jc w:val="center"/>
              <w:rPr>
                <w:rFonts w:ascii="宋体" w:hAnsi="宋体" w:cs="宋体" w:eastAsia="宋体" w:hint="default"/>
                <w:sz w:val="18"/>
                <w:szCs w:val="18"/>
              </w:rPr>
            </w:pPr>
            <w:r>
              <w:rPr>
                <w:rFonts w:ascii="宋体"/>
                <w:sz w:val="18"/>
              </w:rPr>
              <w:t>-</w:t>
            </w:r>
          </w:p>
        </w:tc>
        <w:tc>
          <w:tcPr>
            <w:tcW w:w="1980" w:type="dxa"/>
            <w:tcBorders>
              <w:top w:val="nil" w:sz="6" w:space="0" w:color="auto"/>
              <w:left w:val="nil" w:sz="6" w:space="0" w:color="auto"/>
              <w:bottom w:val="nil" w:sz="6" w:space="0" w:color="auto"/>
              <w:right w:val="nil" w:sz="6" w:space="0" w:color="auto"/>
            </w:tcBorders>
          </w:tcPr>
          <w:p>
            <w:pPr>
              <w:pStyle w:val="TableParagraph"/>
              <w:spacing w:line="212" w:lineRule="exact"/>
              <w:ind w:left="54" w:right="0"/>
              <w:jc w:val="center"/>
              <w:rPr>
                <w:rFonts w:ascii="宋体" w:hAnsi="宋体" w:cs="宋体" w:eastAsia="宋体" w:hint="default"/>
                <w:sz w:val="18"/>
                <w:szCs w:val="18"/>
              </w:rPr>
            </w:pPr>
            <w:r>
              <w:rPr>
                <w:rFonts w:ascii="宋体"/>
                <w:sz w:val="18"/>
              </w:rPr>
              <w:t>-</w:t>
            </w:r>
          </w:p>
        </w:tc>
      </w:tr>
      <w:tr>
        <w:trPr>
          <w:trHeight w:val="254" w:hRule="exact"/>
        </w:trPr>
        <w:tc>
          <w:tcPr>
            <w:tcW w:w="5266" w:type="dxa"/>
            <w:tcBorders>
              <w:top w:val="nil" w:sz="6" w:space="0" w:color="auto"/>
              <w:left w:val="nil" w:sz="6" w:space="0" w:color="auto"/>
              <w:bottom w:val="nil" w:sz="6" w:space="0" w:color="auto"/>
              <w:right w:val="nil" w:sz="6" w:space="0" w:color="auto"/>
            </w:tcBorders>
          </w:tcPr>
          <w:p>
            <w:pPr>
              <w:pStyle w:val="TableParagraph"/>
              <w:spacing w:line="221" w:lineRule="exact"/>
              <w:ind w:left="482"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1404" w:type="dxa"/>
            <w:tcBorders>
              <w:top w:val="nil" w:sz="6" w:space="0" w:color="auto"/>
              <w:left w:val="nil" w:sz="6" w:space="0" w:color="auto"/>
              <w:bottom w:val="nil" w:sz="6" w:space="0" w:color="auto"/>
              <w:right w:val="nil" w:sz="6" w:space="0" w:color="auto"/>
            </w:tcBorders>
          </w:tcPr>
          <w:p>
            <w:pPr/>
          </w:p>
        </w:tc>
        <w:tc>
          <w:tcPr>
            <w:tcW w:w="2179" w:type="dxa"/>
            <w:tcBorders>
              <w:top w:val="nil" w:sz="6" w:space="0" w:color="auto"/>
              <w:left w:val="nil" w:sz="6" w:space="0" w:color="auto"/>
              <w:bottom w:val="nil" w:sz="6" w:space="0" w:color="auto"/>
              <w:right w:val="nil" w:sz="6" w:space="0" w:color="auto"/>
            </w:tcBorders>
          </w:tcPr>
          <w:p>
            <w:pPr>
              <w:pStyle w:val="TableParagraph"/>
              <w:spacing w:line="214" w:lineRule="exact"/>
              <w:ind w:left="75" w:right="0"/>
              <w:jc w:val="center"/>
              <w:rPr>
                <w:rFonts w:ascii="宋体" w:hAnsi="宋体" w:cs="宋体" w:eastAsia="宋体" w:hint="default"/>
                <w:sz w:val="18"/>
                <w:szCs w:val="18"/>
              </w:rPr>
            </w:pPr>
            <w:r>
              <w:rPr>
                <w:rFonts w:ascii="宋体"/>
                <w:sz w:val="18"/>
              </w:rPr>
              <w:t>-</w:t>
            </w:r>
          </w:p>
        </w:tc>
        <w:tc>
          <w:tcPr>
            <w:tcW w:w="1980" w:type="dxa"/>
            <w:tcBorders>
              <w:top w:val="nil" w:sz="6" w:space="0" w:color="auto"/>
              <w:left w:val="nil" w:sz="6" w:space="0" w:color="auto"/>
              <w:bottom w:val="nil" w:sz="6" w:space="0" w:color="auto"/>
              <w:right w:val="nil" w:sz="6" w:space="0" w:color="auto"/>
            </w:tcBorders>
          </w:tcPr>
          <w:p>
            <w:pPr>
              <w:pStyle w:val="TableParagraph"/>
              <w:spacing w:line="214" w:lineRule="exact"/>
              <w:ind w:left="54" w:right="0"/>
              <w:jc w:val="center"/>
              <w:rPr>
                <w:rFonts w:ascii="宋体" w:hAnsi="宋体" w:cs="宋体" w:eastAsia="宋体" w:hint="default"/>
                <w:sz w:val="18"/>
                <w:szCs w:val="18"/>
              </w:rPr>
            </w:pPr>
            <w:r>
              <w:rPr>
                <w:rFonts w:ascii="宋体"/>
                <w:sz w:val="18"/>
              </w:rPr>
              <w:t>-</w:t>
            </w:r>
          </w:p>
        </w:tc>
      </w:tr>
      <w:tr>
        <w:trPr>
          <w:trHeight w:val="260" w:hRule="exact"/>
        </w:trPr>
        <w:tc>
          <w:tcPr>
            <w:tcW w:w="5266" w:type="dxa"/>
            <w:tcBorders>
              <w:top w:val="nil" w:sz="6" w:space="0" w:color="auto"/>
              <w:left w:val="nil" w:sz="6" w:space="0" w:color="auto"/>
              <w:bottom w:val="nil" w:sz="6" w:space="0" w:color="auto"/>
              <w:right w:val="nil" w:sz="6" w:space="0" w:color="auto"/>
            </w:tcBorders>
          </w:tcPr>
          <w:p>
            <w:pPr>
              <w:pStyle w:val="TableParagraph"/>
              <w:spacing w:line="223" w:lineRule="exact"/>
              <w:ind w:left="484"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1404" w:type="dxa"/>
            <w:tcBorders>
              <w:top w:val="nil" w:sz="6" w:space="0" w:color="auto"/>
              <w:left w:val="nil" w:sz="6" w:space="0" w:color="auto"/>
              <w:bottom w:val="nil" w:sz="6" w:space="0" w:color="auto"/>
              <w:right w:val="nil" w:sz="6" w:space="0" w:color="auto"/>
            </w:tcBorders>
          </w:tcPr>
          <w:p>
            <w:pPr/>
          </w:p>
        </w:tc>
        <w:tc>
          <w:tcPr>
            <w:tcW w:w="2179" w:type="dxa"/>
            <w:tcBorders>
              <w:top w:val="nil" w:sz="6" w:space="0" w:color="auto"/>
              <w:left w:val="nil" w:sz="6" w:space="0" w:color="auto"/>
              <w:bottom w:val="nil" w:sz="6" w:space="0" w:color="auto"/>
              <w:right w:val="nil" w:sz="6" w:space="0" w:color="auto"/>
            </w:tcBorders>
          </w:tcPr>
          <w:p>
            <w:pPr>
              <w:pStyle w:val="TableParagraph"/>
              <w:spacing w:line="214" w:lineRule="exact"/>
              <w:ind w:left="75" w:right="0"/>
              <w:jc w:val="center"/>
              <w:rPr>
                <w:rFonts w:ascii="宋体" w:hAnsi="宋体" w:cs="宋体" w:eastAsia="宋体" w:hint="default"/>
                <w:sz w:val="18"/>
                <w:szCs w:val="18"/>
              </w:rPr>
            </w:pPr>
            <w:r>
              <w:rPr>
                <w:rFonts w:ascii="宋体"/>
                <w:sz w:val="18"/>
              </w:rPr>
              <w:t>-</w:t>
            </w:r>
          </w:p>
        </w:tc>
        <w:tc>
          <w:tcPr>
            <w:tcW w:w="1980" w:type="dxa"/>
            <w:tcBorders>
              <w:top w:val="nil" w:sz="6" w:space="0" w:color="auto"/>
              <w:left w:val="nil" w:sz="6" w:space="0" w:color="auto"/>
              <w:bottom w:val="nil" w:sz="6" w:space="0" w:color="auto"/>
              <w:right w:val="nil" w:sz="6" w:space="0" w:color="auto"/>
            </w:tcBorders>
          </w:tcPr>
          <w:p>
            <w:pPr>
              <w:pStyle w:val="TableParagraph"/>
              <w:spacing w:line="214" w:lineRule="exact"/>
              <w:ind w:left="54" w:right="0"/>
              <w:jc w:val="center"/>
              <w:rPr>
                <w:rFonts w:ascii="宋体" w:hAnsi="宋体" w:cs="宋体" w:eastAsia="宋体" w:hint="default"/>
                <w:sz w:val="18"/>
                <w:szCs w:val="18"/>
              </w:rPr>
            </w:pPr>
            <w:r>
              <w:rPr>
                <w:rFonts w:ascii="宋体"/>
                <w:sz w:val="18"/>
              </w:rPr>
              <w:t>-</w:t>
            </w:r>
          </w:p>
        </w:tc>
      </w:tr>
      <w:tr>
        <w:trPr>
          <w:trHeight w:val="261" w:hRule="exact"/>
        </w:trPr>
        <w:tc>
          <w:tcPr>
            <w:tcW w:w="5266" w:type="dxa"/>
            <w:tcBorders>
              <w:top w:val="nil" w:sz="6" w:space="0" w:color="auto"/>
              <w:left w:val="nil" w:sz="6" w:space="0" w:color="auto"/>
              <w:bottom w:val="nil" w:sz="6" w:space="0" w:color="auto"/>
              <w:right w:val="nil" w:sz="6" w:space="0" w:color="auto"/>
            </w:tcBorders>
          </w:tcPr>
          <w:p>
            <w:pPr>
              <w:pStyle w:val="TableParagraph"/>
              <w:spacing w:line="227" w:lineRule="exact"/>
              <w:ind w:left="66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404" w:type="dxa"/>
            <w:tcBorders>
              <w:top w:val="nil" w:sz="6" w:space="0" w:color="auto"/>
              <w:left w:val="nil" w:sz="6" w:space="0" w:color="auto"/>
              <w:bottom w:val="nil" w:sz="6" w:space="0" w:color="auto"/>
              <w:right w:val="nil" w:sz="6" w:space="0" w:color="auto"/>
            </w:tcBorders>
          </w:tcPr>
          <w:p>
            <w:pPr/>
          </w:p>
        </w:tc>
        <w:tc>
          <w:tcPr>
            <w:tcW w:w="2179" w:type="dxa"/>
            <w:tcBorders>
              <w:top w:val="nil" w:sz="6" w:space="0" w:color="auto"/>
              <w:left w:val="nil" w:sz="6" w:space="0" w:color="auto"/>
              <w:bottom w:val="single" w:sz="4" w:space="0" w:color="000000"/>
              <w:right w:val="nil" w:sz="6" w:space="0" w:color="auto"/>
            </w:tcBorders>
          </w:tcPr>
          <w:p>
            <w:pPr>
              <w:pStyle w:val="TableParagraph"/>
              <w:spacing w:line="217" w:lineRule="exact"/>
              <w:ind w:right="240"/>
              <w:jc w:val="right"/>
              <w:rPr>
                <w:rFonts w:ascii="宋体" w:hAnsi="宋体" w:cs="宋体" w:eastAsia="宋体" w:hint="default"/>
                <w:sz w:val="18"/>
                <w:szCs w:val="18"/>
              </w:rPr>
            </w:pPr>
            <w:r>
              <w:rPr>
                <w:rFonts w:ascii="宋体"/>
                <w:spacing w:val="-1"/>
                <w:sz w:val="18"/>
              </w:rPr>
              <w:t>240,939,673.92</w:t>
            </w:r>
            <w:r>
              <w:rPr>
                <w:rFonts w:ascii="宋体"/>
                <w:sz w:val="18"/>
              </w:rPr>
            </w:r>
          </w:p>
        </w:tc>
        <w:tc>
          <w:tcPr>
            <w:tcW w:w="1980" w:type="dxa"/>
            <w:tcBorders>
              <w:top w:val="nil" w:sz="6" w:space="0" w:color="auto"/>
              <w:left w:val="nil" w:sz="6" w:space="0" w:color="auto"/>
              <w:bottom w:val="single" w:sz="4" w:space="0" w:color="000000"/>
              <w:right w:val="nil" w:sz="6" w:space="0" w:color="auto"/>
            </w:tcBorders>
          </w:tcPr>
          <w:p>
            <w:pPr>
              <w:pStyle w:val="TableParagraph"/>
              <w:spacing w:line="217" w:lineRule="exact"/>
              <w:ind w:left="386" w:right="0"/>
              <w:jc w:val="left"/>
              <w:rPr>
                <w:rFonts w:ascii="宋体" w:hAnsi="宋体" w:cs="宋体" w:eastAsia="宋体" w:hint="default"/>
                <w:sz w:val="18"/>
                <w:szCs w:val="18"/>
              </w:rPr>
            </w:pPr>
            <w:r>
              <w:rPr>
                <w:rFonts w:ascii="宋体"/>
                <w:sz w:val="18"/>
              </w:rPr>
              <w:t>449,746,604.52</w:t>
            </w:r>
          </w:p>
        </w:tc>
      </w:tr>
      <w:tr>
        <w:trPr>
          <w:trHeight w:val="283" w:hRule="exact"/>
        </w:trPr>
        <w:tc>
          <w:tcPr>
            <w:tcW w:w="5266" w:type="dxa"/>
            <w:tcBorders>
              <w:top w:val="nil" w:sz="6" w:space="0" w:color="auto"/>
              <w:left w:val="nil" w:sz="6" w:space="0" w:color="auto"/>
              <w:bottom w:val="nil" w:sz="6" w:space="0" w:color="auto"/>
              <w:right w:val="nil" w:sz="6" w:space="0" w:color="auto"/>
            </w:tcBorders>
          </w:tcPr>
          <w:p>
            <w:pPr>
              <w:pStyle w:val="TableParagraph"/>
              <w:spacing w:line="229" w:lineRule="exact"/>
              <w:ind w:left="66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404" w:type="dxa"/>
            <w:tcBorders>
              <w:top w:val="nil" w:sz="6" w:space="0" w:color="auto"/>
              <w:left w:val="nil" w:sz="6" w:space="0" w:color="auto"/>
              <w:bottom w:val="nil" w:sz="6" w:space="0" w:color="auto"/>
              <w:right w:val="nil" w:sz="6" w:space="0" w:color="auto"/>
            </w:tcBorders>
          </w:tcPr>
          <w:p>
            <w:pPr/>
          </w:p>
        </w:tc>
        <w:tc>
          <w:tcPr>
            <w:tcW w:w="2179" w:type="dxa"/>
            <w:tcBorders>
              <w:top w:val="single" w:sz="4" w:space="0" w:color="000000"/>
              <w:left w:val="nil" w:sz="6" w:space="0" w:color="auto"/>
              <w:bottom w:val="single" w:sz="17" w:space="0" w:color="000000"/>
              <w:right w:val="nil" w:sz="6" w:space="0" w:color="auto"/>
            </w:tcBorders>
          </w:tcPr>
          <w:p>
            <w:pPr>
              <w:pStyle w:val="TableParagraph"/>
              <w:spacing w:line="217" w:lineRule="exact"/>
              <w:ind w:left="451" w:right="0"/>
              <w:jc w:val="left"/>
              <w:rPr>
                <w:rFonts w:ascii="宋体" w:hAnsi="宋体" w:cs="宋体" w:eastAsia="宋体" w:hint="default"/>
                <w:sz w:val="18"/>
                <w:szCs w:val="18"/>
              </w:rPr>
            </w:pPr>
            <w:r>
              <w:rPr>
                <w:rFonts w:ascii="宋体"/>
                <w:sz w:val="18"/>
              </w:rPr>
              <w:t>(22,005,343.13)</w:t>
            </w:r>
          </w:p>
        </w:tc>
        <w:tc>
          <w:tcPr>
            <w:tcW w:w="1980" w:type="dxa"/>
            <w:tcBorders>
              <w:top w:val="single" w:sz="4" w:space="0" w:color="000000"/>
              <w:left w:val="nil" w:sz="6" w:space="0" w:color="auto"/>
              <w:bottom w:val="single" w:sz="17" w:space="0" w:color="000000"/>
              <w:right w:val="nil" w:sz="6" w:space="0" w:color="auto"/>
            </w:tcBorders>
          </w:tcPr>
          <w:p>
            <w:pPr>
              <w:pStyle w:val="TableParagraph"/>
              <w:spacing w:line="217" w:lineRule="exact"/>
              <w:ind w:left="297" w:right="0"/>
              <w:jc w:val="left"/>
              <w:rPr>
                <w:rFonts w:ascii="宋体" w:hAnsi="宋体" w:cs="宋体" w:eastAsia="宋体" w:hint="default"/>
                <w:sz w:val="18"/>
                <w:szCs w:val="18"/>
              </w:rPr>
            </w:pPr>
            <w:r>
              <w:rPr>
                <w:rFonts w:ascii="宋体"/>
                <w:sz w:val="18"/>
              </w:rPr>
              <w:t>(112,968,800.43)</w:t>
            </w:r>
          </w:p>
        </w:tc>
      </w:tr>
      <w:tr>
        <w:trPr>
          <w:trHeight w:val="280" w:hRule="exact"/>
        </w:trPr>
        <w:tc>
          <w:tcPr>
            <w:tcW w:w="526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b/>
                <w:bCs/>
                <w:sz w:val="18"/>
                <w:szCs w:val="18"/>
              </w:rPr>
              <w:t>三、筹资活动产生的现金流量：</w:t>
            </w:r>
            <w:r>
              <w:rPr>
                <w:rFonts w:ascii="宋体" w:hAnsi="宋体" w:cs="宋体" w:eastAsia="宋体" w:hint="default"/>
                <w:sz w:val="18"/>
                <w:szCs w:val="18"/>
              </w:rPr>
            </w:r>
          </w:p>
        </w:tc>
        <w:tc>
          <w:tcPr>
            <w:tcW w:w="1404" w:type="dxa"/>
            <w:tcBorders>
              <w:top w:val="nil" w:sz="6" w:space="0" w:color="auto"/>
              <w:left w:val="nil" w:sz="6" w:space="0" w:color="auto"/>
              <w:bottom w:val="nil" w:sz="6" w:space="0" w:color="auto"/>
              <w:right w:val="nil" w:sz="6" w:space="0" w:color="auto"/>
            </w:tcBorders>
          </w:tcPr>
          <w:p>
            <w:pPr/>
          </w:p>
        </w:tc>
        <w:tc>
          <w:tcPr>
            <w:tcW w:w="2179" w:type="dxa"/>
            <w:tcBorders>
              <w:top w:val="single" w:sz="17" w:space="0" w:color="000000"/>
              <w:left w:val="nil" w:sz="6" w:space="0" w:color="auto"/>
              <w:bottom w:val="nil" w:sz="6" w:space="0" w:color="auto"/>
              <w:right w:val="nil" w:sz="6" w:space="0" w:color="auto"/>
            </w:tcBorders>
          </w:tcPr>
          <w:p>
            <w:pPr/>
          </w:p>
        </w:tc>
        <w:tc>
          <w:tcPr>
            <w:tcW w:w="1980" w:type="dxa"/>
            <w:tcBorders>
              <w:top w:val="single" w:sz="17" w:space="0" w:color="000000"/>
              <w:left w:val="nil" w:sz="6" w:space="0" w:color="auto"/>
              <w:bottom w:val="nil" w:sz="6" w:space="0" w:color="auto"/>
              <w:right w:val="nil" w:sz="6" w:space="0" w:color="auto"/>
            </w:tcBorders>
          </w:tcPr>
          <w:p>
            <w:pPr/>
          </w:p>
        </w:tc>
      </w:tr>
      <w:tr>
        <w:trPr>
          <w:trHeight w:val="256" w:hRule="exact"/>
        </w:trPr>
        <w:tc>
          <w:tcPr>
            <w:tcW w:w="5266" w:type="dxa"/>
            <w:tcBorders>
              <w:top w:val="nil" w:sz="6" w:space="0" w:color="auto"/>
              <w:left w:val="nil" w:sz="6" w:space="0" w:color="auto"/>
              <w:bottom w:val="nil" w:sz="6" w:space="0" w:color="auto"/>
              <w:right w:val="nil" w:sz="6" w:space="0" w:color="auto"/>
            </w:tcBorders>
          </w:tcPr>
          <w:p>
            <w:pPr>
              <w:pStyle w:val="TableParagraph"/>
              <w:spacing w:line="223" w:lineRule="exact"/>
              <w:ind w:left="484"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404" w:type="dxa"/>
            <w:tcBorders>
              <w:top w:val="nil" w:sz="6" w:space="0" w:color="auto"/>
              <w:left w:val="nil" w:sz="6" w:space="0" w:color="auto"/>
              <w:bottom w:val="nil" w:sz="6" w:space="0" w:color="auto"/>
              <w:right w:val="nil" w:sz="6" w:space="0" w:color="auto"/>
            </w:tcBorders>
          </w:tcPr>
          <w:p>
            <w:pPr/>
          </w:p>
        </w:tc>
        <w:tc>
          <w:tcPr>
            <w:tcW w:w="2179" w:type="dxa"/>
            <w:tcBorders>
              <w:top w:val="nil" w:sz="6" w:space="0" w:color="auto"/>
              <w:left w:val="nil" w:sz="6" w:space="0" w:color="auto"/>
              <w:bottom w:val="nil" w:sz="6" w:space="0" w:color="auto"/>
              <w:right w:val="nil" w:sz="6" w:space="0" w:color="auto"/>
            </w:tcBorders>
          </w:tcPr>
          <w:p>
            <w:pPr>
              <w:pStyle w:val="TableParagraph"/>
              <w:spacing w:line="214" w:lineRule="exact"/>
              <w:ind w:left="75" w:right="0"/>
              <w:jc w:val="center"/>
              <w:rPr>
                <w:rFonts w:ascii="宋体" w:hAnsi="宋体" w:cs="宋体" w:eastAsia="宋体" w:hint="default"/>
                <w:sz w:val="18"/>
                <w:szCs w:val="18"/>
              </w:rPr>
            </w:pPr>
            <w:r>
              <w:rPr>
                <w:rFonts w:ascii="宋体"/>
                <w:sz w:val="18"/>
              </w:rPr>
              <w:t>-</w:t>
            </w:r>
          </w:p>
        </w:tc>
        <w:tc>
          <w:tcPr>
            <w:tcW w:w="1980" w:type="dxa"/>
            <w:tcBorders>
              <w:top w:val="nil" w:sz="6" w:space="0" w:color="auto"/>
              <w:left w:val="nil" w:sz="6" w:space="0" w:color="auto"/>
              <w:bottom w:val="nil" w:sz="6" w:space="0" w:color="auto"/>
              <w:right w:val="nil" w:sz="6" w:space="0" w:color="auto"/>
            </w:tcBorders>
          </w:tcPr>
          <w:p>
            <w:pPr/>
          </w:p>
        </w:tc>
      </w:tr>
      <w:tr>
        <w:trPr>
          <w:trHeight w:val="254" w:hRule="exact"/>
        </w:trPr>
        <w:tc>
          <w:tcPr>
            <w:tcW w:w="5266" w:type="dxa"/>
            <w:tcBorders>
              <w:top w:val="nil" w:sz="6" w:space="0" w:color="auto"/>
              <w:left w:val="nil" w:sz="6" w:space="0" w:color="auto"/>
              <w:bottom w:val="nil" w:sz="6" w:space="0" w:color="auto"/>
              <w:right w:val="nil" w:sz="6" w:space="0" w:color="auto"/>
            </w:tcBorders>
          </w:tcPr>
          <w:p>
            <w:pPr>
              <w:pStyle w:val="TableParagraph"/>
              <w:spacing w:line="222" w:lineRule="exact"/>
              <w:ind w:left="482" w:right="0"/>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1404" w:type="dxa"/>
            <w:tcBorders>
              <w:top w:val="nil" w:sz="6" w:space="0" w:color="auto"/>
              <w:left w:val="nil" w:sz="6" w:space="0" w:color="auto"/>
              <w:bottom w:val="nil" w:sz="6" w:space="0" w:color="auto"/>
              <w:right w:val="nil" w:sz="6" w:space="0" w:color="auto"/>
            </w:tcBorders>
          </w:tcPr>
          <w:p>
            <w:pPr/>
          </w:p>
        </w:tc>
        <w:tc>
          <w:tcPr>
            <w:tcW w:w="2179" w:type="dxa"/>
            <w:tcBorders>
              <w:top w:val="nil" w:sz="6" w:space="0" w:color="auto"/>
              <w:left w:val="nil" w:sz="6" w:space="0" w:color="auto"/>
              <w:bottom w:val="nil" w:sz="6" w:space="0" w:color="auto"/>
              <w:right w:val="nil" w:sz="6" w:space="0" w:color="auto"/>
            </w:tcBorders>
          </w:tcPr>
          <w:p>
            <w:pPr>
              <w:pStyle w:val="TableParagraph"/>
              <w:spacing w:line="212" w:lineRule="exact"/>
              <w:ind w:left="75" w:right="0"/>
              <w:jc w:val="center"/>
              <w:rPr>
                <w:rFonts w:ascii="宋体" w:hAnsi="宋体" w:cs="宋体" w:eastAsia="宋体" w:hint="default"/>
                <w:sz w:val="18"/>
                <w:szCs w:val="18"/>
              </w:rPr>
            </w:pPr>
            <w:r>
              <w:rPr>
                <w:rFonts w:ascii="宋体"/>
                <w:sz w:val="18"/>
              </w:rPr>
              <w:t>-</w:t>
            </w:r>
          </w:p>
        </w:tc>
        <w:tc>
          <w:tcPr>
            <w:tcW w:w="1980" w:type="dxa"/>
            <w:tcBorders>
              <w:top w:val="nil" w:sz="6" w:space="0" w:color="auto"/>
              <w:left w:val="nil" w:sz="6" w:space="0" w:color="auto"/>
              <w:bottom w:val="nil" w:sz="6" w:space="0" w:color="auto"/>
              <w:right w:val="nil" w:sz="6" w:space="0" w:color="auto"/>
            </w:tcBorders>
          </w:tcPr>
          <w:p>
            <w:pPr>
              <w:pStyle w:val="TableParagraph"/>
              <w:spacing w:line="212" w:lineRule="exact"/>
              <w:ind w:left="54" w:right="0"/>
              <w:jc w:val="center"/>
              <w:rPr>
                <w:rFonts w:ascii="宋体" w:hAnsi="宋体" w:cs="宋体" w:eastAsia="宋体" w:hint="default"/>
                <w:sz w:val="18"/>
                <w:szCs w:val="18"/>
              </w:rPr>
            </w:pPr>
            <w:r>
              <w:rPr>
                <w:rFonts w:ascii="宋体"/>
                <w:sz w:val="18"/>
              </w:rPr>
              <w:t>-</w:t>
            </w:r>
          </w:p>
        </w:tc>
      </w:tr>
      <w:tr>
        <w:trPr>
          <w:trHeight w:val="256" w:hRule="exact"/>
        </w:trPr>
        <w:tc>
          <w:tcPr>
            <w:tcW w:w="5266" w:type="dxa"/>
            <w:tcBorders>
              <w:top w:val="nil" w:sz="6" w:space="0" w:color="auto"/>
              <w:left w:val="nil" w:sz="6" w:space="0" w:color="auto"/>
              <w:bottom w:val="nil" w:sz="6" w:space="0" w:color="auto"/>
              <w:right w:val="nil" w:sz="6" w:space="0" w:color="auto"/>
            </w:tcBorders>
          </w:tcPr>
          <w:p>
            <w:pPr>
              <w:pStyle w:val="TableParagraph"/>
              <w:spacing w:line="222" w:lineRule="exact"/>
              <w:ind w:left="484"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1404" w:type="dxa"/>
            <w:tcBorders>
              <w:top w:val="nil" w:sz="6" w:space="0" w:color="auto"/>
              <w:left w:val="nil" w:sz="6" w:space="0" w:color="auto"/>
              <w:bottom w:val="nil" w:sz="6" w:space="0" w:color="auto"/>
              <w:right w:val="nil" w:sz="6" w:space="0" w:color="auto"/>
            </w:tcBorders>
          </w:tcPr>
          <w:p>
            <w:pPr/>
          </w:p>
        </w:tc>
        <w:tc>
          <w:tcPr>
            <w:tcW w:w="2179" w:type="dxa"/>
            <w:tcBorders>
              <w:top w:val="nil" w:sz="6" w:space="0" w:color="auto"/>
              <w:left w:val="nil" w:sz="6" w:space="0" w:color="auto"/>
              <w:bottom w:val="nil" w:sz="6" w:space="0" w:color="auto"/>
              <w:right w:val="nil" w:sz="6" w:space="0" w:color="auto"/>
            </w:tcBorders>
          </w:tcPr>
          <w:p>
            <w:pPr>
              <w:pStyle w:val="TableParagraph"/>
              <w:spacing w:line="212" w:lineRule="exact"/>
              <w:ind w:left="75" w:right="0"/>
              <w:jc w:val="center"/>
              <w:rPr>
                <w:rFonts w:ascii="宋体" w:hAnsi="宋体" w:cs="宋体" w:eastAsia="宋体" w:hint="default"/>
                <w:sz w:val="18"/>
                <w:szCs w:val="18"/>
              </w:rPr>
            </w:pPr>
            <w:r>
              <w:rPr>
                <w:rFonts w:ascii="宋体"/>
                <w:sz w:val="18"/>
              </w:rPr>
              <w:t>-</w:t>
            </w:r>
          </w:p>
        </w:tc>
        <w:tc>
          <w:tcPr>
            <w:tcW w:w="1980" w:type="dxa"/>
            <w:tcBorders>
              <w:top w:val="nil" w:sz="6" w:space="0" w:color="auto"/>
              <w:left w:val="nil" w:sz="6" w:space="0" w:color="auto"/>
              <w:bottom w:val="nil" w:sz="6" w:space="0" w:color="auto"/>
              <w:right w:val="nil" w:sz="6" w:space="0" w:color="auto"/>
            </w:tcBorders>
          </w:tcPr>
          <w:p>
            <w:pPr>
              <w:pStyle w:val="TableParagraph"/>
              <w:spacing w:line="212" w:lineRule="exact"/>
              <w:ind w:left="54" w:right="0"/>
              <w:jc w:val="center"/>
              <w:rPr>
                <w:rFonts w:ascii="宋体" w:hAnsi="宋体" w:cs="宋体" w:eastAsia="宋体" w:hint="default"/>
                <w:sz w:val="18"/>
                <w:szCs w:val="18"/>
              </w:rPr>
            </w:pPr>
            <w:r>
              <w:rPr>
                <w:rFonts w:ascii="宋体"/>
                <w:sz w:val="18"/>
              </w:rPr>
              <w:t>-</w:t>
            </w:r>
          </w:p>
        </w:tc>
      </w:tr>
      <w:tr>
        <w:trPr>
          <w:trHeight w:val="252" w:hRule="exact"/>
        </w:trPr>
        <w:tc>
          <w:tcPr>
            <w:tcW w:w="5266" w:type="dxa"/>
            <w:tcBorders>
              <w:top w:val="nil" w:sz="6" w:space="0" w:color="auto"/>
              <w:left w:val="nil" w:sz="6" w:space="0" w:color="auto"/>
              <w:bottom w:val="nil" w:sz="6" w:space="0" w:color="auto"/>
              <w:right w:val="nil" w:sz="6" w:space="0" w:color="auto"/>
            </w:tcBorders>
          </w:tcPr>
          <w:p>
            <w:pPr>
              <w:pStyle w:val="TableParagraph"/>
              <w:spacing w:line="221" w:lineRule="exact"/>
              <w:ind w:left="4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1404" w:type="dxa"/>
            <w:tcBorders>
              <w:top w:val="nil" w:sz="6" w:space="0" w:color="auto"/>
              <w:left w:val="nil" w:sz="6" w:space="0" w:color="auto"/>
              <w:bottom w:val="nil" w:sz="6" w:space="0" w:color="auto"/>
              <w:right w:val="nil" w:sz="6" w:space="0" w:color="auto"/>
            </w:tcBorders>
          </w:tcPr>
          <w:p>
            <w:pPr/>
          </w:p>
        </w:tc>
        <w:tc>
          <w:tcPr>
            <w:tcW w:w="2179" w:type="dxa"/>
            <w:tcBorders>
              <w:top w:val="nil" w:sz="6" w:space="0" w:color="auto"/>
              <w:left w:val="nil" w:sz="6" w:space="0" w:color="auto"/>
              <w:bottom w:val="nil" w:sz="6" w:space="0" w:color="auto"/>
              <w:right w:val="nil" w:sz="6" w:space="0" w:color="auto"/>
            </w:tcBorders>
          </w:tcPr>
          <w:p>
            <w:pPr>
              <w:pStyle w:val="TableParagraph"/>
              <w:spacing w:line="214" w:lineRule="exact"/>
              <w:ind w:left="75" w:right="0"/>
              <w:jc w:val="center"/>
              <w:rPr>
                <w:rFonts w:ascii="宋体" w:hAnsi="宋体" w:cs="宋体" w:eastAsia="宋体" w:hint="default"/>
                <w:sz w:val="18"/>
                <w:szCs w:val="18"/>
              </w:rPr>
            </w:pPr>
            <w:r>
              <w:rPr>
                <w:rFonts w:ascii="宋体"/>
                <w:sz w:val="18"/>
              </w:rPr>
              <w:t>-</w:t>
            </w:r>
          </w:p>
        </w:tc>
        <w:tc>
          <w:tcPr>
            <w:tcW w:w="1980" w:type="dxa"/>
            <w:tcBorders>
              <w:top w:val="nil" w:sz="6" w:space="0" w:color="auto"/>
              <w:left w:val="nil" w:sz="6" w:space="0" w:color="auto"/>
              <w:bottom w:val="nil" w:sz="6" w:space="0" w:color="auto"/>
              <w:right w:val="nil" w:sz="6" w:space="0" w:color="auto"/>
            </w:tcBorders>
          </w:tcPr>
          <w:p>
            <w:pPr>
              <w:pStyle w:val="TableParagraph"/>
              <w:spacing w:line="214" w:lineRule="exact"/>
              <w:ind w:left="54" w:right="0"/>
              <w:jc w:val="center"/>
              <w:rPr>
                <w:rFonts w:ascii="宋体" w:hAnsi="宋体" w:cs="宋体" w:eastAsia="宋体" w:hint="default"/>
                <w:sz w:val="18"/>
                <w:szCs w:val="18"/>
              </w:rPr>
            </w:pPr>
            <w:r>
              <w:rPr>
                <w:rFonts w:ascii="宋体"/>
                <w:sz w:val="18"/>
              </w:rPr>
              <w:t>-</w:t>
            </w:r>
          </w:p>
        </w:tc>
      </w:tr>
      <w:tr>
        <w:trPr>
          <w:trHeight w:val="446" w:hRule="exact"/>
        </w:trPr>
        <w:tc>
          <w:tcPr>
            <w:tcW w:w="5266"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484"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1404" w:type="dxa"/>
            <w:tcBorders>
              <w:top w:val="nil" w:sz="6" w:space="0" w:color="auto"/>
              <w:left w:val="nil" w:sz="6" w:space="0" w:color="auto"/>
              <w:bottom w:val="nil" w:sz="6" w:space="0" w:color="auto"/>
              <w:right w:val="nil" w:sz="6" w:space="0" w:color="auto"/>
            </w:tcBorders>
          </w:tcPr>
          <w:p>
            <w:pPr>
              <w:pStyle w:val="TableParagraph"/>
              <w:spacing w:line="246" w:lineRule="exact"/>
              <w:ind w:left="71"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注释</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37</w:t>
            </w:r>
          </w:p>
        </w:tc>
        <w:tc>
          <w:tcPr>
            <w:tcW w:w="2179"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240"/>
              <w:jc w:val="right"/>
              <w:rPr>
                <w:rFonts w:ascii="宋体" w:hAnsi="宋体" w:cs="宋体" w:eastAsia="宋体" w:hint="default"/>
                <w:sz w:val="18"/>
                <w:szCs w:val="18"/>
              </w:rPr>
            </w:pPr>
            <w:r>
              <w:rPr>
                <w:rFonts w:ascii="宋体"/>
                <w:spacing w:val="-1"/>
                <w:sz w:val="18"/>
              </w:rPr>
              <w:t>1,560,939.09</w:t>
            </w:r>
            <w:r>
              <w:rPr>
                <w:rFonts w:ascii="宋体"/>
                <w:sz w:val="18"/>
              </w:rPr>
            </w: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477" w:right="0"/>
              <w:jc w:val="left"/>
              <w:rPr>
                <w:rFonts w:ascii="宋体" w:hAnsi="宋体" w:cs="宋体" w:eastAsia="宋体" w:hint="default"/>
                <w:sz w:val="18"/>
                <w:szCs w:val="18"/>
              </w:rPr>
            </w:pPr>
            <w:r>
              <w:rPr>
                <w:rFonts w:ascii="宋体"/>
                <w:sz w:val="18"/>
              </w:rPr>
              <w:t>2,847,652.27</w:t>
            </w:r>
          </w:p>
        </w:tc>
      </w:tr>
      <w:tr>
        <w:trPr>
          <w:trHeight w:val="323" w:hRule="exact"/>
        </w:trPr>
        <w:tc>
          <w:tcPr>
            <w:tcW w:w="526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66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404" w:type="dxa"/>
            <w:tcBorders>
              <w:top w:val="nil" w:sz="6" w:space="0" w:color="auto"/>
              <w:left w:val="nil" w:sz="6" w:space="0" w:color="auto"/>
              <w:bottom w:val="nil" w:sz="6" w:space="0" w:color="auto"/>
              <w:right w:val="nil" w:sz="6" w:space="0" w:color="auto"/>
            </w:tcBorders>
          </w:tcPr>
          <w:p>
            <w:pPr/>
          </w:p>
        </w:tc>
        <w:tc>
          <w:tcPr>
            <w:tcW w:w="2179" w:type="dxa"/>
            <w:tcBorders>
              <w:top w:val="nil" w:sz="6" w:space="0" w:color="auto"/>
              <w:left w:val="nil" w:sz="6" w:space="0" w:color="auto"/>
              <w:bottom w:val="single" w:sz="4" w:space="0" w:color="000000"/>
              <w:right w:val="nil" w:sz="6" w:space="0" w:color="auto"/>
            </w:tcBorders>
          </w:tcPr>
          <w:p>
            <w:pPr>
              <w:pStyle w:val="TableParagraph"/>
              <w:spacing w:line="240" w:lineRule="auto" w:before="43"/>
              <w:ind w:right="240"/>
              <w:jc w:val="right"/>
              <w:rPr>
                <w:rFonts w:ascii="宋体" w:hAnsi="宋体" w:cs="宋体" w:eastAsia="宋体" w:hint="default"/>
                <w:sz w:val="18"/>
                <w:szCs w:val="18"/>
              </w:rPr>
            </w:pPr>
            <w:r>
              <w:rPr>
                <w:rFonts w:ascii="宋体"/>
                <w:spacing w:val="-1"/>
                <w:sz w:val="18"/>
              </w:rPr>
              <w:t>1,560,939.09</w:t>
            </w:r>
            <w:r>
              <w:rPr>
                <w:rFonts w:ascii="宋体"/>
                <w:sz w:val="18"/>
              </w:rPr>
            </w:r>
          </w:p>
        </w:tc>
        <w:tc>
          <w:tcPr>
            <w:tcW w:w="1980" w:type="dxa"/>
            <w:tcBorders>
              <w:top w:val="nil" w:sz="6" w:space="0" w:color="auto"/>
              <w:left w:val="nil" w:sz="6" w:space="0" w:color="auto"/>
              <w:bottom w:val="single" w:sz="4" w:space="0" w:color="000000"/>
              <w:right w:val="nil" w:sz="6" w:space="0" w:color="auto"/>
            </w:tcBorders>
          </w:tcPr>
          <w:p>
            <w:pPr>
              <w:pStyle w:val="TableParagraph"/>
              <w:spacing w:line="240" w:lineRule="auto" w:before="43"/>
              <w:ind w:left="477" w:right="0"/>
              <w:jc w:val="left"/>
              <w:rPr>
                <w:rFonts w:ascii="宋体" w:hAnsi="宋体" w:cs="宋体" w:eastAsia="宋体" w:hint="default"/>
                <w:sz w:val="18"/>
                <w:szCs w:val="18"/>
              </w:rPr>
            </w:pPr>
            <w:r>
              <w:rPr>
                <w:rFonts w:ascii="宋体"/>
                <w:sz w:val="18"/>
              </w:rPr>
              <w:t>2,847,652.27</w:t>
            </w:r>
          </w:p>
        </w:tc>
      </w:tr>
      <w:tr>
        <w:trPr>
          <w:trHeight w:val="264" w:hRule="exact"/>
        </w:trPr>
        <w:tc>
          <w:tcPr>
            <w:tcW w:w="5266" w:type="dxa"/>
            <w:tcBorders>
              <w:top w:val="nil" w:sz="6" w:space="0" w:color="auto"/>
              <w:left w:val="nil" w:sz="6" w:space="0" w:color="auto"/>
              <w:bottom w:val="nil" w:sz="6" w:space="0" w:color="auto"/>
              <w:right w:val="nil" w:sz="6" w:space="0" w:color="auto"/>
            </w:tcBorders>
          </w:tcPr>
          <w:p>
            <w:pPr>
              <w:pStyle w:val="TableParagraph"/>
              <w:spacing w:line="232" w:lineRule="exact"/>
              <w:ind w:left="484"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404" w:type="dxa"/>
            <w:tcBorders>
              <w:top w:val="nil" w:sz="6" w:space="0" w:color="auto"/>
              <w:left w:val="nil" w:sz="6" w:space="0" w:color="auto"/>
              <w:bottom w:val="nil" w:sz="6" w:space="0" w:color="auto"/>
              <w:right w:val="nil" w:sz="6" w:space="0" w:color="auto"/>
            </w:tcBorders>
          </w:tcPr>
          <w:p>
            <w:pPr/>
          </w:p>
        </w:tc>
        <w:tc>
          <w:tcPr>
            <w:tcW w:w="2179" w:type="dxa"/>
            <w:tcBorders>
              <w:top w:val="single" w:sz="4" w:space="0" w:color="000000"/>
              <w:left w:val="nil" w:sz="6" w:space="0" w:color="auto"/>
              <w:bottom w:val="nil" w:sz="6" w:space="0" w:color="auto"/>
              <w:right w:val="nil" w:sz="6" w:space="0" w:color="auto"/>
            </w:tcBorders>
          </w:tcPr>
          <w:p>
            <w:pPr>
              <w:pStyle w:val="TableParagraph"/>
              <w:spacing w:line="217" w:lineRule="exact"/>
              <w:ind w:left="75" w:right="0"/>
              <w:jc w:val="center"/>
              <w:rPr>
                <w:rFonts w:ascii="宋体" w:hAnsi="宋体" w:cs="宋体" w:eastAsia="宋体" w:hint="default"/>
                <w:sz w:val="18"/>
                <w:szCs w:val="18"/>
              </w:rPr>
            </w:pPr>
            <w:r>
              <w:rPr>
                <w:rFonts w:ascii="宋体"/>
                <w:sz w:val="18"/>
              </w:rPr>
              <w:t>-</w:t>
            </w:r>
          </w:p>
        </w:tc>
        <w:tc>
          <w:tcPr>
            <w:tcW w:w="1980" w:type="dxa"/>
            <w:tcBorders>
              <w:top w:val="single" w:sz="4" w:space="0" w:color="000000"/>
              <w:left w:val="nil" w:sz="6" w:space="0" w:color="auto"/>
              <w:bottom w:val="nil" w:sz="6" w:space="0" w:color="auto"/>
              <w:right w:val="nil" w:sz="6" w:space="0" w:color="auto"/>
            </w:tcBorders>
          </w:tcPr>
          <w:p>
            <w:pPr>
              <w:pStyle w:val="TableParagraph"/>
              <w:spacing w:line="217" w:lineRule="exact"/>
              <w:ind w:left="54" w:right="0"/>
              <w:jc w:val="center"/>
              <w:rPr>
                <w:rFonts w:ascii="宋体" w:hAnsi="宋体" w:cs="宋体" w:eastAsia="宋体" w:hint="default"/>
                <w:sz w:val="18"/>
                <w:szCs w:val="18"/>
              </w:rPr>
            </w:pPr>
            <w:r>
              <w:rPr>
                <w:rFonts w:ascii="宋体"/>
                <w:sz w:val="18"/>
              </w:rPr>
              <w:t>-</w:t>
            </w:r>
          </w:p>
        </w:tc>
      </w:tr>
      <w:tr>
        <w:trPr>
          <w:trHeight w:val="254" w:hRule="exact"/>
        </w:trPr>
        <w:tc>
          <w:tcPr>
            <w:tcW w:w="5266" w:type="dxa"/>
            <w:tcBorders>
              <w:top w:val="nil" w:sz="6" w:space="0" w:color="auto"/>
              <w:left w:val="nil" w:sz="6" w:space="0" w:color="auto"/>
              <w:bottom w:val="nil" w:sz="6" w:space="0" w:color="auto"/>
              <w:right w:val="nil" w:sz="6" w:space="0" w:color="auto"/>
            </w:tcBorders>
          </w:tcPr>
          <w:p>
            <w:pPr>
              <w:pStyle w:val="TableParagraph"/>
              <w:spacing w:line="222" w:lineRule="exact"/>
              <w:ind w:left="484"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1404" w:type="dxa"/>
            <w:tcBorders>
              <w:top w:val="nil" w:sz="6" w:space="0" w:color="auto"/>
              <w:left w:val="nil" w:sz="6" w:space="0" w:color="auto"/>
              <w:bottom w:val="nil" w:sz="6" w:space="0" w:color="auto"/>
              <w:right w:val="nil" w:sz="6" w:space="0" w:color="auto"/>
            </w:tcBorders>
          </w:tcPr>
          <w:p>
            <w:pPr/>
          </w:p>
        </w:tc>
        <w:tc>
          <w:tcPr>
            <w:tcW w:w="2179" w:type="dxa"/>
            <w:tcBorders>
              <w:top w:val="nil" w:sz="6" w:space="0" w:color="auto"/>
              <w:left w:val="nil" w:sz="6" w:space="0" w:color="auto"/>
              <w:bottom w:val="nil" w:sz="6" w:space="0" w:color="auto"/>
              <w:right w:val="nil" w:sz="6" w:space="0" w:color="auto"/>
            </w:tcBorders>
          </w:tcPr>
          <w:p>
            <w:pPr>
              <w:pStyle w:val="TableParagraph"/>
              <w:spacing w:line="212" w:lineRule="exact"/>
              <w:ind w:right="240"/>
              <w:jc w:val="right"/>
              <w:rPr>
                <w:rFonts w:ascii="宋体" w:hAnsi="宋体" w:cs="宋体" w:eastAsia="宋体" w:hint="default"/>
                <w:sz w:val="18"/>
                <w:szCs w:val="18"/>
              </w:rPr>
            </w:pPr>
            <w:r>
              <w:rPr>
                <w:rFonts w:ascii="宋体"/>
                <w:spacing w:val="-1"/>
                <w:sz w:val="18"/>
              </w:rPr>
              <w:t>5,278,773.20</w:t>
            </w:r>
            <w:r>
              <w:rPr>
                <w:rFonts w:ascii="宋体"/>
                <w:sz w:val="18"/>
              </w:rPr>
            </w:r>
          </w:p>
        </w:tc>
        <w:tc>
          <w:tcPr>
            <w:tcW w:w="1980" w:type="dxa"/>
            <w:tcBorders>
              <w:top w:val="nil" w:sz="6" w:space="0" w:color="auto"/>
              <w:left w:val="nil" w:sz="6" w:space="0" w:color="auto"/>
              <w:bottom w:val="nil" w:sz="6" w:space="0" w:color="auto"/>
              <w:right w:val="nil" w:sz="6" w:space="0" w:color="auto"/>
            </w:tcBorders>
          </w:tcPr>
          <w:p>
            <w:pPr/>
          </w:p>
        </w:tc>
      </w:tr>
      <w:tr>
        <w:trPr>
          <w:trHeight w:val="252" w:hRule="exact"/>
        </w:trPr>
        <w:tc>
          <w:tcPr>
            <w:tcW w:w="5266" w:type="dxa"/>
            <w:tcBorders>
              <w:top w:val="nil" w:sz="6" w:space="0" w:color="auto"/>
              <w:left w:val="nil" w:sz="6" w:space="0" w:color="auto"/>
              <w:bottom w:val="nil" w:sz="6" w:space="0" w:color="auto"/>
              <w:right w:val="nil" w:sz="6" w:space="0" w:color="auto"/>
            </w:tcBorders>
          </w:tcPr>
          <w:p>
            <w:pPr>
              <w:pStyle w:val="TableParagraph"/>
              <w:spacing w:line="222" w:lineRule="exact"/>
              <w:ind w:left="482"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1404" w:type="dxa"/>
            <w:tcBorders>
              <w:top w:val="nil" w:sz="6" w:space="0" w:color="auto"/>
              <w:left w:val="nil" w:sz="6" w:space="0" w:color="auto"/>
              <w:bottom w:val="nil" w:sz="6" w:space="0" w:color="auto"/>
              <w:right w:val="nil" w:sz="6" w:space="0" w:color="auto"/>
            </w:tcBorders>
          </w:tcPr>
          <w:p>
            <w:pPr/>
          </w:p>
        </w:tc>
        <w:tc>
          <w:tcPr>
            <w:tcW w:w="2179" w:type="dxa"/>
            <w:tcBorders>
              <w:top w:val="nil" w:sz="6" w:space="0" w:color="auto"/>
              <w:left w:val="nil" w:sz="6" w:space="0" w:color="auto"/>
              <w:bottom w:val="nil" w:sz="6" w:space="0" w:color="auto"/>
              <w:right w:val="nil" w:sz="6" w:space="0" w:color="auto"/>
            </w:tcBorders>
          </w:tcPr>
          <w:p>
            <w:pPr>
              <w:pStyle w:val="TableParagraph"/>
              <w:spacing w:line="212" w:lineRule="exact"/>
              <w:ind w:right="330"/>
              <w:jc w:val="right"/>
              <w:rPr>
                <w:rFonts w:ascii="宋体" w:hAnsi="宋体" w:cs="宋体" w:eastAsia="宋体" w:hint="default"/>
                <w:sz w:val="18"/>
                <w:szCs w:val="18"/>
              </w:rPr>
            </w:pPr>
            <w:r>
              <w:rPr>
                <w:rFonts w:ascii="宋体"/>
                <w:sz w:val="18"/>
              </w:rPr>
              <w:t>-</w:t>
            </w:r>
          </w:p>
        </w:tc>
        <w:tc>
          <w:tcPr>
            <w:tcW w:w="1980" w:type="dxa"/>
            <w:tcBorders>
              <w:top w:val="nil" w:sz="6" w:space="0" w:color="auto"/>
              <w:left w:val="nil" w:sz="6" w:space="0" w:color="auto"/>
              <w:bottom w:val="nil" w:sz="6" w:space="0" w:color="auto"/>
              <w:right w:val="nil" w:sz="6" w:space="0" w:color="auto"/>
            </w:tcBorders>
          </w:tcPr>
          <w:p>
            <w:pPr>
              <w:pStyle w:val="TableParagraph"/>
              <w:spacing w:line="212" w:lineRule="exact"/>
              <w:ind w:left="54" w:right="0"/>
              <w:jc w:val="center"/>
              <w:rPr>
                <w:rFonts w:ascii="宋体" w:hAnsi="宋体" w:cs="宋体" w:eastAsia="宋体" w:hint="default"/>
                <w:sz w:val="18"/>
                <w:szCs w:val="18"/>
              </w:rPr>
            </w:pPr>
            <w:r>
              <w:rPr>
                <w:rFonts w:ascii="宋体"/>
                <w:sz w:val="18"/>
              </w:rPr>
              <w:t>-</w:t>
            </w:r>
          </w:p>
        </w:tc>
      </w:tr>
      <w:tr>
        <w:trPr>
          <w:trHeight w:val="273" w:hRule="exact"/>
        </w:trPr>
        <w:tc>
          <w:tcPr>
            <w:tcW w:w="5266" w:type="dxa"/>
            <w:tcBorders>
              <w:top w:val="nil" w:sz="6" w:space="0" w:color="auto"/>
              <w:left w:val="nil" w:sz="6" w:space="0" w:color="auto"/>
              <w:bottom w:val="nil" w:sz="6" w:space="0" w:color="auto"/>
              <w:right w:val="nil" w:sz="6" w:space="0" w:color="auto"/>
            </w:tcBorders>
          </w:tcPr>
          <w:p>
            <w:pPr>
              <w:pStyle w:val="TableParagraph"/>
              <w:spacing w:line="227" w:lineRule="exact"/>
              <w:ind w:left="484"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1404" w:type="dxa"/>
            <w:tcBorders>
              <w:top w:val="nil" w:sz="6" w:space="0" w:color="auto"/>
              <w:left w:val="nil" w:sz="6" w:space="0" w:color="auto"/>
              <w:bottom w:val="nil" w:sz="6" w:space="0" w:color="auto"/>
              <w:right w:val="nil" w:sz="6" w:space="0" w:color="auto"/>
            </w:tcBorders>
          </w:tcPr>
          <w:p>
            <w:pPr>
              <w:pStyle w:val="TableParagraph"/>
              <w:spacing w:line="245" w:lineRule="exact"/>
              <w:ind w:left="71"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注释</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37</w:t>
            </w:r>
          </w:p>
        </w:tc>
        <w:tc>
          <w:tcPr>
            <w:tcW w:w="2179" w:type="dxa"/>
            <w:tcBorders>
              <w:top w:val="nil" w:sz="6" w:space="0" w:color="auto"/>
              <w:left w:val="nil" w:sz="6" w:space="0" w:color="auto"/>
              <w:bottom w:val="nil" w:sz="6" w:space="0" w:color="auto"/>
              <w:right w:val="nil" w:sz="6" w:space="0" w:color="auto"/>
            </w:tcBorders>
          </w:tcPr>
          <w:p>
            <w:pPr>
              <w:pStyle w:val="TableParagraph"/>
              <w:spacing w:line="219" w:lineRule="exact"/>
              <w:ind w:right="240"/>
              <w:jc w:val="right"/>
              <w:rPr>
                <w:rFonts w:ascii="宋体" w:hAnsi="宋体" w:cs="宋体" w:eastAsia="宋体" w:hint="default"/>
                <w:sz w:val="18"/>
                <w:szCs w:val="18"/>
              </w:rPr>
            </w:pPr>
            <w:r>
              <w:rPr>
                <w:rFonts w:ascii="宋体"/>
                <w:spacing w:val="-1"/>
                <w:sz w:val="18"/>
              </w:rPr>
              <w:t>1,205.06</w:t>
            </w:r>
            <w:r>
              <w:rPr>
                <w:rFonts w:ascii="宋体"/>
                <w:sz w:val="18"/>
              </w:rPr>
            </w:r>
          </w:p>
        </w:tc>
        <w:tc>
          <w:tcPr>
            <w:tcW w:w="1980" w:type="dxa"/>
            <w:tcBorders>
              <w:top w:val="nil" w:sz="6" w:space="0" w:color="auto"/>
              <w:left w:val="nil" w:sz="6" w:space="0" w:color="auto"/>
              <w:bottom w:val="nil" w:sz="6" w:space="0" w:color="auto"/>
              <w:right w:val="nil" w:sz="6" w:space="0" w:color="auto"/>
            </w:tcBorders>
          </w:tcPr>
          <w:p>
            <w:pPr>
              <w:pStyle w:val="TableParagraph"/>
              <w:spacing w:line="219" w:lineRule="exact"/>
              <w:ind w:left="657" w:right="0"/>
              <w:jc w:val="left"/>
              <w:rPr>
                <w:rFonts w:ascii="宋体" w:hAnsi="宋体" w:cs="宋体" w:eastAsia="宋体" w:hint="default"/>
                <w:sz w:val="18"/>
                <w:szCs w:val="18"/>
              </w:rPr>
            </w:pPr>
            <w:r>
              <w:rPr>
                <w:rFonts w:ascii="宋体"/>
                <w:sz w:val="18"/>
              </w:rPr>
              <w:t>1,111.40</w:t>
            </w:r>
          </w:p>
        </w:tc>
      </w:tr>
      <w:tr>
        <w:trPr>
          <w:trHeight w:val="257" w:hRule="exact"/>
        </w:trPr>
        <w:tc>
          <w:tcPr>
            <w:tcW w:w="5266" w:type="dxa"/>
            <w:tcBorders>
              <w:top w:val="nil" w:sz="6" w:space="0" w:color="auto"/>
              <w:left w:val="nil" w:sz="6" w:space="0" w:color="auto"/>
              <w:bottom w:val="nil" w:sz="6" w:space="0" w:color="auto"/>
              <w:right w:val="nil" w:sz="6" w:space="0" w:color="auto"/>
            </w:tcBorders>
          </w:tcPr>
          <w:p>
            <w:pPr>
              <w:pStyle w:val="TableParagraph"/>
              <w:spacing w:line="222" w:lineRule="exact"/>
              <w:ind w:left="66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404" w:type="dxa"/>
            <w:tcBorders>
              <w:top w:val="nil" w:sz="6" w:space="0" w:color="auto"/>
              <w:left w:val="nil" w:sz="6" w:space="0" w:color="auto"/>
              <w:bottom w:val="nil" w:sz="6" w:space="0" w:color="auto"/>
              <w:right w:val="nil" w:sz="6" w:space="0" w:color="auto"/>
            </w:tcBorders>
          </w:tcPr>
          <w:p>
            <w:pPr/>
          </w:p>
        </w:tc>
        <w:tc>
          <w:tcPr>
            <w:tcW w:w="2179" w:type="dxa"/>
            <w:tcBorders>
              <w:top w:val="nil" w:sz="6" w:space="0" w:color="auto"/>
              <w:left w:val="nil" w:sz="6" w:space="0" w:color="auto"/>
              <w:bottom w:val="single" w:sz="4" w:space="0" w:color="000000"/>
              <w:right w:val="nil" w:sz="6" w:space="0" w:color="auto"/>
            </w:tcBorders>
          </w:tcPr>
          <w:p>
            <w:pPr>
              <w:pStyle w:val="TableParagraph"/>
              <w:spacing w:line="213" w:lineRule="exact"/>
              <w:ind w:right="240"/>
              <w:jc w:val="right"/>
              <w:rPr>
                <w:rFonts w:ascii="宋体" w:hAnsi="宋体" w:cs="宋体" w:eastAsia="宋体" w:hint="default"/>
                <w:sz w:val="18"/>
                <w:szCs w:val="18"/>
              </w:rPr>
            </w:pPr>
            <w:r>
              <w:rPr>
                <w:rFonts w:ascii="宋体"/>
                <w:spacing w:val="-1"/>
                <w:sz w:val="18"/>
              </w:rPr>
              <w:t>5,279,978.26</w:t>
            </w:r>
            <w:r>
              <w:rPr>
                <w:rFonts w:ascii="宋体"/>
                <w:sz w:val="18"/>
              </w:rPr>
            </w:r>
          </w:p>
        </w:tc>
        <w:tc>
          <w:tcPr>
            <w:tcW w:w="1980" w:type="dxa"/>
            <w:tcBorders>
              <w:top w:val="nil" w:sz="6" w:space="0" w:color="auto"/>
              <w:left w:val="nil" w:sz="6" w:space="0" w:color="auto"/>
              <w:bottom w:val="single" w:sz="4" w:space="0" w:color="000000"/>
              <w:right w:val="nil" w:sz="6" w:space="0" w:color="auto"/>
            </w:tcBorders>
          </w:tcPr>
          <w:p>
            <w:pPr>
              <w:pStyle w:val="TableParagraph"/>
              <w:spacing w:line="213" w:lineRule="exact"/>
              <w:ind w:left="657" w:right="0"/>
              <w:jc w:val="left"/>
              <w:rPr>
                <w:rFonts w:ascii="宋体" w:hAnsi="宋体" w:cs="宋体" w:eastAsia="宋体" w:hint="default"/>
                <w:sz w:val="18"/>
                <w:szCs w:val="18"/>
              </w:rPr>
            </w:pPr>
            <w:r>
              <w:rPr>
                <w:rFonts w:ascii="宋体"/>
                <w:sz w:val="18"/>
              </w:rPr>
              <w:t>1,111.40</w:t>
            </w:r>
          </w:p>
        </w:tc>
      </w:tr>
      <w:tr>
        <w:trPr>
          <w:trHeight w:val="281" w:hRule="exact"/>
        </w:trPr>
        <w:tc>
          <w:tcPr>
            <w:tcW w:w="5266" w:type="dxa"/>
            <w:tcBorders>
              <w:top w:val="nil" w:sz="6" w:space="0" w:color="auto"/>
              <w:left w:val="nil" w:sz="6" w:space="0" w:color="auto"/>
              <w:bottom w:val="nil" w:sz="6" w:space="0" w:color="auto"/>
              <w:right w:val="nil" w:sz="6" w:space="0" w:color="auto"/>
            </w:tcBorders>
          </w:tcPr>
          <w:p>
            <w:pPr>
              <w:pStyle w:val="TableParagraph"/>
              <w:spacing w:line="229" w:lineRule="exact"/>
              <w:ind w:left="66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404" w:type="dxa"/>
            <w:tcBorders>
              <w:top w:val="nil" w:sz="6" w:space="0" w:color="auto"/>
              <w:left w:val="nil" w:sz="6" w:space="0" w:color="auto"/>
              <w:bottom w:val="nil" w:sz="6" w:space="0" w:color="auto"/>
              <w:right w:val="nil" w:sz="6" w:space="0" w:color="auto"/>
            </w:tcBorders>
          </w:tcPr>
          <w:p>
            <w:pPr/>
          </w:p>
        </w:tc>
        <w:tc>
          <w:tcPr>
            <w:tcW w:w="2179" w:type="dxa"/>
            <w:tcBorders>
              <w:top w:val="single" w:sz="4" w:space="0" w:color="000000"/>
              <w:left w:val="nil" w:sz="6" w:space="0" w:color="auto"/>
              <w:bottom w:val="single" w:sz="17" w:space="0" w:color="000000"/>
              <w:right w:val="nil" w:sz="6" w:space="0" w:color="auto"/>
            </w:tcBorders>
          </w:tcPr>
          <w:p>
            <w:pPr>
              <w:pStyle w:val="TableParagraph"/>
              <w:spacing w:line="215" w:lineRule="exact"/>
              <w:ind w:left="496" w:right="0"/>
              <w:jc w:val="left"/>
              <w:rPr>
                <w:rFonts w:ascii="宋体" w:hAnsi="宋体" w:cs="宋体" w:eastAsia="宋体" w:hint="default"/>
                <w:sz w:val="18"/>
                <w:szCs w:val="18"/>
              </w:rPr>
            </w:pPr>
            <w:r>
              <w:rPr>
                <w:rFonts w:ascii="宋体"/>
                <w:sz w:val="18"/>
              </w:rPr>
              <w:t>(3,719,039.17)</w:t>
            </w:r>
          </w:p>
        </w:tc>
        <w:tc>
          <w:tcPr>
            <w:tcW w:w="1980" w:type="dxa"/>
            <w:tcBorders>
              <w:top w:val="single" w:sz="4" w:space="0" w:color="000000"/>
              <w:left w:val="nil" w:sz="6" w:space="0" w:color="auto"/>
              <w:bottom w:val="single" w:sz="17" w:space="0" w:color="000000"/>
              <w:right w:val="nil" w:sz="6" w:space="0" w:color="auto"/>
            </w:tcBorders>
          </w:tcPr>
          <w:p>
            <w:pPr>
              <w:pStyle w:val="TableParagraph"/>
              <w:spacing w:line="215" w:lineRule="exact"/>
              <w:ind w:left="477" w:right="0"/>
              <w:jc w:val="left"/>
              <w:rPr>
                <w:rFonts w:ascii="宋体" w:hAnsi="宋体" w:cs="宋体" w:eastAsia="宋体" w:hint="default"/>
                <w:sz w:val="18"/>
                <w:szCs w:val="18"/>
              </w:rPr>
            </w:pPr>
            <w:r>
              <w:rPr>
                <w:rFonts w:ascii="宋体"/>
                <w:sz w:val="18"/>
              </w:rPr>
              <w:t>2,846,540.87</w:t>
            </w:r>
          </w:p>
        </w:tc>
      </w:tr>
      <w:tr>
        <w:trPr>
          <w:trHeight w:val="287" w:hRule="exact"/>
        </w:trPr>
        <w:tc>
          <w:tcPr>
            <w:tcW w:w="5266"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22" w:right="0"/>
              <w:jc w:val="left"/>
              <w:rPr>
                <w:rFonts w:ascii="宋体" w:hAnsi="宋体" w:cs="宋体" w:eastAsia="宋体" w:hint="default"/>
                <w:sz w:val="18"/>
                <w:szCs w:val="18"/>
              </w:rPr>
            </w:pPr>
            <w:r>
              <w:rPr>
                <w:rFonts w:ascii="宋体" w:hAnsi="宋体" w:cs="宋体" w:eastAsia="宋体" w:hint="default"/>
                <w:b/>
                <w:bCs/>
                <w:sz w:val="18"/>
                <w:szCs w:val="18"/>
              </w:rPr>
              <w:t>四、汇率变动对现金的影响</w:t>
            </w:r>
            <w:r>
              <w:rPr>
                <w:rFonts w:ascii="宋体" w:hAnsi="宋体" w:cs="宋体" w:eastAsia="宋体" w:hint="default"/>
                <w:sz w:val="18"/>
                <w:szCs w:val="18"/>
              </w:rPr>
            </w:r>
          </w:p>
        </w:tc>
        <w:tc>
          <w:tcPr>
            <w:tcW w:w="1404" w:type="dxa"/>
            <w:tcBorders>
              <w:top w:val="nil" w:sz="6" w:space="0" w:color="auto"/>
              <w:left w:val="nil" w:sz="6" w:space="0" w:color="auto"/>
              <w:bottom w:val="nil" w:sz="6" w:space="0" w:color="auto"/>
              <w:right w:val="nil" w:sz="6" w:space="0" w:color="auto"/>
            </w:tcBorders>
          </w:tcPr>
          <w:p>
            <w:pPr/>
          </w:p>
        </w:tc>
        <w:tc>
          <w:tcPr>
            <w:tcW w:w="2179" w:type="dxa"/>
            <w:tcBorders>
              <w:top w:val="single" w:sz="17" w:space="0" w:color="000000"/>
              <w:left w:val="nil" w:sz="6" w:space="0" w:color="auto"/>
              <w:bottom w:val="nil" w:sz="6" w:space="0" w:color="auto"/>
              <w:right w:val="nil" w:sz="6" w:space="0" w:color="auto"/>
            </w:tcBorders>
          </w:tcPr>
          <w:p>
            <w:pPr>
              <w:pStyle w:val="TableParagraph"/>
              <w:spacing w:line="217" w:lineRule="exact"/>
              <w:ind w:left="75" w:right="0"/>
              <w:jc w:val="center"/>
              <w:rPr>
                <w:rFonts w:ascii="宋体" w:hAnsi="宋体" w:cs="宋体" w:eastAsia="宋体" w:hint="default"/>
                <w:sz w:val="18"/>
                <w:szCs w:val="18"/>
              </w:rPr>
            </w:pPr>
            <w:r>
              <w:rPr>
                <w:rFonts w:ascii="宋体"/>
                <w:sz w:val="18"/>
              </w:rPr>
              <w:t>-</w:t>
            </w:r>
          </w:p>
        </w:tc>
        <w:tc>
          <w:tcPr>
            <w:tcW w:w="1980" w:type="dxa"/>
            <w:tcBorders>
              <w:top w:val="single" w:sz="17" w:space="0" w:color="000000"/>
              <w:left w:val="nil" w:sz="6" w:space="0" w:color="auto"/>
              <w:bottom w:val="nil" w:sz="6" w:space="0" w:color="auto"/>
              <w:right w:val="nil" w:sz="6" w:space="0" w:color="auto"/>
            </w:tcBorders>
          </w:tcPr>
          <w:p>
            <w:pPr>
              <w:pStyle w:val="TableParagraph"/>
              <w:spacing w:line="217" w:lineRule="exact"/>
              <w:ind w:left="54" w:right="0"/>
              <w:jc w:val="center"/>
              <w:rPr>
                <w:rFonts w:ascii="宋体" w:hAnsi="宋体" w:cs="宋体" w:eastAsia="宋体" w:hint="default"/>
                <w:sz w:val="18"/>
                <w:szCs w:val="18"/>
              </w:rPr>
            </w:pPr>
            <w:r>
              <w:rPr>
                <w:rFonts w:ascii="宋体"/>
                <w:sz w:val="18"/>
              </w:rPr>
              <w:t>-</w:t>
            </w:r>
          </w:p>
        </w:tc>
      </w:tr>
      <w:tr>
        <w:trPr>
          <w:trHeight w:val="263" w:hRule="exact"/>
        </w:trPr>
        <w:tc>
          <w:tcPr>
            <w:tcW w:w="5266"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五、现金及现金等价物净增加额</w:t>
            </w:r>
            <w:r>
              <w:rPr>
                <w:rFonts w:ascii="宋体" w:hAnsi="宋体" w:cs="宋体" w:eastAsia="宋体" w:hint="default"/>
                <w:sz w:val="18"/>
                <w:szCs w:val="18"/>
              </w:rPr>
            </w:r>
          </w:p>
        </w:tc>
        <w:tc>
          <w:tcPr>
            <w:tcW w:w="1404" w:type="dxa"/>
            <w:tcBorders>
              <w:top w:val="nil" w:sz="6" w:space="0" w:color="auto"/>
              <w:left w:val="nil" w:sz="6" w:space="0" w:color="auto"/>
              <w:bottom w:val="nil" w:sz="6" w:space="0" w:color="auto"/>
              <w:right w:val="nil" w:sz="6" w:space="0" w:color="auto"/>
            </w:tcBorders>
          </w:tcPr>
          <w:p>
            <w:pPr/>
          </w:p>
        </w:tc>
        <w:tc>
          <w:tcPr>
            <w:tcW w:w="2179" w:type="dxa"/>
            <w:tcBorders>
              <w:top w:val="nil" w:sz="6" w:space="0" w:color="auto"/>
              <w:left w:val="nil" w:sz="6" w:space="0" w:color="auto"/>
              <w:bottom w:val="single" w:sz="4" w:space="0" w:color="000000"/>
              <w:right w:val="nil" w:sz="6" w:space="0" w:color="auto"/>
            </w:tcBorders>
          </w:tcPr>
          <w:p>
            <w:pPr>
              <w:pStyle w:val="TableParagraph"/>
              <w:spacing w:line="218" w:lineRule="exact"/>
              <w:ind w:left="496" w:right="0"/>
              <w:jc w:val="left"/>
              <w:rPr>
                <w:rFonts w:ascii="宋体" w:hAnsi="宋体" w:cs="宋体" w:eastAsia="宋体" w:hint="default"/>
                <w:sz w:val="18"/>
                <w:szCs w:val="18"/>
              </w:rPr>
            </w:pPr>
            <w:r>
              <w:rPr>
                <w:rFonts w:ascii="宋体"/>
                <w:sz w:val="18"/>
              </w:rPr>
              <w:t>(5,086,536.55)</w:t>
            </w:r>
          </w:p>
        </w:tc>
        <w:tc>
          <w:tcPr>
            <w:tcW w:w="1980" w:type="dxa"/>
            <w:tcBorders>
              <w:top w:val="nil" w:sz="6" w:space="0" w:color="auto"/>
              <w:left w:val="nil" w:sz="6" w:space="0" w:color="auto"/>
              <w:bottom w:val="single" w:sz="4" w:space="0" w:color="000000"/>
              <w:right w:val="nil" w:sz="6" w:space="0" w:color="auto"/>
            </w:tcBorders>
          </w:tcPr>
          <w:p>
            <w:pPr>
              <w:pStyle w:val="TableParagraph"/>
              <w:spacing w:line="218" w:lineRule="exact"/>
              <w:ind w:left="340" w:right="0"/>
              <w:jc w:val="left"/>
              <w:rPr>
                <w:rFonts w:ascii="宋体" w:hAnsi="宋体" w:cs="宋体" w:eastAsia="宋体" w:hint="default"/>
                <w:sz w:val="18"/>
                <w:szCs w:val="18"/>
              </w:rPr>
            </w:pPr>
            <w:r>
              <w:rPr>
                <w:rFonts w:ascii="宋体"/>
                <w:sz w:val="18"/>
              </w:rPr>
              <w:t>(92,324,954.11)</w:t>
            </w:r>
          </w:p>
        </w:tc>
      </w:tr>
      <w:tr>
        <w:trPr>
          <w:trHeight w:val="264" w:hRule="exact"/>
        </w:trPr>
        <w:tc>
          <w:tcPr>
            <w:tcW w:w="5266" w:type="dxa"/>
            <w:tcBorders>
              <w:top w:val="nil" w:sz="6" w:space="0" w:color="auto"/>
              <w:left w:val="nil" w:sz="6" w:space="0" w:color="auto"/>
              <w:bottom w:val="nil" w:sz="6" w:space="0" w:color="auto"/>
              <w:right w:val="nil" w:sz="6" w:space="0" w:color="auto"/>
            </w:tcBorders>
          </w:tcPr>
          <w:p>
            <w:pPr>
              <w:pStyle w:val="TableParagraph"/>
              <w:spacing w:line="229" w:lineRule="exact"/>
              <w:ind w:left="484" w:right="0"/>
              <w:jc w:val="left"/>
              <w:rPr>
                <w:rFonts w:ascii="宋体" w:hAnsi="宋体" w:cs="宋体" w:eastAsia="宋体" w:hint="default"/>
                <w:sz w:val="18"/>
                <w:szCs w:val="18"/>
              </w:rPr>
            </w:pPr>
            <w:r>
              <w:rPr>
                <w:rFonts w:ascii="宋体" w:hAnsi="宋体" w:cs="宋体" w:eastAsia="宋体" w:hint="default"/>
                <w:sz w:val="18"/>
                <w:szCs w:val="18"/>
              </w:rPr>
              <w:t>加：年初现金及现金等价物余额</w:t>
            </w:r>
          </w:p>
        </w:tc>
        <w:tc>
          <w:tcPr>
            <w:tcW w:w="1404" w:type="dxa"/>
            <w:tcBorders>
              <w:top w:val="nil" w:sz="6" w:space="0" w:color="auto"/>
              <w:left w:val="nil" w:sz="6" w:space="0" w:color="auto"/>
              <w:bottom w:val="nil" w:sz="6" w:space="0" w:color="auto"/>
              <w:right w:val="nil" w:sz="6" w:space="0" w:color="auto"/>
            </w:tcBorders>
          </w:tcPr>
          <w:p>
            <w:pPr/>
          </w:p>
        </w:tc>
        <w:tc>
          <w:tcPr>
            <w:tcW w:w="2179" w:type="dxa"/>
            <w:tcBorders>
              <w:top w:val="single" w:sz="4" w:space="0" w:color="000000"/>
              <w:left w:val="nil" w:sz="6" w:space="0" w:color="auto"/>
              <w:bottom w:val="single" w:sz="4" w:space="0" w:color="000000"/>
              <w:right w:val="nil" w:sz="6" w:space="0" w:color="auto"/>
            </w:tcBorders>
          </w:tcPr>
          <w:p>
            <w:pPr>
              <w:pStyle w:val="TableParagraph"/>
              <w:spacing w:line="215" w:lineRule="exact"/>
              <w:ind w:right="240"/>
              <w:jc w:val="right"/>
              <w:rPr>
                <w:rFonts w:ascii="宋体" w:hAnsi="宋体" w:cs="宋体" w:eastAsia="宋体" w:hint="default"/>
                <w:sz w:val="18"/>
                <w:szCs w:val="18"/>
              </w:rPr>
            </w:pPr>
            <w:r>
              <w:rPr>
                <w:rFonts w:ascii="宋体"/>
                <w:spacing w:val="-1"/>
                <w:sz w:val="18"/>
              </w:rPr>
              <w:t>126,386,318.45</w:t>
            </w:r>
            <w:r>
              <w:rPr>
                <w:rFonts w:ascii="宋体"/>
                <w:sz w:val="18"/>
              </w:rPr>
            </w:r>
          </w:p>
        </w:tc>
        <w:tc>
          <w:tcPr>
            <w:tcW w:w="1980" w:type="dxa"/>
            <w:tcBorders>
              <w:top w:val="single" w:sz="4" w:space="0" w:color="000000"/>
              <w:left w:val="nil" w:sz="6" w:space="0" w:color="auto"/>
              <w:bottom w:val="single" w:sz="4" w:space="0" w:color="000000"/>
              <w:right w:val="nil" w:sz="6" w:space="0" w:color="auto"/>
            </w:tcBorders>
          </w:tcPr>
          <w:p>
            <w:pPr>
              <w:pStyle w:val="TableParagraph"/>
              <w:spacing w:line="215" w:lineRule="exact"/>
              <w:ind w:left="386" w:right="0"/>
              <w:jc w:val="left"/>
              <w:rPr>
                <w:rFonts w:ascii="宋体" w:hAnsi="宋体" w:cs="宋体" w:eastAsia="宋体" w:hint="default"/>
                <w:sz w:val="18"/>
                <w:szCs w:val="18"/>
              </w:rPr>
            </w:pPr>
            <w:r>
              <w:rPr>
                <w:rFonts w:ascii="宋体"/>
                <w:sz w:val="18"/>
              </w:rPr>
              <w:t>218,711,272.56</w:t>
            </w:r>
          </w:p>
        </w:tc>
      </w:tr>
      <w:tr>
        <w:trPr>
          <w:trHeight w:val="288" w:hRule="exact"/>
        </w:trPr>
        <w:tc>
          <w:tcPr>
            <w:tcW w:w="5266" w:type="dxa"/>
            <w:tcBorders>
              <w:top w:val="nil" w:sz="6" w:space="0" w:color="auto"/>
              <w:left w:val="nil" w:sz="6" w:space="0" w:color="auto"/>
              <w:bottom w:val="nil" w:sz="6" w:space="0" w:color="auto"/>
              <w:right w:val="nil" w:sz="6" w:space="0" w:color="auto"/>
            </w:tcBorders>
          </w:tcPr>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六、年末现金及现金等价物余额</w:t>
            </w:r>
            <w:r>
              <w:rPr>
                <w:rFonts w:ascii="宋体" w:hAnsi="宋体" w:cs="宋体" w:eastAsia="宋体" w:hint="default"/>
                <w:sz w:val="18"/>
                <w:szCs w:val="18"/>
              </w:rPr>
            </w:r>
          </w:p>
        </w:tc>
        <w:tc>
          <w:tcPr>
            <w:tcW w:w="1404" w:type="dxa"/>
            <w:tcBorders>
              <w:top w:val="nil" w:sz="6" w:space="0" w:color="auto"/>
              <w:left w:val="nil" w:sz="6" w:space="0" w:color="auto"/>
              <w:bottom w:val="nil" w:sz="6" w:space="0" w:color="auto"/>
              <w:right w:val="nil" w:sz="6" w:space="0" w:color="auto"/>
            </w:tcBorders>
          </w:tcPr>
          <w:p>
            <w:pPr>
              <w:pStyle w:val="TableParagraph"/>
              <w:spacing w:line="250" w:lineRule="exact"/>
              <w:ind w:left="71"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注释</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38</w:t>
            </w:r>
          </w:p>
        </w:tc>
        <w:tc>
          <w:tcPr>
            <w:tcW w:w="2179" w:type="dxa"/>
            <w:tcBorders>
              <w:top w:val="single" w:sz="4" w:space="0" w:color="000000"/>
              <w:left w:val="nil" w:sz="6" w:space="0" w:color="auto"/>
              <w:bottom w:val="single" w:sz="17" w:space="0" w:color="000000"/>
              <w:right w:val="nil" w:sz="6" w:space="0" w:color="auto"/>
            </w:tcBorders>
          </w:tcPr>
          <w:p>
            <w:pPr>
              <w:pStyle w:val="TableParagraph"/>
              <w:spacing w:line="220" w:lineRule="exact"/>
              <w:ind w:right="240"/>
              <w:jc w:val="right"/>
              <w:rPr>
                <w:rFonts w:ascii="宋体" w:hAnsi="宋体" w:cs="宋体" w:eastAsia="宋体" w:hint="default"/>
                <w:sz w:val="18"/>
                <w:szCs w:val="18"/>
              </w:rPr>
            </w:pPr>
            <w:r>
              <w:rPr>
                <w:rFonts w:ascii="宋体"/>
                <w:spacing w:val="-1"/>
                <w:sz w:val="18"/>
              </w:rPr>
              <w:t>121,299,781.90</w:t>
            </w:r>
            <w:r>
              <w:rPr>
                <w:rFonts w:ascii="宋体"/>
                <w:sz w:val="18"/>
              </w:rPr>
            </w:r>
          </w:p>
        </w:tc>
        <w:tc>
          <w:tcPr>
            <w:tcW w:w="1980" w:type="dxa"/>
            <w:tcBorders>
              <w:top w:val="single" w:sz="4" w:space="0" w:color="000000"/>
              <w:left w:val="nil" w:sz="6" w:space="0" w:color="auto"/>
              <w:bottom w:val="single" w:sz="17" w:space="0" w:color="000000"/>
              <w:right w:val="nil" w:sz="6" w:space="0" w:color="auto"/>
            </w:tcBorders>
          </w:tcPr>
          <w:p>
            <w:pPr>
              <w:pStyle w:val="TableParagraph"/>
              <w:spacing w:line="220" w:lineRule="exact"/>
              <w:ind w:left="386" w:right="0"/>
              <w:jc w:val="left"/>
              <w:rPr>
                <w:rFonts w:ascii="宋体" w:hAnsi="宋体" w:cs="宋体" w:eastAsia="宋体" w:hint="default"/>
                <w:sz w:val="18"/>
                <w:szCs w:val="18"/>
              </w:rPr>
            </w:pPr>
            <w:r>
              <w:rPr>
                <w:rFonts w:ascii="宋体"/>
                <w:sz w:val="18"/>
              </w:rPr>
              <w:t>126,386,318.45</w:t>
            </w:r>
          </w:p>
        </w:tc>
      </w:tr>
      <w:tr>
        <w:trPr>
          <w:trHeight w:val="283" w:hRule="exact"/>
        </w:trPr>
        <w:tc>
          <w:tcPr>
            <w:tcW w:w="5266" w:type="dxa"/>
            <w:tcBorders>
              <w:top w:val="nil" w:sz="6" w:space="0" w:color="auto"/>
              <w:left w:val="nil" w:sz="6" w:space="0" w:color="auto"/>
              <w:bottom w:val="single" w:sz="4" w:space="0" w:color="000000"/>
              <w:right w:val="nil" w:sz="6" w:space="0" w:color="auto"/>
            </w:tcBorders>
          </w:tcPr>
          <w:p>
            <w:pPr/>
          </w:p>
        </w:tc>
        <w:tc>
          <w:tcPr>
            <w:tcW w:w="1404" w:type="dxa"/>
            <w:tcBorders>
              <w:top w:val="nil" w:sz="6" w:space="0" w:color="auto"/>
              <w:left w:val="nil" w:sz="6" w:space="0" w:color="auto"/>
              <w:bottom w:val="single" w:sz="4" w:space="0" w:color="000000"/>
              <w:right w:val="nil" w:sz="6" w:space="0" w:color="auto"/>
            </w:tcBorders>
          </w:tcPr>
          <w:p>
            <w:pPr/>
          </w:p>
        </w:tc>
        <w:tc>
          <w:tcPr>
            <w:tcW w:w="2179" w:type="dxa"/>
            <w:tcBorders>
              <w:top w:val="single" w:sz="17" w:space="0" w:color="000000"/>
              <w:left w:val="nil" w:sz="6" w:space="0" w:color="auto"/>
              <w:bottom w:val="single" w:sz="4" w:space="0" w:color="000000"/>
              <w:right w:val="nil" w:sz="6" w:space="0" w:color="auto"/>
            </w:tcBorders>
          </w:tcPr>
          <w:p>
            <w:pPr/>
          </w:p>
        </w:tc>
        <w:tc>
          <w:tcPr>
            <w:tcW w:w="1980" w:type="dxa"/>
            <w:tcBorders>
              <w:top w:val="single" w:sz="17" w:space="0" w:color="000000"/>
              <w:left w:val="nil" w:sz="6" w:space="0" w:color="auto"/>
              <w:bottom w:val="single" w:sz="4" w:space="0" w:color="000000"/>
              <w:right w:val="nil" w:sz="6" w:space="0" w:color="auto"/>
            </w:tcBorders>
          </w:tcPr>
          <w:p>
            <w:pPr/>
          </w:p>
        </w:tc>
      </w:tr>
      <w:tr>
        <w:trPr>
          <w:trHeight w:val="267" w:hRule="exact"/>
        </w:trPr>
        <w:tc>
          <w:tcPr>
            <w:tcW w:w="10829" w:type="dxa"/>
            <w:gridSpan w:val="4"/>
            <w:tcBorders>
              <w:top w:val="single" w:sz="4" w:space="0" w:color="000000"/>
              <w:left w:val="nil" w:sz="6" w:space="0" w:color="auto"/>
              <w:bottom w:val="nil" w:sz="6" w:space="0" w:color="auto"/>
              <w:right w:val="nil" w:sz="6" w:space="0" w:color="auto"/>
            </w:tcBorders>
          </w:tcPr>
          <w:p>
            <w:pPr>
              <w:pStyle w:val="TableParagraph"/>
              <w:tabs>
                <w:tab w:pos="3816" w:val="left" w:leader="none"/>
                <w:tab w:pos="7778" w:val="left" w:leader="none"/>
              </w:tabs>
              <w:spacing w:line="225" w:lineRule="exact"/>
              <w:ind w:left="842" w:right="0"/>
              <w:jc w:val="left"/>
              <w:rPr>
                <w:rFonts w:ascii="宋体" w:hAnsi="宋体" w:cs="宋体" w:eastAsia="宋体" w:hint="default"/>
                <w:sz w:val="18"/>
                <w:szCs w:val="18"/>
              </w:rPr>
            </w:pPr>
            <w:r>
              <w:rPr>
                <w:rFonts w:ascii="宋体" w:hAnsi="宋体" w:cs="宋体" w:eastAsia="宋体" w:hint="default"/>
                <w:sz w:val="18"/>
                <w:szCs w:val="18"/>
              </w:rPr>
              <w:t>公司负责人：</w:t>
            </w:r>
            <w:r>
              <w:rPr>
                <w:rFonts w:ascii="宋体" w:hAnsi="宋体" w:cs="宋体" w:eastAsia="宋体" w:hint="default"/>
                <w:spacing w:val="1"/>
                <w:sz w:val="18"/>
                <w:szCs w:val="18"/>
              </w:rPr>
              <w:t> </w:t>
            </w:r>
            <w:r>
              <w:rPr>
                <w:rFonts w:ascii="宋体" w:hAnsi="宋体" w:cs="宋体" w:eastAsia="宋体" w:hint="default"/>
                <w:sz w:val="18"/>
                <w:szCs w:val="18"/>
              </w:rPr>
              <w:t>黄元忠</w:t>
              <w:tab/>
              <w:t>主管会计工作负责人：</w:t>
            </w:r>
            <w:r>
              <w:rPr>
                <w:rFonts w:ascii="宋体" w:hAnsi="宋体" w:cs="宋体" w:eastAsia="宋体" w:hint="default"/>
                <w:spacing w:val="89"/>
                <w:sz w:val="18"/>
                <w:szCs w:val="18"/>
              </w:rPr>
              <w:t> </w:t>
            </w:r>
            <w:r>
              <w:rPr>
                <w:rFonts w:ascii="宋体" w:hAnsi="宋体" w:cs="宋体" w:eastAsia="宋体" w:hint="default"/>
                <w:sz w:val="18"/>
                <w:szCs w:val="18"/>
              </w:rPr>
              <w:t>孙晓玲</w:t>
              <w:tab/>
              <w:t>会计机构负责人：全丽</w:t>
            </w:r>
          </w:p>
        </w:tc>
      </w:tr>
      <w:tr>
        <w:trPr>
          <w:trHeight w:val="217" w:hRule="exact"/>
        </w:trPr>
        <w:tc>
          <w:tcPr>
            <w:tcW w:w="5266" w:type="dxa"/>
            <w:tcBorders>
              <w:top w:val="nil" w:sz="6" w:space="0" w:color="auto"/>
              <w:left w:val="nil" w:sz="6" w:space="0" w:color="auto"/>
              <w:bottom w:val="nil" w:sz="6" w:space="0" w:color="auto"/>
              <w:right w:val="nil" w:sz="6" w:space="0" w:color="auto"/>
            </w:tcBorders>
          </w:tcPr>
          <w:p>
            <w:pPr>
              <w:pStyle w:val="TableParagraph"/>
              <w:spacing w:line="217" w:lineRule="exact"/>
              <w:ind w:left="753" w:right="0"/>
              <w:jc w:val="left"/>
              <w:rPr>
                <w:rFonts w:ascii="宋体" w:hAnsi="宋体" w:cs="宋体" w:eastAsia="宋体" w:hint="default"/>
                <w:sz w:val="18"/>
                <w:szCs w:val="18"/>
              </w:rPr>
            </w:pPr>
            <w:r>
              <w:rPr>
                <w:rFonts w:ascii="宋体" w:hAnsi="宋体" w:cs="宋体" w:eastAsia="宋体" w:hint="default"/>
                <w:sz w:val="18"/>
                <w:szCs w:val="18"/>
              </w:rPr>
              <w:t>（所附附注是合并财务报表的组成部分）</w:t>
            </w:r>
          </w:p>
        </w:tc>
        <w:tc>
          <w:tcPr>
            <w:tcW w:w="1404" w:type="dxa"/>
            <w:tcBorders>
              <w:top w:val="nil" w:sz="6" w:space="0" w:color="auto"/>
              <w:left w:val="nil" w:sz="6" w:space="0" w:color="auto"/>
              <w:bottom w:val="nil" w:sz="6" w:space="0" w:color="auto"/>
              <w:right w:val="nil" w:sz="6" w:space="0" w:color="auto"/>
            </w:tcBorders>
          </w:tcPr>
          <w:p>
            <w:pPr/>
          </w:p>
        </w:tc>
        <w:tc>
          <w:tcPr>
            <w:tcW w:w="2179" w:type="dxa"/>
            <w:tcBorders>
              <w:top w:val="nil" w:sz="6" w:space="0" w:color="auto"/>
              <w:left w:val="nil" w:sz="6" w:space="0" w:color="auto"/>
              <w:bottom w:val="nil" w:sz="6" w:space="0" w:color="auto"/>
              <w:right w:val="nil" w:sz="6" w:space="0" w:color="auto"/>
            </w:tcBorders>
          </w:tcPr>
          <w:p>
            <w:pPr/>
          </w:p>
        </w:tc>
        <w:tc>
          <w:tcPr>
            <w:tcW w:w="1980" w:type="dxa"/>
            <w:tcBorders>
              <w:top w:val="nil" w:sz="6" w:space="0" w:color="auto"/>
              <w:left w:val="nil" w:sz="6" w:space="0" w:color="auto"/>
              <w:bottom w:val="nil" w:sz="6" w:space="0" w:color="auto"/>
              <w:right w:val="nil" w:sz="6" w:space="0" w:color="auto"/>
            </w:tcBorders>
          </w:tcPr>
          <w:p>
            <w:pPr/>
          </w:p>
        </w:tc>
      </w:tr>
    </w:tbl>
    <w:p>
      <w:pPr>
        <w:spacing w:before="54"/>
        <w:ind w:left="5424" w:right="5402" w:firstLine="0"/>
        <w:jc w:val="center"/>
        <w:rPr>
          <w:rFonts w:ascii="Times New Roman" w:hAnsi="Times New Roman" w:cs="Times New Roman" w:eastAsia="Times New Roman" w:hint="default"/>
          <w:sz w:val="18"/>
          <w:szCs w:val="18"/>
        </w:rPr>
      </w:pPr>
      <w:r>
        <w:rPr/>
        <w:pict>
          <v:group style="position:absolute;margin-left:364.320007pt;margin-top:-79.497650pt;width:202.95pt;height:.5pt;mso-position-horizontal-relative:page;mso-position-vertical-relative:paragraph;z-index:-1159576" coordorigin="7286,-1590" coordsize="4059,10">
            <v:shape style="position:absolute;left:7286;top:-1590;width:2093;height:10" type="#_x0000_t75" stroked="false">
              <v:imagedata r:id="rId42" o:title=""/>
            </v:shape>
            <v:shape style="position:absolute;left:9379;top:-1590;width:7;height:10" type="#_x0000_t75" stroked="false">
              <v:imagedata r:id="rId43" o:title=""/>
            </v:shape>
            <v:shape style="position:absolute;left:9374;top:-1590;width:1970;height:10" type="#_x0000_t75" stroked="false">
              <v:imagedata r:id="rId47" o:title=""/>
            </v:shape>
            <w10:wrap type="none"/>
          </v:group>
        </w:pict>
      </w:r>
      <w:r>
        <w:rPr>
          <w:rFonts w:ascii="Times New Roman"/>
          <w:sz w:val="18"/>
        </w:rPr>
        <w:t>64</w:t>
      </w:r>
    </w:p>
    <w:p>
      <w:pPr>
        <w:spacing w:after="0"/>
        <w:jc w:val="center"/>
        <w:rPr>
          <w:rFonts w:ascii="Times New Roman" w:hAnsi="Times New Roman" w:cs="Times New Roman" w:eastAsia="Times New Roman" w:hint="default"/>
          <w:sz w:val="18"/>
          <w:szCs w:val="18"/>
        </w:rPr>
        <w:sectPr>
          <w:headerReference w:type="default" r:id="rId40"/>
          <w:footerReference w:type="default" r:id="rId41"/>
          <w:pgSz w:w="11910" w:h="16840"/>
          <w:pgMar w:header="870" w:footer="0" w:top="1060" w:bottom="280" w:left="420" w:right="440"/>
        </w:sectPr>
      </w:pPr>
    </w:p>
    <w:p>
      <w:pPr>
        <w:spacing w:line="240" w:lineRule="auto" w:before="10"/>
        <w:rPr>
          <w:rFonts w:ascii="Times New Roman" w:hAnsi="Times New Roman" w:cs="Times New Roman" w:eastAsia="Times New Roman" w:hint="default"/>
          <w:sz w:val="3"/>
          <w:szCs w:val="3"/>
        </w:rPr>
      </w:pPr>
      <w:r>
        <w:rPr/>
        <w:pict>
          <v:group style="position:absolute;margin-left:55.200001pt;margin-top:55.679981pt;width:513.15pt;height:.1pt;mso-position-horizontal-relative:page;mso-position-vertical-relative:page;z-index:-1159528" coordorigin="1104,1114" coordsize="10263,2">
            <v:shape style="position:absolute;left:1104;top:1114;width:10263;height:2" coordorigin="1104,1114" coordsize="10263,0" path="m1104,1114l11366,1114e" filled="false" stroked="true" strokeweight=".72pt" strokecolor="#000000">
              <v:path arrowok="t"/>
            </v:shape>
            <w10:wrap type="none"/>
          </v:group>
        </w:pict>
      </w:r>
      <w:r>
        <w:rPr/>
        <w:pict>
          <v:group style="position:absolute;margin-left:331.320007pt;margin-top:724.200012pt;width:99.5pt;height:2.2pt;mso-position-horizontal-relative:page;mso-position-vertical-relative:page;z-index:-1159504" coordorigin="6626,14484" coordsize="1990,44">
            <v:group style="position:absolute;left:6634;top:14491;width:1976;height:2" coordorigin="6634,14491" coordsize="1976,2">
              <v:shape style="position:absolute;left:6634;top:14491;width:1976;height:2" coordorigin="6634,14491" coordsize="1976,0" path="m6634,14491l8609,14491e" filled="false" stroked="true" strokeweight=".72pt" strokecolor="#000000">
                <v:path arrowok="t"/>
              </v:shape>
            </v:group>
            <v:group style="position:absolute;left:6634;top:14520;width:1976;height:2" coordorigin="6634,14520" coordsize="1976,2">
              <v:shape style="position:absolute;left:6634;top:14520;width:1976;height:2" coordorigin="6634,14520" coordsize="1976,0" path="m6634,14520l8609,14520e" filled="false" stroked="true" strokeweight=".72pt" strokecolor="#000000">
                <v:path arrowok="t"/>
              </v:shape>
            </v:group>
            <w10:wrap type="none"/>
          </v:group>
        </w:pict>
      </w:r>
    </w:p>
    <w:tbl>
      <w:tblPr>
        <w:tblW w:w="0" w:type="auto"/>
        <w:jc w:val="left"/>
        <w:tblInd w:w="123" w:type="dxa"/>
        <w:tblLayout w:type="fixed"/>
        <w:tblCellMar>
          <w:top w:w="0" w:type="dxa"/>
          <w:left w:w="0" w:type="dxa"/>
          <w:bottom w:w="0" w:type="dxa"/>
          <w:right w:w="0" w:type="dxa"/>
        </w:tblCellMar>
        <w:tblLook w:val="01E0"/>
      </w:tblPr>
      <w:tblGrid>
        <w:gridCol w:w="108"/>
        <w:gridCol w:w="3226"/>
        <w:gridCol w:w="254"/>
        <w:gridCol w:w="1675"/>
        <w:gridCol w:w="266"/>
        <w:gridCol w:w="1975"/>
        <w:gridCol w:w="276"/>
        <w:gridCol w:w="2081"/>
        <w:gridCol w:w="400"/>
      </w:tblGrid>
      <w:tr>
        <w:trPr>
          <w:trHeight w:val="576" w:hRule="exact"/>
        </w:trPr>
        <w:tc>
          <w:tcPr>
            <w:tcW w:w="10262" w:type="dxa"/>
            <w:gridSpan w:val="9"/>
            <w:tcBorders>
              <w:top w:val="nil" w:sz="6" w:space="0" w:color="auto"/>
              <w:left w:val="nil" w:sz="6" w:space="0" w:color="auto"/>
              <w:bottom w:val="nil" w:sz="6" w:space="0" w:color="auto"/>
              <w:right w:val="nil" w:sz="6" w:space="0" w:color="auto"/>
            </w:tcBorders>
          </w:tcPr>
          <w:p>
            <w:pPr>
              <w:pStyle w:val="TableParagraph"/>
              <w:spacing w:line="240" w:lineRule="auto" w:before="167"/>
              <w:ind w:left="3165" w:right="0"/>
              <w:jc w:val="left"/>
              <w:rPr>
                <w:rFonts w:ascii="宋体" w:hAnsi="宋体" w:cs="宋体" w:eastAsia="宋体" w:hint="default"/>
                <w:sz w:val="28"/>
                <w:szCs w:val="28"/>
              </w:rPr>
            </w:pPr>
            <w:r>
              <w:rPr>
                <w:rFonts w:ascii="宋体" w:hAnsi="宋体" w:cs="宋体" w:eastAsia="宋体" w:hint="default"/>
                <w:sz w:val="28"/>
                <w:szCs w:val="28"/>
              </w:rPr>
              <w:t>深圳市方直科技股份有限公司</w:t>
            </w:r>
          </w:p>
        </w:tc>
      </w:tr>
      <w:tr>
        <w:trPr>
          <w:trHeight w:val="383" w:hRule="exact"/>
        </w:trPr>
        <w:tc>
          <w:tcPr>
            <w:tcW w:w="10262" w:type="dxa"/>
            <w:gridSpan w:val="9"/>
            <w:tcBorders>
              <w:top w:val="nil" w:sz="6" w:space="0" w:color="auto"/>
              <w:left w:val="nil" w:sz="6" w:space="0" w:color="auto"/>
              <w:bottom w:val="nil" w:sz="6" w:space="0" w:color="auto"/>
              <w:right w:val="nil" w:sz="6" w:space="0" w:color="auto"/>
            </w:tcBorders>
          </w:tcPr>
          <w:p>
            <w:pPr>
              <w:pStyle w:val="TableParagraph"/>
              <w:spacing w:line="323" w:lineRule="exact"/>
              <w:ind w:left="-1" w:right="290"/>
              <w:jc w:val="center"/>
              <w:rPr>
                <w:rFonts w:ascii="宋体" w:hAnsi="宋体" w:cs="宋体" w:eastAsia="宋体" w:hint="default"/>
                <w:sz w:val="28"/>
                <w:szCs w:val="28"/>
              </w:rPr>
            </w:pPr>
            <w:r>
              <w:rPr>
                <w:rFonts w:ascii="宋体" w:hAnsi="宋体" w:cs="宋体" w:eastAsia="宋体" w:hint="default"/>
                <w:sz w:val="28"/>
                <w:szCs w:val="28"/>
              </w:rPr>
              <w:t>资产负债表</w:t>
            </w:r>
          </w:p>
        </w:tc>
      </w:tr>
      <w:tr>
        <w:trPr>
          <w:trHeight w:val="321" w:hRule="exact"/>
        </w:trPr>
        <w:tc>
          <w:tcPr>
            <w:tcW w:w="108" w:type="dxa"/>
            <w:tcBorders>
              <w:top w:val="nil" w:sz="6" w:space="0" w:color="auto"/>
              <w:left w:val="nil" w:sz="6" w:space="0" w:color="auto"/>
              <w:bottom w:val="nil" w:sz="6" w:space="0" w:color="auto"/>
              <w:right w:val="nil" w:sz="6" w:space="0" w:color="auto"/>
            </w:tcBorders>
          </w:tcPr>
          <w:p>
            <w:pPr/>
          </w:p>
        </w:tc>
        <w:tc>
          <w:tcPr>
            <w:tcW w:w="3226" w:type="dxa"/>
            <w:tcBorders>
              <w:top w:val="nil" w:sz="6" w:space="0" w:color="auto"/>
              <w:left w:val="nil" w:sz="6" w:space="0" w:color="auto"/>
              <w:bottom w:val="nil" w:sz="6" w:space="0" w:color="auto"/>
              <w:right w:val="nil" w:sz="6" w:space="0" w:color="auto"/>
            </w:tcBorders>
          </w:tcPr>
          <w:p>
            <w:pPr/>
          </w:p>
        </w:tc>
        <w:tc>
          <w:tcPr>
            <w:tcW w:w="254" w:type="dxa"/>
            <w:tcBorders>
              <w:top w:val="nil" w:sz="6" w:space="0" w:color="auto"/>
              <w:left w:val="nil" w:sz="6" w:space="0" w:color="auto"/>
              <w:bottom w:val="nil" w:sz="6" w:space="0" w:color="auto"/>
              <w:right w:val="nil" w:sz="6" w:space="0" w:color="auto"/>
            </w:tcBorders>
          </w:tcPr>
          <w:p>
            <w:pPr/>
          </w:p>
        </w:tc>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4"/>
              <w:ind w:left="945" w:right="0"/>
              <w:jc w:val="left"/>
              <w:rPr>
                <w:rFonts w:ascii="宋体" w:hAnsi="宋体" w:cs="宋体" w:eastAsia="宋体" w:hint="default"/>
                <w:sz w:val="18"/>
                <w:szCs w:val="18"/>
              </w:rPr>
            </w:pPr>
            <w:r>
              <w:rPr>
                <w:rFonts w:ascii="宋体"/>
                <w:sz w:val="18"/>
              </w:rPr>
              <w:t>2014-12-</w:t>
            </w:r>
          </w:p>
        </w:tc>
        <w:tc>
          <w:tcPr>
            <w:tcW w:w="266" w:type="dxa"/>
            <w:tcBorders>
              <w:top w:val="nil" w:sz="6" w:space="0" w:color="auto"/>
              <w:left w:val="nil" w:sz="6" w:space="0" w:color="auto"/>
              <w:bottom w:val="nil" w:sz="6" w:space="0" w:color="auto"/>
              <w:right w:val="nil" w:sz="6" w:space="0" w:color="auto"/>
            </w:tcBorders>
          </w:tcPr>
          <w:p>
            <w:pPr>
              <w:pStyle w:val="TableParagraph"/>
              <w:spacing w:line="240" w:lineRule="auto" w:before="4"/>
              <w:ind w:left="-8" w:right="0"/>
              <w:jc w:val="left"/>
              <w:rPr>
                <w:rFonts w:ascii="宋体" w:hAnsi="宋体" w:cs="宋体" w:eastAsia="宋体" w:hint="default"/>
                <w:sz w:val="18"/>
                <w:szCs w:val="18"/>
              </w:rPr>
            </w:pPr>
            <w:r>
              <w:rPr>
                <w:rFonts w:ascii="宋体"/>
                <w:sz w:val="18"/>
              </w:rPr>
              <w:t>31</w:t>
            </w:r>
          </w:p>
        </w:tc>
        <w:tc>
          <w:tcPr>
            <w:tcW w:w="1975" w:type="dxa"/>
            <w:tcBorders>
              <w:top w:val="nil" w:sz="6" w:space="0" w:color="auto"/>
              <w:left w:val="nil" w:sz="6" w:space="0" w:color="auto"/>
              <w:bottom w:val="nil" w:sz="6" w:space="0" w:color="auto"/>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c>
          <w:tcPr>
            <w:tcW w:w="2081" w:type="dxa"/>
            <w:tcBorders>
              <w:top w:val="nil" w:sz="6" w:space="0" w:color="auto"/>
              <w:left w:val="nil" w:sz="6" w:space="0" w:color="auto"/>
              <w:bottom w:val="nil" w:sz="6" w:space="0" w:color="auto"/>
              <w:right w:val="nil" w:sz="6" w:space="0" w:color="auto"/>
            </w:tcBorders>
          </w:tcPr>
          <w:p>
            <w:pPr/>
          </w:p>
        </w:tc>
        <w:tc>
          <w:tcPr>
            <w:tcW w:w="400" w:type="dxa"/>
            <w:tcBorders>
              <w:top w:val="nil" w:sz="6" w:space="0" w:color="auto"/>
              <w:left w:val="nil" w:sz="6" w:space="0" w:color="auto"/>
              <w:bottom w:val="nil" w:sz="6" w:space="0" w:color="auto"/>
              <w:right w:val="nil" w:sz="6" w:space="0" w:color="auto"/>
            </w:tcBorders>
          </w:tcPr>
          <w:p>
            <w:pPr/>
          </w:p>
        </w:tc>
      </w:tr>
      <w:tr>
        <w:trPr>
          <w:trHeight w:val="341" w:hRule="exact"/>
        </w:trPr>
        <w:tc>
          <w:tcPr>
            <w:tcW w:w="108" w:type="dxa"/>
            <w:tcBorders>
              <w:top w:val="nil" w:sz="6" w:space="0" w:color="auto"/>
              <w:left w:val="nil" w:sz="6" w:space="0" w:color="auto"/>
              <w:bottom w:val="nil" w:sz="6" w:space="0" w:color="auto"/>
              <w:right w:val="nil" w:sz="6" w:space="0" w:color="auto"/>
            </w:tcBorders>
          </w:tcPr>
          <w:p>
            <w:pPr/>
          </w:p>
        </w:tc>
        <w:tc>
          <w:tcPr>
            <w:tcW w:w="3226" w:type="dxa"/>
            <w:tcBorders>
              <w:top w:val="nil" w:sz="6" w:space="0" w:color="auto"/>
              <w:left w:val="nil" w:sz="6" w:space="0" w:color="auto"/>
              <w:bottom w:val="nil" w:sz="6" w:space="0" w:color="auto"/>
              <w:right w:val="nil" w:sz="6" w:space="0" w:color="auto"/>
            </w:tcBorders>
          </w:tcPr>
          <w:p>
            <w:pPr/>
          </w:p>
        </w:tc>
        <w:tc>
          <w:tcPr>
            <w:tcW w:w="254" w:type="dxa"/>
            <w:tcBorders>
              <w:top w:val="nil" w:sz="6" w:space="0" w:color="auto"/>
              <w:left w:val="nil" w:sz="6" w:space="0" w:color="auto"/>
              <w:bottom w:val="nil" w:sz="6" w:space="0" w:color="auto"/>
              <w:right w:val="nil" w:sz="6" w:space="0" w:color="auto"/>
            </w:tcBorders>
          </w:tcPr>
          <w:p>
            <w:pPr/>
          </w:p>
        </w:tc>
        <w:tc>
          <w:tcPr>
            <w:tcW w:w="1675" w:type="dxa"/>
            <w:tcBorders>
              <w:top w:val="nil" w:sz="6" w:space="0" w:color="auto"/>
              <w:left w:val="nil" w:sz="6" w:space="0" w:color="auto"/>
              <w:bottom w:val="nil" w:sz="6" w:space="0" w:color="auto"/>
              <w:right w:val="nil" w:sz="6" w:space="0" w:color="auto"/>
            </w:tcBorders>
          </w:tcPr>
          <w:p>
            <w:pPr/>
          </w:p>
        </w:tc>
        <w:tc>
          <w:tcPr>
            <w:tcW w:w="266" w:type="dxa"/>
            <w:tcBorders>
              <w:top w:val="nil" w:sz="6" w:space="0" w:color="auto"/>
              <w:left w:val="nil" w:sz="6" w:space="0" w:color="auto"/>
              <w:bottom w:val="nil" w:sz="6" w:space="0" w:color="auto"/>
              <w:right w:val="nil" w:sz="6" w:space="0" w:color="auto"/>
            </w:tcBorders>
          </w:tcPr>
          <w:p>
            <w:pPr/>
          </w:p>
        </w:tc>
        <w:tc>
          <w:tcPr>
            <w:tcW w:w="1975" w:type="dxa"/>
            <w:tcBorders>
              <w:top w:val="nil" w:sz="6" w:space="0" w:color="auto"/>
              <w:left w:val="nil" w:sz="6" w:space="0" w:color="auto"/>
              <w:bottom w:val="nil" w:sz="6" w:space="0" w:color="auto"/>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4"/>
              <w:jc w:val="right"/>
              <w:rPr>
                <w:rFonts w:ascii="宋体" w:hAnsi="宋体" w:cs="宋体" w:eastAsia="宋体" w:hint="default"/>
                <w:sz w:val="18"/>
                <w:szCs w:val="18"/>
              </w:rPr>
            </w:pPr>
            <w:r>
              <w:rPr>
                <w:rFonts w:ascii="宋体" w:hAnsi="宋体" w:cs="宋体" w:eastAsia="宋体" w:hint="default"/>
                <w:sz w:val="18"/>
                <w:szCs w:val="18"/>
              </w:rPr>
              <w:t>单位：人民币元</w:t>
            </w:r>
          </w:p>
        </w:tc>
        <w:tc>
          <w:tcPr>
            <w:tcW w:w="400" w:type="dxa"/>
            <w:tcBorders>
              <w:top w:val="nil" w:sz="6" w:space="0" w:color="auto"/>
              <w:left w:val="nil" w:sz="6" w:space="0" w:color="auto"/>
              <w:bottom w:val="nil" w:sz="6" w:space="0" w:color="auto"/>
              <w:right w:val="nil" w:sz="6" w:space="0" w:color="auto"/>
            </w:tcBorders>
          </w:tcPr>
          <w:p>
            <w:pPr/>
          </w:p>
        </w:tc>
      </w:tr>
      <w:tr>
        <w:trPr>
          <w:trHeight w:val="345" w:hRule="exact"/>
        </w:trPr>
        <w:tc>
          <w:tcPr>
            <w:tcW w:w="108" w:type="dxa"/>
            <w:tcBorders>
              <w:top w:val="nil" w:sz="6" w:space="0" w:color="auto"/>
              <w:left w:val="nil" w:sz="6" w:space="0" w:color="auto"/>
              <w:bottom w:val="nil" w:sz="6" w:space="0" w:color="auto"/>
              <w:right w:val="nil" w:sz="6" w:space="0" w:color="auto"/>
            </w:tcBorders>
          </w:tcPr>
          <w:p>
            <w:pPr/>
          </w:p>
        </w:tc>
        <w:tc>
          <w:tcPr>
            <w:tcW w:w="3226"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资</w:t>
            </w:r>
            <w:r>
              <w:rPr>
                <w:rFonts w:ascii="宋体" w:hAnsi="宋体" w:cs="宋体" w:eastAsia="宋体" w:hint="default"/>
                <w:spacing w:val="1"/>
                <w:sz w:val="18"/>
                <w:szCs w:val="18"/>
              </w:rPr>
              <w:t> </w:t>
            </w:r>
            <w:r>
              <w:rPr>
                <w:rFonts w:ascii="宋体" w:hAnsi="宋体" w:cs="宋体" w:eastAsia="宋体" w:hint="default"/>
                <w:sz w:val="18"/>
                <w:szCs w:val="18"/>
              </w:rPr>
              <w:t>产</w:t>
            </w:r>
          </w:p>
        </w:tc>
        <w:tc>
          <w:tcPr>
            <w:tcW w:w="254" w:type="dxa"/>
            <w:tcBorders>
              <w:top w:val="nil" w:sz="6" w:space="0" w:color="auto"/>
              <w:left w:val="nil" w:sz="6" w:space="0" w:color="auto"/>
              <w:bottom w:val="nil" w:sz="6" w:space="0" w:color="auto"/>
              <w:right w:val="nil" w:sz="6" w:space="0" w:color="auto"/>
            </w:tcBorders>
          </w:tcPr>
          <w:p>
            <w:pPr/>
          </w:p>
        </w:tc>
        <w:tc>
          <w:tcPr>
            <w:tcW w:w="1675"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left="477" w:right="0"/>
              <w:jc w:val="left"/>
              <w:rPr>
                <w:rFonts w:ascii="宋体" w:hAnsi="宋体" w:cs="宋体" w:eastAsia="宋体" w:hint="default"/>
                <w:sz w:val="18"/>
                <w:szCs w:val="18"/>
              </w:rPr>
            </w:pPr>
            <w:r>
              <w:rPr>
                <w:rFonts w:ascii="宋体" w:hAnsi="宋体" w:cs="宋体" w:eastAsia="宋体" w:hint="default"/>
                <w:sz w:val="18"/>
                <w:szCs w:val="18"/>
              </w:rPr>
              <w:t>附注十五</w:t>
            </w:r>
          </w:p>
        </w:tc>
        <w:tc>
          <w:tcPr>
            <w:tcW w:w="266" w:type="dxa"/>
            <w:tcBorders>
              <w:top w:val="nil" w:sz="6" w:space="0" w:color="auto"/>
              <w:left w:val="nil" w:sz="6" w:space="0" w:color="auto"/>
              <w:bottom w:val="nil" w:sz="6" w:space="0" w:color="auto"/>
              <w:right w:val="nil" w:sz="6" w:space="0" w:color="auto"/>
            </w:tcBorders>
          </w:tcPr>
          <w:p>
            <w:pPr/>
          </w:p>
        </w:tc>
        <w:tc>
          <w:tcPr>
            <w:tcW w:w="1975"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6" w:type="dxa"/>
            <w:tcBorders>
              <w:top w:val="nil" w:sz="6" w:space="0" w:color="auto"/>
              <w:left w:val="nil" w:sz="6" w:space="0" w:color="auto"/>
              <w:bottom w:val="nil" w:sz="6" w:space="0" w:color="auto"/>
              <w:right w:val="nil" w:sz="6" w:space="0" w:color="auto"/>
            </w:tcBorders>
          </w:tcPr>
          <w:p>
            <w:pPr/>
          </w:p>
        </w:tc>
        <w:tc>
          <w:tcPr>
            <w:tcW w:w="2081"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left="4"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400" w:type="dxa"/>
            <w:tcBorders>
              <w:top w:val="nil" w:sz="6" w:space="0" w:color="auto"/>
              <w:left w:val="nil" w:sz="6" w:space="0" w:color="auto"/>
              <w:bottom w:val="nil" w:sz="6" w:space="0" w:color="auto"/>
              <w:right w:val="nil" w:sz="6" w:space="0" w:color="auto"/>
            </w:tcBorders>
          </w:tcPr>
          <w:p>
            <w:pPr/>
          </w:p>
        </w:tc>
      </w:tr>
      <w:tr>
        <w:trPr>
          <w:trHeight w:val="343" w:hRule="exact"/>
        </w:trPr>
        <w:tc>
          <w:tcPr>
            <w:tcW w:w="108" w:type="dxa"/>
            <w:tcBorders>
              <w:top w:val="nil" w:sz="6" w:space="0" w:color="auto"/>
              <w:left w:val="nil" w:sz="6" w:space="0" w:color="auto"/>
              <w:bottom w:val="nil" w:sz="6" w:space="0" w:color="auto"/>
              <w:right w:val="nil" w:sz="6" w:space="0" w:color="auto"/>
            </w:tcBorders>
          </w:tcPr>
          <w:p>
            <w:pPr/>
          </w:p>
        </w:tc>
        <w:tc>
          <w:tcPr>
            <w:tcW w:w="3226"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28" w:right="0"/>
              <w:jc w:val="left"/>
              <w:rPr>
                <w:rFonts w:ascii="宋体" w:hAnsi="宋体" w:cs="宋体" w:eastAsia="宋体" w:hint="default"/>
                <w:sz w:val="18"/>
                <w:szCs w:val="18"/>
              </w:rPr>
            </w:pPr>
            <w:r>
              <w:rPr>
                <w:rFonts w:ascii="宋体" w:hAnsi="宋体" w:cs="宋体" w:eastAsia="宋体" w:hint="default"/>
                <w:b/>
                <w:bCs/>
                <w:sz w:val="18"/>
                <w:szCs w:val="18"/>
              </w:rPr>
              <w:t>流动资产：</w:t>
            </w:r>
            <w:r>
              <w:rPr>
                <w:rFonts w:ascii="宋体" w:hAnsi="宋体" w:cs="宋体" w:eastAsia="宋体" w:hint="default"/>
                <w:sz w:val="18"/>
                <w:szCs w:val="18"/>
              </w:rPr>
            </w:r>
          </w:p>
        </w:tc>
        <w:tc>
          <w:tcPr>
            <w:tcW w:w="254" w:type="dxa"/>
            <w:tcBorders>
              <w:top w:val="nil" w:sz="6" w:space="0" w:color="auto"/>
              <w:left w:val="nil" w:sz="6" w:space="0" w:color="auto"/>
              <w:bottom w:val="nil" w:sz="6" w:space="0" w:color="auto"/>
              <w:right w:val="nil" w:sz="6" w:space="0" w:color="auto"/>
            </w:tcBorders>
          </w:tcPr>
          <w:p>
            <w:pPr/>
          </w:p>
        </w:tc>
        <w:tc>
          <w:tcPr>
            <w:tcW w:w="1675" w:type="dxa"/>
            <w:tcBorders>
              <w:top w:val="single" w:sz="4" w:space="0" w:color="000000"/>
              <w:left w:val="nil" w:sz="6" w:space="0" w:color="auto"/>
              <w:bottom w:val="nil" w:sz="6" w:space="0" w:color="auto"/>
              <w:right w:val="nil" w:sz="6" w:space="0" w:color="auto"/>
            </w:tcBorders>
          </w:tcPr>
          <w:p>
            <w:pPr/>
          </w:p>
        </w:tc>
        <w:tc>
          <w:tcPr>
            <w:tcW w:w="266" w:type="dxa"/>
            <w:tcBorders>
              <w:top w:val="nil" w:sz="6" w:space="0" w:color="auto"/>
              <w:left w:val="nil" w:sz="6" w:space="0" w:color="auto"/>
              <w:bottom w:val="nil" w:sz="6" w:space="0" w:color="auto"/>
              <w:right w:val="nil" w:sz="6" w:space="0" w:color="auto"/>
            </w:tcBorders>
          </w:tcPr>
          <w:p>
            <w:pPr/>
          </w:p>
        </w:tc>
        <w:tc>
          <w:tcPr>
            <w:tcW w:w="1975" w:type="dxa"/>
            <w:tcBorders>
              <w:top w:val="single" w:sz="4" w:space="0" w:color="000000"/>
              <w:left w:val="nil" w:sz="6" w:space="0" w:color="auto"/>
              <w:bottom w:val="nil" w:sz="6" w:space="0" w:color="auto"/>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c>
          <w:tcPr>
            <w:tcW w:w="2081" w:type="dxa"/>
            <w:tcBorders>
              <w:top w:val="single" w:sz="4" w:space="0" w:color="000000"/>
              <w:left w:val="nil" w:sz="6" w:space="0" w:color="auto"/>
              <w:bottom w:val="nil" w:sz="6" w:space="0" w:color="auto"/>
              <w:right w:val="nil" w:sz="6" w:space="0" w:color="auto"/>
            </w:tcBorders>
          </w:tcPr>
          <w:p>
            <w:pPr/>
          </w:p>
        </w:tc>
        <w:tc>
          <w:tcPr>
            <w:tcW w:w="400" w:type="dxa"/>
            <w:tcBorders>
              <w:top w:val="nil" w:sz="6" w:space="0" w:color="auto"/>
              <w:left w:val="nil" w:sz="6" w:space="0" w:color="auto"/>
              <w:bottom w:val="nil" w:sz="6" w:space="0" w:color="auto"/>
              <w:right w:val="nil" w:sz="6" w:space="0" w:color="auto"/>
            </w:tcBorders>
          </w:tcPr>
          <w:p>
            <w:pPr/>
          </w:p>
        </w:tc>
      </w:tr>
      <w:tr>
        <w:trPr>
          <w:trHeight w:val="341" w:hRule="exact"/>
        </w:trPr>
        <w:tc>
          <w:tcPr>
            <w:tcW w:w="108" w:type="dxa"/>
            <w:tcBorders>
              <w:top w:val="nil" w:sz="6" w:space="0" w:color="auto"/>
              <w:left w:val="nil" w:sz="6" w:space="0" w:color="auto"/>
              <w:bottom w:val="nil" w:sz="6" w:space="0" w:color="auto"/>
              <w:right w:val="nil" w:sz="6" w:space="0" w:color="auto"/>
            </w:tcBorders>
          </w:tcPr>
          <w:p>
            <w:pPr/>
          </w:p>
        </w:tc>
        <w:tc>
          <w:tcPr>
            <w:tcW w:w="3226"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54" w:type="dxa"/>
            <w:tcBorders>
              <w:top w:val="nil" w:sz="6" w:space="0" w:color="auto"/>
              <w:left w:val="nil" w:sz="6" w:space="0" w:color="auto"/>
              <w:bottom w:val="nil" w:sz="6" w:space="0" w:color="auto"/>
              <w:right w:val="nil" w:sz="6" w:space="0" w:color="auto"/>
            </w:tcBorders>
          </w:tcPr>
          <w:p>
            <w:pPr/>
          </w:p>
        </w:tc>
        <w:tc>
          <w:tcPr>
            <w:tcW w:w="1675" w:type="dxa"/>
            <w:tcBorders>
              <w:top w:val="nil" w:sz="6" w:space="0" w:color="auto"/>
              <w:left w:val="nil" w:sz="6" w:space="0" w:color="auto"/>
              <w:bottom w:val="nil" w:sz="6" w:space="0" w:color="auto"/>
              <w:right w:val="nil" w:sz="6" w:space="0" w:color="auto"/>
            </w:tcBorders>
          </w:tcPr>
          <w:p>
            <w:pPr/>
          </w:p>
        </w:tc>
        <w:tc>
          <w:tcPr>
            <w:tcW w:w="266" w:type="dxa"/>
            <w:tcBorders>
              <w:top w:val="nil" w:sz="6" w:space="0" w:color="auto"/>
              <w:left w:val="nil" w:sz="6" w:space="0" w:color="auto"/>
              <w:bottom w:val="nil" w:sz="6" w:space="0" w:color="auto"/>
              <w:right w:val="nil" w:sz="6" w:space="0" w:color="auto"/>
            </w:tcBorders>
          </w:tcPr>
          <w:p>
            <w:pPr/>
          </w:p>
        </w:tc>
        <w:tc>
          <w:tcPr>
            <w:tcW w:w="197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pacing w:val="-1"/>
                <w:sz w:val="18"/>
              </w:rPr>
              <w:t>116,068,978.16</w:t>
            </w:r>
            <w:r>
              <w:rPr>
                <w:rFonts w:ascii="宋体"/>
                <w:sz w:val="18"/>
              </w:rPr>
            </w:r>
          </w:p>
        </w:tc>
        <w:tc>
          <w:tcPr>
            <w:tcW w:w="276" w:type="dxa"/>
            <w:tcBorders>
              <w:top w:val="nil" w:sz="6" w:space="0" w:color="auto"/>
              <w:left w:val="nil" w:sz="6" w:space="0" w:color="auto"/>
              <w:bottom w:val="nil" w:sz="6" w:space="0" w:color="auto"/>
              <w:right w:val="nil" w:sz="6" w:space="0" w:color="auto"/>
            </w:tcBorders>
          </w:tcPr>
          <w:p>
            <w:pPr/>
          </w:p>
        </w:tc>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pacing w:val="-1"/>
                <w:sz w:val="18"/>
              </w:rPr>
              <w:t>122,502,939.84</w:t>
            </w:r>
            <w:r>
              <w:rPr>
                <w:rFonts w:ascii="宋体"/>
                <w:sz w:val="18"/>
              </w:rPr>
            </w:r>
          </w:p>
        </w:tc>
        <w:tc>
          <w:tcPr>
            <w:tcW w:w="400" w:type="dxa"/>
            <w:tcBorders>
              <w:top w:val="nil" w:sz="6" w:space="0" w:color="auto"/>
              <w:left w:val="nil" w:sz="6" w:space="0" w:color="auto"/>
              <w:bottom w:val="nil" w:sz="6" w:space="0" w:color="auto"/>
              <w:right w:val="nil" w:sz="6" w:space="0" w:color="auto"/>
            </w:tcBorders>
          </w:tcPr>
          <w:p>
            <w:pPr/>
          </w:p>
        </w:tc>
      </w:tr>
      <w:tr>
        <w:trPr>
          <w:trHeight w:val="340" w:hRule="exact"/>
        </w:trPr>
        <w:tc>
          <w:tcPr>
            <w:tcW w:w="108" w:type="dxa"/>
            <w:tcBorders>
              <w:top w:val="nil" w:sz="6" w:space="0" w:color="auto"/>
              <w:left w:val="nil" w:sz="6" w:space="0" w:color="auto"/>
              <w:bottom w:val="nil" w:sz="6" w:space="0" w:color="auto"/>
              <w:right w:val="nil" w:sz="6" w:space="0" w:color="auto"/>
            </w:tcBorders>
          </w:tcPr>
          <w:p>
            <w:pPr/>
          </w:p>
        </w:tc>
        <w:tc>
          <w:tcPr>
            <w:tcW w:w="3226"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11"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54" w:type="dxa"/>
            <w:tcBorders>
              <w:top w:val="nil" w:sz="6" w:space="0" w:color="auto"/>
              <w:left w:val="nil" w:sz="6" w:space="0" w:color="auto"/>
              <w:bottom w:val="nil" w:sz="6" w:space="0" w:color="auto"/>
              <w:right w:val="nil" w:sz="6" w:space="0" w:color="auto"/>
            </w:tcBorders>
          </w:tcPr>
          <w:p>
            <w:pPr/>
          </w:p>
        </w:tc>
        <w:tc>
          <w:tcPr>
            <w:tcW w:w="1675" w:type="dxa"/>
            <w:tcBorders>
              <w:top w:val="nil" w:sz="6" w:space="0" w:color="auto"/>
              <w:left w:val="nil" w:sz="6" w:space="0" w:color="auto"/>
              <w:bottom w:val="nil" w:sz="6" w:space="0" w:color="auto"/>
              <w:right w:val="nil" w:sz="6" w:space="0" w:color="auto"/>
            </w:tcBorders>
          </w:tcPr>
          <w:p>
            <w:pPr/>
          </w:p>
        </w:tc>
        <w:tc>
          <w:tcPr>
            <w:tcW w:w="266" w:type="dxa"/>
            <w:tcBorders>
              <w:top w:val="nil" w:sz="6" w:space="0" w:color="auto"/>
              <w:left w:val="nil" w:sz="6" w:space="0" w:color="auto"/>
              <w:bottom w:val="nil" w:sz="6" w:space="0" w:color="auto"/>
              <w:right w:val="nil" w:sz="6" w:space="0" w:color="auto"/>
            </w:tcBorders>
          </w:tcPr>
          <w:p>
            <w:pPr/>
          </w:p>
        </w:tc>
        <w:tc>
          <w:tcPr>
            <w:tcW w:w="197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5"/>
              <w:jc w:val="right"/>
              <w:rPr>
                <w:rFonts w:ascii="宋体" w:hAnsi="宋体" w:cs="宋体" w:eastAsia="宋体" w:hint="default"/>
                <w:sz w:val="18"/>
                <w:szCs w:val="18"/>
              </w:rPr>
            </w:pPr>
            <w:r>
              <w:rPr>
                <w:rFonts w:ascii="宋体"/>
                <w:sz w:val="18"/>
              </w:rPr>
              <w:t>-</w:t>
            </w:r>
          </w:p>
        </w:tc>
        <w:tc>
          <w:tcPr>
            <w:tcW w:w="276" w:type="dxa"/>
            <w:tcBorders>
              <w:top w:val="nil" w:sz="6" w:space="0" w:color="auto"/>
              <w:left w:val="nil" w:sz="6" w:space="0" w:color="auto"/>
              <w:bottom w:val="nil" w:sz="6" w:space="0" w:color="auto"/>
              <w:right w:val="nil" w:sz="6" w:space="0" w:color="auto"/>
            </w:tcBorders>
          </w:tcPr>
          <w:p>
            <w:pPr/>
          </w:p>
        </w:tc>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5"/>
              <w:jc w:val="right"/>
              <w:rPr>
                <w:rFonts w:ascii="宋体" w:hAnsi="宋体" w:cs="宋体" w:eastAsia="宋体" w:hint="default"/>
                <w:sz w:val="18"/>
                <w:szCs w:val="18"/>
              </w:rPr>
            </w:pPr>
            <w:r>
              <w:rPr>
                <w:rFonts w:ascii="宋体"/>
                <w:sz w:val="18"/>
              </w:rPr>
              <w:t>-</w:t>
            </w:r>
          </w:p>
        </w:tc>
        <w:tc>
          <w:tcPr>
            <w:tcW w:w="400" w:type="dxa"/>
            <w:tcBorders>
              <w:top w:val="nil" w:sz="6" w:space="0" w:color="auto"/>
              <w:left w:val="nil" w:sz="6" w:space="0" w:color="auto"/>
              <w:bottom w:val="nil" w:sz="6" w:space="0" w:color="auto"/>
              <w:right w:val="nil" w:sz="6" w:space="0" w:color="auto"/>
            </w:tcBorders>
          </w:tcPr>
          <w:p>
            <w:pPr/>
          </w:p>
        </w:tc>
      </w:tr>
      <w:tr>
        <w:trPr>
          <w:trHeight w:val="336" w:hRule="exact"/>
        </w:trPr>
        <w:tc>
          <w:tcPr>
            <w:tcW w:w="108" w:type="dxa"/>
            <w:tcBorders>
              <w:top w:val="nil" w:sz="6" w:space="0" w:color="auto"/>
              <w:left w:val="nil" w:sz="6" w:space="0" w:color="auto"/>
              <w:bottom w:val="nil" w:sz="6" w:space="0" w:color="auto"/>
              <w:right w:val="nil" w:sz="6" w:space="0" w:color="auto"/>
            </w:tcBorders>
          </w:tcPr>
          <w:p>
            <w:pPr/>
          </w:p>
        </w:tc>
        <w:tc>
          <w:tcPr>
            <w:tcW w:w="3226"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1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54" w:type="dxa"/>
            <w:tcBorders>
              <w:top w:val="nil" w:sz="6" w:space="0" w:color="auto"/>
              <w:left w:val="nil" w:sz="6" w:space="0" w:color="auto"/>
              <w:bottom w:val="nil" w:sz="6" w:space="0" w:color="auto"/>
              <w:right w:val="nil" w:sz="6" w:space="0" w:color="auto"/>
            </w:tcBorders>
          </w:tcPr>
          <w:p>
            <w:pPr/>
          </w:p>
        </w:tc>
        <w:tc>
          <w:tcPr>
            <w:tcW w:w="1675" w:type="dxa"/>
            <w:tcBorders>
              <w:top w:val="nil" w:sz="6" w:space="0" w:color="auto"/>
              <w:left w:val="nil" w:sz="6" w:space="0" w:color="auto"/>
              <w:bottom w:val="nil" w:sz="6" w:space="0" w:color="auto"/>
              <w:right w:val="nil" w:sz="6" w:space="0" w:color="auto"/>
            </w:tcBorders>
          </w:tcPr>
          <w:p>
            <w:pPr/>
          </w:p>
        </w:tc>
        <w:tc>
          <w:tcPr>
            <w:tcW w:w="266" w:type="dxa"/>
            <w:tcBorders>
              <w:top w:val="nil" w:sz="6" w:space="0" w:color="auto"/>
              <w:left w:val="nil" w:sz="6" w:space="0" w:color="auto"/>
              <w:bottom w:val="nil" w:sz="6" w:space="0" w:color="auto"/>
              <w:right w:val="nil" w:sz="6" w:space="0" w:color="auto"/>
            </w:tcBorders>
          </w:tcPr>
          <w:p>
            <w:pPr/>
          </w:p>
        </w:tc>
        <w:tc>
          <w:tcPr>
            <w:tcW w:w="1975"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3"/>
              <w:jc w:val="right"/>
              <w:rPr>
                <w:rFonts w:ascii="宋体" w:hAnsi="宋体" w:cs="宋体" w:eastAsia="宋体" w:hint="default"/>
                <w:sz w:val="18"/>
                <w:szCs w:val="18"/>
              </w:rPr>
            </w:pPr>
            <w:r>
              <w:rPr>
                <w:rFonts w:ascii="宋体"/>
                <w:sz w:val="18"/>
              </w:rPr>
              <w:t>-</w:t>
            </w:r>
          </w:p>
        </w:tc>
        <w:tc>
          <w:tcPr>
            <w:tcW w:w="276" w:type="dxa"/>
            <w:tcBorders>
              <w:top w:val="nil" w:sz="6" w:space="0" w:color="auto"/>
              <w:left w:val="nil" w:sz="6" w:space="0" w:color="auto"/>
              <w:bottom w:val="nil" w:sz="6" w:space="0" w:color="auto"/>
              <w:right w:val="nil" w:sz="6" w:space="0" w:color="auto"/>
            </w:tcBorders>
          </w:tcPr>
          <w:p>
            <w:pPr/>
          </w:p>
        </w:tc>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6"/>
              <w:jc w:val="right"/>
              <w:rPr>
                <w:rFonts w:ascii="宋体" w:hAnsi="宋体" w:cs="宋体" w:eastAsia="宋体" w:hint="default"/>
                <w:sz w:val="18"/>
                <w:szCs w:val="18"/>
              </w:rPr>
            </w:pPr>
            <w:r>
              <w:rPr>
                <w:rFonts w:ascii="宋体"/>
                <w:spacing w:val="-1"/>
                <w:sz w:val="18"/>
              </w:rPr>
              <w:t>500,000.00</w:t>
            </w:r>
            <w:r>
              <w:rPr>
                <w:rFonts w:ascii="宋体"/>
                <w:sz w:val="18"/>
              </w:rPr>
            </w:r>
          </w:p>
        </w:tc>
        <w:tc>
          <w:tcPr>
            <w:tcW w:w="400" w:type="dxa"/>
            <w:tcBorders>
              <w:top w:val="nil" w:sz="6" w:space="0" w:color="auto"/>
              <w:left w:val="nil" w:sz="6" w:space="0" w:color="auto"/>
              <w:bottom w:val="nil" w:sz="6" w:space="0" w:color="auto"/>
              <w:right w:val="nil" w:sz="6" w:space="0" w:color="auto"/>
            </w:tcBorders>
          </w:tcPr>
          <w:p>
            <w:pPr/>
          </w:p>
        </w:tc>
      </w:tr>
      <w:tr>
        <w:trPr>
          <w:trHeight w:val="356" w:hRule="exact"/>
        </w:trPr>
        <w:tc>
          <w:tcPr>
            <w:tcW w:w="108" w:type="dxa"/>
            <w:tcBorders>
              <w:top w:val="nil" w:sz="6" w:space="0" w:color="auto"/>
              <w:left w:val="nil" w:sz="6" w:space="0" w:color="auto"/>
              <w:bottom w:val="nil" w:sz="6" w:space="0" w:color="auto"/>
              <w:right w:val="nil" w:sz="6" w:space="0" w:color="auto"/>
            </w:tcBorders>
          </w:tcPr>
          <w:p>
            <w:pPr/>
          </w:p>
        </w:tc>
        <w:tc>
          <w:tcPr>
            <w:tcW w:w="322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54" w:type="dxa"/>
            <w:tcBorders>
              <w:top w:val="nil" w:sz="6" w:space="0" w:color="auto"/>
              <w:left w:val="nil" w:sz="6" w:space="0" w:color="auto"/>
              <w:bottom w:val="nil" w:sz="6" w:space="0" w:color="auto"/>
              <w:right w:val="nil" w:sz="6" w:space="0" w:color="auto"/>
            </w:tcBorders>
          </w:tcPr>
          <w:p>
            <w:pPr/>
          </w:p>
        </w:tc>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
              <w:jc w:val="center"/>
              <w:rPr>
                <w:rFonts w:ascii="Times New Roman" w:hAnsi="Times New Roman" w:cs="Times New Roman" w:eastAsia="Times New Roman" w:hint="default"/>
                <w:sz w:val="20"/>
                <w:szCs w:val="20"/>
              </w:rPr>
            </w:pPr>
            <w:r>
              <w:rPr>
                <w:rFonts w:ascii="宋体" w:hAnsi="宋体" w:cs="宋体" w:eastAsia="宋体" w:hint="default"/>
                <w:sz w:val="20"/>
                <w:szCs w:val="20"/>
              </w:rPr>
              <w:t>注释</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w:t>
            </w:r>
          </w:p>
        </w:tc>
        <w:tc>
          <w:tcPr>
            <w:tcW w:w="266" w:type="dxa"/>
            <w:tcBorders>
              <w:top w:val="nil" w:sz="6" w:space="0" w:color="auto"/>
              <w:left w:val="nil" w:sz="6" w:space="0" w:color="auto"/>
              <w:bottom w:val="nil" w:sz="6" w:space="0" w:color="auto"/>
              <w:right w:val="nil" w:sz="6" w:space="0" w:color="auto"/>
            </w:tcBorders>
          </w:tcPr>
          <w:p>
            <w:pPr/>
          </w:p>
        </w:tc>
        <w:tc>
          <w:tcPr>
            <w:tcW w:w="197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6"/>
              <w:jc w:val="right"/>
              <w:rPr>
                <w:rFonts w:ascii="宋体" w:hAnsi="宋体" w:cs="宋体" w:eastAsia="宋体" w:hint="default"/>
                <w:sz w:val="18"/>
                <w:szCs w:val="18"/>
              </w:rPr>
            </w:pPr>
            <w:r>
              <w:rPr>
                <w:rFonts w:ascii="宋体"/>
                <w:spacing w:val="-1"/>
                <w:sz w:val="18"/>
              </w:rPr>
              <w:t>16,396,589.97</w:t>
            </w:r>
            <w:r>
              <w:rPr>
                <w:rFonts w:ascii="宋体"/>
                <w:sz w:val="18"/>
              </w:rPr>
            </w:r>
          </w:p>
        </w:tc>
        <w:tc>
          <w:tcPr>
            <w:tcW w:w="276" w:type="dxa"/>
            <w:tcBorders>
              <w:top w:val="nil" w:sz="6" w:space="0" w:color="auto"/>
              <w:left w:val="nil" w:sz="6" w:space="0" w:color="auto"/>
              <w:bottom w:val="nil" w:sz="6" w:space="0" w:color="auto"/>
              <w:right w:val="nil" w:sz="6" w:space="0" w:color="auto"/>
            </w:tcBorders>
          </w:tcPr>
          <w:p>
            <w:pPr/>
          </w:p>
        </w:tc>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5"/>
              <w:jc w:val="right"/>
              <w:rPr>
                <w:rFonts w:ascii="宋体" w:hAnsi="宋体" w:cs="宋体" w:eastAsia="宋体" w:hint="default"/>
                <w:sz w:val="18"/>
                <w:szCs w:val="18"/>
              </w:rPr>
            </w:pPr>
            <w:r>
              <w:rPr>
                <w:rFonts w:ascii="宋体"/>
                <w:spacing w:val="-1"/>
                <w:sz w:val="18"/>
              </w:rPr>
              <w:t>18,148,014.35</w:t>
            </w:r>
          </w:p>
        </w:tc>
        <w:tc>
          <w:tcPr>
            <w:tcW w:w="400" w:type="dxa"/>
            <w:tcBorders>
              <w:top w:val="nil" w:sz="6" w:space="0" w:color="auto"/>
              <w:left w:val="nil" w:sz="6" w:space="0" w:color="auto"/>
              <w:bottom w:val="nil" w:sz="6" w:space="0" w:color="auto"/>
              <w:right w:val="nil" w:sz="6" w:space="0" w:color="auto"/>
            </w:tcBorders>
          </w:tcPr>
          <w:p>
            <w:pPr/>
          </w:p>
        </w:tc>
      </w:tr>
      <w:tr>
        <w:trPr>
          <w:trHeight w:val="360" w:hRule="exact"/>
        </w:trPr>
        <w:tc>
          <w:tcPr>
            <w:tcW w:w="108" w:type="dxa"/>
            <w:tcBorders>
              <w:top w:val="nil" w:sz="6" w:space="0" w:color="auto"/>
              <w:left w:val="nil" w:sz="6" w:space="0" w:color="auto"/>
              <w:bottom w:val="nil" w:sz="6" w:space="0" w:color="auto"/>
              <w:right w:val="nil" w:sz="6" w:space="0" w:color="auto"/>
            </w:tcBorders>
          </w:tcPr>
          <w:p>
            <w:pPr/>
          </w:p>
        </w:tc>
        <w:tc>
          <w:tcPr>
            <w:tcW w:w="3226"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1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54" w:type="dxa"/>
            <w:tcBorders>
              <w:top w:val="nil" w:sz="6" w:space="0" w:color="auto"/>
              <w:left w:val="nil" w:sz="6" w:space="0" w:color="auto"/>
              <w:bottom w:val="nil" w:sz="6" w:space="0" w:color="auto"/>
              <w:right w:val="nil" w:sz="6" w:space="0" w:color="auto"/>
            </w:tcBorders>
          </w:tcPr>
          <w:p>
            <w:pPr/>
          </w:p>
        </w:tc>
        <w:tc>
          <w:tcPr>
            <w:tcW w:w="1675" w:type="dxa"/>
            <w:tcBorders>
              <w:top w:val="nil" w:sz="6" w:space="0" w:color="auto"/>
              <w:left w:val="nil" w:sz="6" w:space="0" w:color="auto"/>
              <w:bottom w:val="nil" w:sz="6" w:space="0" w:color="auto"/>
              <w:right w:val="nil" w:sz="6" w:space="0" w:color="auto"/>
            </w:tcBorders>
          </w:tcPr>
          <w:p>
            <w:pPr/>
          </w:p>
        </w:tc>
        <w:tc>
          <w:tcPr>
            <w:tcW w:w="266" w:type="dxa"/>
            <w:tcBorders>
              <w:top w:val="nil" w:sz="6" w:space="0" w:color="auto"/>
              <w:left w:val="nil" w:sz="6" w:space="0" w:color="auto"/>
              <w:bottom w:val="nil" w:sz="6" w:space="0" w:color="auto"/>
              <w:right w:val="nil" w:sz="6" w:space="0" w:color="auto"/>
            </w:tcBorders>
          </w:tcPr>
          <w:p>
            <w:pPr/>
          </w:p>
        </w:tc>
        <w:tc>
          <w:tcPr>
            <w:tcW w:w="197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5"/>
              <w:jc w:val="right"/>
              <w:rPr>
                <w:rFonts w:ascii="宋体" w:hAnsi="宋体" w:cs="宋体" w:eastAsia="宋体" w:hint="default"/>
                <w:sz w:val="18"/>
                <w:szCs w:val="18"/>
              </w:rPr>
            </w:pPr>
            <w:r>
              <w:rPr>
                <w:rFonts w:ascii="宋体"/>
                <w:spacing w:val="-1"/>
                <w:sz w:val="18"/>
              </w:rPr>
              <w:t>3,368,725.73</w:t>
            </w:r>
          </w:p>
        </w:tc>
        <w:tc>
          <w:tcPr>
            <w:tcW w:w="276" w:type="dxa"/>
            <w:tcBorders>
              <w:top w:val="nil" w:sz="6" w:space="0" w:color="auto"/>
              <w:left w:val="nil" w:sz="6" w:space="0" w:color="auto"/>
              <w:bottom w:val="nil" w:sz="6" w:space="0" w:color="auto"/>
              <w:right w:val="nil" w:sz="6" w:space="0" w:color="auto"/>
            </w:tcBorders>
          </w:tcPr>
          <w:p>
            <w:pPr/>
          </w:p>
        </w:tc>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6"/>
              <w:jc w:val="right"/>
              <w:rPr>
                <w:rFonts w:ascii="宋体" w:hAnsi="宋体" w:cs="宋体" w:eastAsia="宋体" w:hint="default"/>
                <w:sz w:val="18"/>
                <w:szCs w:val="18"/>
              </w:rPr>
            </w:pPr>
            <w:r>
              <w:rPr>
                <w:rFonts w:ascii="宋体"/>
                <w:spacing w:val="-1"/>
                <w:sz w:val="18"/>
              </w:rPr>
              <w:t>842,770.70</w:t>
            </w:r>
            <w:r>
              <w:rPr>
                <w:rFonts w:ascii="宋体"/>
                <w:sz w:val="18"/>
              </w:rPr>
            </w:r>
          </w:p>
        </w:tc>
        <w:tc>
          <w:tcPr>
            <w:tcW w:w="400" w:type="dxa"/>
            <w:tcBorders>
              <w:top w:val="nil" w:sz="6" w:space="0" w:color="auto"/>
              <w:left w:val="nil" w:sz="6" w:space="0" w:color="auto"/>
              <w:bottom w:val="nil" w:sz="6" w:space="0" w:color="auto"/>
              <w:right w:val="nil" w:sz="6" w:space="0" w:color="auto"/>
            </w:tcBorders>
          </w:tcPr>
          <w:p>
            <w:pPr/>
          </w:p>
        </w:tc>
      </w:tr>
      <w:tr>
        <w:trPr>
          <w:trHeight w:val="462" w:hRule="exact"/>
        </w:trPr>
        <w:tc>
          <w:tcPr>
            <w:tcW w:w="108" w:type="dxa"/>
            <w:tcBorders>
              <w:top w:val="nil" w:sz="6" w:space="0" w:color="auto"/>
              <w:left w:val="nil" w:sz="6" w:space="0" w:color="auto"/>
              <w:bottom w:val="nil" w:sz="6" w:space="0" w:color="auto"/>
              <w:right w:val="nil" w:sz="6" w:space="0" w:color="auto"/>
            </w:tcBorders>
          </w:tcPr>
          <w:p>
            <w:pPr/>
          </w:p>
        </w:tc>
        <w:tc>
          <w:tcPr>
            <w:tcW w:w="3226" w:type="dxa"/>
            <w:tcBorders>
              <w:top w:val="nil" w:sz="6" w:space="0" w:color="auto"/>
              <w:left w:val="nil" w:sz="6" w:space="0" w:color="auto"/>
              <w:bottom w:val="nil" w:sz="6" w:space="0" w:color="auto"/>
              <w:right w:val="nil" w:sz="6" w:space="0" w:color="auto"/>
            </w:tcBorders>
          </w:tcPr>
          <w:p>
            <w:pPr>
              <w:pStyle w:val="TableParagraph"/>
              <w:spacing w:line="240" w:lineRule="auto" w:before="56"/>
              <w:ind w:left="21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54" w:type="dxa"/>
            <w:tcBorders>
              <w:top w:val="nil" w:sz="6" w:space="0" w:color="auto"/>
              <w:left w:val="nil" w:sz="6" w:space="0" w:color="auto"/>
              <w:bottom w:val="nil" w:sz="6" w:space="0" w:color="auto"/>
              <w:right w:val="nil" w:sz="6" w:space="0" w:color="auto"/>
            </w:tcBorders>
          </w:tcPr>
          <w:p>
            <w:pPr/>
          </w:p>
        </w:tc>
        <w:tc>
          <w:tcPr>
            <w:tcW w:w="1675" w:type="dxa"/>
            <w:tcBorders>
              <w:top w:val="nil" w:sz="6" w:space="0" w:color="auto"/>
              <w:left w:val="nil" w:sz="6" w:space="0" w:color="auto"/>
              <w:bottom w:val="nil" w:sz="6" w:space="0" w:color="auto"/>
              <w:right w:val="nil" w:sz="6" w:space="0" w:color="auto"/>
            </w:tcBorders>
          </w:tcPr>
          <w:p>
            <w:pPr/>
          </w:p>
        </w:tc>
        <w:tc>
          <w:tcPr>
            <w:tcW w:w="266" w:type="dxa"/>
            <w:tcBorders>
              <w:top w:val="nil" w:sz="6" w:space="0" w:color="auto"/>
              <w:left w:val="nil" w:sz="6" w:space="0" w:color="auto"/>
              <w:bottom w:val="nil" w:sz="6" w:space="0" w:color="auto"/>
              <w:right w:val="nil" w:sz="6" w:space="0" w:color="auto"/>
            </w:tcBorders>
          </w:tcPr>
          <w:p>
            <w:pPr/>
          </w:p>
        </w:tc>
        <w:tc>
          <w:tcPr>
            <w:tcW w:w="197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25"/>
              <w:jc w:val="right"/>
              <w:rPr>
                <w:rFonts w:ascii="宋体" w:hAnsi="宋体" w:cs="宋体" w:eastAsia="宋体" w:hint="default"/>
                <w:sz w:val="18"/>
                <w:szCs w:val="18"/>
              </w:rPr>
            </w:pPr>
            <w:r>
              <w:rPr>
                <w:rFonts w:ascii="宋体"/>
                <w:spacing w:val="-1"/>
                <w:sz w:val="18"/>
              </w:rPr>
              <w:t>1,628,808.89</w:t>
            </w:r>
          </w:p>
        </w:tc>
        <w:tc>
          <w:tcPr>
            <w:tcW w:w="276" w:type="dxa"/>
            <w:tcBorders>
              <w:top w:val="nil" w:sz="6" w:space="0" w:color="auto"/>
              <w:left w:val="nil" w:sz="6" w:space="0" w:color="auto"/>
              <w:bottom w:val="nil" w:sz="6" w:space="0" w:color="auto"/>
              <w:right w:val="nil" w:sz="6" w:space="0" w:color="auto"/>
            </w:tcBorders>
          </w:tcPr>
          <w:p>
            <w:pPr/>
          </w:p>
        </w:tc>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25"/>
              <w:jc w:val="right"/>
              <w:rPr>
                <w:rFonts w:ascii="宋体" w:hAnsi="宋体" w:cs="宋体" w:eastAsia="宋体" w:hint="default"/>
                <w:sz w:val="18"/>
                <w:szCs w:val="18"/>
              </w:rPr>
            </w:pPr>
            <w:r>
              <w:rPr>
                <w:rFonts w:ascii="宋体"/>
                <w:sz w:val="18"/>
              </w:rPr>
              <w:t>-</w:t>
            </w:r>
          </w:p>
        </w:tc>
        <w:tc>
          <w:tcPr>
            <w:tcW w:w="400" w:type="dxa"/>
            <w:tcBorders>
              <w:top w:val="nil" w:sz="6" w:space="0" w:color="auto"/>
              <w:left w:val="nil" w:sz="6" w:space="0" w:color="auto"/>
              <w:bottom w:val="nil" w:sz="6" w:space="0" w:color="auto"/>
              <w:right w:val="nil" w:sz="6" w:space="0" w:color="auto"/>
            </w:tcBorders>
          </w:tcPr>
          <w:p>
            <w:pPr/>
          </w:p>
        </w:tc>
      </w:tr>
      <w:tr>
        <w:trPr>
          <w:trHeight w:val="310" w:hRule="exact"/>
        </w:trPr>
        <w:tc>
          <w:tcPr>
            <w:tcW w:w="108" w:type="dxa"/>
            <w:tcBorders>
              <w:top w:val="nil" w:sz="6" w:space="0" w:color="auto"/>
              <w:left w:val="nil" w:sz="6" w:space="0" w:color="auto"/>
              <w:bottom w:val="nil" w:sz="6" w:space="0" w:color="auto"/>
              <w:right w:val="nil" w:sz="6" w:space="0" w:color="auto"/>
            </w:tcBorders>
          </w:tcPr>
          <w:p>
            <w:pPr/>
          </w:p>
        </w:tc>
        <w:tc>
          <w:tcPr>
            <w:tcW w:w="3226" w:type="dxa"/>
            <w:tcBorders>
              <w:top w:val="nil" w:sz="6" w:space="0" w:color="auto"/>
              <w:left w:val="nil" w:sz="6" w:space="0" w:color="auto"/>
              <w:bottom w:val="nil" w:sz="6" w:space="0" w:color="auto"/>
              <w:right w:val="nil" w:sz="6" w:space="0" w:color="auto"/>
            </w:tcBorders>
          </w:tcPr>
          <w:p>
            <w:pPr>
              <w:pStyle w:val="TableParagraph"/>
              <w:spacing w:line="233" w:lineRule="exact"/>
              <w:ind w:left="21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54" w:type="dxa"/>
            <w:tcBorders>
              <w:top w:val="nil" w:sz="6" w:space="0" w:color="auto"/>
              <w:left w:val="nil" w:sz="6" w:space="0" w:color="auto"/>
              <w:bottom w:val="nil" w:sz="6" w:space="0" w:color="auto"/>
              <w:right w:val="nil" w:sz="6" w:space="0" w:color="auto"/>
            </w:tcBorders>
          </w:tcPr>
          <w:p>
            <w:pPr/>
          </w:p>
        </w:tc>
        <w:tc>
          <w:tcPr>
            <w:tcW w:w="1675" w:type="dxa"/>
            <w:tcBorders>
              <w:top w:val="nil" w:sz="6" w:space="0" w:color="auto"/>
              <w:left w:val="nil" w:sz="6" w:space="0" w:color="auto"/>
              <w:bottom w:val="nil" w:sz="6" w:space="0" w:color="auto"/>
              <w:right w:val="nil" w:sz="6" w:space="0" w:color="auto"/>
            </w:tcBorders>
          </w:tcPr>
          <w:p>
            <w:pPr/>
          </w:p>
        </w:tc>
        <w:tc>
          <w:tcPr>
            <w:tcW w:w="266" w:type="dxa"/>
            <w:tcBorders>
              <w:top w:val="nil" w:sz="6" w:space="0" w:color="auto"/>
              <w:left w:val="nil" w:sz="6" w:space="0" w:color="auto"/>
              <w:bottom w:val="nil" w:sz="6" w:space="0" w:color="auto"/>
              <w:right w:val="nil" w:sz="6" w:space="0" w:color="auto"/>
            </w:tcBorders>
          </w:tcPr>
          <w:p>
            <w:pPr/>
          </w:p>
        </w:tc>
        <w:tc>
          <w:tcPr>
            <w:tcW w:w="1975" w:type="dxa"/>
            <w:tcBorders>
              <w:top w:val="nil" w:sz="6" w:space="0" w:color="auto"/>
              <w:left w:val="nil" w:sz="6" w:space="0" w:color="auto"/>
              <w:bottom w:val="nil" w:sz="6" w:space="0" w:color="auto"/>
              <w:right w:val="nil" w:sz="6" w:space="0" w:color="auto"/>
            </w:tcBorders>
          </w:tcPr>
          <w:p>
            <w:pPr>
              <w:pStyle w:val="TableParagraph"/>
              <w:spacing w:line="233" w:lineRule="exact"/>
              <w:ind w:right="25"/>
              <w:jc w:val="right"/>
              <w:rPr>
                <w:rFonts w:ascii="宋体" w:hAnsi="宋体" w:cs="宋体" w:eastAsia="宋体" w:hint="default"/>
                <w:sz w:val="18"/>
                <w:szCs w:val="18"/>
              </w:rPr>
            </w:pPr>
            <w:r>
              <w:rPr>
                <w:rFonts w:ascii="宋体"/>
                <w:sz w:val="18"/>
              </w:rPr>
              <w:t>-</w:t>
            </w:r>
          </w:p>
        </w:tc>
        <w:tc>
          <w:tcPr>
            <w:tcW w:w="276" w:type="dxa"/>
            <w:tcBorders>
              <w:top w:val="nil" w:sz="6" w:space="0" w:color="auto"/>
              <w:left w:val="nil" w:sz="6" w:space="0" w:color="auto"/>
              <w:bottom w:val="nil" w:sz="6" w:space="0" w:color="auto"/>
              <w:right w:val="nil" w:sz="6" w:space="0" w:color="auto"/>
            </w:tcBorders>
          </w:tcPr>
          <w:p>
            <w:pPr/>
          </w:p>
        </w:tc>
        <w:tc>
          <w:tcPr>
            <w:tcW w:w="2081" w:type="dxa"/>
            <w:tcBorders>
              <w:top w:val="nil" w:sz="6" w:space="0" w:color="auto"/>
              <w:left w:val="nil" w:sz="6" w:space="0" w:color="auto"/>
              <w:bottom w:val="nil" w:sz="6" w:space="0" w:color="auto"/>
              <w:right w:val="nil" w:sz="6" w:space="0" w:color="auto"/>
            </w:tcBorders>
          </w:tcPr>
          <w:p>
            <w:pPr>
              <w:pStyle w:val="TableParagraph"/>
              <w:spacing w:line="233" w:lineRule="exact"/>
              <w:ind w:right="25"/>
              <w:jc w:val="right"/>
              <w:rPr>
                <w:rFonts w:ascii="宋体" w:hAnsi="宋体" w:cs="宋体" w:eastAsia="宋体" w:hint="default"/>
                <w:sz w:val="18"/>
                <w:szCs w:val="18"/>
              </w:rPr>
            </w:pPr>
            <w:r>
              <w:rPr>
                <w:rFonts w:ascii="宋体"/>
                <w:sz w:val="18"/>
              </w:rPr>
              <w:t>-</w:t>
            </w:r>
          </w:p>
        </w:tc>
        <w:tc>
          <w:tcPr>
            <w:tcW w:w="400" w:type="dxa"/>
            <w:tcBorders>
              <w:top w:val="nil" w:sz="6" w:space="0" w:color="auto"/>
              <w:left w:val="nil" w:sz="6" w:space="0" w:color="auto"/>
              <w:bottom w:val="nil" w:sz="6" w:space="0" w:color="auto"/>
              <w:right w:val="nil" w:sz="6" w:space="0" w:color="auto"/>
            </w:tcBorders>
          </w:tcPr>
          <w:p>
            <w:pPr/>
          </w:p>
        </w:tc>
      </w:tr>
      <w:tr>
        <w:trPr>
          <w:trHeight w:val="356" w:hRule="exact"/>
        </w:trPr>
        <w:tc>
          <w:tcPr>
            <w:tcW w:w="108" w:type="dxa"/>
            <w:tcBorders>
              <w:top w:val="nil" w:sz="6" w:space="0" w:color="auto"/>
              <w:left w:val="nil" w:sz="6" w:space="0" w:color="auto"/>
              <w:bottom w:val="nil" w:sz="6" w:space="0" w:color="auto"/>
              <w:right w:val="nil" w:sz="6" w:space="0" w:color="auto"/>
            </w:tcBorders>
          </w:tcPr>
          <w:p>
            <w:pPr/>
          </w:p>
        </w:tc>
        <w:tc>
          <w:tcPr>
            <w:tcW w:w="322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54" w:type="dxa"/>
            <w:tcBorders>
              <w:top w:val="nil" w:sz="6" w:space="0" w:color="auto"/>
              <w:left w:val="nil" w:sz="6" w:space="0" w:color="auto"/>
              <w:bottom w:val="nil" w:sz="6" w:space="0" w:color="auto"/>
              <w:right w:val="nil" w:sz="6" w:space="0" w:color="auto"/>
            </w:tcBorders>
          </w:tcPr>
          <w:p>
            <w:pPr/>
          </w:p>
        </w:tc>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
              <w:jc w:val="center"/>
              <w:rPr>
                <w:rFonts w:ascii="Times New Roman" w:hAnsi="Times New Roman" w:cs="Times New Roman" w:eastAsia="Times New Roman" w:hint="default"/>
                <w:sz w:val="20"/>
                <w:szCs w:val="20"/>
              </w:rPr>
            </w:pPr>
            <w:r>
              <w:rPr>
                <w:rFonts w:ascii="宋体" w:hAnsi="宋体" w:cs="宋体" w:eastAsia="宋体" w:hint="default"/>
                <w:sz w:val="20"/>
                <w:szCs w:val="20"/>
              </w:rPr>
              <w:t>注释</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2</w:t>
            </w:r>
          </w:p>
        </w:tc>
        <w:tc>
          <w:tcPr>
            <w:tcW w:w="266" w:type="dxa"/>
            <w:tcBorders>
              <w:top w:val="nil" w:sz="6" w:space="0" w:color="auto"/>
              <w:left w:val="nil" w:sz="6" w:space="0" w:color="auto"/>
              <w:bottom w:val="nil" w:sz="6" w:space="0" w:color="auto"/>
              <w:right w:val="nil" w:sz="6" w:space="0" w:color="auto"/>
            </w:tcBorders>
          </w:tcPr>
          <w:p>
            <w:pPr/>
          </w:p>
        </w:tc>
        <w:tc>
          <w:tcPr>
            <w:tcW w:w="197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8"/>
              <w:jc w:val="right"/>
              <w:rPr>
                <w:rFonts w:ascii="宋体" w:hAnsi="宋体" w:cs="宋体" w:eastAsia="宋体" w:hint="default"/>
                <w:sz w:val="18"/>
                <w:szCs w:val="18"/>
              </w:rPr>
            </w:pPr>
            <w:r>
              <w:rPr>
                <w:rFonts w:ascii="宋体"/>
                <w:spacing w:val="-1"/>
                <w:sz w:val="18"/>
              </w:rPr>
              <w:t>851,090.09</w:t>
            </w:r>
            <w:r>
              <w:rPr>
                <w:rFonts w:ascii="宋体"/>
                <w:sz w:val="18"/>
              </w:rPr>
            </w:r>
          </w:p>
        </w:tc>
        <w:tc>
          <w:tcPr>
            <w:tcW w:w="276" w:type="dxa"/>
            <w:tcBorders>
              <w:top w:val="nil" w:sz="6" w:space="0" w:color="auto"/>
              <w:left w:val="nil" w:sz="6" w:space="0" w:color="auto"/>
              <w:bottom w:val="nil" w:sz="6" w:space="0" w:color="auto"/>
              <w:right w:val="nil" w:sz="6" w:space="0" w:color="auto"/>
            </w:tcBorders>
          </w:tcPr>
          <w:p>
            <w:pPr/>
          </w:p>
        </w:tc>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6"/>
              <w:jc w:val="right"/>
              <w:rPr>
                <w:rFonts w:ascii="宋体" w:hAnsi="宋体" w:cs="宋体" w:eastAsia="宋体" w:hint="default"/>
                <w:sz w:val="18"/>
                <w:szCs w:val="18"/>
              </w:rPr>
            </w:pPr>
            <w:r>
              <w:rPr>
                <w:rFonts w:ascii="宋体"/>
                <w:spacing w:val="-1"/>
                <w:sz w:val="18"/>
              </w:rPr>
              <w:t>421,302.24</w:t>
            </w:r>
            <w:r>
              <w:rPr>
                <w:rFonts w:ascii="宋体"/>
                <w:sz w:val="18"/>
              </w:rPr>
            </w:r>
          </w:p>
        </w:tc>
        <w:tc>
          <w:tcPr>
            <w:tcW w:w="400" w:type="dxa"/>
            <w:tcBorders>
              <w:top w:val="nil" w:sz="6" w:space="0" w:color="auto"/>
              <w:left w:val="nil" w:sz="6" w:space="0" w:color="auto"/>
              <w:bottom w:val="nil" w:sz="6" w:space="0" w:color="auto"/>
              <w:right w:val="nil" w:sz="6" w:space="0" w:color="auto"/>
            </w:tcBorders>
          </w:tcPr>
          <w:p>
            <w:pPr/>
          </w:p>
        </w:tc>
      </w:tr>
      <w:tr>
        <w:trPr>
          <w:trHeight w:val="328" w:hRule="exact"/>
        </w:trPr>
        <w:tc>
          <w:tcPr>
            <w:tcW w:w="108" w:type="dxa"/>
            <w:tcBorders>
              <w:top w:val="nil" w:sz="6" w:space="0" w:color="auto"/>
              <w:left w:val="nil" w:sz="6" w:space="0" w:color="auto"/>
              <w:bottom w:val="nil" w:sz="6" w:space="0" w:color="auto"/>
              <w:right w:val="nil" w:sz="6" w:space="0" w:color="auto"/>
            </w:tcBorders>
          </w:tcPr>
          <w:p>
            <w:pPr/>
          </w:p>
        </w:tc>
        <w:tc>
          <w:tcPr>
            <w:tcW w:w="3226"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54" w:type="dxa"/>
            <w:tcBorders>
              <w:top w:val="nil" w:sz="6" w:space="0" w:color="auto"/>
              <w:left w:val="nil" w:sz="6" w:space="0" w:color="auto"/>
              <w:bottom w:val="nil" w:sz="6" w:space="0" w:color="auto"/>
              <w:right w:val="nil" w:sz="6" w:space="0" w:color="auto"/>
            </w:tcBorders>
          </w:tcPr>
          <w:p>
            <w:pPr/>
          </w:p>
        </w:tc>
        <w:tc>
          <w:tcPr>
            <w:tcW w:w="1675" w:type="dxa"/>
            <w:tcBorders>
              <w:top w:val="nil" w:sz="6" w:space="0" w:color="auto"/>
              <w:left w:val="nil" w:sz="6" w:space="0" w:color="auto"/>
              <w:bottom w:val="nil" w:sz="6" w:space="0" w:color="auto"/>
              <w:right w:val="nil" w:sz="6" w:space="0" w:color="auto"/>
            </w:tcBorders>
          </w:tcPr>
          <w:p>
            <w:pPr/>
          </w:p>
        </w:tc>
        <w:tc>
          <w:tcPr>
            <w:tcW w:w="266" w:type="dxa"/>
            <w:tcBorders>
              <w:top w:val="nil" w:sz="6" w:space="0" w:color="auto"/>
              <w:left w:val="nil" w:sz="6" w:space="0" w:color="auto"/>
              <w:bottom w:val="nil" w:sz="6" w:space="0" w:color="auto"/>
              <w:right w:val="nil" w:sz="6" w:space="0" w:color="auto"/>
            </w:tcBorders>
          </w:tcPr>
          <w:p>
            <w:pPr/>
          </w:p>
        </w:tc>
        <w:tc>
          <w:tcPr>
            <w:tcW w:w="197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5"/>
              <w:jc w:val="right"/>
              <w:rPr>
                <w:rFonts w:ascii="宋体" w:hAnsi="宋体" w:cs="宋体" w:eastAsia="宋体" w:hint="default"/>
                <w:sz w:val="18"/>
                <w:szCs w:val="18"/>
              </w:rPr>
            </w:pPr>
            <w:r>
              <w:rPr>
                <w:rFonts w:ascii="宋体"/>
                <w:spacing w:val="-1"/>
                <w:sz w:val="18"/>
              </w:rPr>
              <w:t>5,001,586.09</w:t>
            </w:r>
          </w:p>
        </w:tc>
        <w:tc>
          <w:tcPr>
            <w:tcW w:w="276" w:type="dxa"/>
            <w:tcBorders>
              <w:top w:val="nil" w:sz="6" w:space="0" w:color="auto"/>
              <w:left w:val="nil" w:sz="6" w:space="0" w:color="auto"/>
              <w:bottom w:val="nil" w:sz="6" w:space="0" w:color="auto"/>
              <w:right w:val="nil" w:sz="6" w:space="0" w:color="auto"/>
            </w:tcBorders>
          </w:tcPr>
          <w:p>
            <w:pPr/>
          </w:p>
        </w:tc>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6"/>
              <w:jc w:val="right"/>
              <w:rPr>
                <w:rFonts w:ascii="宋体" w:hAnsi="宋体" w:cs="宋体" w:eastAsia="宋体" w:hint="default"/>
                <w:sz w:val="18"/>
                <w:szCs w:val="18"/>
              </w:rPr>
            </w:pPr>
            <w:r>
              <w:rPr>
                <w:rFonts w:ascii="宋体"/>
                <w:spacing w:val="-1"/>
                <w:sz w:val="18"/>
              </w:rPr>
              <w:t>4,560,482.01</w:t>
            </w:r>
            <w:r>
              <w:rPr>
                <w:rFonts w:ascii="宋体"/>
                <w:sz w:val="18"/>
              </w:rPr>
            </w:r>
          </w:p>
        </w:tc>
        <w:tc>
          <w:tcPr>
            <w:tcW w:w="400" w:type="dxa"/>
            <w:tcBorders>
              <w:top w:val="nil" w:sz="6" w:space="0" w:color="auto"/>
              <w:left w:val="nil" w:sz="6" w:space="0" w:color="auto"/>
              <w:bottom w:val="nil" w:sz="6" w:space="0" w:color="auto"/>
              <w:right w:val="nil" w:sz="6" w:space="0" w:color="auto"/>
            </w:tcBorders>
          </w:tcPr>
          <w:p>
            <w:pPr/>
          </w:p>
        </w:tc>
      </w:tr>
      <w:tr>
        <w:trPr>
          <w:trHeight w:val="340" w:hRule="exact"/>
        </w:trPr>
        <w:tc>
          <w:tcPr>
            <w:tcW w:w="108" w:type="dxa"/>
            <w:tcBorders>
              <w:top w:val="nil" w:sz="6" w:space="0" w:color="auto"/>
              <w:left w:val="nil" w:sz="6" w:space="0" w:color="auto"/>
              <w:bottom w:val="nil" w:sz="6" w:space="0" w:color="auto"/>
              <w:right w:val="nil" w:sz="6" w:space="0" w:color="auto"/>
            </w:tcBorders>
          </w:tcPr>
          <w:p>
            <w:pPr/>
          </w:p>
        </w:tc>
        <w:tc>
          <w:tcPr>
            <w:tcW w:w="3226"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1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54" w:type="dxa"/>
            <w:tcBorders>
              <w:top w:val="nil" w:sz="6" w:space="0" w:color="auto"/>
              <w:left w:val="nil" w:sz="6" w:space="0" w:color="auto"/>
              <w:bottom w:val="nil" w:sz="6" w:space="0" w:color="auto"/>
              <w:right w:val="nil" w:sz="6" w:space="0" w:color="auto"/>
            </w:tcBorders>
          </w:tcPr>
          <w:p>
            <w:pPr/>
          </w:p>
        </w:tc>
        <w:tc>
          <w:tcPr>
            <w:tcW w:w="1675" w:type="dxa"/>
            <w:tcBorders>
              <w:top w:val="nil" w:sz="6" w:space="0" w:color="auto"/>
              <w:left w:val="nil" w:sz="6" w:space="0" w:color="auto"/>
              <w:bottom w:val="nil" w:sz="6" w:space="0" w:color="auto"/>
              <w:right w:val="nil" w:sz="6" w:space="0" w:color="auto"/>
            </w:tcBorders>
          </w:tcPr>
          <w:p>
            <w:pPr/>
          </w:p>
        </w:tc>
        <w:tc>
          <w:tcPr>
            <w:tcW w:w="266" w:type="dxa"/>
            <w:tcBorders>
              <w:top w:val="nil" w:sz="6" w:space="0" w:color="auto"/>
              <w:left w:val="nil" w:sz="6" w:space="0" w:color="auto"/>
              <w:bottom w:val="nil" w:sz="6" w:space="0" w:color="auto"/>
              <w:right w:val="nil" w:sz="6" w:space="0" w:color="auto"/>
            </w:tcBorders>
          </w:tcPr>
          <w:p>
            <w:pPr/>
          </w:p>
        </w:tc>
        <w:tc>
          <w:tcPr>
            <w:tcW w:w="1975"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5"/>
              <w:jc w:val="right"/>
              <w:rPr>
                <w:rFonts w:ascii="宋体" w:hAnsi="宋体" w:cs="宋体" w:eastAsia="宋体" w:hint="default"/>
                <w:sz w:val="18"/>
                <w:szCs w:val="18"/>
              </w:rPr>
            </w:pPr>
            <w:r>
              <w:rPr>
                <w:rFonts w:ascii="宋体"/>
                <w:sz w:val="18"/>
              </w:rPr>
              <w:t>-</w:t>
            </w:r>
          </w:p>
        </w:tc>
        <w:tc>
          <w:tcPr>
            <w:tcW w:w="276" w:type="dxa"/>
            <w:tcBorders>
              <w:top w:val="nil" w:sz="6" w:space="0" w:color="auto"/>
              <w:left w:val="nil" w:sz="6" w:space="0" w:color="auto"/>
              <w:bottom w:val="nil" w:sz="6" w:space="0" w:color="auto"/>
              <w:right w:val="nil" w:sz="6" w:space="0" w:color="auto"/>
            </w:tcBorders>
          </w:tcPr>
          <w:p>
            <w:pPr/>
          </w:p>
        </w:tc>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5"/>
              <w:jc w:val="right"/>
              <w:rPr>
                <w:rFonts w:ascii="宋体" w:hAnsi="宋体" w:cs="宋体" w:eastAsia="宋体" w:hint="default"/>
                <w:sz w:val="18"/>
                <w:szCs w:val="18"/>
              </w:rPr>
            </w:pPr>
            <w:r>
              <w:rPr>
                <w:rFonts w:ascii="宋体"/>
                <w:sz w:val="18"/>
              </w:rPr>
              <w:t>-</w:t>
            </w:r>
          </w:p>
        </w:tc>
        <w:tc>
          <w:tcPr>
            <w:tcW w:w="400" w:type="dxa"/>
            <w:tcBorders>
              <w:top w:val="nil" w:sz="6" w:space="0" w:color="auto"/>
              <w:left w:val="nil" w:sz="6" w:space="0" w:color="auto"/>
              <w:bottom w:val="nil" w:sz="6" w:space="0" w:color="auto"/>
              <w:right w:val="nil" w:sz="6" w:space="0" w:color="auto"/>
            </w:tcBorders>
          </w:tcPr>
          <w:p>
            <w:pPr/>
          </w:p>
        </w:tc>
      </w:tr>
      <w:tr>
        <w:trPr>
          <w:trHeight w:val="346" w:hRule="exact"/>
        </w:trPr>
        <w:tc>
          <w:tcPr>
            <w:tcW w:w="108" w:type="dxa"/>
            <w:tcBorders>
              <w:top w:val="nil" w:sz="6" w:space="0" w:color="auto"/>
              <w:left w:val="nil" w:sz="6" w:space="0" w:color="auto"/>
              <w:bottom w:val="nil" w:sz="6" w:space="0" w:color="auto"/>
              <w:right w:val="nil" w:sz="6" w:space="0" w:color="auto"/>
            </w:tcBorders>
          </w:tcPr>
          <w:p>
            <w:pPr/>
          </w:p>
        </w:tc>
        <w:tc>
          <w:tcPr>
            <w:tcW w:w="3226"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1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54" w:type="dxa"/>
            <w:tcBorders>
              <w:top w:val="nil" w:sz="6" w:space="0" w:color="auto"/>
              <w:left w:val="nil" w:sz="6" w:space="0" w:color="auto"/>
              <w:bottom w:val="nil" w:sz="6" w:space="0" w:color="auto"/>
              <w:right w:val="nil" w:sz="6" w:space="0" w:color="auto"/>
            </w:tcBorders>
          </w:tcPr>
          <w:p>
            <w:pPr/>
          </w:p>
        </w:tc>
        <w:tc>
          <w:tcPr>
            <w:tcW w:w="1675" w:type="dxa"/>
            <w:tcBorders>
              <w:top w:val="nil" w:sz="6" w:space="0" w:color="auto"/>
              <w:left w:val="nil" w:sz="6" w:space="0" w:color="auto"/>
              <w:bottom w:val="nil" w:sz="6" w:space="0" w:color="auto"/>
              <w:right w:val="nil" w:sz="6" w:space="0" w:color="auto"/>
            </w:tcBorders>
          </w:tcPr>
          <w:p>
            <w:pPr/>
          </w:p>
        </w:tc>
        <w:tc>
          <w:tcPr>
            <w:tcW w:w="266" w:type="dxa"/>
            <w:tcBorders>
              <w:top w:val="nil" w:sz="6" w:space="0" w:color="auto"/>
              <w:left w:val="nil" w:sz="6" w:space="0" w:color="auto"/>
              <w:bottom w:val="nil" w:sz="6" w:space="0" w:color="auto"/>
              <w:right w:val="nil" w:sz="6" w:space="0" w:color="auto"/>
            </w:tcBorders>
          </w:tcPr>
          <w:p>
            <w:pPr/>
          </w:p>
        </w:tc>
        <w:tc>
          <w:tcPr>
            <w:tcW w:w="197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3"/>
              <w:jc w:val="right"/>
              <w:rPr>
                <w:rFonts w:ascii="宋体" w:hAnsi="宋体" w:cs="宋体" w:eastAsia="宋体" w:hint="default"/>
                <w:sz w:val="18"/>
                <w:szCs w:val="18"/>
              </w:rPr>
            </w:pPr>
            <w:r>
              <w:rPr>
                <w:rFonts w:ascii="宋体"/>
                <w:spacing w:val="-1"/>
                <w:sz w:val="18"/>
              </w:rPr>
              <w:t>100,000,000.00</w:t>
            </w:r>
          </w:p>
        </w:tc>
        <w:tc>
          <w:tcPr>
            <w:tcW w:w="276" w:type="dxa"/>
            <w:tcBorders>
              <w:top w:val="nil" w:sz="6" w:space="0" w:color="auto"/>
              <w:left w:val="nil" w:sz="6" w:space="0" w:color="auto"/>
              <w:bottom w:val="nil" w:sz="6" w:space="0" w:color="auto"/>
              <w:right w:val="nil" w:sz="6" w:space="0" w:color="auto"/>
            </w:tcBorders>
          </w:tcPr>
          <w:p>
            <w:pPr/>
          </w:p>
        </w:tc>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5"/>
              <w:jc w:val="right"/>
              <w:rPr>
                <w:rFonts w:ascii="宋体" w:hAnsi="宋体" w:cs="宋体" w:eastAsia="宋体" w:hint="default"/>
                <w:sz w:val="18"/>
                <w:szCs w:val="18"/>
              </w:rPr>
            </w:pPr>
            <w:r>
              <w:rPr>
                <w:rFonts w:ascii="宋体"/>
                <w:spacing w:val="-1"/>
                <w:sz w:val="18"/>
              </w:rPr>
              <w:t>80,000,000.00</w:t>
            </w:r>
          </w:p>
        </w:tc>
        <w:tc>
          <w:tcPr>
            <w:tcW w:w="400" w:type="dxa"/>
            <w:tcBorders>
              <w:top w:val="nil" w:sz="6" w:space="0" w:color="auto"/>
              <w:left w:val="nil" w:sz="6" w:space="0" w:color="auto"/>
              <w:bottom w:val="nil" w:sz="6" w:space="0" w:color="auto"/>
              <w:right w:val="nil" w:sz="6" w:space="0" w:color="auto"/>
            </w:tcBorders>
          </w:tcPr>
          <w:p>
            <w:pPr/>
          </w:p>
        </w:tc>
      </w:tr>
      <w:tr>
        <w:trPr>
          <w:trHeight w:val="353" w:hRule="exact"/>
        </w:trPr>
        <w:tc>
          <w:tcPr>
            <w:tcW w:w="108" w:type="dxa"/>
            <w:tcBorders>
              <w:top w:val="nil" w:sz="6" w:space="0" w:color="auto"/>
              <w:left w:val="nil" w:sz="6" w:space="0" w:color="auto"/>
              <w:bottom w:val="nil" w:sz="6" w:space="0" w:color="auto"/>
              <w:right w:val="nil" w:sz="6" w:space="0" w:color="auto"/>
            </w:tcBorders>
          </w:tcPr>
          <w:p>
            <w:pPr/>
          </w:p>
        </w:tc>
        <w:tc>
          <w:tcPr>
            <w:tcW w:w="3226"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9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54" w:type="dxa"/>
            <w:tcBorders>
              <w:top w:val="nil" w:sz="6" w:space="0" w:color="auto"/>
              <w:left w:val="nil" w:sz="6" w:space="0" w:color="auto"/>
              <w:bottom w:val="nil" w:sz="6" w:space="0" w:color="auto"/>
              <w:right w:val="nil" w:sz="6" w:space="0" w:color="auto"/>
            </w:tcBorders>
          </w:tcPr>
          <w:p>
            <w:pPr/>
          </w:p>
        </w:tc>
        <w:tc>
          <w:tcPr>
            <w:tcW w:w="1675" w:type="dxa"/>
            <w:tcBorders>
              <w:top w:val="nil" w:sz="6" w:space="0" w:color="auto"/>
              <w:left w:val="nil" w:sz="6" w:space="0" w:color="auto"/>
              <w:bottom w:val="nil" w:sz="6" w:space="0" w:color="auto"/>
              <w:right w:val="nil" w:sz="6" w:space="0" w:color="auto"/>
            </w:tcBorders>
          </w:tcPr>
          <w:p>
            <w:pPr/>
          </w:p>
        </w:tc>
        <w:tc>
          <w:tcPr>
            <w:tcW w:w="266" w:type="dxa"/>
            <w:tcBorders>
              <w:top w:val="nil" w:sz="6" w:space="0" w:color="auto"/>
              <w:left w:val="nil" w:sz="6" w:space="0" w:color="auto"/>
              <w:bottom w:val="nil" w:sz="6" w:space="0" w:color="auto"/>
              <w:right w:val="nil" w:sz="6" w:space="0" w:color="auto"/>
            </w:tcBorders>
          </w:tcPr>
          <w:p>
            <w:pPr/>
          </w:p>
        </w:tc>
        <w:tc>
          <w:tcPr>
            <w:tcW w:w="1975" w:type="dxa"/>
            <w:tcBorders>
              <w:top w:val="nil" w:sz="6" w:space="0" w:color="auto"/>
              <w:left w:val="nil" w:sz="6" w:space="0" w:color="auto"/>
              <w:bottom w:val="single" w:sz="4" w:space="0" w:color="000000"/>
              <w:right w:val="nil" w:sz="6" w:space="0" w:color="auto"/>
            </w:tcBorders>
          </w:tcPr>
          <w:p>
            <w:pPr>
              <w:pStyle w:val="TableParagraph"/>
              <w:spacing w:line="20" w:lineRule="exact"/>
              <w:ind w:right="-41"/>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1254316" cy="6096"/>
                  <wp:effectExtent l="0" t="0" r="0" b="0"/>
                  <wp:docPr id="27" name="image27.png" descr=""/>
                  <wp:cNvGraphicFramePr>
                    <a:graphicFrameLocks noChangeAspect="1"/>
                  </wp:cNvGraphicFramePr>
                  <a:graphic>
                    <a:graphicData uri="http://schemas.openxmlformats.org/drawingml/2006/picture">
                      <pic:pic>
                        <pic:nvPicPr>
                          <pic:cNvPr id="28" name="image27.png"/>
                          <pic:cNvPicPr/>
                        </pic:nvPicPr>
                        <pic:blipFill>
                          <a:blip r:embed="rId49" cstate="print"/>
                          <a:stretch>
                            <a:fillRect/>
                          </a:stretch>
                        </pic:blipFill>
                        <pic:spPr>
                          <a:xfrm>
                            <a:off x="0" y="0"/>
                            <a:ext cx="1254316" cy="6096"/>
                          </a:xfrm>
                          <a:prstGeom prst="rect">
                            <a:avLst/>
                          </a:prstGeom>
                        </pic:spPr>
                      </pic:pic>
                    </a:graphicData>
                  </a:graphic>
                </wp:inline>
              </w:drawing>
            </w:r>
            <w:r>
              <w:rPr>
                <w:rFonts w:ascii="Times New Roman" w:hAnsi="Times New Roman" w:cs="Times New Roman" w:eastAsia="Times New Roman" w:hint="default"/>
                <w:sz w:val="2"/>
                <w:szCs w:val="2"/>
              </w:rPr>
            </w:r>
          </w:p>
          <w:p>
            <w:pPr>
              <w:pStyle w:val="TableParagraph"/>
              <w:spacing w:line="240" w:lineRule="auto" w:before="12"/>
              <w:ind w:right="26"/>
              <w:jc w:val="right"/>
              <w:rPr>
                <w:rFonts w:ascii="宋体" w:hAnsi="宋体" w:cs="宋体" w:eastAsia="宋体" w:hint="default"/>
                <w:sz w:val="18"/>
                <w:szCs w:val="18"/>
              </w:rPr>
            </w:pPr>
            <w:r>
              <w:rPr>
                <w:rFonts w:ascii="宋体"/>
                <w:spacing w:val="-1"/>
                <w:sz w:val="18"/>
              </w:rPr>
              <w:t>243,315,778.93</w:t>
            </w:r>
            <w:r>
              <w:rPr>
                <w:rFonts w:ascii="宋体"/>
                <w:sz w:val="18"/>
              </w:rPr>
            </w:r>
          </w:p>
        </w:tc>
        <w:tc>
          <w:tcPr>
            <w:tcW w:w="276" w:type="dxa"/>
            <w:tcBorders>
              <w:top w:val="nil" w:sz="6" w:space="0" w:color="auto"/>
              <w:left w:val="nil" w:sz="6" w:space="0" w:color="auto"/>
              <w:bottom w:val="nil" w:sz="6" w:space="0" w:color="auto"/>
              <w:right w:val="nil" w:sz="6" w:space="0" w:color="auto"/>
            </w:tcBorders>
          </w:tcPr>
          <w:p>
            <w:pPr/>
          </w:p>
        </w:tc>
        <w:tc>
          <w:tcPr>
            <w:tcW w:w="2081" w:type="dxa"/>
            <w:tcBorders>
              <w:top w:val="nil" w:sz="6" w:space="0" w:color="auto"/>
              <w:left w:val="nil" w:sz="6" w:space="0" w:color="auto"/>
              <w:bottom w:val="single" w:sz="4" w:space="0" w:color="000000"/>
              <w:right w:val="nil" w:sz="6" w:space="0" w:color="auto"/>
            </w:tcBorders>
          </w:tcPr>
          <w:p>
            <w:pPr>
              <w:pStyle w:val="TableParagraph"/>
              <w:spacing w:line="20" w:lineRule="exact"/>
              <w:ind w:right="-46"/>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1324367" cy="6096"/>
                  <wp:effectExtent l="0" t="0" r="0" b="0"/>
                  <wp:docPr id="29" name="image28.png" descr=""/>
                  <wp:cNvGraphicFramePr>
                    <a:graphicFrameLocks noChangeAspect="1"/>
                  </wp:cNvGraphicFramePr>
                  <a:graphic>
                    <a:graphicData uri="http://schemas.openxmlformats.org/drawingml/2006/picture">
                      <pic:pic>
                        <pic:nvPicPr>
                          <pic:cNvPr id="30" name="image28.png"/>
                          <pic:cNvPicPr/>
                        </pic:nvPicPr>
                        <pic:blipFill>
                          <a:blip r:embed="rId50" cstate="print"/>
                          <a:stretch>
                            <a:fillRect/>
                          </a:stretch>
                        </pic:blipFill>
                        <pic:spPr>
                          <a:xfrm>
                            <a:off x="0" y="0"/>
                            <a:ext cx="1324367" cy="6096"/>
                          </a:xfrm>
                          <a:prstGeom prst="rect">
                            <a:avLst/>
                          </a:prstGeom>
                        </pic:spPr>
                      </pic:pic>
                    </a:graphicData>
                  </a:graphic>
                </wp:inline>
              </w:drawing>
            </w:r>
            <w:r>
              <w:rPr>
                <w:rFonts w:ascii="Times New Roman" w:hAnsi="Times New Roman" w:cs="Times New Roman" w:eastAsia="Times New Roman" w:hint="default"/>
                <w:sz w:val="2"/>
                <w:szCs w:val="2"/>
              </w:rPr>
            </w:r>
          </w:p>
          <w:p>
            <w:pPr>
              <w:pStyle w:val="TableParagraph"/>
              <w:spacing w:line="240" w:lineRule="auto" w:before="12"/>
              <w:ind w:right="26"/>
              <w:jc w:val="right"/>
              <w:rPr>
                <w:rFonts w:ascii="宋体" w:hAnsi="宋体" w:cs="宋体" w:eastAsia="宋体" w:hint="default"/>
                <w:sz w:val="18"/>
                <w:szCs w:val="18"/>
              </w:rPr>
            </w:pPr>
            <w:r>
              <w:rPr>
                <w:rFonts w:ascii="宋体"/>
                <w:spacing w:val="-1"/>
                <w:sz w:val="18"/>
              </w:rPr>
              <w:t>226,975,509.14</w:t>
            </w:r>
            <w:r>
              <w:rPr>
                <w:rFonts w:ascii="宋体"/>
                <w:sz w:val="18"/>
              </w:rPr>
            </w:r>
          </w:p>
        </w:tc>
        <w:tc>
          <w:tcPr>
            <w:tcW w:w="400" w:type="dxa"/>
            <w:tcBorders>
              <w:top w:val="nil" w:sz="6" w:space="0" w:color="auto"/>
              <w:left w:val="nil" w:sz="6" w:space="0" w:color="auto"/>
              <w:bottom w:val="nil" w:sz="6" w:space="0" w:color="auto"/>
              <w:right w:val="nil" w:sz="6" w:space="0" w:color="auto"/>
            </w:tcBorders>
          </w:tcPr>
          <w:p>
            <w:pPr/>
          </w:p>
        </w:tc>
      </w:tr>
      <w:tr>
        <w:trPr>
          <w:trHeight w:val="342" w:hRule="exact"/>
        </w:trPr>
        <w:tc>
          <w:tcPr>
            <w:tcW w:w="108" w:type="dxa"/>
            <w:tcBorders>
              <w:top w:val="nil" w:sz="6" w:space="0" w:color="auto"/>
              <w:left w:val="nil" w:sz="6" w:space="0" w:color="auto"/>
              <w:bottom w:val="nil" w:sz="6" w:space="0" w:color="auto"/>
              <w:right w:val="nil" w:sz="6" w:space="0" w:color="auto"/>
            </w:tcBorders>
          </w:tcPr>
          <w:p>
            <w:pPr/>
          </w:p>
        </w:tc>
        <w:tc>
          <w:tcPr>
            <w:tcW w:w="3226" w:type="dxa"/>
            <w:tcBorders>
              <w:top w:val="nil" w:sz="6" w:space="0" w:color="auto"/>
              <w:left w:val="nil" w:sz="6" w:space="0" w:color="auto"/>
              <w:bottom w:val="nil" w:sz="6" w:space="0" w:color="auto"/>
              <w:right w:val="nil" w:sz="6" w:space="0" w:color="auto"/>
            </w:tcBorders>
          </w:tcPr>
          <w:p>
            <w:pPr>
              <w:pStyle w:val="TableParagraph"/>
              <w:spacing w:line="240" w:lineRule="auto" w:before="27"/>
              <w:ind w:left="28" w:right="0"/>
              <w:jc w:val="left"/>
              <w:rPr>
                <w:rFonts w:ascii="宋体" w:hAnsi="宋体" w:cs="宋体" w:eastAsia="宋体" w:hint="default"/>
                <w:sz w:val="18"/>
                <w:szCs w:val="18"/>
              </w:rPr>
            </w:pPr>
            <w:r>
              <w:rPr>
                <w:rFonts w:ascii="宋体" w:hAnsi="宋体" w:cs="宋体" w:eastAsia="宋体" w:hint="default"/>
                <w:b/>
                <w:bCs/>
                <w:sz w:val="18"/>
                <w:szCs w:val="18"/>
              </w:rPr>
              <w:t>非流动资产：</w:t>
            </w:r>
            <w:r>
              <w:rPr>
                <w:rFonts w:ascii="宋体" w:hAnsi="宋体" w:cs="宋体" w:eastAsia="宋体" w:hint="default"/>
                <w:sz w:val="18"/>
                <w:szCs w:val="18"/>
              </w:rPr>
            </w:r>
          </w:p>
        </w:tc>
        <w:tc>
          <w:tcPr>
            <w:tcW w:w="254" w:type="dxa"/>
            <w:tcBorders>
              <w:top w:val="nil" w:sz="6" w:space="0" w:color="auto"/>
              <w:left w:val="nil" w:sz="6" w:space="0" w:color="auto"/>
              <w:bottom w:val="nil" w:sz="6" w:space="0" w:color="auto"/>
              <w:right w:val="nil" w:sz="6" w:space="0" w:color="auto"/>
            </w:tcBorders>
          </w:tcPr>
          <w:p>
            <w:pPr/>
          </w:p>
        </w:tc>
        <w:tc>
          <w:tcPr>
            <w:tcW w:w="1675" w:type="dxa"/>
            <w:tcBorders>
              <w:top w:val="nil" w:sz="6" w:space="0" w:color="auto"/>
              <w:left w:val="nil" w:sz="6" w:space="0" w:color="auto"/>
              <w:bottom w:val="nil" w:sz="6" w:space="0" w:color="auto"/>
              <w:right w:val="nil" w:sz="6" w:space="0" w:color="auto"/>
            </w:tcBorders>
          </w:tcPr>
          <w:p>
            <w:pPr/>
          </w:p>
        </w:tc>
        <w:tc>
          <w:tcPr>
            <w:tcW w:w="266" w:type="dxa"/>
            <w:tcBorders>
              <w:top w:val="nil" w:sz="6" w:space="0" w:color="auto"/>
              <w:left w:val="nil" w:sz="6" w:space="0" w:color="auto"/>
              <w:bottom w:val="nil" w:sz="6" w:space="0" w:color="auto"/>
              <w:right w:val="nil" w:sz="6" w:space="0" w:color="auto"/>
            </w:tcBorders>
          </w:tcPr>
          <w:p>
            <w:pPr/>
          </w:p>
        </w:tc>
        <w:tc>
          <w:tcPr>
            <w:tcW w:w="1975" w:type="dxa"/>
            <w:tcBorders>
              <w:top w:val="single" w:sz="4" w:space="0" w:color="000000"/>
              <w:left w:val="nil" w:sz="6" w:space="0" w:color="auto"/>
              <w:bottom w:val="nil" w:sz="6" w:space="0" w:color="auto"/>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c>
          <w:tcPr>
            <w:tcW w:w="2081" w:type="dxa"/>
            <w:tcBorders>
              <w:top w:val="single" w:sz="4" w:space="0" w:color="000000"/>
              <w:left w:val="nil" w:sz="6" w:space="0" w:color="auto"/>
              <w:bottom w:val="nil" w:sz="6" w:space="0" w:color="auto"/>
              <w:right w:val="nil" w:sz="6" w:space="0" w:color="auto"/>
            </w:tcBorders>
          </w:tcPr>
          <w:p>
            <w:pPr/>
          </w:p>
        </w:tc>
        <w:tc>
          <w:tcPr>
            <w:tcW w:w="400" w:type="dxa"/>
            <w:tcBorders>
              <w:top w:val="nil" w:sz="6" w:space="0" w:color="auto"/>
              <w:left w:val="nil" w:sz="6" w:space="0" w:color="auto"/>
              <w:bottom w:val="nil" w:sz="6" w:space="0" w:color="auto"/>
              <w:right w:val="nil" w:sz="6" w:space="0" w:color="auto"/>
            </w:tcBorders>
          </w:tcPr>
          <w:p>
            <w:pPr/>
          </w:p>
        </w:tc>
      </w:tr>
      <w:tr>
        <w:trPr>
          <w:trHeight w:val="340" w:hRule="exact"/>
        </w:trPr>
        <w:tc>
          <w:tcPr>
            <w:tcW w:w="108" w:type="dxa"/>
            <w:tcBorders>
              <w:top w:val="nil" w:sz="6" w:space="0" w:color="auto"/>
              <w:left w:val="nil" w:sz="6" w:space="0" w:color="auto"/>
              <w:bottom w:val="nil" w:sz="6" w:space="0" w:color="auto"/>
              <w:right w:val="nil" w:sz="6" w:space="0" w:color="auto"/>
            </w:tcBorders>
          </w:tcPr>
          <w:p>
            <w:pPr/>
          </w:p>
        </w:tc>
        <w:tc>
          <w:tcPr>
            <w:tcW w:w="3226"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1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54" w:type="dxa"/>
            <w:tcBorders>
              <w:top w:val="nil" w:sz="6" w:space="0" w:color="auto"/>
              <w:left w:val="nil" w:sz="6" w:space="0" w:color="auto"/>
              <w:bottom w:val="nil" w:sz="6" w:space="0" w:color="auto"/>
              <w:right w:val="nil" w:sz="6" w:space="0" w:color="auto"/>
            </w:tcBorders>
          </w:tcPr>
          <w:p>
            <w:pPr/>
          </w:p>
        </w:tc>
        <w:tc>
          <w:tcPr>
            <w:tcW w:w="1675" w:type="dxa"/>
            <w:tcBorders>
              <w:top w:val="nil" w:sz="6" w:space="0" w:color="auto"/>
              <w:left w:val="nil" w:sz="6" w:space="0" w:color="auto"/>
              <w:bottom w:val="nil" w:sz="6" w:space="0" w:color="auto"/>
              <w:right w:val="nil" w:sz="6" w:space="0" w:color="auto"/>
            </w:tcBorders>
          </w:tcPr>
          <w:p>
            <w:pPr/>
          </w:p>
        </w:tc>
        <w:tc>
          <w:tcPr>
            <w:tcW w:w="266" w:type="dxa"/>
            <w:tcBorders>
              <w:top w:val="nil" w:sz="6" w:space="0" w:color="auto"/>
              <w:left w:val="nil" w:sz="6" w:space="0" w:color="auto"/>
              <w:bottom w:val="nil" w:sz="6" w:space="0" w:color="auto"/>
              <w:right w:val="nil" w:sz="6" w:space="0" w:color="auto"/>
            </w:tcBorders>
          </w:tcPr>
          <w:p>
            <w:pPr/>
          </w:p>
        </w:tc>
        <w:tc>
          <w:tcPr>
            <w:tcW w:w="1975"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3"/>
              <w:jc w:val="right"/>
              <w:rPr>
                <w:rFonts w:ascii="宋体" w:hAnsi="宋体" w:cs="宋体" w:eastAsia="宋体" w:hint="default"/>
                <w:sz w:val="18"/>
                <w:szCs w:val="18"/>
              </w:rPr>
            </w:pPr>
            <w:r>
              <w:rPr>
                <w:rFonts w:ascii="宋体"/>
                <w:spacing w:val="-1"/>
                <w:sz w:val="18"/>
              </w:rPr>
              <w:t>6,000,000.00</w:t>
            </w:r>
          </w:p>
        </w:tc>
        <w:tc>
          <w:tcPr>
            <w:tcW w:w="276" w:type="dxa"/>
            <w:tcBorders>
              <w:top w:val="nil" w:sz="6" w:space="0" w:color="auto"/>
              <w:left w:val="nil" w:sz="6" w:space="0" w:color="auto"/>
              <w:bottom w:val="nil" w:sz="6" w:space="0" w:color="auto"/>
              <w:right w:val="nil" w:sz="6" w:space="0" w:color="auto"/>
            </w:tcBorders>
          </w:tcPr>
          <w:p>
            <w:pPr/>
          </w:p>
        </w:tc>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5"/>
              <w:jc w:val="right"/>
              <w:rPr>
                <w:rFonts w:ascii="宋体" w:hAnsi="宋体" w:cs="宋体" w:eastAsia="宋体" w:hint="default"/>
                <w:sz w:val="18"/>
                <w:szCs w:val="18"/>
              </w:rPr>
            </w:pPr>
            <w:r>
              <w:rPr>
                <w:rFonts w:ascii="宋体"/>
                <w:sz w:val="18"/>
              </w:rPr>
              <w:t>-</w:t>
            </w:r>
          </w:p>
        </w:tc>
        <w:tc>
          <w:tcPr>
            <w:tcW w:w="400" w:type="dxa"/>
            <w:tcBorders>
              <w:top w:val="nil" w:sz="6" w:space="0" w:color="auto"/>
              <w:left w:val="nil" w:sz="6" w:space="0" w:color="auto"/>
              <w:bottom w:val="nil" w:sz="6" w:space="0" w:color="auto"/>
              <w:right w:val="nil" w:sz="6" w:space="0" w:color="auto"/>
            </w:tcBorders>
          </w:tcPr>
          <w:p>
            <w:pPr/>
          </w:p>
        </w:tc>
      </w:tr>
      <w:tr>
        <w:trPr>
          <w:trHeight w:val="341" w:hRule="exact"/>
        </w:trPr>
        <w:tc>
          <w:tcPr>
            <w:tcW w:w="108" w:type="dxa"/>
            <w:tcBorders>
              <w:top w:val="nil" w:sz="6" w:space="0" w:color="auto"/>
              <w:left w:val="nil" w:sz="6" w:space="0" w:color="auto"/>
              <w:bottom w:val="nil" w:sz="6" w:space="0" w:color="auto"/>
              <w:right w:val="nil" w:sz="6" w:space="0" w:color="auto"/>
            </w:tcBorders>
          </w:tcPr>
          <w:p>
            <w:pPr/>
          </w:p>
        </w:tc>
        <w:tc>
          <w:tcPr>
            <w:tcW w:w="3226"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1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54" w:type="dxa"/>
            <w:tcBorders>
              <w:top w:val="nil" w:sz="6" w:space="0" w:color="auto"/>
              <w:left w:val="nil" w:sz="6" w:space="0" w:color="auto"/>
              <w:bottom w:val="nil" w:sz="6" w:space="0" w:color="auto"/>
              <w:right w:val="nil" w:sz="6" w:space="0" w:color="auto"/>
            </w:tcBorders>
          </w:tcPr>
          <w:p>
            <w:pPr/>
          </w:p>
        </w:tc>
        <w:tc>
          <w:tcPr>
            <w:tcW w:w="1675" w:type="dxa"/>
            <w:tcBorders>
              <w:top w:val="nil" w:sz="6" w:space="0" w:color="auto"/>
              <w:left w:val="nil" w:sz="6" w:space="0" w:color="auto"/>
              <w:bottom w:val="nil" w:sz="6" w:space="0" w:color="auto"/>
              <w:right w:val="nil" w:sz="6" w:space="0" w:color="auto"/>
            </w:tcBorders>
          </w:tcPr>
          <w:p>
            <w:pPr/>
          </w:p>
        </w:tc>
        <w:tc>
          <w:tcPr>
            <w:tcW w:w="266" w:type="dxa"/>
            <w:tcBorders>
              <w:top w:val="nil" w:sz="6" w:space="0" w:color="auto"/>
              <w:left w:val="nil" w:sz="6" w:space="0" w:color="auto"/>
              <w:bottom w:val="nil" w:sz="6" w:space="0" w:color="auto"/>
              <w:right w:val="nil" w:sz="6" w:space="0" w:color="auto"/>
            </w:tcBorders>
          </w:tcPr>
          <w:p>
            <w:pPr/>
          </w:p>
        </w:tc>
        <w:tc>
          <w:tcPr>
            <w:tcW w:w="197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5"/>
              <w:jc w:val="right"/>
              <w:rPr>
                <w:rFonts w:ascii="宋体" w:hAnsi="宋体" w:cs="宋体" w:eastAsia="宋体" w:hint="default"/>
                <w:sz w:val="18"/>
                <w:szCs w:val="18"/>
              </w:rPr>
            </w:pPr>
            <w:r>
              <w:rPr>
                <w:rFonts w:ascii="宋体"/>
                <w:sz w:val="18"/>
              </w:rPr>
              <w:t>-</w:t>
            </w:r>
          </w:p>
        </w:tc>
        <w:tc>
          <w:tcPr>
            <w:tcW w:w="276" w:type="dxa"/>
            <w:tcBorders>
              <w:top w:val="nil" w:sz="6" w:space="0" w:color="auto"/>
              <w:left w:val="nil" w:sz="6" w:space="0" w:color="auto"/>
              <w:bottom w:val="nil" w:sz="6" w:space="0" w:color="auto"/>
              <w:right w:val="nil" w:sz="6" w:space="0" w:color="auto"/>
            </w:tcBorders>
          </w:tcPr>
          <w:p>
            <w:pPr/>
          </w:p>
        </w:tc>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5"/>
              <w:jc w:val="right"/>
              <w:rPr>
                <w:rFonts w:ascii="宋体" w:hAnsi="宋体" w:cs="宋体" w:eastAsia="宋体" w:hint="default"/>
                <w:sz w:val="18"/>
                <w:szCs w:val="18"/>
              </w:rPr>
            </w:pPr>
            <w:r>
              <w:rPr>
                <w:rFonts w:ascii="宋体"/>
                <w:sz w:val="18"/>
              </w:rPr>
              <w:t>-</w:t>
            </w:r>
          </w:p>
        </w:tc>
        <w:tc>
          <w:tcPr>
            <w:tcW w:w="400" w:type="dxa"/>
            <w:tcBorders>
              <w:top w:val="nil" w:sz="6" w:space="0" w:color="auto"/>
              <w:left w:val="nil" w:sz="6" w:space="0" w:color="auto"/>
              <w:bottom w:val="nil" w:sz="6" w:space="0" w:color="auto"/>
              <w:right w:val="nil" w:sz="6" w:space="0" w:color="auto"/>
            </w:tcBorders>
          </w:tcPr>
          <w:p>
            <w:pPr/>
          </w:p>
        </w:tc>
      </w:tr>
      <w:tr>
        <w:trPr>
          <w:trHeight w:val="336" w:hRule="exact"/>
        </w:trPr>
        <w:tc>
          <w:tcPr>
            <w:tcW w:w="108" w:type="dxa"/>
            <w:tcBorders>
              <w:top w:val="nil" w:sz="6" w:space="0" w:color="auto"/>
              <w:left w:val="nil" w:sz="6" w:space="0" w:color="auto"/>
              <w:bottom w:val="nil" w:sz="6" w:space="0" w:color="auto"/>
              <w:right w:val="nil" w:sz="6" w:space="0" w:color="auto"/>
            </w:tcBorders>
          </w:tcPr>
          <w:p>
            <w:pPr/>
          </w:p>
        </w:tc>
        <w:tc>
          <w:tcPr>
            <w:tcW w:w="3226"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1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54" w:type="dxa"/>
            <w:tcBorders>
              <w:top w:val="nil" w:sz="6" w:space="0" w:color="auto"/>
              <w:left w:val="nil" w:sz="6" w:space="0" w:color="auto"/>
              <w:bottom w:val="nil" w:sz="6" w:space="0" w:color="auto"/>
              <w:right w:val="nil" w:sz="6" w:space="0" w:color="auto"/>
            </w:tcBorders>
          </w:tcPr>
          <w:p>
            <w:pPr/>
          </w:p>
        </w:tc>
        <w:tc>
          <w:tcPr>
            <w:tcW w:w="1675" w:type="dxa"/>
            <w:tcBorders>
              <w:top w:val="nil" w:sz="6" w:space="0" w:color="auto"/>
              <w:left w:val="nil" w:sz="6" w:space="0" w:color="auto"/>
              <w:bottom w:val="nil" w:sz="6" w:space="0" w:color="auto"/>
              <w:right w:val="nil" w:sz="6" w:space="0" w:color="auto"/>
            </w:tcBorders>
          </w:tcPr>
          <w:p>
            <w:pPr/>
          </w:p>
        </w:tc>
        <w:tc>
          <w:tcPr>
            <w:tcW w:w="266" w:type="dxa"/>
            <w:tcBorders>
              <w:top w:val="nil" w:sz="6" w:space="0" w:color="auto"/>
              <w:left w:val="nil" w:sz="6" w:space="0" w:color="auto"/>
              <w:bottom w:val="nil" w:sz="6" w:space="0" w:color="auto"/>
              <w:right w:val="nil" w:sz="6" w:space="0" w:color="auto"/>
            </w:tcBorders>
          </w:tcPr>
          <w:p>
            <w:pPr/>
          </w:p>
        </w:tc>
        <w:tc>
          <w:tcPr>
            <w:tcW w:w="197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5"/>
              <w:jc w:val="right"/>
              <w:rPr>
                <w:rFonts w:ascii="宋体" w:hAnsi="宋体" w:cs="宋体" w:eastAsia="宋体" w:hint="default"/>
                <w:sz w:val="18"/>
                <w:szCs w:val="18"/>
              </w:rPr>
            </w:pPr>
            <w:r>
              <w:rPr>
                <w:rFonts w:ascii="宋体"/>
                <w:sz w:val="18"/>
              </w:rPr>
              <w:t>-</w:t>
            </w:r>
          </w:p>
        </w:tc>
        <w:tc>
          <w:tcPr>
            <w:tcW w:w="276" w:type="dxa"/>
            <w:tcBorders>
              <w:top w:val="nil" w:sz="6" w:space="0" w:color="auto"/>
              <w:left w:val="nil" w:sz="6" w:space="0" w:color="auto"/>
              <w:bottom w:val="nil" w:sz="6" w:space="0" w:color="auto"/>
              <w:right w:val="nil" w:sz="6" w:space="0" w:color="auto"/>
            </w:tcBorders>
          </w:tcPr>
          <w:p>
            <w:pPr/>
          </w:p>
        </w:tc>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5"/>
              <w:jc w:val="right"/>
              <w:rPr>
                <w:rFonts w:ascii="宋体" w:hAnsi="宋体" w:cs="宋体" w:eastAsia="宋体" w:hint="default"/>
                <w:sz w:val="18"/>
                <w:szCs w:val="18"/>
              </w:rPr>
            </w:pPr>
            <w:r>
              <w:rPr>
                <w:rFonts w:ascii="宋体"/>
                <w:sz w:val="18"/>
              </w:rPr>
              <w:t>-</w:t>
            </w:r>
          </w:p>
        </w:tc>
        <w:tc>
          <w:tcPr>
            <w:tcW w:w="400" w:type="dxa"/>
            <w:tcBorders>
              <w:top w:val="nil" w:sz="6" w:space="0" w:color="auto"/>
              <w:left w:val="nil" w:sz="6" w:space="0" w:color="auto"/>
              <w:bottom w:val="nil" w:sz="6" w:space="0" w:color="auto"/>
              <w:right w:val="nil" w:sz="6" w:space="0" w:color="auto"/>
            </w:tcBorders>
          </w:tcPr>
          <w:p>
            <w:pPr/>
          </w:p>
        </w:tc>
      </w:tr>
      <w:tr>
        <w:trPr>
          <w:trHeight w:val="355" w:hRule="exact"/>
        </w:trPr>
        <w:tc>
          <w:tcPr>
            <w:tcW w:w="108" w:type="dxa"/>
            <w:tcBorders>
              <w:top w:val="nil" w:sz="6" w:space="0" w:color="auto"/>
              <w:left w:val="nil" w:sz="6" w:space="0" w:color="auto"/>
              <w:bottom w:val="nil" w:sz="6" w:space="0" w:color="auto"/>
              <w:right w:val="nil" w:sz="6" w:space="0" w:color="auto"/>
            </w:tcBorders>
          </w:tcPr>
          <w:p>
            <w:pPr/>
          </w:p>
        </w:tc>
        <w:tc>
          <w:tcPr>
            <w:tcW w:w="3226" w:type="dxa"/>
            <w:tcBorders>
              <w:top w:val="nil" w:sz="6" w:space="0" w:color="auto"/>
              <w:left w:val="nil" w:sz="6" w:space="0" w:color="auto"/>
              <w:bottom w:val="nil" w:sz="6" w:space="0" w:color="auto"/>
              <w:right w:val="nil" w:sz="6" w:space="0" w:color="auto"/>
            </w:tcBorders>
          </w:tcPr>
          <w:p>
            <w:pPr>
              <w:pStyle w:val="TableParagraph"/>
              <w:spacing w:line="240" w:lineRule="auto" w:before="27"/>
              <w:ind w:left="2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54" w:type="dxa"/>
            <w:tcBorders>
              <w:top w:val="nil" w:sz="6" w:space="0" w:color="auto"/>
              <w:left w:val="nil" w:sz="6" w:space="0" w:color="auto"/>
              <w:bottom w:val="nil" w:sz="6" w:space="0" w:color="auto"/>
              <w:right w:val="nil" w:sz="6" w:space="0" w:color="auto"/>
            </w:tcBorders>
          </w:tcPr>
          <w:p>
            <w:pPr/>
          </w:p>
        </w:tc>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
              <w:jc w:val="center"/>
              <w:rPr>
                <w:rFonts w:ascii="Times New Roman" w:hAnsi="Times New Roman" w:cs="Times New Roman" w:eastAsia="Times New Roman" w:hint="default"/>
                <w:sz w:val="20"/>
                <w:szCs w:val="20"/>
              </w:rPr>
            </w:pPr>
            <w:r>
              <w:rPr>
                <w:rFonts w:ascii="宋体" w:hAnsi="宋体" w:cs="宋体" w:eastAsia="宋体" w:hint="default"/>
                <w:sz w:val="20"/>
                <w:szCs w:val="20"/>
              </w:rPr>
              <w:t>注释</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3</w:t>
            </w:r>
          </w:p>
        </w:tc>
        <w:tc>
          <w:tcPr>
            <w:tcW w:w="266" w:type="dxa"/>
            <w:tcBorders>
              <w:top w:val="nil" w:sz="6" w:space="0" w:color="auto"/>
              <w:left w:val="nil" w:sz="6" w:space="0" w:color="auto"/>
              <w:bottom w:val="nil" w:sz="6" w:space="0" w:color="auto"/>
              <w:right w:val="nil" w:sz="6" w:space="0" w:color="auto"/>
            </w:tcBorders>
          </w:tcPr>
          <w:p>
            <w:pPr/>
          </w:p>
        </w:tc>
        <w:tc>
          <w:tcPr>
            <w:tcW w:w="1975"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4"/>
              <w:jc w:val="right"/>
              <w:rPr>
                <w:rFonts w:ascii="宋体" w:hAnsi="宋体" w:cs="宋体" w:eastAsia="宋体" w:hint="default"/>
                <w:sz w:val="18"/>
                <w:szCs w:val="18"/>
              </w:rPr>
            </w:pPr>
            <w:r>
              <w:rPr>
                <w:rFonts w:ascii="宋体"/>
                <w:spacing w:val="-1"/>
                <w:sz w:val="18"/>
              </w:rPr>
              <w:t>2,000,000.00</w:t>
            </w:r>
            <w:r>
              <w:rPr>
                <w:rFonts w:ascii="宋体"/>
                <w:sz w:val="18"/>
              </w:rPr>
            </w:r>
          </w:p>
        </w:tc>
        <w:tc>
          <w:tcPr>
            <w:tcW w:w="276" w:type="dxa"/>
            <w:tcBorders>
              <w:top w:val="nil" w:sz="6" w:space="0" w:color="auto"/>
              <w:left w:val="nil" w:sz="6" w:space="0" w:color="auto"/>
              <w:bottom w:val="nil" w:sz="6" w:space="0" w:color="auto"/>
              <w:right w:val="nil" w:sz="6" w:space="0" w:color="auto"/>
            </w:tcBorders>
          </w:tcPr>
          <w:p>
            <w:pPr/>
          </w:p>
        </w:tc>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3"/>
              <w:jc w:val="right"/>
              <w:rPr>
                <w:rFonts w:ascii="宋体" w:hAnsi="宋体" w:cs="宋体" w:eastAsia="宋体" w:hint="default"/>
                <w:sz w:val="18"/>
                <w:szCs w:val="18"/>
              </w:rPr>
            </w:pPr>
            <w:r>
              <w:rPr>
                <w:rFonts w:ascii="宋体"/>
                <w:spacing w:val="-1"/>
                <w:sz w:val="18"/>
              </w:rPr>
              <w:t>2,000,000.00</w:t>
            </w:r>
          </w:p>
        </w:tc>
        <w:tc>
          <w:tcPr>
            <w:tcW w:w="400" w:type="dxa"/>
            <w:tcBorders>
              <w:top w:val="nil" w:sz="6" w:space="0" w:color="auto"/>
              <w:left w:val="nil" w:sz="6" w:space="0" w:color="auto"/>
              <w:bottom w:val="nil" w:sz="6" w:space="0" w:color="auto"/>
              <w:right w:val="nil" w:sz="6" w:space="0" w:color="auto"/>
            </w:tcBorders>
          </w:tcPr>
          <w:p>
            <w:pPr/>
          </w:p>
        </w:tc>
      </w:tr>
      <w:tr>
        <w:trPr>
          <w:trHeight w:val="329" w:hRule="exact"/>
        </w:trPr>
        <w:tc>
          <w:tcPr>
            <w:tcW w:w="108" w:type="dxa"/>
            <w:tcBorders>
              <w:top w:val="nil" w:sz="6" w:space="0" w:color="auto"/>
              <w:left w:val="nil" w:sz="6" w:space="0" w:color="auto"/>
              <w:bottom w:val="nil" w:sz="6" w:space="0" w:color="auto"/>
              <w:right w:val="nil" w:sz="6" w:space="0" w:color="auto"/>
            </w:tcBorders>
          </w:tcPr>
          <w:p>
            <w:pPr/>
          </w:p>
        </w:tc>
        <w:tc>
          <w:tcPr>
            <w:tcW w:w="3226"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1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54" w:type="dxa"/>
            <w:tcBorders>
              <w:top w:val="nil" w:sz="6" w:space="0" w:color="auto"/>
              <w:left w:val="nil" w:sz="6" w:space="0" w:color="auto"/>
              <w:bottom w:val="nil" w:sz="6" w:space="0" w:color="auto"/>
              <w:right w:val="nil" w:sz="6" w:space="0" w:color="auto"/>
            </w:tcBorders>
          </w:tcPr>
          <w:p>
            <w:pPr/>
          </w:p>
        </w:tc>
        <w:tc>
          <w:tcPr>
            <w:tcW w:w="1675" w:type="dxa"/>
            <w:tcBorders>
              <w:top w:val="nil" w:sz="6" w:space="0" w:color="auto"/>
              <w:left w:val="nil" w:sz="6" w:space="0" w:color="auto"/>
              <w:bottom w:val="nil" w:sz="6" w:space="0" w:color="auto"/>
              <w:right w:val="nil" w:sz="6" w:space="0" w:color="auto"/>
            </w:tcBorders>
          </w:tcPr>
          <w:p>
            <w:pPr/>
          </w:p>
        </w:tc>
        <w:tc>
          <w:tcPr>
            <w:tcW w:w="266" w:type="dxa"/>
            <w:tcBorders>
              <w:top w:val="nil" w:sz="6" w:space="0" w:color="auto"/>
              <w:left w:val="nil" w:sz="6" w:space="0" w:color="auto"/>
              <w:bottom w:val="nil" w:sz="6" w:space="0" w:color="auto"/>
              <w:right w:val="nil" w:sz="6" w:space="0" w:color="auto"/>
            </w:tcBorders>
          </w:tcPr>
          <w:p>
            <w:pPr/>
          </w:p>
        </w:tc>
        <w:tc>
          <w:tcPr>
            <w:tcW w:w="197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5"/>
              <w:jc w:val="right"/>
              <w:rPr>
                <w:rFonts w:ascii="宋体" w:hAnsi="宋体" w:cs="宋体" w:eastAsia="宋体" w:hint="default"/>
                <w:sz w:val="18"/>
                <w:szCs w:val="18"/>
              </w:rPr>
            </w:pPr>
            <w:r>
              <w:rPr>
                <w:rFonts w:ascii="宋体"/>
                <w:sz w:val="18"/>
              </w:rPr>
              <w:t>-</w:t>
            </w:r>
          </w:p>
        </w:tc>
        <w:tc>
          <w:tcPr>
            <w:tcW w:w="276" w:type="dxa"/>
            <w:tcBorders>
              <w:top w:val="nil" w:sz="6" w:space="0" w:color="auto"/>
              <w:left w:val="nil" w:sz="6" w:space="0" w:color="auto"/>
              <w:bottom w:val="nil" w:sz="6" w:space="0" w:color="auto"/>
              <w:right w:val="nil" w:sz="6" w:space="0" w:color="auto"/>
            </w:tcBorders>
          </w:tcPr>
          <w:p>
            <w:pPr/>
          </w:p>
        </w:tc>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5"/>
              <w:jc w:val="right"/>
              <w:rPr>
                <w:rFonts w:ascii="宋体" w:hAnsi="宋体" w:cs="宋体" w:eastAsia="宋体" w:hint="default"/>
                <w:sz w:val="18"/>
                <w:szCs w:val="18"/>
              </w:rPr>
            </w:pPr>
            <w:r>
              <w:rPr>
                <w:rFonts w:ascii="宋体"/>
                <w:sz w:val="18"/>
              </w:rPr>
              <w:t>-</w:t>
            </w:r>
          </w:p>
        </w:tc>
        <w:tc>
          <w:tcPr>
            <w:tcW w:w="400" w:type="dxa"/>
            <w:tcBorders>
              <w:top w:val="nil" w:sz="6" w:space="0" w:color="auto"/>
              <w:left w:val="nil" w:sz="6" w:space="0" w:color="auto"/>
              <w:bottom w:val="nil" w:sz="6" w:space="0" w:color="auto"/>
              <w:right w:val="nil" w:sz="6" w:space="0" w:color="auto"/>
            </w:tcBorders>
          </w:tcPr>
          <w:p>
            <w:pPr/>
          </w:p>
        </w:tc>
      </w:tr>
      <w:tr>
        <w:trPr>
          <w:trHeight w:val="340" w:hRule="exact"/>
        </w:trPr>
        <w:tc>
          <w:tcPr>
            <w:tcW w:w="108" w:type="dxa"/>
            <w:tcBorders>
              <w:top w:val="nil" w:sz="6" w:space="0" w:color="auto"/>
              <w:left w:val="nil" w:sz="6" w:space="0" w:color="auto"/>
              <w:bottom w:val="nil" w:sz="6" w:space="0" w:color="auto"/>
              <w:right w:val="nil" w:sz="6" w:space="0" w:color="auto"/>
            </w:tcBorders>
          </w:tcPr>
          <w:p>
            <w:pPr/>
          </w:p>
        </w:tc>
        <w:tc>
          <w:tcPr>
            <w:tcW w:w="3226"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54" w:type="dxa"/>
            <w:tcBorders>
              <w:top w:val="nil" w:sz="6" w:space="0" w:color="auto"/>
              <w:left w:val="nil" w:sz="6" w:space="0" w:color="auto"/>
              <w:bottom w:val="nil" w:sz="6" w:space="0" w:color="auto"/>
              <w:right w:val="nil" w:sz="6" w:space="0" w:color="auto"/>
            </w:tcBorders>
          </w:tcPr>
          <w:p>
            <w:pPr/>
          </w:p>
        </w:tc>
        <w:tc>
          <w:tcPr>
            <w:tcW w:w="1675" w:type="dxa"/>
            <w:tcBorders>
              <w:top w:val="nil" w:sz="6" w:space="0" w:color="auto"/>
              <w:left w:val="nil" w:sz="6" w:space="0" w:color="auto"/>
              <w:bottom w:val="nil" w:sz="6" w:space="0" w:color="auto"/>
              <w:right w:val="nil" w:sz="6" w:space="0" w:color="auto"/>
            </w:tcBorders>
          </w:tcPr>
          <w:p>
            <w:pPr/>
          </w:p>
        </w:tc>
        <w:tc>
          <w:tcPr>
            <w:tcW w:w="266" w:type="dxa"/>
            <w:tcBorders>
              <w:top w:val="nil" w:sz="6" w:space="0" w:color="auto"/>
              <w:left w:val="nil" w:sz="6" w:space="0" w:color="auto"/>
              <w:bottom w:val="nil" w:sz="6" w:space="0" w:color="auto"/>
              <w:right w:val="nil" w:sz="6" w:space="0" w:color="auto"/>
            </w:tcBorders>
          </w:tcPr>
          <w:p>
            <w:pPr/>
          </w:p>
        </w:tc>
        <w:tc>
          <w:tcPr>
            <w:tcW w:w="197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pacing w:val="-1"/>
                <w:sz w:val="18"/>
              </w:rPr>
              <w:t>18,829,001.62</w:t>
            </w:r>
            <w:r>
              <w:rPr>
                <w:rFonts w:ascii="宋体"/>
                <w:sz w:val="18"/>
              </w:rPr>
            </w:r>
          </w:p>
        </w:tc>
        <w:tc>
          <w:tcPr>
            <w:tcW w:w="276" w:type="dxa"/>
            <w:tcBorders>
              <w:top w:val="nil" w:sz="6" w:space="0" w:color="auto"/>
              <w:left w:val="nil" w:sz="6" w:space="0" w:color="auto"/>
              <w:bottom w:val="nil" w:sz="6" w:space="0" w:color="auto"/>
              <w:right w:val="nil" w:sz="6" w:space="0" w:color="auto"/>
            </w:tcBorders>
          </w:tcPr>
          <w:p>
            <w:pPr/>
          </w:p>
        </w:tc>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5"/>
              <w:jc w:val="right"/>
              <w:rPr>
                <w:rFonts w:ascii="宋体" w:hAnsi="宋体" w:cs="宋体" w:eastAsia="宋体" w:hint="default"/>
                <w:sz w:val="18"/>
                <w:szCs w:val="18"/>
              </w:rPr>
            </w:pPr>
            <w:r>
              <w:rPr>
                <w:rFonts w:ascii="宋体"/>
                <w:spacing w:val="-1"/>
                <w:sz w:val="18"/>
              </w:rPr>
              <w:t>19,351,439.97</w:t>
            </w:r>
          </w:p>
        </w:tc>
        <w:tc>
          <w:tcPr>
            <w:tcW w:w="400" w:type="dxa"/>
            <w:tcBorders>
              <w:top w:val="nil" w:sz="6" w:space="0" w:color="auto"/>
              <w:left w:val="nil" w:sz="6" w:space="0" w:color="auto"/>
              <w:bottom w:val="nil" w:sz="6" w:space="0" w:color="auto"/>
              <w:right w:val="nil" w:sz="6" w:space="0" w:color="auto"/>
            </w:tcBorders>
          </w:tcPr>
          <w:p>
            <w:pPr/>
          </w:p>
        </w:tc>
      </w:tr>
      <w:tr>
        <w:trPr>
          <w:trHeight w:val="340" w:hRule="exact"/>
        </w:trPr>
        <w:tc>
          <w:tcPr>
            <w:tcW w:w="108" w:type="dxa"/>
            <w:tcBorders>
              <w:top w:val="nil" w:sz="6" w:space="0" w:color="auto"/>
              <w:left w:val="nil" w:sz="6" w:space="0" w:color="auto"/>
              <w:bottom w:val="nil" w:sz="6" w:space="0" w:color="auto"/>
              <w:right w:val="nil" w:sz="6" w:space="0" w:color="auto"/>
            </w:tcBorders>
          </w:tcPr>
          <w:p>
            <w:pPr/>
          </w:p>
        </w:tc>
        <w:tc>
          <w:tcPr>
            <w:tcW w:w="3226"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54" w:type="dxa"/>
            <w:tcBorders>
              <w:top w:val="nil" w:sz="6" w:space="0" w:color="auto"/>
              <w:left w:val="nil" w:sz="6" w:space="0" w:color="auto"/>
              <w:bottom w:val="nil" w:sz="6" w:space="0" w:color="auto"/>
              <w:right w:val="nil" w:sz="6" w:space="0" w:color="auto"/>
            </w:tcBorders>
          </w:tcPr>
          <w:p>
            <w:pPr/>
          </w:p>
        </w:tc>
        <w:tc>
          <w:tcPr>
            <w:tcW w:w="1675" w:type="dxa"/>
            <w:tcBorders>
              <w:top w:val="nil" w:sz="6" w:space="0" w:color="auto"/>
              <w:left w:val="nil" w:sz="6" w:space="0" w:color="auto"/>
              <w:bottom w:val="nil" w:sz="6" w:space="0" w:color="auto"/>
              <w:right w:val="nil" w:sz="6" w:space="0" w:color="auto"/>
            </w:tcBorders>
          </w:tcPr>
          <w:p>
            <w:pPr/>
          </w:p>
        </w:tc>
        <w:tc>
          <w:tcPr>
            <w:tcW w:w="266" w:type="dxa"/>
            <w:tcBorders>
              <w:top w:val="nil" w:sz="6" w:space="0" w:color="auto"/>
              <w:left w:val="nil" w:sz="6" w:space="0" w:color="auto"/>
              <w:bottom w:val="nil" w:sz="6" w:space="0" w:color="auto"/>
              <w:right w:val="nil" w:sz="6" w:space="0" w:color="auto"/>
            </w:tcBorders>
          </w:tcPr>
          <w:p>
            <w:pPr/>
          </w:p>
        </w:tc>
        <w:tc>
          <w:tcPr>
            <w:tcW w:w="1975"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5"/>
              <w:jc w:val="right"/>
              <w:rPr>
                <w:rFonts w:ascii="宋体" w:hAnsi="宋体" w:cs="宋体" w:eastAsia="宋体" w:hint="default"/>
                <w:sz w:val="18"/>
                <w:szCs w:val="18"/>
              </w:rPr>
            </w:pPr>
            <w:r>
              <w:rPr>
                <w:rFonts w:ascii="宋体"/>
                <w:sz w:val="18"/>
              </w:rPr>
              <w:t>-</w:t>
            </w:r>
          </w:p>
        </w:tc>
        <w:tc>
          <w:tcPr>
            <w:tcW w:w="276" w:type="dxa"/>
            <w:tcBorders>
              <w:top w:val="nil" w:sz="6" w:space="0" w:color="auto"/>
              <w:left w:val="nil" w:sz="6" w:space="0" w:color="auto"/>
              <w:bottom w:val="nil" w:sz="6" w:space="0" w:color="auto"/>
              <w:right w:val="nil" w:sz="6" w:space="0" w:color="auto"/>
            </w:tcBorders>
          </w:tcPr>
          <w:p>
            <w:pPr/>
          </w:p>
        </w:tc>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5"/>
              <w:jc w:val="right"/>
              <w:rPr>
                <w:rFonts w:ascii="宋体" w:hAnsi="宋体" w:cs="宋体" w:eastAsia="宋体" w:hint="default"/>
                <w:sz w:val="18"/>
                <w:szCs w:val="18"/>
              </w:rPr>
            </w:pPr>
            <w:r>
              <w:rPr>
                <w:rFonts w:ascii="宋体"/>
                <w:sz w:val="18"/>
              </w:rPr>
              <w:t>-</w:t>
            </w:r>
          </w:p>
        </w:tc>
        <w:tc>
          <w:tcPr>
            <w:tcW w:w="400" w:type="dxa"/>
            <w:tcBorders>
              <w:top w:val="nil" w:sz="6" w:space="0" w:color="auto"/>
              <w:left w:val="nil" w:sz="6" w:space="0" w:color="auto"/>
              <w:bottom w:val="nil" w:sz="6" w:space="0" w:color="auto"/>
              <w:right w:val="nil" w:sz="6" w:space="0" w:color="auto"/>
            </w:tcBorders>
          </w:tcPr>
          <w:p>
            <w:pPr/>
          </w:p>
        </w:tc>
      </w:tr>
      <w:tr>
        <w:trPr>
          <w:trHeight w:val="341" w:hRule="exact"/>
        </w:trPr>
        <w:tc>
          <w:tcPr>
            <w:tcW w:w="108" w:type="dxa"/>
            <w:tcBorders>
              <w:top w:val="nil" w:sz="6" w:space="0" w:color="auto"/>
              <w:left w:val="nil" w:sz="6" w:space="0" w:color="auto"/>
              <w:bottom w:val="nil" w:sz="6" w:space="0" w:color="auto"/>
              <w:right w:val="nil" w:sz="6" w:space="0" w:color="auto"/>
            </w:tcBorders>
          </w:tcPr>
          <w:p>
            <w:pPr/>
          </w:p>
        </w:tc>
        <w:tc>
          <w:tcPr>
            <w:tcW w:w="3226"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1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254" w:type="dxa"/>
            <w:tcBorders>
              <w:top w:val="nil" w:sz="6" w:space="0" w:color="auto"/>
              <w:left w:val="nil" w:sz="6" w:space="0" w:color="auto"/>
              <w:bottom w:val="nil" w:sz="6" w:space="0" w:color="auto"/>
              <w:right w:val="nil" w:sz="6" w:space="0" w:color="auto"/>
            </w:tcBorders>
          </w:tcPr>
          <w:p>
            <w:pPr/>
          </w:p>
        </w:tc>
        <w:tc>
          <w:tcPr>
            <w:tcW w:w="1675" w:type="dxa"/>
            <w:tcBorders>
              <w:top w:val="nil" w:sz="6" w:space="0" w:color="auto"/>
              <w:left w:val="nil" w:sz="6" w:space="0" w:color="auto"/>
              <w:bottom w:val="nil" w:sz="6" w:space="0" w:color="auto"/>
              <w:right w:val="nil" w:sz="6" w:space="0" w:color="auto"/>
            </w:tcBorders>
          </w:tcPr>
          <w:p>
            <w:pPr/>
          </w:p>
        </w:tc>
        <w:tc>
          <w:tcPr>
            <w:tcW w:w="266" w:type="dxa"/>
            <w:tcBorders>
              <w:top w:val="nil" w:sz="6" w:space="0" w:color="auto"/>
              <w:left w:val="nil" w:sz="6" w:space="0" w:color="auto"/>
              <w:bottom w:val="nil" w:sz="6" w:space="0" w:color="auto"/>
              <w:right w:val="nil" w:sz="6" w:space="0" w:color="auto"/>
            </w:tcBorders>
          </w:tcPr>
          <w:p>
            <w:pPr/>
          </w:p>
        </w:tc>
        <w:tc>
          <w:tcPr>
            <w:tcW w:w="197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5"/>
              <w:jc w:val="right"/>
              <w:rPr>
                <w:rFonts w:ascii="宋体" w:hAnsi="宋体" w:cs="宋体" w:eastAsia="宋体" w:hint="default"/>
                <w:sz w:val="18"/>
                <w:szCs w:val="18"/>
              </w:rPr>
            </w:pPr>
            <w:r>
              <w:rPr>
                <w:rFonts w:ascii="宋体"/>
                <w:sz w:val="18"/>
              </w:rPr>
              <w:t>-</w:t>
            </w:r>
          </w:p>
        </w:tc>
        <w:tc>
          <w:tcPr>
            <w:tcW w:w="276" w:type="dxa"/>
            <w:tcBorders>
              <w:top w:val="nil" w:sz="6" w:space="0" w:color="auto"/>
              <w:left w:val="nil" w:sz="6" w:space="0" w:color="auto"/>
              <w:bottom w:val="nil" w:sz="6" w:space="0" w:color="auto"/>
              <w:right w:val="nil" w:sz="6" w:space="0" w:color="auto"/>
            </w:tcBorders>
          </w:tcPr>
          <w:p>
            <w:pPr/>
          </w:p>
        </w:tc>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5"/>
              <w:jc w:val="right"/>
              <w:rPr>
                <w:rFonts w:ascii="宋体" w:hAnsi="宋体" w:cs="宋体" w:eastAsia="宋体" w:hint="default"/>
                <w:sz w:val="18"/>
                <w:szCs w:val="18"/>
              </w:rPr>
            </w:pPr>
            <w:r>
              <w:rPr>
                <w:rFonts w:ascii="宋体"/>
                <w:sz w:val="18"/>
              </w:rPr>
              <w:t>-</w:t>
            </w:r>
          </w:p>
        </w:tc>
        <w:tc>
          <w:tcPr>
            <w:tcW w:w="400" w:type="dxa"/>
            <w:tcBorders>
              <w:top w:val="nil" w:sz="6" w:space="0" w:color="auto"/>
              <w:left w:val="nil" w:sz="6" w:space="0" w:color="auto"/>
              <w:bottom w:val="nil" w:sz="6" w:space="0" w:color="auto"/>
              <w:right w:val="nil" w:sz="6" w:space="0" w:color="auto"/>
            </w:tcBorders>
          </w:tcPr>
          <w:p>
            <w:pPr/>
          </w:p>
        </w:tc>
      </w:tr>
      <w:tr>
        <w:trPr>
          <w:trHeight w:val="340" w:hRule="exact"/>
        </w:trPr>
        <w:tc>
          <w:tcPr>
            <w:tcW w:w="108" w:type="dxa"/>
            <w:tcBorders>
              <w:top w:val="nil" w:sz="6" w:space="0" w:color="auto"/>
              <w:left w:val="nil" w:sz="6" w:space="0" w:color="auto"/>
              <w:bottom w:val="nil" w:sz="6" w:space="0" w:color="auto"/>
              <w:right w:val="nil" w:sz="6" w:space="0" w:color="auto"/>
            </w:tcBorders>
          </w:tcPr>
          <w:p>
            <w:pPr/>
          </w:p>
        </w:tc>
        <w:tc>
          <w:tcPr>
            <w:tcW w:w="3226"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1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254" w:type="dxa"/>
            <w:tcBorders>
              <w:top w:val="nil" w:sz="6" w:space="0" w:color="auto"/>
              <w:left w:val="nil" w:sz="6" w:space="0" w:color="auto"/>
              <w:bottom w:val="nil" w:sz="6" w:space="0" w:color="auto"/>
              <w:right w:val="nil" w:sz="6" w:space="0" w:color="auto"/>
            </w:tcBorders>
          </w:tcPr>
          <w:p>
            <w:pPr/>
          </w:p>
        </w:tc>
        <w:tc>
          <w:tcPr>
            <w:tcW w:w="1675" w:type="dxa"/>
            <w:tcBorders>
              <w:top w:val="nil" w:sz="6" w:space="0" w:color="auto"/>
              <w:left w:val="nil" w:sz="6" w:space="0" w:color="auto"/>
              <w:bottom w:val="nil" w:sz="6" w:space="0" w:color="auto"/>
              <w:right w:val="nil" w:sz="6" w:space="0" w:color="auto"/>
            </w:tcBorders>
          </w:tcPr>
          <w:p>
            <w:pPr/>
          </w:p>
        </w:tc>
        <w:tc>
          <w:tcPr>
            <w:tcW w:w="266" w:type="dxa"/>
            <w:tcBorders>
              <w:top w:val="nil" w:sz="6" w:space="0" w:color="auto"/>
              <w:left w:val="nil" w:sz="6" w:space="0" w:color="auto"/>
              <w:bottom w:val="nil" w:sz="6" w:space="0" w:color="auto"/>
              <w:right w:val="nil" w:sz="6" w:space="0" w:color="auto"/>
            </w:tcBorders>
          </w:tcPr>
          <w:p>
            <w:pPr/>
          </w:p>
        </w:tc>
        <w:tc>
          <w:tcPr>
            <w:tcW w:w="197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5"/>
              <w:jc w:val="right"/>
              <w:rPr>
                <w:rFonts w:ascii="宋体" w:hAnsi="宋体" w:cs="宋体" w:eastAsia="宋体" w:hint="default"/>
                <w:sz w:val="18"/>
                <w:szCs w:val="18"/>
              </w:rPr>
            </w:pPr>
            <w:r>
              <w:rPr>
                <w:rFonts w:ascii="宋体"/>
                <w:sz w:val="18"/>
              </w:rPr>
              <w:t>-</w:t>
            </w:r>
          </w:p>
        </w:tc>
        <w:tc>
          <w:tcPr>
            <w:tcW w:w="276" w:type="dxa"/>
            <w:tcBorders>
              <w:top w:val="nil" w:sz="6" w:space="0" w:color="auto"/>
              <w:left w:val="nil" w:sz="6" w:space="0" w:color="auto"/>
              <w:bottom w:val="nil" w:sz="6" w:space="0" w:color="auto"/>
              <w:right w:val="nil" w:sz="6" w:space="0" w:color="auto"/>
            </w:tcBorders>
          </w:tcPr>
          <w:p>
            <w:pPr/>
          </w:p>
        </w:tc>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5"/>
              <w:jc w:val="right"/>
              <w:rPr>
                <w:rFonts w:ascii="宋体" w:hAnsi="宋体" w:cs="宋体" w:eastAsia="宋体" w:hint="default"/>
                <w:sz w:val="18"/>
                <w:szCs w:val="18"/>
              </w:rPr>
            </w:pPr>
            <w:r>
              <w:rPr>
                <w:rFonts w:ascii="宋体"/>
                <w:sz w:val="18"/>
              </w:rPr>
              <w:t>-</w:t>
            </w:r>
          </w:p>
        </w:tc>
        <w:tc>
          <w:tcPr>
            <w:tcW w:w="400" w:type="dxa"/>
            <w:tcBorders>
              <w:top w:val="nil" w:sz="6" w:space="0" w:color="auto"/>
              <w:left w:val="nil" w:sz="6" w:space="0" w:color="auto"/>
              <w:bottom w:val="nil" w:sz="6" w:space="0" w:color="auto"/>
              <w:right w:val="nil" w:sz="6" w:space="0" w:color="auto"/>
            </w:tcBorders>
          </w:tcPr>
          <w:p>
            <w:pPr/>
          </w:p>
        </w:tc>
      </w:tr>
      <w:tr>
        <w:trPr>
          <w:trHeight w:val="340" w:hRule="exact"/>
        </w:trPr>
        <w:tc>
          <w:tcPr>
            <w:tcW w:w="108" w:type="dxa"/>
            <w:tcBorders>
              <w:top w:val="nil" w:sz="6" w:space="0" w:color="auto"/>
              <w:left w:val="nil" w:sz="6" w:space="0" w:color="auto"/>
              <w:bottom w:val="nil" w:sz="6" w:space="0" w:color="auto"/>
              <w:right w:val="nil" w:sz="6" w:space="0" w:color="auto"/>
            </w:tcBorders>
          </w:tcPr>
          <w:p>
            <w:pPr/>
          </w:p>
        </w:tc>
        <w:tc>
          <w:tcPr>
            <w:tcW w:w="3226"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1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54" w:type="dxa"/>
            <w:tcBorders>
              <w:top w:val="nil" w:sz="6" w:space="0" w:color="auto"/>
              <w:left w:val="nil" w:sz="6" w:space="0" w:color="auto"/>
              <w:bottom w:val="nil" w:sz="6" w:space="0" w:color="auto"/>
              <w:right w:val="nil" w:sz="6" w:space="0" w:color="auto"/>
            </w:tcBorders>
          </w:tcPr>
          <w:p>
            <w:pPr/>
          </w:p>
        </w:tc>
        <w:tc>
          <w:tcPr>
            <w:tcW w:w="1675" w:type="dxa"/>
            <w:tcBorders>
              <w:top w:val="nil" w:sz="6" w:space="0" w:color="auto"/>
              <w:left w:val="nil" w:sz="6" w:space="0" w:color="auto"/>
              <w:bottom w:val="nil" w:sz="6" w:space="0" w:color="auto"/>
              <w:right w:val="nil" w:sz="6" w:space="0" w:color="auto"/>
            </w:tcBorders>
          </w:tcPr>
          <w:p>
            <w:pPr/>
          </w:p>
        </w:tc>
        <w:tc>
          <w:tcPr>
            <w:tcW w:w="266" w:type="dxa"/>
            <w:tcBorders>
              <w:top w:val="nil" w:sz="6" w:space="0" w:color="auto"/>
              <w:left w:val="nil" w:sz="6" w:space="0" w:color="auto"/>
              <w:bottom w:val="nil" w:sz="6" w:space="0" w:color="auto"/>
              <w:right w:val="nil" w:sz="6" w:space="0" w:color="auto"/>
            </w:tcBorders>
          </w:tcPr>
          <w:p>
            <w:pPr/>
          </w:p>
        </w:tc>
        <w:tc>
          <w:tcPr>
            <w:tcW w:w="1975"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5"/>
              <w:jc w:val="right"/>
              <w:rPr>
                <w:rFonts w:ascii="宋体" w:hAnsi="宋体" w:cs="宋体" w:eastAsia="宋体" w:hint="default"/>
                <w:sz w:val="18"/>
                <w:szCs w:val="18"/>
              </w:rPr>
            </w:pPr>
            <w:r>
              <w:rPr>
                <w:rFonts w:ascii="宋体"/>
                <w:sz w:val="18"/>
              </w:rPr>
              <w:t>-</w:t>
            </w:r>
          </w:p>
        </w:tc>
        <w:tc>
          <w:tcPr>
            <w:tcW w:w="276" w:type="dxa"/>
            <w:tcBorders>
              <w:top w:val="nil" w:sz="6" w:space="0" w:color="auto"/>
              <w:left w:val="nil" w:sz="6" w:space="0" w:color="auto"/>
              <w:bottom w:val="nil" w:sz="6" w:space="0" w:color="auto"/>
              <w:right w:val="nil" w:sz="6" w:space="0" w:color="auto"/>
            </w:tcBorders>
          </w:tcPr>
          <w:p>
            <w:pPr/>
          </w:p>
        </w:tc>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5"/>
              <w:jc w:val="right"/>
              <w:rPr>
                <w:rFonts w:ascii="宋体" w:hAnsi="宋体" w:cs="宋体" w:eastAsia="宋体" w:hint="default"/>
                <w:sz w:val="18"/>
                <w:szCs w:val="18"/>
              </w:rPr>
            </w:pPr>
            <w:r>
              <w:rPr>
                <w:rFonts w:ascii="宋体"/>
                <w:sz w:val="18"/>
              </w:rPr>
              <w:t>-</w:t>
            </w:r>
          </w:p>
        </w:tc>
        <w:tc>
          <w:tcPr>
            <w:tcW w:w="400" w:type="dxa"/>
            <w:tcBorders>
              <w:top w:val="nil" w:sz="6" w:space="0" w:color="auto"/>
              <w:left w:val="nil" w:sz="6" w:space="0" w:color="auto"/>
              <w:bottom w:val="nil" w:sz="6" w:space="0" w:color="auto"/>
              <w:right w:val="nil" w:sz="6" w:space="0" w:color="auto"/>
            </w:tcBorders>
          </w:tcPr>
          <w:p>
            <w:pPr/>
          </w:p>
        </w:tc>
      </w:tr>
      <w:tr>
        <w:trPr>
          <w:trHeight w:val="341" w:hRule="exact"/>
        </w:trPr>
        <w:tc>
          <w:tcPr>
            <w:tcW w:w="108" w:type="dxa"/>
            <w:tcBorders>
              <w:top w:val="nil" w:sz="6" w:space="0" w:color="auto"/>
              <w:left w:val="nil" w:sz="6" w:space="0" w:color="auto"/>
              <w:bottom w:val="nil" w:sz="6" w:space="0" w:color="auto"/>
              <w:right w:val="nil" w:sz="6" w:space="0" w:color="auto"/>
            </w:tcBorders>
          </w:tcPr>
          <w:p>
            <w:pPr/>
          </w:p>
        </w:tc>
        <w:tc>
          <w:tcPr>
            <w:tcW w:w="3226"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54" w:type="dxa"/>
            <w:tcBorders>
              <w:top w:val="nil" w:sz="6" w:space="0" w:color="auto"/>
              <w:left w:val="nil" w:sz="6" w:space="0" w:color="auto"/>
              <w:bottom w:val="nil" w:sz="6" w:space="0" w:color="auto"/>
              <w:right w:val="nil" w:sz="6" w:space="0" w:color="auto"/>
            </w:tcBorders>
          </w:tcPr>
          <w:p>
            <w:pPr/>
          </w:p>
        </w:tc>
        <w:tc>
          <w:tcPr>
            <w:tcW w:w="1675" w:type="dxa"/>
            <w:tcBorders>
              <w:top w:val="nil" w:sz="6" w:space="0" w:color="auto"/>
              <w:left w:val="nil" w:sz="6" w:space="0" w:color="auto"/>
              <w:bottom w:val="nil" w:sz="6" w:space="0" w:color="auto"/>
              <w:right w:val="nil" w:sz="6" w:space="0" w:color="auto"/>
            </w:tcBorders>
          </w:tcPr>
          <w:p>
            <w:pPr/>
          </w:p>
        </w:tc>
        <w:tc>
          <w:tcPr>
            <w:tcW w:w="266" w:type="dxa"/>
            <w:tcBorders>
              <w:top w:val="nil" w:sz="6" w:space="0" w:color="auto"/>
              <w:left w:val="nil" w:sz="6" w:space="0" w:color="auto"/>
              <w:bottom w:val="nil" w:sz="6" w:space="0" w:color="auto"/>
              <w:right w:val="nil" w:sz="6" w:space="0" w:color="auto"/>
            </w:tcBorders>
          </w:tcPr>
          <w:p>
            <w:pPr/>
          </w:p>
        </w:tc>
        <w:tc>
          <w:tcPr>
            <w:tcW w:w="197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1"/>
              <w:jc w:val="right"/>
              <w:rPr>
                <w:rFonts w:ascii="宋体" w:hAnsi="宋体" w:cs="宋体" w:eastAsia="宋体" w:hint="default"/>
                <w:sz w:val="18"/>
                <w:szCs w:val="18"/>
              </w:rPr>
            </w:pPr>
            <w:r>
              <w:rPr>
                <w:rFonts w:ascii="宋体"/>
                <w:spacing w:val="-1"/>
                <w:sz w:val="18"/>
              </w:rPr>
              <w:t>3,678,299.87</w:t>
            </w:r>
            <w:r>
              <w:rPr>
                <w:rFonts w:ascii="宋体"/>
                <w:sz w:val="18"/>
              </w:rPr>
            </w:r>
          </w:p>
        </w:tc>
        <w:tc>
          <w:tcPr>
            <w:tcW w:w="276" w:type="dxa"/>
            <w:tcBorders>
              <w:top w:val="nil" w:sz="6" w:space="0" w:color="auto"/>
              <w:left w:val="nil" w:sz="6" w:space="0" w:color="auto"/>
              <w:bottom w:val="nil" w:sz="6" w:space="0" w:color="auto"/>
              <w:right w:val="nil" w:sz="6" w:space="0" w:color="auto"/>
            </w:tcBorders>
          </w:tcPr>
          <w:p>
            <w:pPr/>
          </w:p>
        </w:tc>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pacing w:val="-1"/>
                <w:sz w:val="18"/>
              </w:rPr>
              <w:t>5,124,940.22</w:t>
            </w:r>
            <w:r>
              <w:rPr>
                <w:rFonts w:ascii="宋体"/>
                <w:sz w:val="18"/>
              </w:rPr>
            </w:r>
          </w:p>
        </w:tc>
        <w:tc>
          <w:tcPr>
            <w:tcW w:w="400" w:type="dxa"/>
            <w:tcBorders>
              <w:top w:val="nil" w:sz="6" w:space="0" w:color="auto"/>
              <w:left w:val="nil" w:sz="6" w:space="0" w:color="auto"/>
              <w:bottom w:val="nil" w:sz="6" w:space="0" w:color="auto"/>
              <w:right w:val="nil" w:sz="6" w:space="0" w:color="auto"/>
            </w:tcBorders>
          </w:tcPr>
          <w:p>
            <w:pPr/>
          </w:p>
        </w:tc>
      </w:tr>
      <w:tr>
        <w:trPr>
          <w:trHeight w:val="340" w:hRule="exact"/>
        </w:trPr>
        <w:tc>
          <w:tcPr>
            <w:tcW w:w="108" w:type="dxa"/>
            <w:tcBorders>
              <w:top w:val="nil" w:sz="6" w:space="0" w:color="auto"/>
              <w:left w:val="nil" w:sz="6" w:space="0" w:color="auto"/>
              <w:bottom w:val="nil" w:sz="6" w:space="0" w:color="auto"/>
              <w:right w:val="nil" w:sz="6" w:space="0" w:color="auto"/>
            </w:tcBorders>
          </w:tcPr>
          <w:p>
            <w:pPr/>
          </w:p>
        </w:tc>
        <w:tc>
          <w:tcPr>
            <w:tcW w:w="3226"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1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54" w:type="dxa"/>
            <w:tcBorders>
              <w:top w:val="nil" w:sz="6" w:space="0" w:color="auto"/>
              <w:left w:val="nil" w:sz="6" w:space="0" w:color="auto"/>
              <w:bottom w:val="nil" w:sz="6" w:space="0" w:color="auto"/>
              <w:right w:val="nil" w:sz="6" w:space="0" w:color="auto"/>
            </w:tcBorders>
          </w:tcPr>
          <w:p>
            <w:pPr/>
          </w:p>
        </w:tc>
        <w:tc>
          <w:tcPr>
            <w:tcW w:w="1675" w:type="dxa"/>
            <w:tcBorders>
              <w:top w:val="nil" w:sz="6" w:space="0" w:color="auto"/>
              <w:left w:val="nil" w:sz="6" w:space="0" w:color="auto"/>
              <w:bottom w:val="nil" w:sz="6" w:space="0" w:color="auto"/>
              <w:right w:val="nil" w:sz="6" w:space="0" w:color="auto"/>
            </w:tcBorders>
          </w:tcPr>
          <w:p>
            <w:pPr/>
          </w:p>
        </w:tc>
        <w:tc>
          <w:tcPr>
            <w:tcW w:w="266" w:type="dxa"/>
            <w:tcBorders>
              <w:top w:val="nil" w:sz="6" w:space="0" w:color="auto"/>
              <w:left w:val="nil" w:sz="6" w:space="0" w:color="auto"/>
              <w:bottom w:val="nil" w:sz="6" w:space="0" w:color="auto"/>
              <w:right w:val="nil" w:sz="6" w:space="0" w:color="auto"/>
            </w:tcBorders>
          </w:tcPr>
          <w:p>
            <w:pPr/>
          </w:p>
        </w:tc>
        <w:tc>
          <w:tcPr>
            <w:tcW w:w="197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pacing w:val="-1"/>
                <w:sz w:val="18"/>
              </w:rPr>
              <w:t>2,421,278.60</w:t>
            </w:r>
            <w:r>
              <w:rPr>
                <w:rFonts w:ascii="宋体"/>
                <w:sz w:val="18"/>
              </w:rPr>
            </w:r>
          </w:p>
        </w:tc>
        <w:tc>
          <w:tcPr>
            <w:tcW w:w="276" w:type="dxa"/>
            <w:tcBorders>
              <w:top w:val="nil" w:sz="6" w:space="0" w:color="auto"/>
              <w:left w:val="nil" w:sz="6" w:space="0" w:color="auto"/>
              <w:bottom w:val="nil" w:sz="6" w:space="0" w:color="auto"/>
              <w:right w:val="nil" w:sz="6" w:space="0" w:color="auto"/>
            </w:tcBorders>
          </w:tcPr>
          <w:p>
            <w:pPr/>
          </w:p>
        </w:tc>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5"/>
              <w:jc w:val="right"/>
              <w:rPr>
                <w:rFonts w:ascii="宋体" w:hAnsi="宋体" w:cs="宋体" w:eastAsia="宋体" w:hint="default"/>
                <w:sz w:val="18"/>
                <w:szCs w:val="18"/>
              </w:rPr>
            </w:pPr>
            <w:r>
              <w:rPr>
                <w:rFonts w:ascii="宋体"/>
                <w:spacing w:val="-1"/>
                <w:sz w:val="18"/>
              </w:rPr>
              <w:t>1,457,813.01</w:t>
            </w:r>
          </w:p>
        </w:tc>
        <w:tc>
          <w:tcPr>
            <w:tcW w:w="400" w:type="dxa"/>
            <w:tcBorders>
              <w:top w:val="nil" w:sz="6" w:space="0" w:color="auto"/>
              <w:left w:val="nil" w:sz="6" w:space="0" w:color="auto"/>
              <w:bottom w:val="nil" w:sz="6" w:space="0" w:color="auto"/>
              <w:right w:val="nil" w:sz="6" w:space="0" w:color="auto"/>
            </w:tcBorders>
          </w:tcPr>
          <w:p>
            <w:pPr/>
          </w:p>
        </w:tc>
      </w:tr>
      <w:tr>
        <w:trPr>
          <w:trHeight w:val="340" w:hRule="exact"/>
        </w:trPr>
        <w:tc>
          <w:tcPr>
            <w:tcW w:w="108" w:type="dxa"/>
            <w:tcBorders>
              <w:top w:val="nil" w:sz="6" w:space="0" w:color="auto"/>
              <w:left w:val="nil" w:sz="6" w:space="0" w:color="auto"/>
              <w:bottom w:val="nil" w:sz="6" w:space="0" w:color="auto"/>
              <w:right w:val="nil" w:sz="6" w:space="0" w:color="auto"/>
            </w:tcBorders>
          </w:tcPr>
          <w:p>
            <w:pPr/>
          </w:p>
        </w:tc>
        <w:tc>
          <w:tcPr>
            <w:tcW w:w="3226"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1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54" w:type="dxa"/>
            <w:tcBorders>
              <w:top w:val="nil" w:sz="6" w:space="0" w:color="auto"/>
              <w:left w:val="nil" w:sz="6" w:space="0" w:color="auto"/>
              <w:bottom w:val="nil" w:sz="6" w:space="0" w:color="auto"/>
              <w:right w:val="nil" w:sz="6" w:space="0" w:color="auto"/>
            </w:tcBorders>
          </w:tcPr>
          <w:p>
            <w:pPr/>
          </w:p>
        </w:tc>
        <w:tc>
          <w:tcPr>
            <w:tcW w:w="1675" w:type="dxa"/>
            <w:tcBorders>
              <w:top w:val="nil" w:sz="6" w:space="0" w:color="auto"/>
              <w:left w:val="nil" w:sz="6" w:space="0" w:color="auto"/>
              <w:bottom w:val="nil" w:sz="6" w:space="0" w:color="auto"/>
              <w:right w:val="nil" w:sz="6" w:space="0" w:color="auto"/>
            </w:tcBorders>
          </w:tcPr>
          <w:p>
            <w:pPr/>
          </w:p>
        </w:tc>
        <w:tc>
          <w:tcPr>
            <w:tcW w:w="266" w:type="dxa"/>
            <w:tcBorders>
              <w:top w:val="nil" w:sz="6" w:space="0" w:color="auto"/>
              <w:left w:val="nil" w:sz="6" w:space="0" w:color="auto"/>
              <w:bottom w:val="nil" w:sz="6" w:space="0" w:color="auto"/>
              <w:right w:val="nil" w:sz="6" w:space="0" w:color="auto"/>
            </w:tcBorders>
          </w:tcPr>
          <w:p>
            <w:pPr/>
          </w:p>
        </w:tc>
        <w:tc>
          <w:tcPr>
            <w:tcW w:w="1975"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5"/>
              <w:jc w:val="right"/>
              <w:rPr>
                <w:rFonts w:ascii="宋体" w:hAnsi="宋体" w:cs="宋体" w:eastAsia="宋体" w:hint="default"/>
                <w:sz w:val="18"/>
                <w:szCs w:val="18"/>
              </w:rPr>
            </w:pPr>
            <w:r>
              <w:rPr>
                <w:rFonts w:ascii="宋体"/>
                <w:sz w:val="18"/>
              </w:rPr>
              <w:t>-</w:t>
            </w:r>
          </w:p>
        </w:tc>
        <w:tc>
          <w:tcPr>
            <w:tcW w:w="276" w:type="dxa"/>
            <w:tcBorders>
              <w:top w:val="nil" w:sz="6" w:space="0" w:color="auto"/>
              <w:left w:val="nil" w:sz="6" w:space="0" w:color="auto"/>
              <w:bottom w:val="nil" w:sz="6" w:space="0" w:color="auto"/>
              <w:right w:val="nil" w:sz="6" w:space="0" w:color="auto"/>
            </w:tcBorders>
          </w:tcPr>
          <w:p>
            <w:pPr/>
          </w:p>
        </w:tc>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5"/>
              <w:jc w:val="right"/>
              <w:rPr>
                <w:rFonts w:ascii="宋体" w:hAnsi="宋体" w:cs="宋体" w:eastAsia="宋体" w:hint="default"/>
                <w:sz w:val="18"/>
                <w:szCs w:val="18"/>
              </w:rPr>
            </w:pPr>
            <w:r>
              <w:rPr>
                <w:rFonts w:ascii="宋体"/>
                <w:sz w:val="18"/>
              </w:rPr>
              <w:t>-</w:t>
            </w:r>
          </w:p>
        </w:tc>
        <w:tc>
          <w:tcPr>
            <w:tcW w:w="400" w:type="dxa"/>
            <w:tcBorders>
              <w:top w:val="nil" w:sz="6" w:space="0" w:color="auto"/>
              <w:left w:val="nil" w:sz="6" w:space="0" w:color="auto"/>
              <w:bottom w:val="nil" w:sz="6" w:space="0" w:color="auto"/>
              <w:right w:val="nil" w:sz="6" w:space="0" w:color="auto"/>
            </w:tcBorders>
          </w:tcPr>
          <w:p>
            <w:pPr/>
          </w:p>
        </w:tc>
      </w:tr>
      <w:tr>
        <w:trPr>
          <w:trHeight w:val="341" w:hRule="exact"/>
        </w:trPr>
        <w:tc>
          <w:tcPr>
            <w:tcW w:w="108" w:type="dxa"/>
            <w:tcBorders>
              <w:top w:val="nil" w:sz="6" w:space="0" w:color="auto"/>
              <w:left w:val="nil" w:sz="6" w:space="0" w:color="auto"/>
              <w:bottom w:val="nil" w:sz="6" w:space="0" w:color="auto"/>
              <w:right w:val="nil" w:sz="6" w:space="0" w:color="auto"/>
            </w:tcBorders>
          </w:tcPr>
          <w:p>
            <w:pPr/>
          </w:p>
        </w:tc>
        <w:tc>
          <w:tcPr>
            <w:tcW w:w="3226"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1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54" w:type="dxa"/>
            <w:tcBorders>
              <w:top w:val="nil" w:sz="6" w:space="0" w:color="auto"/>
              <w:left w:val="nil" w:sz="6" w:space="0" w:color="auto"/>
              <w:bottom w:val="nil" w:sz="6" w:space="0" w:color="auto"/>
              <w:right w:val="nil" w:sz="6" w:space="0" w:color="auto"/>
            </w:tcBorders>
          </w:tcPr>
          <w:p>
            <w:pPr/>
          </w:p>
        </w:tc>
        <w:tc>
          <w:tcPr>
            <w:tcW w:w="1675" w:type="dxa"/>
            <w:tcBorders>
              <w:top w:val="nil" w:sz="6" w:space="0" w:color="auto"/>
              <w:left w:val="nil" w:sz="6" w:space="0" w:color="auto"/>
              <w:bottom w:val="nil" w:sz="6" w:space="0" w:color="auto"/>
              <w:right w:val="nil" w:sz="6" w:space="0" w:color="auto"/>
            </w:tcBorders>
          </w:tcPr>
          <w:p>
            <w:pPr/>
          </w:p>
        </w:tc>
        <w:tc>
          <w:tcPr>
            <w:tcW w:w="266" w:type="dxa"/>
            <w:tcBorders>
              <w:top w:val="nil" w:sz="6" w:space="0" w:color="auto"/>
              <w:left w:val="nil" w:sz="6" w:space="0" w:color="auto"/>
              <w:bottom w:val="nil" w:sz="6" w:space="0" w:color="auto"/>
              <w:right w:val="nil" w:sz="6" w:space="0" w:color="auto"/>
            </w:tcBorders>
          </w:tcPr>
          <w:p>
            <w:pPr/>
          </w:p>
        </w:tc>
        <w:tc>
          <w:tcPr>
            <w:tcW w:w="197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pacing w:val="-1"/>
                <w:sz w:val="18"/>
              </w:rPr>
              <w:t>32,004.01</w:t>
            </w:r>
            <w:r>
              <w:rPr>
                <w:rFonts w:ascii="宋体"/>
                <w:sz w:val="18"/>
              </w:rPr>
            </w:r>
          </w:p>
        </w:tc>
        <w:tc>
          <w:tcPr>
            <w:tcW w:w="276" w:type="dxa"/>
            <w:tcBorders>
              <w:top w:val="nil" w:sz="6" w:space="0" w:color="auto"/>
              <w:left w:val="nil" w:sz="6" w:space="0" w:color="auto"/>
              <w:bottom w:val="nil" w:sz="6" w:space="0" w:color="auto"/>
              <w:right w:val="nil" w:sz="6" w:space="0" w:color="auto"/>
            </w:tcBorders>
          </w:tcPr>
          <w:p>
            <w:pPr/>
          </w:p>
        </w:tc>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5"/>
              <w:jc w:val="right"/>
              <w:rPr>
                <w:rFonts w:ascii="宋体" w:hAnsi="宋体" w:cs="宋体" w:eastAsia="宋体" w:hint="default"/>
                <w:sz w:val="18"/>
                <w:szCs w:val="18"/>
              </w:rPr>
            </w:pPr>
            <w:r>
              <w:rPr>
                <w:rFonts w:ascii="宋体"/>
                <w:spacing w:val="-1"/>
                <w:sz w:val="18"/>
              </w:rPr>
              <w:t>99,415.99</w:t>
            </w:r>
          </w:p>
        </w:tc>
        <w:tc>
          <w:tcPr>
            <w:tcW w:w="400" w:type="dxa"/>
            <w:tcBorders>
              <w:top w:val="nil" w:sz="6" w:space="0" w:color="auto"/>
              <w:left w:val="nil" w:sz="6" w:space="0" w:color="auto"/>
              <w:bottom w:val="nil" w:sz="6" w:space="0" w:color="auto"/>
              <w:right w:val="nil" w:sz="6" w:space="0" w:color="auto"/>
            </w:tcBorders>
          </w:tcPr>
          <w:p>
            <w:pPr/>
          </w:p>
        </w:tc>
      </w:tr>
      <w:tr>
        <w:trPr>
          <w:trHeight w:val="340" w:hRule="exact"/>
        </w:trPr>
        <w:tc>
          <w:tcPr>
            <w:tcW w:w="108" w:type="dxa"/>
            <w:tcBorders>
              <w:top w:val="nil" w:sz="6" w:space="0" w:color="auto"/>
              <w:left w:val="nil" w:sz="6" w:space="0" w:color="auto"/>
              <w:bottom w:val="nil" w:sz="6" w:space="0" w:color="auto"/>
              <w:right w:val="nil" w:sz="6" w:space="0" w:color="auto"/>
            </w:tcBorders>
          </w:tcPr>
          <w:p>
            <w:pPr/>
          </w:p>
        </w:tc>
        <w:tc>
          <w:tcPr>
            <w:tcW w:w="3226"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1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54" w:type="dxa"/>
            <w:tcBorders>
              <w:top w:val="nil" w:sz="6" w:space="0" w:color="auto"/>
              <w:left w:val="nil" w:sz="6" w:space="0" w:color="auto"/>
              <w:bottom w:val="nil" w:sz="6" w:space="0" w:color="auto"/>
              <w:right w:val="nil" w:sz="6" w:space="0" w:color="auto"/>
            </w:tcBorders>
          </w:tcPr>
          <w:p>
            <w:pPr/>
          </w:p>
        </w:tc>
        <w:tc>
          <w:tcPr>
            <w:tcW w:w="1675" w:type="dxa"/>
            <w:tcBorders>
              <w:top w:val="nil" w:sz="6" w:space="0" w:color="auto"/>
              <w:left w:val="nil" w:sz="6" w:space="0" w:color="auto"/>
              <w:bottom w:val="nil" w:sz="6" w:space="0" w:color="auto"/>
              <w:right w:val="nil" w:sz="6" w:space="0" w:color="auto"/>
            </w:tcBorders>
          </w:tcPr>
          <w:p>
            <w:pPr/>
          </w:p>
        </w:tc>
        <w:tc>
          <w:tcPr>
            <w:tcW w:w="266" w:type="dxa"/>
            <w:tcBorders>
              <w:top w:val="nil" w:sz="6" w:space="0" w:color="auto"/>
              <w:left w:val="nil" w:sz="6" w:space="0" w:color="auto"/>
              <w:bottom w:val="nil" w:sz="6" w:space="0" w:color="auto"/>
              <w:right w:val="nil" w:sz="6" w:space="0" w:color="auto"/>
            </w:tcBorders>
          </w:tcPr>
          <w:p>
            <w:pPr/>
          </w:p>
        </w:tc>
        <w:tc>
          <w:tcPr>
            <w:tcW w:w="197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pacing w:val="-1"/>
                <w:sz w:val="18"/>
              </w:rPr>
              <w:t>227,250.31</w:t>
            </w:r>
            <w:r>
              <w:rPr>
                <w:rFonts w:ascii="宋体"/>
                <w:sz w:val="18"/>
              </w:rPr>
            </w:r>
          </w:p>
        </w:tc>
        <w:tc>
          <w:tcPr>
            <w:tcW w:w="276" w:type="dxa"/>
            <w:tcBorders>
              <w:top w:val="nil" w:sz="6" w:space="0" w:color="auto"/>
              <w:left w:val="nil" w:sz="6" w:space="0" w:color="auto"/>
              <w:bottom w:val="nil" w:sz="6" w:space="0" w:color="auto"/>
              <w:right w:val="nil" w:sz="6" w:space="0" w:color="auto"/>
            </w:tcBorders>
          </w:tcPr>
          <w:p>
            <w:pPr/>
          </w:p>
        </w:tc>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
              <w:jc w:val="right"/>
              <w:rPr>
                <w:rFonts w:ascii="宋体" w:hAnsi="宋体" w:cs="宋体" w:eastAsia="宋体" w:hint="default"/>
                <w:sz w:val="18"/>
                <w:szCs w:val="18"/>
              </w:rPr>
            </w:pPr>
            <w:r>
              <w:rPr>
                <w:rFonts w:ascii="宋体"/>
                <w:spacing w:val="-1"/>
                <w:sz w:val="18"/>
              </w:rPr>
              <w:t>152,209.99</w:t>
            </w:r>
            <w:r>
              <w:rPr>
                <w:rFonts w:ascii="宋体"/>
                <w:sz w:val="18"/>
              </w:rPr>
            </w:r>
          </w:p>
        </w:tc>
        <w:tc>
          <w:tcPr>
            <w:tcW w:w="400" w:type="dxa"/>
            <w:tcBorders>
              <w:top w:val="nil" w:sz="6" w:space="0" w:color="auto"/>
              <w:left w:val="nil" w:sz="6" w:space="0" w:color="auto"/>
              <w:bottom w:val="nil" w:sz="6" w:space="0" w:color="auto"/>
              <w:right w:val="nil" w:sz="6" w:space="0" w:color="auto"/>
            </w:tcBorders>
          </w:tcPr>
          <w:p>
            <w:pPr/>
          </w:p>
        </w:tc>
      </w:tr>
      <w:tr>
        <w:trPr>
          <w:trHeight w:val="344" w:hRule="exact"/>
        </w:trPr>
        <w:tc>
          <w:tcPr>
            <w:tcW w:w="108" w:type="dxa"/>
            <w:tcBorders>
              <w:top w:val="nil" w:sz="6" w:space="0" w:color="auto"/>
              <w:left w:val="nil" w:sz="6" w:space="0" w:color="auto"/>
              <w:bottom w:val="nil" w:sz="6" w:space="0" w:color="auto"/>
              <w:right w:val="nil" w:sz="6" w:space="0" w:color="auto"/>
            </w:tcBorders>
          </w:tcPr>
          <w:p>
            <w:pPr/>
          </w:p>
        </w:tc>
        <w:tc>
          <w:tcPr>
            <w:tcW w:w="3226"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1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54" w:type="dxa"/>
            <w:tcBorders>
              <w:top w:val="nil" w:sz="6" w:space="0" w:color="auto"/>
              <w:left w:val="nil" w:sz="6" w:space="0" w:color="auto"/>
              <w:bottom w:val="nil" w:sz="6" w:space="0" w:color="auto"/>
              <w:right w:val="nil" w:sz="6" w:space="0" w:color="auto"/>
            </w:tcBorders>
          </w:tcPr>
          <w:p>
            <w:pPr/>
          </w:p>
        </w:tc>
        <w:tc>
          <w:tcPr>
            <w:tcW w:w="1675" w:type="dxa"/>
            <w:tcBorders>
              <w:top w:val="nil" w:sz="6" w:space="0" w:color="auto"/>
              <w:left w:val="nil" w:sz="6" w:space="0" w:color="auto"/>
              <w:bottom w:val="nil" w:sz="6" w:space="0" w:color="auto"/>
              <w:right w:val="nil" w:sz="6" w:space="0" w:color="auto"/>
            </w:tcBorders>
          </w:tcPr>
          <w:p>
            <w:pPr/>
          </w:p>
        </w:tc>
        <w:tc>
          <w:tcPr>
            <w:tcW w:w="266" w:type="dxa"/>
            <w:tcBorders>
              <w:top w:val="nil" w:sz="6" w:space="0" w:color="auto"/>
              <w:left w:val="nil" w:sz="6" w:space="0" w:color="auto"/>
              <w:bottom w:val="nil" w:sz="6" w:space="0" w:color="auto"/>
              <w:right w:val="nil" w:sz="6" w:space="0" w:color="auto"/>
            </w:tcBorders>
          </w:tcPr>
          <w:p>
            <w:pPr/>
          </w:p>
        </w:tc>
        <w:tc>
          <w:tcPr>
            <w:tcW w:w="1975"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5"/>
              <w:jc w:val="right"/>
              <w:rPr>
                <w:rFonts w:ascii="宋体" w:hAnsi="宋体" w:cs="宋体" w:eastAsia="宋体" w:hint="default"/>
                <w:sz w:val="18"/>
                <w:szCs w:val="18"/>
              </w:rPr>
            </w:pPr>
            <w:r>
              <w:rPr>
                <w:rFonts w:ascii="宋体"/>
                <w:spacing w:val="-1"/>
                <w:sz w:val="18"/>
              </w:rPr>
              <w:t>74,053,557.00</w:t>
            </w:r>
          </w:p>
        </w:tc>
        <w:tc>
          <w:tcPr>
            <w:tcW w:w="276" w:type="dxa"/>
            <w:tcBorders>
              <w:top w:val="nil" w:sz="6" w:space="0" w:color="auto"/>
              <w:left w:val="nil" w:sz="6" w:space="0" w:color="auto"/>
              <w:bottom w:val="nil" w:sz="6" w:space="0" w:color="auto"/>
              <w:right w:val="nil" w:sz="6" w:space="0" w:color="auto"/>
            </w:tcBorders>
          </w:tcPr>
          <w:p>
            <w:pPr/>
          </w:p>
        </w:tc>
        <w:tc>
          <w:tcPr>
            <w:tcW w:w="2081"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5"/>
              <w:jc w:val="right"/>
              <w:rPr>
                <w:rFonts w:ascii="宋体" w:hAnsi="宋体" w:cs="宋体" w:eastAsia="宋体" w:hint="default"/>
                <w:sz w:val="18"/>
                <w:szCs w:val="18"/>
              </w:rPr>
            </w:pPr>
            <w:r>
              <w:rPr>
                <w:rFonts w:ascii="宋体"/>
                <w:spacing w:val="-1"/>
                <w:sz w:val="18"/>
              </w:rPr>
              <w:t>74,053,557.00</w:t>
            </w:r>
          </w:p>
        </w:tc>
        <w:tc>
          <w:tcPr>
            <w:tcW w:w="400" w:type="dxa"/>
            <w:tcBorders>
              <w:top w:val="nil" w:sz="6" w:space="0" w:color="auto"/>
              <w:left w:val="nil" w:sz="6" w:space="0" w:color="auto"/>
              <w:bottom w:val="nil" w:sz="6" w:space="0" w:color="auto"/>
              <w:right w:val="nil" w:sz="6" w:space="0" w:color="auto"/>
            </w:tcBorders>
          </w:tcPr>
          <w:p>
            <w:pPr/>
          </w:p>
        </w:tc>
      </w:tr>
      <w:tr>
        <w:trPr>
          <w:trHeight w:val="353" w:hRule="exact"/>
        </w:trPr>
        <w:tc>
          <w:tcPr>
            <w:tcW w:w="108" w:type="dxa"/>
            <w:tcBorders>
              <w:top w:val="nil" w:sz="6" w:space="0" w:color="auto"/>
              <w:left w:val="nil" w:sz="6" w:space="0" w:color="auto"/>
              <w:bottom w:val="nil" w:sz="6" w:space="0" w:color="auto"/>
              <w:right w:val="nil" w:sz="6" w:space="0" w:color="auto"/>
            </w:tcBorders>
          </w:tcPr>
          <w:p>
            <w:pPr/>
          </w:p>
        </w:tc>
        <w:tc>
          <w:tcPr>
            <w:tcW w:w="3226" w:type="dxa"/>
            <w:tcBorders>
              <w:top w:val="nil" w:sz="6" w:space="0" w:color="auto"/>
              <w:left w:val="nil" w:sz="6" w:space="0" w:color="auto"/>
              <w:bottom w:val="nil" w:sz="6" w:space="0" w:color="auto"/>
              <w:right w:val="nil" w:sz="6" w:space="0" w:color="auto"/>
            </w:tcBorders>
          </w:tcPr>
          <w:p>
            <w:pPr>
              <w:pStyle w:val="TableParagraph"/>
              <w:spacing w:line="240" w:lineRule="auto" w:before="29"/>
              <w:ind w:left="2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54" w:type="dxa"/>
            <w:tcBorders>
              <w:top w:val="nil" w:sz="6" w:space="0" w:color="auto"/>
              <w:left w:val="nil" w:sz="6" w:space="0" w:color="auto"/>
              <w:bottom w:val="nil" w:sz="6" w:space="0" w:color="auto"/>
              <w:right w:val="nil" w:sz="6" w:space="0" w:color="auto"/>
            </w:tcBorders>
          </w:tcPr>
          <w:p>
            <w:pPr/>
          </w:p>
        </w:tc>
        <w:tc>
          <w:tcPr>
            <w:tcW w:w="1675" w:type="dxa"/>
            <w:tcBorders>
              <w:top w:val="nil" w:sz="6" w:space="0" w:color="auto"/>
              <w:left w:val="nil" w:sz="6" w:space="0" w:color="auto"/>
              <w:bottom w:val="nil" w:sz="6" w:space="0" w:color="auto"/>
              <w:right w:val="nil" w:sz="6" w:space="0" w:color="auto"/>
            </w:tcBorders>
          </w:tcPr>
          <w:p>
            <w:pPr/>
          </w:p>
        </w:tc>
        <w:tc>
          <w:tcPr>
            <w:tcW w:w="266" w:type="dxa"/>
            <w:tcBorders>
              <w:top w:val="nil" w:sz="6" w:space="0" w:color="auto"/>
              <w:left w:val="nil" w:sz="6" w:space="0" w:color="auto"/>
              <w:bottom w:val="nil" w:sz="6" w:space="0" w:color="auto"/>
              <w:right w:val="nil" w:sz="6" w:space="0" w:color="auto"/>
            </w:tcBorders>
          </w:tcPr>
          <w:p>
            <w:pPr/>
          </w:p>
        </w:tc>
        <w:tc>
          <w:tcPr>
            <w:tcW w:w="1975" w:type="dxa"/>
            <w:tcBorders>
              <w:top w:val="nil" w:sz="6" w:space="0" w:color="auto"/>
              <w:left w:val="nil" w:sz="6" w:space="0" w:color="auto"/>
              <w:bottom w:val="nil" w:sz="6" w:space="0" w:color="auto"/>
              <w:right w:val="nil" w:sz="6" w:space="0" w:color="auto"/>
            </w:tcBorders>
          </w:tcPr>
          <w:p>
            <w:pPr>
              <w:pStyle w:val="TableParagraph"/>
              <w:spacing w:line="20" w:lineRule="exact"/>
              <w:ind w:right="-41"/>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1254299" cy="6095"/>
                  <wp:effectExtent l="0" t="0" r="0" b="0"/>
                  <wp:docPr id="31" name="image27.png" descr=""/>
                  <wp:cNvGraphicFramePr>
                    <a:graphicFrameLocks noChangeAspect="1"/>
                  </wp:cNvGraphicFramePr>
                  <a:graphic>
                    <a:graphicData uri="http://schemas.openxmlformats.org/drawingml/2006/picture">
                      <pic:pic>
                        <pic:nvPicPr>
                          <pic:cNvPr id="32" name="image27.png"/>
                          <pic:cNvPicPr/>
                        </pic:nvPicPr>
                        <pic:blipFill>
                          <a:blip r:embed="rId49" cstate="print"/>
                          <a:stretch>
                            <a:fillRect/>
                          </a:stretch>
                        </pic:blipFill>
                        <pic:spPr>
                          <a:xfrm>
                            <a:off x="0" y="0"/>
                            <a:ext cx="1254299" cy="6095"/>
                          </a:xfrm>
                          <a:prstGeom prst="rect">
                            <a:avLst/>
                          </a:prstGeom>
                        </pic:spPr>
                      </pic:pic>
                    </a:graphicData>
                  </a:graphic>
                </wp:inline>
              </w:drawing>
            </w:r>
            <w:r>
              <w:rPr>
                <w:rFonts w:ascii="Times New Roman" w:hAnsi="Times New Roman" w:cs="Times New Roman" w:eastAsia="Times New Roman" w:hint="default"/>
                <w:sz w:val="2"/>
                <w:szCs w:val="2"/>
              </w:rPr>
            </w:r>
          </w:p>
          <w:p>
            <w:pPr>
              <w:pStyle w:val="TableParagraph"/>
              <w:spacing w:line="240" w:lineRule="auto" w:before="12"/>
              <w:ind w:right="28"/>
              <w:jc w:val="right"/>
              <w:rPr>
                <w:rFonts w:ascii="宋体" w:hAnsi="宋体" w:cs="宋体" w:eastAsia="宋体" w:hint="default"/>
                <w:sz w:val="18"/>
                <w:szCs w:val="18"/>
              </w:rPr>
            </w:pPr>
            <w:r>
              <w:rPr>
                <w:rFonts w:ascii="宋体"/>
                <w:spacing w:val="-1"/>
                <w:sz w:val="18"/>
              </w:rPr>
              <w:t>107,241,391.41</w:t>
            </w:r>
            <w:r>
              <w:rPr>
                <w:rFonts w:ascii="宋体"/>
                <w:sz w:val="18"/>
              </w:rPr>
            </w:r>
          </w:p>
        </w:tc>
        <w:tc>
          <w:tcPr>
            <w:tcW w:w="276" w:type="dxa"/>
            <w:tcBorders>
              <w:top w:val="nil" w:sz="6" w:space="0" w:color="auto"/>
              <w:left w:val="nil" w:sz="6" w:space="0" w:color="auto"/>
              <w:bottom w:val="nil" w:sz="6" w:space="0" w:color="auto"/>
              <w:right w:val="nil" w:sz="6" w:space="0" w:color="auto"/>
            </w:tcBorders>
          </w:tcPr>
          <w:p>
            <w:pPr/>
          </w:p>
        </w:tc>
        <w:tc>
          <w:tcPr>
            <w:tcW w:w="2081" w:type="dxa"/>
            <w:tcBorders>
              <w:top w:val="nil" w:sz="6" w:space="0" w:color="auto"/>
              <w:left w:val="nil" w:sz="6" w:space="0" w:color="auto"/>
              <w:bottom w:val="single" w:sz="4" w:space="0" w:color="000000"/>
              <w:right w:val="nil" w:sz="6" w:space="0" w:color="auto"/>
            </w:tcBorders>
          </w:tcPr>
          <w:p>
            <w:pPr>
              <w:pStyle w:val="TableParagraph"/>
              <w:spacing w:line="20" w:lineRule="exact"/>
              <w:ind w:right="-46"/>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1324367" cy="6095"/>
                  <wp:effectExtent l="0" t="0" r="0" b="0"/>
                  <wp:docPr id="33" name="image29.png" descr=""/>
                  <wp:cNvGraphicFramePr>
                    <a:graphicFrameLocks noChangeAspect="1"/>
                  </wp:cNvGraphicFramePr>
                  <a:graphic>
                    <a:graphicData uri="http://schemas.openxmlformats.org/drawingml/2006/picture">
                      <pic:pic>
                        <pic:nvPicPr>
                          <pic:cNvPr id="34" name="image29.png"/>
                          <pic:cNvPicPr/>
                        </pic:nvPicPr>
                        <pic:blipFill>
                          <a:blip r:embed="rId51" cstate="print"/>
                          <a:stretch>
                            <a:fillRect/>
                          </a:stretch>
                        </pic:blipFill>
                        <pic:spPr>
                          <a:xfrm>
                            <a:off x="0" y="0"/>
                            <a:ext cx="1324367" cy="6095"/>
                          </a:xfrm>
                          <a:prstGeom prst="rect">
                            <a:avLst/>
                          </a:prstGeom>
                        </pic:spPr>
                      </pic:pic>
                    </a:graphicData>
                  </a:graphic>
                </wp:inline>
              </w:drawing>
            </w:r>
            <w:r>
              <w:rPr>
                <w:rFonts w:ascii="Times New Roman" w:hAnsi="Times New Roman" w:cs="Times New Roman" w:eastAsia="Times New Roman" w:hint="default"/>
                <w:sz w:val="2"/>
                <w:szCs w:val="2"/>
              </w:rPr>
            </w:r>
          </w:p>
          <w:p>
            <w:pPr>
              <w:pStyle w:val="TableParagraph"/>
              <w:spacing w:line="240" w:lineRule="auto" w:before="12"/>
              <w:ind w:right="26"/>
              <w:jc w:val="right"/>
              <w:rPr>
                <w:rFonts w:ascii="宋体" w:hAnsi="宋体" w:cs="宋体" w:eastAsia="宋体" w:hint="default"/>
                <w:sz w:val="18"/>
                <w:szCs w:val="18"/>
              </w:rPr>
            </w:pPr>
            <w:r>
              <w:rPr>
                <w:rFonts w:ascii="宋体"/>
                <w:spacing w:val="-1"/>
                <w:sz w:val="18"/>
              </w:rPr>
              <w:t>102,239,376.18</w:t>
            </w:r>
            <w:r>
              <w:rPr>
                <w:rFonts w:ascii="宋体"/>
                <w:sz w:val="18"/>
              </w:rPr>
            </w:r>
          </w:p>
        </w:tc>
        <w:tc>
          <w:tcPr>
            <w:tcW w:w="400" w:type="dxa"/>
            <w:tcBorders>
              <w:top w:val="nil" w:sz="6" w:space="0" w:color="auto"/>
              <w:left w:val="nil" w:sz="6" w:space="0" w:color="auto"/>
              <w:bottom w:val="nil" w:sz="6" w:space="0" w:color="auto"/>
              <w:right w:val="nil" w:sz="6" w:space="0" w:color="auto"/>
            </w:tcBorders>
          </w:tcPr>
          <w:p>
            <w:pPr/>
          </w:p>
        </w:tc>
      </w:tr>
      <w:tr>
        <w:trPr>
          <w:trHeight w:val="350" w:hRule="exact"/>
        </w:trPr>
        <w:tc>
          <w:tcPr>
            <w:tcW w:w="108" w:type="dxa"/>
            <w:tcBorders>
              <w:top w:val="nil" w:sz="6" w:space="0" w:color="auto"/>
              <w:left w:val="nil" w:sz="6" w:space="0" w:color="auto"/>
              <w:bottom w:val="nil" w:sz="6" w:space="0" w:color="auto"/>
              <w:right w:val="nil" w:sz="6" w:space="0" w:color="auto"/>
            </w:tcBorders>
          </w:tcPr>
          <w:p>
            <w:pPr/>
          </w:p>
        </w:tc>
        <w:tc>
          <w:tcPr>
            <w:tcW w:w="3226" w:type="dxa"/>
            <w:tcBorders>
              <w:top w:val="nil" w:sz="6" w:space="0" w:color="auto"/>
              <w:left w:val="nil" w:sz="6" w:space="0" w:color="auto"/>
              <w:bottom w:val="nil" w:sz="6" w:space="0" w:color="auto"/>
              <w:right w:val="nil" w:sz="6" w:space="0" w:color="auto"/>
            </w:tcBorders>
          </w:tcPr>
          <w:p>
            <w:pPr/>
          </w:p>
        </w:tc>
        <w:tc>
          <w:tcPr>
            <w:tcW w:w="254" w:type="dxa"/>
            <w:tcBorders>
              <w:top w:val="nil" w:sz="6" w:space="0" w:color="auto"/>
              <w:left w:val="nil" w:sz="6" w:space="0" w:color="auto"/>
              <w:bottom w:val="nil" w:sz="6" w:space="0" w:color="auto"/>
              <w:right w:val="nil" w:sz="6" w:space="0" w:color="auto"/>
            </w:tcBorders>
          </w:tcPr>
          <w:p>
            <w:pPr/>
          </w:p>
        </w:tc>
        <w:tc>
          <w:tcPr>
            <w:tcW w:w="1675" w:type="dxa"/>
            <w:tcBorders>
              <w:top w:val="nil" w:sz="6" w:space="0" w:color="auto"/>
              <w:left w:val="nil" w:sz="6" w:space="0" w:color="auto"/>
              <w:bottom w:val="nil" w:sz="6" w:space="0" w:color="auto"/>
              <w:right w:val="nil" w:sz="6" w:space="0" w:color="auto"/>
            </w:tcBorders>
          </w:tcPr>
          <w:p>
            <w:pPr/>
          </w:p>
        </w:tc>
        <w:tc>
          <w:tcPr>
            <w:tcW w:w="266" w:type="dxa"/>
            <w:tcBorders>
              <w:top w:val="nil" w:sz="6" w:space="0" w:color="auto"/>
              <w:left w:val="nil" w:sz="6" w:space="0" w:color="auto"/>
              <w:bottom w:val="nil" w:sz="6" w:space="0" w:color="auto"/>
              <w:right w:val="nil" w:sz="6" w:space="0" w:color="auto"/>
            </w:tcBorders>
          </w:tcPr>
          <w:p>
            <w:pPr/>
          </w:p>
        </w:tc>
        <w:tc>
          <w:tcPr>
            <w:tcW w:w="1975" w:type="dxa"/>
            <w:tcBorders>
              <w:top w:val="nil" w:sz="6" w:space="0" w:color="auto"/>
              <w:left w:val="nil" w:sz="6" w:space="0" w:color="auto"/>
              <w:bottom w:val="single" w:sz="4" w:space="0" w:color="000000"/>
              <w:right w:val="nil" w:sz="6" w:space="0" w:color="auto"/>
            </w:tcBorders>
          </w:tcPr>
          <w:p>
            <w:pPr>
              <w:pStyle w:val="TableParagraph"/>
              <w:spacing w:line="20" w:lineRule="exact"/>
              <w:ind w:left="-5" w:right="-55"/>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99.25pt;height:.5pt;mso-position-horizontal-relative:char;mso-position-vertical-relative:line" coordorigin="0,0" coordsize="1985,10">
                  <v:group style="position:absolute;left:5;top:5;width:1976;height:2" coordorigin="5,5" coordsize="1976,2">
                    <v:shape style="position:absolute;left:5;top:5;width:1976;height:2" coordorigin="5,5" coordsize="1976,0" path="m5,5l1980,5e" filled="false" stroked="true" strokeweight=".48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before="8"/>
              <w:ind w:right="0"/>
              <w:jc w:val="left"/>
              <w:rPr>
                <w:rFonts w:ascii="Times New Roman" w:hAnsi="Times New Roman" w:cs="Times New Roman" w:eastAsia="Times New Roman" w:hint="default"/>
                <w:sz w:val="28"/>
                <w:szCs w:val="28"/>
              </w:rPr>
            </w:pPr>
          </w:p>
        </w:tc>
        <w:tc>
          <w:tcPr>
            <w:tcW w:w="276" w:type="dxa"/>
            <w:tcBorders>
              <w:top w:val="nil" w:sz="6" w:space="0" w:color="auto"/>
              <w:left w:val="nil" w:sz="6" w:space="0" w:color="auto"/>
              <w:bottom w:val="nil" w:sz="6" w:space="0" w:color="auto"/>
              <w:right w:val="nil" w:sz="6" w:space="0" w:color="auto"/>
            </w:tcBorders>
          </w:tcPr>
          <w:p>
            <w:pPr/>
          </w:p>
        </w:tc>
        <w:tc>
          <w:tcPr>
            <w:tcW w:w="2081" w:type="dxa"/>
            <w:tcBorders>
              <w:top w:val="single" w:sz="4" w:space="0" w:color="000000"/>
              <w:left w:val="nil" w:sz="6" w:space="0" w:color="auto"/>
              <w:bottom w:val="single" w:sz="4" w:space="0" w:color="000000"/>
              <w:right w:val="nil" w:sz="6" w:space="0" w:color="auto"/>
            </w:tcBorders>
          </w:tcPr>
          <w:p>
            <w:pPr/>
          </w:p>
        </w:tc>
        <w:tc>
          <w:tcPr>
            <w:tcW w:w="400" w:type="dxa"/>
            <w:tcBorders>
              <w:top w:val="nil" w:sz="6" w:space="0" w:color="auto"/>
              <w:left w:val="nil" w:sz="6" w:space="0" w:color="auto"/>
              <w:bottom w:val="nil" w:sz="6" w:space="0" w:color="auto"/>
              <w:right w:val="nil" w:sz="6" w:space="0" w:color="auto"/>
            </w:tcBorders>
          </w:tcPr>
          <w:p>
            <w:pPr/>
          </w:p>
        </w:tc>
      </w:tr>
      <w:tr>
        <w:trPr>
          <w:trHeight w:val="367" w:hRule="exact"/>
        </w:trPr>
        <w:tc>
          <w:tcPr>
            <w:tcW w:w="108" w:type="dxa"/>
            <w:tcBorders>
              <w:top w:val="nil" w:sz="6" w:space="0" w:color="auto"/>
              <w:left w:val="nil" w:sz="6" w:space="0" w:color="auto"/>
              <w:bottom w:val="nil" w:sz="6" w:space="0" w:color="auto"/>
              <w:right w:val="nil" w:sz="6" w:space="0" w:color="auto"/>
            </w:tcBorders>
          </w:tcPr>
          <w:p>
            <w:pPr/>
          </w:p>
        </w:tc>
        <w:tc>
          <w:tcPr>
            <w:tcW w:w="3226"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91" w:right="0"/>
              <w:jc w:val="left"/>
              <w:rPr>
                <w:rFonts w:ascii="宋体" w:hAnsi="宋体" w:cs="宋体" w:eastAsia="宋体" w:hint="default"/>
                <w:sz w:val="18"/>
                <w:szCs w:val="18"/>
              </w:rPr>
            </w:pPr>
            <w:r>
              <w:rPr>
                <w:rFonts w:ascii="宋体" w:hAnsi="宋体" w:cs="宋体" w:eastAsia="宋体" w:hint="default"/>
                <w:b/>
                <w:bCs/>
                <w:sz w:val="18"/>
                <w:szCs w:val="18"/>
              </w:rPr>
              <w:t>资产总计</w:t>
            </w:r>
            <w:r>
              <w:rPr>
                <w:rFonts w:ascii="宋体" w:hAnsi="宋体" w:cs="宋体" w:eastAsia="宋体" w:hint="default"/>
                <w:sz w:val="18"/>
                <w:szCs w:val="18"/>
              </w:rPr>
            </w:r>
          </w:p>
        </w:tc>
        <w:tc>
          <w:tcPr>
            <w:tcW w:w="254" w:type="dxa"/>
            <w:tcBorders>
              <w:top w:val="nil" w:sz="6" w:space="0" w:color="auto"/>
              <w:left w:val="nil" w:sz="6" w:space="0" w:color="auto"/>
              <w:bottom w:val="nil" w:sz="6" w:space="0" w:color="auto"/>
              <w:right w:val="nil" w:sz="6" w:space="0" w:color="auto"/>
            </w:tcBorders>
          </w:tcPr>
          <w:p>
            <w:pPr/>
          </w:p>
        </w:tc>
        <w:tc>
          <w:tcPr>
            <w:tcW w:w="1675" w:type="dxa"/>
            <w:tcBorders>
              <w:top w:val="nil" w:sz="6" w:space="0" w:color="auto"/>
              <w:left w:val="nil" w:sz="6" w:space="0" w:color="auto"/>
              <w:bottom w:val="nil" w:sz="6" w:space="0" w:color="auto"/>
              <w:right w:val="nil" w:sz="6" w:space="0" w:color="auto"/>
            </w:tcBorders>
          </w:tcPr>
          <w:p>
            <w:pPr/>
          </w:p>
        </w:tc>
        <w:tc>
          <w:tcPr>
            <w:tcW w:w="266" w:type="dxa"/>
            <w:tcBorders>
              <w:top w:val="nil" w:sz="6" w:space="0" w:color="auto"/>
              <w:left w:val="nil" w:sz="6" w:space="0" w:color="auto"/>
              <w:bottom w:val="nil" w:sz="6" w:space="0" w:color="auto"/>
              <w:right w:val="nil" w:sz="6" w:space="0" w:color="auto"/>
            </w:tcBorders>
          </w:tcPr>
          <w:p>
            <w:pPr/>
          </w:p>
        </w:tc>
        <w:tc>
          <w:tcPr>
            <w:tcW w:w="1975"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25"/>
              <w:jc w:val="right"/>
              <w:rPr>
                <w:rFonts w:ascii="宋体" w:hAnsi="宋体" w:cs="宋体" w:eastAsia="宋体" w:hint="default"/>
                <w:sz w:val="18"/>
                <w:szCs w:val="18"/>
              </w:rPr>
            </w:pPr>
            <w:r>
              <w:rPr>
                <w:rFonts w:ascii="宋体"/>
                <w:spacing w:val="-1"/>
                <w:sz w:val="18"/>
              </w:rPr>
              <w:t>350,557,170.34</w:t>
            </w:r>
          </w:p>
        </w:tc>
        <w:tc>
          <w:tcPr>
            <w:tcW w:w="276" w:type="dxa"/>
            <w:tcBorders>
              <w:top w:val="nil" w:sz="6" w:space="0" w:color="auto"/>
              <w:left w:val="nil" w:sz="6" w:space="0" w:color="auto"/>
              <w:bottom w:val="nil" w:sz="6" w:space="0" w:color="auto"/>
              <w:right w:val="nil" w:sz="6" w:space="0" w:color="auto"/>
            </w:tcBorders>
          </w:tcPr>
          <w:p>
            <w:pPr/>
          </w:p>
        </w:tc>
        <w:tc>
          <w:tcPr>
            <w:tcW w:w="2081" w:type="dxa"/>
            <w:tcBorders>
              <w:top w:val="single" w:sz="4" w:space="0" w:color="000000"/>
              <w:left w:val="nil" w:sz="6" w:space="0" w:color="auto"/>
              <w:bottom w:val="single" w:sz="17" w:space="0" w:color="000000"/>
              <w:right w:val="nil" w:sz="6" w:space="0" w:color="auto"/>
            </w:tcBorders>
          </w:tcPr>
          <w:p>
            <w:pPr>
              <w:pStyle w:val="TableParagraph"/>
              <w:spacing w:line="240" w:lineRule="auto" w:before="22"/>
              <w:ind w:right="26"/>
              <w:jc w:val="right"/>
              <w:rPr>
                <w:rFonts w:ascii="宋体" w:hAnsi="宋体" w:cs="宋体" w:eastAsia="宋体" w:hint="default"/>
                <w:sz w:val="18"/>
                <w:szCs w:val="18"/>
              </w:rPr>
            </w:pPr>
            <w:r>
              <w:rPr>
                <w:rFonts w:ascii="宋体"/>
                <w:spacing w:val="-1"/>
                <w:sz w:val="18"/>
              </w:rPr>
              <w:t>329,214,885.32</w:t>
            </w:r>
            <w:r>
              <w:rPr>
                <w:rFonts w:ascii="宋体"/>
                <w:sz w:val="18"/>
              </w:rPr>
            </w:r>
          </w:p>
        </w:tc>
        <w:tc>
          <w:tcPr>
            <w:tcW w:w="400" w:type="dxa"/>
            <w:tcBorders>
              <w:top w:val="nil" w:sz="6" w:space="0" w:color="auto"/>
              <w:left w:val="nil" w:sz="6" w:space="0" w:color="auto"/>
              <w:bottom w:val="nil" w:sz="6" w:space="0" w:color="auto"/>
              <w:right w:val="nil" w:sz="6" w:space="0" w:color="auto"/>
            </w:tcBorders>
          </w:tcPr>
          <w:p>
            <w:pPr/>
          </w:p>
        </w:tc>
      </w:tr>
      <w:tr>
        <w:trPr>
          <w:trHeight w:val="367" w:hRule="exact"/>
        </w:trPr>
        <w:tc>
          <w:tcPr>
            <w:tcW w:w="108" w:type="dxa"/>
            <w:tcBorders>
              <w:top w:val="nil" w:sz="6" w:space="0" w:color="auto"/>
              <w:left w:val="nil" w:sz="6" w:space="0" w:color="auto"/>
              <w:bottom w:val="nil" w:sz="6" w:space="0" w:color="auto"/>
              <w:right w:val="nil" w:sz="6" w:space="0" w:color="auto"/>
            </w:tcBorders>
          </w:tcPr>
          <w:p>
            <w:pPr/>
          </w:p>
        </w:tc>
        <w:tc>
          <w:tcPr>
            <w:tcW w:w="3226" w:type="dxa"/>
            <w:tcBorders>
              <w:top w:val="nil" w:sz="6" w:space="0" w:color="auto"/>
              <w:left w:val="nil" w:sz="6" w:space="0" w:color="auto"/>
              <w:bottom w:val="single" w:sz="4" w:space="0" w:color="000000"/>
              <w:right w:val="nil" w:sz="6" w:space="0" w:color="auto"/>
            </w:tcBorders>
          </w:tcPr>
          <w:p>
            <w:pPr/>
          </w:p>
        </w:tc>
        <w:tc>
          <w:tcPr>
            <w:tcW w:w="254" w:type="dxa"/>
            <w:tcBorders>
              <w:top w:val="nil" w:sz="6" w:space="0" w:color="auto"/>
              <w:left w:val="nil" w:sz="6" w:space="0" w:color="auto"/>
              <w:bottom w:val="single" w:sz="4" w:space="0" w:color="000000"/>
              <w:right w:val="nil" w:sz="6" w:space="0" w:color="auto"/>
            </w:tcBorders>
          </w:tcPr>
          <w:p>
            <w:pPr/>
          </w:p>
        </w:tc>
        <w:tc>
          <w:tcPr>
            <w:tcW w:w="1675" w:type="dxa"/>
            <w:tcBorders>
              <w:top w:val="nil" w:sz="6" w:space="0" w:color="auto"/>
              <w:left w:val="nil" w:sz="6" w:space="0" w:color="auto"/>
              <w:bottom w:val="single" w:sz="4" w:space="0" w:color="000000"/>
              <w:right w:val="nil" w:sz="6" w:space="0" w:color="auto"/>
            </w:tcBorders>
          </w:tcPr>
          <w:p>
            <w:pPr/>
          </w:p>
        </w:tc>
        <w:tc>
          <w:tcPr>
            <w:tcW w:w="266" w:type="dxa"/>
            <w:tcBorders>
              <w:top w:val="nil" w:sz="6" w:space="0" w:color="auto"/>
              <w:left w:val="nil" w:sz="6" w:space="0" w:color="auto"/>
              <w:bottom w:val="single" w:sz="4" w:space="0" w:color="000000"/>
              <w:right w:val="nil" w:sz="6" w:space="0" w:color="auto"/>
            </w:tcBorders>
          </w:tcPr>
          <w:p>
            <w:pPr/>
          </w:p>
        </w:tc>
        <w:tc>
          <w:tcPr>
            <w:tcW w:w="1975" w:type="dxa"/>
            <w:tcBorders>
              <w:top w:val="nil" w:sz="6" w:space="0" w:color="auto"/>
              <w:left w:val="nil" w:sz="6" w:space="0" w:color="auto"/>
              <w:bottom w:val="single" w:sz="4" w:space="0" w:color="000000"/>
              <w:right w:val="nil" w:sz="6" w:space="0" w:color="auto"/>
            </w:tcBorders>
          </w:tcPr>
          <w:p>
            <w:pPr/>
          </w:p>
        </w:tc>
        <w:tc>
          <w:tcPr>
            <w:tcW w:w="276" w:type="dxa"/>
            <w:tcBorders>
              <w:top w:val="nil" w:sz="6" w:space="0" w:color="auto"/>
              <w:left w:val="nil" w:sz="6" w:space="0" w:color="auto"/>
              <w:bottom w:val="single" w:sz="4" w:space="0" w:color="000000"/>
              <w:right w:val="nil" w:sz="6" w:space="0" w:color="auto"/>
            </w:tcBorders>
          </w:tcPr>
          <w:p>
            <w:pPr/>
          </w:p>
        </w:tc>
        <w:tc>
          <w:tcPr>
            <w:tcW w:w="2081" w:type="dxa"/>
            <w:tcBorders>
              <w:top w:val="single" w:sz="17" w:space="0" w:color="000000"/>
              <w:left w:val="nil" w:sz="6" w:space="0" w:color="auto"/>
              <w:bottom w:val="single" w:sz="4" w:space="0" w:color="000000"/>
              <w:right w:val="nil" w:sz="6" w:space="0" w:color="auto"/>
            </w:tcBorders>
          </w:tcPr>
          <w:p>
            <w:pPr/>
          </w:p>
        </w:tc>
        <w:tc>
          <w:tcPr>
            <w:tcW w:w="400" w:type="dxa"/>
            <w:tcBorders>
              <w:top w:val="nil" w:sz="6" w:space="0" w:color="auto"/>
              <w:left w:val="nil" w:sz="6" w:space="0" w:color="auto"/>
              <w:bottom w:val="nil" w:sz="6" w:space="0" w:color="auto"/>
              <w:right w:val="nil" w:sz="6" w:space="0" w:color="auto"/>
            </w:tcBorders>
          </w:tcPr>
          <w:p>
            <w:pPr/>
          </w:p>
        </w:tc>
      </w:tr>
      <w:tr>
        <w:trPr>
          <w:trHeight w:val="343" w:hRule="exact"/>
        </w:trPr>
        <w:tc>
          <w:tcPr>
            <w:tcW w:w="10262" w:type="dxa"/>
            <w:gridSpan w:val="9"/>
            <w:tcBorders>
              <w:top w:val="nil" w:sz="6" w:space="0" w:color="auto"/>
              <w:left w:val="nil" w:sz="6" w:space="0" w:color="auto"/>
              <w:bottom w:val="nil" w:sz="6" w:space="0" w:color="auto"/>
              <w:right w:val="nil" w:sz="6" w:space="0" w:color="auto"/>
            </w:tcBorders>
          </w:tcPr>
          <w:p>
            <w:pPr>
              <w:pStyle w:val="TableParagraph"/>
              <w:tabs>
                <w:tab w:pos="3110" w:val="left" w:leader="none"/>
                <w:tab w:pos="7072" w:val="left" w:leader="none"/>
              </w:tabs>
              <w:spacing w:line="240" w:lineRule="auto" w:before="27"/>
              <w:ind w:left="136" w:right="0"/>
              <w:jc w:val="left"/>
              <w:rPr>
                <w:rFonts w:ascii="宋体" w:hAnsi="宋体" w:cs="宋体" w:eastAsia="宋体" w:hint="default"/>
                <w:sz w:val="18"/>
                <w:szCs w:val="18"/>
              </w:rPr>
            </w:pPr>
            <w:r>
              <w:rPr>
                <w:rFonts w:ascii="宋体" w:hAnsi="宋体" w:cs="宋体" w:eastAsia="宋体" w:hint="default"/>
                <w:sz w:val="18"/>
                <w:szCs w:val="18"/>
              </w:rPr>
              <w:t>公司负责人：</w:t>
            </w:r>
            <w:r>
              <w:rPr>
                <w:rFonts w:ascii="宋体" w:hAnsi="宋体" w:cs="宋体" w:eastAsia="宋体" w:hint="default"/>
                <w:spacing w:val="1"/>
                <w:sz w:val="18"/>
                <w:szCs w:val="18"/>
              </w:rPr>
              <w:t> </w:t>
            </w:r>
            <w:r>
              <w:rPr>
                <w:rFonts w:ascii="宋体" w:hAnsi="宋体" w:cs="宋体" w:eastAsia="宋体" w:hint="default"/>
                <w:sz w:val="18"/>
                <w:szCs w:val="18"/>
              </w:rPr>
              <w:t>黄元忠</w:t>
              <w:tab/>
              <w:t>主管会计工作负责人：</w:t>
            </w:r>
            <w:r>
              <w:rPr>
                <w:rFonts w:ascii="宋体" w:hAnsi="宋体" w:cs="宋体" w:eastAsia="宋体" w:hint="default"/>
                <w:spacing w:val="89"/>
                <w:sz w:val="18"/>
                <w:szCs w:val="18"/>
              </w:rPr>
              <w:t> </w:t>
            </w:r>
            <w:r>
              <w:rPr>
                <w:rFonts w:ascii="宋体" w:hAnsi="宋体" w:cs="宋体" w:eastAsia="宋体" w:hint="default"/>
                <w:sz w:val="18"/>
                <w:szCs w:val="18"/>
              </w:rPr>
              <w:t>孙晓玲</w:t>
              <w:tab/>
              <w:t>会计机构负责人：全丽</w:t>
            </w:r>
          </w:p>
        </w:tc>
      </w:tr>
      <w:tr>
        <w:trPr>
          <w:trHeight w:val="260" w:hRule="exact"/>
        </w:trPr>
        <w:tc>
          <w:tcPr>
            <w:tcW w:w="10262" w:type="dxa"/>
            <w:gridSpan w:val="9"/>
            <w:tcBorders>
              <w:top w:val="nil" w:sz="6" w:space="0" w:color="auto"/>
              <w:left w:val="nil" w:sz="6" w:space="0" w:color="auto"/>
              <w:bottom w:val="nil" w:sz="6" w:space="0" w:color="auto"/>
              <w:right w:val="nil" w:sz="6" w:space="0" w:color="auto"/>
            </w:tcBorders>
          </w:tcPr>
          <w:p>
            <w:pPr>
              <w:pStyle w:val="TableParagraph"/>
              <w:spacing w:line="240" w:lineRule="auto" w:before="25"/>
              <w:ind w:left="136" w:right="0"/>
              <w:jc w:val="left"/>
              <w:rPr>
                <w:rFonts w:ascii="宋体" w:hAnsi="宋体" w:cs="宋体" w:eastAsia="宋体" w:hint="default"/>
                <w:sz w:val="18"/>
                <w:szCs w:val="18"/>
              </w:rPr>
            </w:pPr>
            <w:r>
              <w:rPr>
                <w:rFonts w:ascii="宋体" w:hAnsi="宋体" w:cs="宋体" w:eastAsia="宋体" w:hint="default"/>
                <w:sz w:val="18"/>
                <w:szCs w:val="18"/>
              </w:rPr>
              <w:t>（所附附注是合并财务报表的组成部分）</w:t>
            </w:r>
          </w:p>
        </w:tc>
      </w:tr>
    </w:tbl>
    <w:p>
      <w:pPr>
        <w:spacing w:after="0" w:line="240" w:lineRule="auto"/>
        <w:jc w:val="left"/>
        <w:rPr>
          <w:rFonts w:ascii="宋体" w:hAnsi="宋体" w:cs="宋体" w:eastAsia="宋体" w:hint="default"/>
          <w:sz w:val="18"/>
          <w:szCs w:val="18"/>
        </w:rPr>
        <w:sectPr>
          <w:footerReference w:type="default" r:id="rId48"/>
          <w:pgSz w:w="11910" w:h="16840"/>
          <w:pgMar w:footer="979" w:header="870" w:top="1060" w:bottom="1160" w:left="980" w:right="420"/>
          <w:pgNumType w:start="65"/>
        </w:sectPr>
      </w:pPr>
    </w:p>
    <w:p>
      <w:pPr>
        <w:spacing w:line="240" w:lineRule="auto" w:before="2"/>
        <w:rPr>
          <w:rFonts w:ascii="Times New Roman" w:hAnsi="Times New Roman" w:cs="Times New Roman" w:eastAsia="Times New Roman" w:hint="default"/>
          <w:sz w:val="3"/>
          <w:szCs w:val="3"/>
        </w:rPr>
      </w:pPr>
      <w:r>
        <w:rPr/>
        <w:pict>
          <v:group style="position:absolute;margin-left:318.239990pt;margin-top:701.76001pt;width:107.3pt;height:2.2pt;mso-position-horizontal-relative:page;mso-position-vertical-relative:page;z-index:-1159288" coordorigin="6365,14035" coordsize="2146,44">
            <v:group style="position:absolute;left:6372;top:14042;width:2132;height:2" coordorigin="6372,14042" coordsize="2132,2">
              <v:shape style="position:absolute;left:6372;top:14042;width:2132;height:2" coordorigin="6372,14042" coordsize="2132,0" path="m6372,14042l8503,14042e" filled="false" stroked="true" strokeweight=".72pt" strokecolor="#000000">
                <v:path arrowok="t"/>
              </v:shape>
            </v:group>
            <v:group style="position:absolute;left:6372;top:14071;width:2132;height:2" coordorigin="6372,14071" coordsize="2132,2">
              <v:shape style="position:absolute;left:6372;top:14071;width:2132;height:2" coordorigin="6372,14071" coordsize="2132,0" path="m6372,14071l8503,14071e" filled="false" stroked="true" strokeweight=".72pt" strokecolor="#000000">
                <v:path arrowok="t"/>
              </v:shape>
            </v:group>
            <w10:wrap type="none"/>
          </v:group>
        </w:pict>
      </w:r>
    </w:p>
    <w:p>
      <w:pPr>
        <w:spacing w:line="20" w:lineRule="exact"/>
        <w:ind w:left="11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13.85pt;height:.75pt;mso-position-horizontal-relative:char;mso-position-vertical-relative:line" coordorigin="0,0" coordsize="10277,15">
            <v:group style="position:absolute;left:7;top:7;width:10263;height:2" coordorigin="7,7" coordsize="10263,2">
              <v:shape style="position:absolute;left:7;top:7;width:10263;height:2" coordorigin="7,7" coordsize="10263,0" path="m7,7l10270,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8"/>
          <w:szCs w:val="28"/>
        </w:rPr>
      </w:pPr>
    </w:p>
    <w:tbl>
      <w:tblPr>
        <w:tblW w:w="0" w:type="auto"/>
        <w:jc w:val="left"/>
        <w:tblInd w:w="152" w:type="dxa"/>
        <w:tblLayout w:type="fixed"/>
        <w:tblCellMar>
          <w:top w:w="0" w:type="dxa"/>
          <w:left w:w="0" w:type="dxa"/>
          <w:bottom w:w="0" w:type="dxa"/>
          <w:right w:w="0" w:type="dxa"/>
        </w:tblCellMar>
        <w:tblLook w:val="01E0"/>
      </w:tblPr>
      <w:tblGrid>
        <w:gridCol w:w="3151"/>
        <w:gridCol w:w="235"/>
        <w:gridCol w:w="1630"/>
        <w:gridCol w:w="223"/>
        <w:gridCol w:w="2131"/>
        <w:gridCol w:w="238"/>
        <w:gridCol w:w="1877"/>
      </w:tblGrid>
      <w:tr>
        <w:trPr>
          <w:trHeight w:val="323" w:hRule="exact"/>
        </w:trPr>
        <w:tc>
          <w:tcPr>
            <w:tcW w:w="9485" w:type="dxa"/>
            <w:gridSpan w:val="7"/>
            <w:tcBorders>
              <w:top w:val="nil" w:sz="6" w:space="0" w:color="auto"/>
              <w:left w:val="nil" w:sz="6" w:space="0" w:color="auto"/>
              <w:bottom w:val="nil" w:sz="6" w:space="0" w:color="auto"/>
              <w:right w:val="nil" w:sz="6" w:space="0" w:color="auto"/>
            </w:tcBorders>
          </w:tcPr>
          <w:p>
            <w:pPr>
              <w:pStyle w:val="TableParagraph"/>
              <w:spacing w:line="281" w:lineRule="exact"/>
              <w:ind w:left="2908" w:right="0"/>
              <w:jc w:val="left"/>
              <w:rPr>
                <w:rFonts w:ascii="宋体" w:hAnsi="宋体" w:cs="宋体" w:eastAsia="宋体" w:hint="default"/>
                <w:sz w:val="28"/>
                <w:szCs w:val="28"/>
              </w:rPr>
            </w:pPr>
            <w:r>
              <w:rPr>
                <w:rFonts w:ascii="宋体" w:hAnsi="宋体" w:cs="宋体" w:eastAsia="宋体" w:hint="default"/>
                <w:sz w:val="28"/>
                <w:szCs w:val="28"/>
              </w:rPr>
              <w:t>深圳市方直科技股份有限公司</w:t>
            </w:r>
          </w:p>
        </w:tc>
      </w:tr>
      <w:tr>
        <w:trPr>
          <w:trHeight w:val="376" w:hRule="exact"/>
        </w:trPr>
        <w:tc>
          <w:tcPr>
            <w:tcW w:w="9485" w:type="dxa"/>
            <w:gridSpan w:val="7"/>
            <w:tcBorders>
              <w:top w:val="nil" w:sz="6" w:space="0" w:color="auto"/>
              <w:left w:val="nil" w:sz="6" w:space="0" w:color="auto"/>
              <w:bottom w:val="nil" w:sz="6" w:space="0" w:color="auto"/>
              <w:right w:val="nil" w:sz="6" w:space="0" w:color="auto"/>
            </w:tcBorders>
          </w:tcPr>
          <w:p>
            <w:pPr>
              <w:pStyle w:val="TableParagraph"/>
              <w:spacing w:line="323" w:lineRule="exact"/>
              <w:ind w:right="27"/>
              <w:jc w:val="center"/>
              <w:rPr>
                <w:rFonts w:ascii="宋体" w:hAnsi="宋体" w:cs="宋体" w:eastAsia="宋体" w:hint="default"/>
                <w:sz w:val="28"/>
                <w:szCs w:val="28"/>
              </w:rPr>
            </w:pPr>
            <w:r>
              <w:rPr>
                <w:rFonts w:ascii="宋体" w:hAnsi="宋体" w:cs="宋体" w:eastAsia="宋体" w:hint="default"/>
                <w:sz w:val="28"/>
                <w:szCs w:val="28"/>
              </w:rPr>
              <w:t>资产负债表（续）</w:t>
            </w:r>
          </w:p>
        </w:tc>
      </w:tr>
      <w:tr>
        <w:trPr>
          <w:trHeight w:val="299" w:hRule="exact"/>
        </w:trPr>
        <w:tc>
          <w:tcPr>
            <w:tcW w:w="3151"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Style w:val="TableParagraph"/>
              <w:spacing w:line="233" w:lineRule="exact"/>
              <w:ind w:left="890" w:right="0"/>
              <w:jc w:val="left"/>
              <w:rPr>
                <w:rFonts w:ascii="宋体" w:hAnsi="宋体" w:cs="宋体" w:eastAsia="宋体" w:hint="default"/>
                <w:sz w:val="18"/>
                <w:szCs w:val="18"/>
              </w:rPr>
            </w:pPr>
            <w:r>
              <w:rPr>
                <w:rFonts w:ascii="宋体"/>
                <w:sz w:val="18"/>
              </w:rPr>
              <w:t>2014-12-</w:t>
            </w:r>
          </w:p>
        </w:tc>
        <w:tc>
          <w:tcPr>
            <w:tcW w:w="223" w:type="dxa"/>
            <w:tcBorders>
              <w:top w:val="nil" w:sz="6" w:space="0" w:color="auto"/>
              <w:left w:val="nil" w:sz="6" w:space="0" w:color="auto"/>
              <w:bottom w:val="nil" w:sz="6" w:space="0" w:color="auto"/>
              <w:right w:val="nil" w:sz="6" w:space="0" w:color="auto"/>
            </w:tcBorders>
          </w:tcPr>
          <w:p>
            <w:pPr>
              <w:pStyle w:val="TableParagraph"/>
              <w:spacing w:line="233" w:lineRule="exact"/>
              <w:ind w:left="-17" w:right="0"/>
              <w:jc w:val="left"/>
              <w:rPr>
                <w:rFonts w:ascii="宋体" w:hAnsi="宋体" w:cs="宋体" w:eastAsia="宋体" w:hint="default"/>
                <w:sz w:val="18"/>
                <w:szCs w:val="18"/>
              </w:rPr>
            </w:pPr>
            <w:r>
              <w:rPr>
                <w:rFonts w:ascii="宋体"/>
                <w:sz w:val="18"/>
              </w:rPr>
              <w:t>31</w:t>
            </w:r>
          </w:p>
        </w:tc>
        <w:tc>
          <w:tcPr>
            <w:tcW w:w="2131"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
        </w:tc>
      </w:tr>
      <w:tr>
        <w:trPr>
          <w:trHeight w:val="312" w:hRule="exact"/>
        </w:trPr>
        <w:tc>
          <w:tcPr>
            <w:tcW w:w="3151"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c>
          <w:tcPr>
            <w:tcW w:w="223" w:type="dxa"/>
            <w:tcBorders>
              <w:top w:val="nil" w:sz="6" w:space="0" w:color="auto"/>
              <w:left w:val="nil" w:sz="6" w:space="0" w:color="auto"/>
              <w:bottom w:val="nil" w:sz="6" w:space="0" w:color="auto"/>
              <w:right w:val="nil" w:sz="6" w:space="0" w:color="auto"/>
            </w:tcBorders>
          </w:tcPr>
          <w:p>
            <w:pPr/>
          </w:p>
        </w:tc>
        <w:tc>
          <w:tcPr>
            <w:tcW w:w="2131"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3"/>
              <w:jc w:val="right"/>
              <w:rPr>
                <w:rFonts w:ascii="宋体" w:hAnsi="宋体" w:cs="宋体" w:eastAsia="宋体" w:hint="default"/>
                <w:sz w:val="18"/>
                <w:szCs w:val="18"/>
              </w:rPr>
            </w:pPr>
            <w:r>
              <w:rPr>
                <w:rFonts w:ascii="宋体" w:hAnsi="宋体" w:cs="宋体" w:eastAsia="宋体" w:hint="default"/>
                <w:sz w:val="18"/>
                <w:szCs w:val="18"/>
              </w:rPr>
              <w:t>单位：人民币元</w:t>
            </w:r>
          </w:p>
        </w:tc>
      </w:tr>
      <w:tr>
        <w:trPr>
          <w:trHeight w:val="319" w:hRule="exact"/>
        </w:trPr>
        <w:tc>
          <w:tcPr>
            <w:tcW w:w="3151"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left="943" w:right="0"/>
              <w:jc w:val="left"/>
              <w:rPr>
                <w:rFonts w:ascii="宋体" w:hAnsi="宋体" w:cs="宋体" w:eastAsia="宋体" w:hint="default"/>
                <w:sz w:val="18"/>
                <w:szCs w:val="18"/>
              </w:rPr>
            </w:pPr>
            <w:r>
              <w:rPr>
                <w:rFonts w:ascii="宋体" w:hAnsi="宋体" w:cs="宋体" w:eastAsia="宋体" w:hint="default"/>
                <w:sz w:val="18"/>
                <w:szCs w:val="18"/>
              </w:rPr>
              <w:t>负债和股东权益</w:t>
            </w:r>
          </w:p>
        </w:tc>
        <w:tc>
          <w:tcPr>
            <w:tcW w:w="235"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left="453" w:right="0"/>
              <w:jc w:val="left"/>
              <w:rPr>
                <w:rFonts w:ascii="宋体" w:hAnsi="宋体" w:cs="宋体" w:eastAsia="宋体" w:hint="default"/>
                <w:sz w:val="18"/>
                <w:szCs w:val="18"/>
              </w:rPr>
            </w:pPr>
            <w:r>
              <w:rPr>
                <w:rFonts w:ascii="宋体" w:hAnsi="宋体" w:cs="宋体" w:eastAsia="宋体" w:hint="default"/>
                <w:sz w:val="18"/>
                <w:szCs w:val="18"/>
              </w:rPr>
              <w:t>附注十五</w:t>
            </w:r>
          </w:p>
        </w:tc>
        <w:tc>
          <w:tcPr>
            <w:tcW w:w="223" w:type="dxa"/>
            <w:tcBorders>
              <w:top w:val="nil" w:sz="6" w:space="0" w:color="auto"/>
              <w:left w:val="nil" w:sz="6" w:space="0" w:color="auto"/>
              <w:bottom w:val="nil" w:sz="6" w:space="0" w:color="auto"/>
              <w:right w:val="nil" w:sz="6" w:space="0" w:color="auto"/>
            </w:tcBorders>
          </w:tcPr>
          <w:p>
            <w:pPr/>
          </w:p>
        </w:tc>
        <w:tc>
          <w:tcPr>
            <w:tcW w:w="2131"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38"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17" w:hRule="exact"/>
        </w:trPr>
        <w:tc>
          <w:tcPr>
            <w:tcW w:w="3151"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b/>
                <w:bCs/>
                <w:sz w:val="18"/>
                <w:szCs w:val="18"/>
              </w:rPr>
              <w:t>流动负债：</w:t>
            </w:r>
            <w:r>
              <w:rPr>
                <w:rFonts w:ascii="宋体" w:hAnsi="宋体" w:cs="宋体" w:eastAsia="宋体" w:hint="default"/>
                <w:sz w:val="18"/>
                <w:szCs w:val="18"/>
              </w:rPr>
            </w:r>
          </w:p>
        </w:tc>
        <w:tc>
          <w:tcPr>
            <w:tcW w:w="235" w:type="dxa"/>
            <w:tcBorders>
              <w:top w:val="nil" w:sz="6" w:space="0" w:color="auto"/>
              <w:left w:val="nil" w:sz="6" w:space="0" w:color="auto"/>
              <w:bottom w:val="nil" w:sz="6" w:space="0" w:color="auto"/>
              <w:right w:val="nil" w:sz="6" w:space="0" w:color="auto"/>
            </w:tcBorders>
          </w:tcPr>
          <w:p>
            <w:pPr/>
          </w:p>
        </w:tc>
        <w:tc>
          <w:tcPr>
            <w:tcW w:w="1630" w:type="dxa"/>
            <w:tcBorders>
              <w:top w:val="single" w:sz="4" w:space="0" w:color="000000"/>
              <w:left w:val="nil" w:sz="6" w:space="0" w:color="auto"/>
              <w:bottom w:val="nil" w:sz="6" w:space="0" w:color="auto"/>
              <w:right w:val="nil" w:sz="6" w:space="0" w:color="auto"/>
            </w:tcBorders>
          </w:tcPr>
          <w:p>
            <w:pPr/>
          </w:p>
        </w:tc>
        <w:tc>
          <w:tcPr>
            <w:tcW w:w="223" w:type="dxa"/>
            <w:tcBorders>
              <w:top w:val="nil" w:sz="6" w:space="0" w:color="auto"/>
              <w:left w:val="nil" w:sz="6" w:space="0" w:color="auto"/>
              <w:bottom w:val="nil" w:sz="6" w:space="0" w:color="auto"/>
              <w:right w:val="nil" w:sz="6" w:space="0" w:color="auto"/>
            </w:tcBorders>
          </w:tcPr>
          <w:p>
            <w:pPr/>
          </w:p>
        </w:tc>
        <w:tc>
          <w:tcPr>
            <w:tcW w:w="2131" w:type="dxa"/>
            <w:tcBorders>
              <w:top w:val="single" w:sz="4" w:space="0" w:color="000000"/>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877" w:type="dxa"/>
            <w:tcBorders>
              <w:top w:val="single" w:sz="4" w:space="0" w:color="000000"/>
              <w:left w:val="nil" w:sz="6" w:space="0" w:color="auto"/>
              <w:bottom w:val="nil" w:sz="6" w:space="0" w:color="auto"/>
              <w:right w:val="nil" w:sz="6" w:space="0" w:color="auto"/>
            </w:tcBorders>
          </w:tcPr>
          <w:p>
            <w:pPr/>
          </w:p>
        </w:tc>
      </w:tr>
      <w:tr>
        <w:trPr>
          <w:trHeight w:val="312" w:hRule="exact"/>
        </w:trPr>
        <w:tc>
          <w:tcPr>
            <w:tcW w:w="315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90"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35"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c>
          <w:tcPr>
            <w:tcW w:w="223" w:type="dxa"/>
            <w:tcBorders>
              <w:top w:val="nil" w:sz="6" w:space="0" w:color="auto"/>
              <w:left w:val="nil" w:sz="6" w:space="0" w:color="auto"/>
              <w:bottom w:val="nil" w:sz="6" w:space="0" w:color="auto"/>
              <w:right w:val="nil" w:sz="6" w:space="0" w:color="auto"/>
            </w:tcBorders>
          </w:tcPr>
          <w:p>
            <w:pPr/>
          </w:p>
        </w:tc>
        <w:tc>
          <w:tcPr>
            <w:tcW w:w="213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4"/>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4"/>
              <w:jc w:val="right"/>
              <w:rPr>
                <w:rFonts w:ascii="宋体" w:hAnsi="宋体" w:cs="宋体" w:eastAsia="宋体" w:hint="default"/>
                <w:sz w:val="18"/>
                <w:szCs w:val="18"/>
              </w:rPr>
            </w:pPr>
            <w:r>
              <w:rPr>
                <w:rFonts w:ascii="宋体"/>
                <w:sz w:val="18"/>
              </w:rPr>
              <w:t>-</w:t>
            </w:r>
          </w:p>
        </w:tc>
      </w:tr>
      <w:tr>
        <w:trPr>
          <w:trHeight w:val="312" w:hRule="exact"/>
        </w:trPr>
        <w:tc>
          <w:tcPr>
            <w:tcW w:w="315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90"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35"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c>
          <w:tcPr>
            <w:tcW w:w="223" w:type="dxa"/>
            <w:tcBorders>
              <w:top w:val="nil" w:sz="6" w:space="0" w:color="auto"/>
              <w:left w:val="nil" w:sz="6" w:space="0" w:color="auto"/>
              <w:bottom w:val="nil" w:sz="6" w:space="0" w:color="auto"/>
              <w:right w:val="nil" w:sz="6" w:space="0" w:color="auto"/>
            </w:tcBorders>
          </w:tcPr>
          <w:p>
            <w:pPr/>
          </w:p>
        </w:tc>
        <w:tc>
          <w:tcPr>
            <w:tcW w:w="213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4"/>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4"/>
              <w:jc w:val="right"/>
              <w:rPr>
                <w:rFonts w:ascii="宋体" w:hAnsi="宋体" w:cs="宋体" w:eastAsia="宋体" w:hint="default"/>
                <w:sz w:val="18"/>
                <w:szCs w:val="18"/>
              </w:rPr>
            </w:pPr>
            <w:r>
              <w:rPr>
                <w:rFonts w:ascii="宋体"/>
                <w:sz w:val="18"/>
              </w:rPr>
              <w:t>-</w:t>
            </w:r>
          </w:p>
        </w:tc>
      </w:tr>
      <w:tr>
        <w:trPr>
          <w:trHeight w:val="312" w:hRule="exact"/>
        </w:trPr>
        <w:tc>
          <w:tcPr>
            <w:tcW w:w="315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90"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35"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c>
          <w:tcPr>
            <w:tcW w:w="223" w:type="dxa"/>
            <w:tcBorders>
              <w:top w:val="nil" w:sz="6" w:space="0" w:color="auto"/>
              <w:left w:val="nil" w:sz="6" w:space="0" w:color="auto"/>
              <w:bottom w:val="nil" w:sz="6" w:space="0" w:color="auto"/>
              <w:right w:val="nil" w:sz="6" w:space="0" w:color="auto"/>
            </w:tcBorders>
          </w:tcPr>
          <w:p>
            <w:pPr/>
          </w:p>
        </w:tc>
        <w:tc>
          <w:tcPr>
            <w:tcW w:w="213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4"/>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4"/>
              <w:jc w:val="right"/>
              <w:rPr>
                <w:rFonts w:ascii="宋体" w:hAnsi="宋体" w:cs="宋体" w:eastAsia="宋体" w:hint="default"/>
                <w:sz w:val="18"/>
                <w:szCs w:val="18"/>
              </w:rPr>
            </w:pPr>
            <w:r>
              <w:rPr>
                <w:rFonts w:ascii="宋体"/>
                <w:sz w:val="18"/>
              </w:rPr>
              <w:t>-</w:t>
            </w:r>
          </w:p>
        </w:tc>
      </w:tr>
      <w:tr>
        <w:trPr>
          <w:trHeight w:val="312" w:hRule="exact"/>
        </w:trPr>
        <w:tc>
          <w:tcPr>
            <w:tcW w:w="315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90"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5"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c>
          <w:tcPr>
            <w:tcW w:w="223" w:type="dxa"/>
            <w:tcBorders>
              <w:top w:val="nil" w:sz="6" w:space="0" w:color="auto"/>
              <w:left w:val="nil" w:sz="6" w:space="0" w:color="auto"/>
              <w:bottom w:val="nil" w:sz="6" w:space="0" w:color="auto"/>
              <w:right w:val="nil" w:sz="6" w:space="0" w:color="auto"/>
            </w:tcBorders>
          </w:tcPr>
          <w:p>
            <w:pPr/>
          </w:p>
        </w:tc>
        <w:tc>
          <w:tcPr>
            <w:tcW w:w="213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2"/>
              <w:jc w:val="right"/>
              <w:rPr>
                <w:rFonts w:ascii="宋体" w:hAnsi="宋体" w:cs="宋体" w:eastAsia="宋体" w:hint="default"/>
                <w:sz w:val="18"/>
                <w:szCs w:val="18"/>
              </w:rPr>
            </w:pPr>
            <w:r>
              <w:rPr>
                <w:rFonts w:ascii="宋体"/>
                <w:spacing w:val="-1"/>
                <w:sz w:val="18"/>
              </w:rPr>
              <w:t>6,691,306.63</w:t>
            </w:r>
          </w:p>
        </w:tc>
        <w:tc>
          <w:tcPr>
            <w:tcW w:w="238"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2"/>
              <w:jc w:val="right"/>
              <w:rPr>
                <w:rFonts w:ascii="宋体" w:hAnsi="宋体" w:cs="宋体" w:eastAsia="宋体" w:hint="default"/>
                <w:sz w:val="18"/>
                <w:szCs w:val="18"/>
              </w:rPr>
            </w:pPr>
            <w:r>
              <w:rPr>
                <w:rFonts w:ascii="宋体"/>
                <w:spacing w:val="-1"/>
                <w:sz w:val="18"/>
              </w:rPr>
              <w:t>7,523,614.23</w:t>
            </w:r>
          </w:p>
        </w:tc>
      </w:tr>
      <w:tr>
        <w:trPr>
          <w:trHeight w:val="312" w:hRule="exact"/>
        </w:trPr>
        <w:tc>
          <w:tcPr>
            <w:tcW w:w="315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90"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35"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c>
          <w:tcPr>
            <w:tcW w:w="223" w:type="dxa"/>
            <w:tcBorders>
              <w:top w:val="nil" w:sz="6" w:space="0" w:color="auto"/>
              <w:left w:val="nil" w:sz="6" w:space="0" w:color="auto"/>
              <w:bottom w:val="nil" w:sz="6" w:space="0" w:color="auto"/>
              <w:right w:val="nil" w:sz="6" w:space="0" w:color="auto"/>
            </w:tcBorders>
          </w:tcPr>
          <w:p>
            <w:pPr/>
          </w:p>
        </w:tc>
        <w:tc>
          <w:tcPr>
            <w:tcW w:w="213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3"/>
              <w:jc w:val="right"/>
              <w:rPr>
                <w:rFonts w:ascii="宋体" w:hAnsi="宋体" w:cs="宋体" w:eastAsia="宋体" w:hint="default"/>
                <w:sz w:val="18"/>
                <w:szCs w:val="18"/>
              </w:rPr>
            </w:pPr>
            <w:r>
              <w:rPr>
                <w:rFonts w:ascii="宋体"/>
                <w:spacing w:val="-1"/>
                <w:sz w:val="18"/>
              </w:rPr>
              <w:t>1,218,599.82</w:t>
            </w:r>
            <w:r>
              <w:rPr>
                <w:rFonts w:ascii="宋体"/>
                <w:sz w:val="18"/>
              </w:rPr>
            </w:r>
          </w:p>
        </w:tc>
        <w:tc>
          <w:tcPr>
            <w:tcW w:w="238"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2"/>
              <w:jc w:val="right"/>
              <w:rPr>
                <w:rFonts w:ascii="宋体" w:hAnsi="宋体" w:cs="宋体" w:eastAsia="宋体" w:hint="default"/>
                <w:sz w:val="18"/>
                <w:szCs w:val="18"/>
              </w:rPr>
            </w:pPr>
            <w:r>
              <w:rPr>
                <w:rFonts w:ascii="宋体"/>
                <w:spacing w:val="-1"/>
                <w:sz w:val="18"/>
              </w:rPr>
              <w:t>673,126.44</w:t>
            </w:r>
          </w:p>
        </w:tc>
      </w:tr>
      <w:tr>
        <w:trPr>
          <w:trHeight w:val="312" w:hRule="exact"/>
        </w:trPr>
        <w:tc>
          <w:tcPr>
            <w:tcW w:w="315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90"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35"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c>
          <w:tcPr>
            <w:tcW w:w="223" w:type="dxa"/>
            <w:tcBorders>
              <w:top w:val="nil" w:sz="6" w:space="0" w:color="auto"/>
              <w:left w:val="nil" w:sz="6" w:space="0" w:color="auto"/>
              <w:bottom w:val="nil" w:sz="6" w:space="0" w:color="auto"/>
              <w:right w:val="nil" w:sz="6" w:space="0" w:color="auto"/>
            </w:tcBorders>
          </w:tcPr>
          <w:p>
            <w:pPr/>
          </w:p>
        </w:tc>
        <w:tc>
          <w:tcPr>
            <w:tcW w:w="213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2"/>
              <w:jc w:val="right"/>
              <w:rPr>
                <w:rFonts w:ascii="宋体" w:hAnsi="宋体" w:cs="宋体" w:eastAsia="宋体" w:hint="default"/>
                <w:sz w:val="18"/>
                <w:szCs w:val="18"/>
              </w:rPr>
            </w:pPr>
            <w:r>
              <w:rPr>
                <w:rFonts w:ascii="宋体"/>
                <w:spacing w:val="-1"/>
                <w:sz w:val="18"/>
              </w:rPr>
              <w:t>833,936.88</w:t>
            </w:r>
          </w:p>
        </w:tc>
        <w:tc>
          <w:tcPr>
            <w:tcW w:w="238"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2"/>
              <w:jc w:val="right"/>
              <w:rPr>
                <w:rFonts w:ascii="宋体" w:hAnsi="宋体" w:cs="宋体" w:eastAsia="宋体" w:hint="default"/>
                <w:sz w:val="18"/>
                <w:szCs w:val="18"/>
              </w:rPr>
            </w:pPr>
            <w:r>
              <w:rPr>
                <w:rFonts w:ascii="宋体"/>
                <w:spacing w:val="-1"/>
                <w:sz w:val="18"/>
              </w:rPr>
              <w:t>600,311.81</w:t>
            </w:r>
          </w:p>
        </w:tc>
      </w:tr>
      <w:tr>
        <w:trPr>
          <w:trHeight w:val="312" w:hRule="exact"/>
        </w:trPr>
        <w:tc>
          <w:tcPr>
            <w:tcW w:w="315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90"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35"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c>
          <w:tcPr>
            <w:tcW w:w="223" w:type="dxa"/>
            <w:tcBorders>
              <w:top w:val="nil" w:sz="6" w:space="0" w:color="auto"/>
              <w:left w:val="nil" w:sz="6" w:space="0" w:color="auto"/>
              <w:bottom w:val="nil" w:sz="6" w:space="0" w:color="auto"/>
              <w:right w:val="nil" w:sz="6" w:space="0" w:color="auto"/>
            </w:tcBorders>
          </w:tcPr>
          <w:p>
            <w:pPr/>
          </w:p>
        </w:tc>
        <w:tc>
          <w:tcPr>
            <w:tcW w:w="213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3"/>
              <w:jc w:val="right"/>
              <w:rPr>
                <w:rFonts w:ascii="宋体" w:hAnsi="宋体" w:cs="宋体" w:eastAsia="宋体" w:hint="default"/>
                <w:sz w:val="18"/>
                <w:szCs w:val="18"/>
              </w:rPr>
            </w:pPr>
            <w:r>
              <w:rPr>
                <w:rFonts w:ascii="宋体"/>
                <w:spacing w:val="-1"/>
                <w:sz w:val="18"/>
              </w:rPr>
              <w:t>363,933.51</w:t>
            </w:r>
            <w:r>
              <w:rPr>
                <w:rFonts w:ascii="宋体"/>
                <w:sz w:val="18"/>
              </w:rPr>
            </w:r>
          </w:p>
        </w:tc>
        <w:tc>
          <w:tcPr>
            <w:tcW w:w="238"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2"/>
              <w:jc w:val="right"/>
              <w:rPr>
                <w:rFonts w:ascii="宋体" w:hAnsi="宋体" w:cs="宋体" w:eastAsia="宋体" w:hint="default"/>
                <w:sz w:val="18"/>
                <w:szCs w:val="18"/>
              </w:rPr>
            </w:pPr>
            <w:r>
              <w:rPr>
                <w:rFonts w:ascii="宋体"/>
                <w:spacing w:val="-1"/>
                <w:sz w:val="18"/>
              </w:rPr>
              <w:t>826,952.25</w:t>
            </w:r>
          </w:p>
        </w:tc>
      </w:tr>
      <w:tr>
        <w:trPr>
          <w:trHeight w:val="312" w:hRule="exact"/>
        </w:trPr>
        <w:tc>
          <w:tcPr>
            <w:tcW w:w="315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90"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35"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c>
          <w:tcPr>
            <w:tcW w:w="223" w:type="dxa"/>
            <w:tcBorders>
              <w:top w:val="nil" w:sz="6" w:space="0" w:color="auto"/>
              <w:left w:val="nil" w:sz="6" w:space="0" w:color="auto"/>
              <w:bottom w:val="nil" w:sz="6" w:space="0" w:color="auto"/>
              <w:right w:val="nil" w:sz="6" w:space="0" w:color="auto"/>
            </w:tcBorders>
          </w:tcPr>
          <w:p>
            <w:pPr/>
          </w:p>
        </w:tc>
        <w:tc>
          <w:tcPr>
            <w:tcW w:w="213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4"/>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4"/>
              <w:jc w:val="right"/>
              <w:rPr>
                <w:rFonts w:ascii="宋体" w:hAnsi="宋体" w:cs="宋体" w:eastAsia="宋体" w:hint="default"/>
                <w:sz w:val="18"/>
                <w:szCs w:val="18"/>
              </w:rPr>
            </w:pPr>
            <w:r>
              <w:rPr>
                <w:rFonts w:ascii="宋体"/>
                <w:sz w:val="18"/>
              </w:rPr>
              <w:t>-</w:t>
            </w:r>
          </w:p>
        </w:tc>
      </w:tr>
      <w:tr>
        <w:trPr>
          <w:trHeight w:val="312" w:hRule="exact"/>
        </w:trPr>
        <w:tc>
          <w:tcPr>
            <w:tcW w:w="315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90"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5"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c>
          <w:tcPr>
            <w:tcW w:w="223" w:type="dxa"/>
            <w:tcBorders>
              <w:top w:val="nil" w:sz="6" w:space="0" w:color="auto"/>
              <w:left w:val="nil" w:sz="6" w:space="0" w:color="auto"/>
              <w:bottom w:val="nil" w:sz="6" w:space="0" w:color="auto"/>
              <w:right w:val="nil" w:sz="6" w:space="0" w:color="auto"/>
            </w:tcBorders>
          </w:tcPr>
          <w:p>
            <w:pPr/>
          </w:p>
        </w:tc>
        <w:tc>
          <w:tcPr>
            <w:tcW w:w="213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3"/>
              <w:jc w:val="right"/>
              <w:rPr>
                <w:rFonts w:ascii="宋体" w:hAnsi="宋体" w:cs="宋体" w:eastAsia="宋体" w:hint="default"/>
                <w:sz w:val="18"/>
                <w:szCs w:val="18"/>
              </w:rPr>
            </w:pPr>
            <w:r>
              <w:rPr>
                <w:rFonts w:ascii="宋体"/>
                <w:spacing w:val="-1"/>
                <w:sz w:val="18"/>
              </w:rPr>
              <w:t>4,477,977.25</w:t>
            </w:r>
            <w:r>
              <w:rPr>
                <w:rFonts w:ascii="宋体"/>
                <w:sz w:val="18"/>
              </w:rPr>
            </w:r>
          </w:p>
        </w:tc>
        <w:tc>
          <w:tcPr>
            <w:tcW w:w="238"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2"/>
              <w:jc w:val="right"/>
              <w:rPr>
                <w:rFonts w:ascii="宋体" w:hAnsi="宋体" w:cs="宋体" w:eastAsia="宋体" w:hint="default"/>
                <w:sz w:val="18"/>
                <w:szCs w:val="18"/>
              </w:rPr>
            </w:pPr>
            <w:r>
              <w:rPr>
                <w:rFonts w:ascii="宋体"/>
                <w:spacing w:val="-1"/>
                <w:sz w:val="18"/>
              </w:rPr>
              <w:t>1,228,539.08</w:t>
            </w:r>
          </w:p>
        </w:tc>
      </w:tr>
      <w:tr>
        <w:trPr>
          <w:trHeight w:val="312" w:hRule="exact"/>
        </w:trPr>
        <w:tc>
          <w:tcPr>
            <w:tcW w:w="315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90"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35"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c>
          <w:tcPr>
            <w:tcW w:w="223" w:type="dxa"/>
            <w:tcBorders>
              <w:top w:val="nil" w:sz="6" w:space="0" w:color="auto"/>
              <w:left w:val="nil" w:sz="6" w:space="0" w:color="auto"/>
              <w:bottom w:val="nil" w:sz="6" w:space="0" w:color="auto"/>
              <w:right w:val="nil" w:sz="6" w:space="0" w:color="auto"/>
            </w:tcBorders>
          </w:tcPr>
          <w:p>
            <w:pPr/>
          </w:p>
        </w:tc>
        <w:tc>
          <w:tcPr>
            <w:tcW w:w="2131"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
        </w:tc>
      </w:tr>
      <w:tr>
        <w:trPr>
          <w:trHeight w:val="317" w:hRule="exact"/>
        </w:trPr>
        <w:tc>
          <w:tcPr>
            <w:tcW w:w="315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90"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35"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c>
          <w:tcPr>
            <w:tcW w:w="223" w:type="dxa"/>
            <w:tcBorders>
              <w:top w:val="nil" w:sz="6" w:space="0" w:color="auto"/>
              <w:left w:val="nil" w:sz="6" w:space="0" w:color="auto"/>
              <w:bottom w:val="nil" w:sz="6" w:space="0" w:color="auto"/>
              <w:right w:val="nil" w:sz="6" w:space="0" w:color="auto"/>
            </w:tcBorders>
          </w:tcPr>
          <w:p>
            <w:pPr/>
          </w:p>
        </w:tc>
        <w:tc>
          <w:tcPr>
            <w:tcW w:w="213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4"/>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4"/>
              <w:jc w:val="right"/>
              <w:rPr>
                <w:rFonts w:ascii="宋体" w:hAnsi="宋体" w:cs="宋体" w:eastAsia="宋体" w:hint="default"/>
                <w:sz w:val="18"/>
                <w:szCs w:val="18"/>
              </w:rPr>
            </w:pPr>
            <w:r>
              <w:rPr>
                <w:rFonts w:ascii="宋体"/>
                <w:sz w:val="18"/>
              </w:rPr>
              <w:t>-</w:t>
            </w:r>
          </w:p>
        </w:tc>
      </w:tr>
      <w:tr>
        <w:trPr>
          <w:trHeight w:val="324" w:hRule="exact"/>
        </w:trPr>
        <w:tc>
          <w:tcPr>
            <w:tcW w:w="3151" w:type="dxa"/>
            <w:tcBorders>
              <w:top w:val="nil" w:sz="6" w:space="0" w:color="auto"/>
              <w:left w:val="nil" w:sz="6" w:space="0" w:color="auto"/>
              <w:bottom w:val="nil" w:sz="6" w:space="0" w:color="auto"/>
              <w:right w:val="nil" w:sz="6" w:space="0" w:color="auto"/>
            </w:tcBorders>
          </w:tcPr>
          <w:p>
            <w:pPr>
              <w:pStyle w:val="TableParagraph"/>
              <w:spacing w:line="240" w:lineRule="auto" w:before="15"/>
              <w:ind w:left="470"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35"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c>
          <w:tcPr>
            <w:tcW w:w="223" w:type="dxa"/>
            <w:tcBorders>
              <w:top w:val="nil" w:sz="6" w:space="0" w:color="auto"/>
              <w:left w:val="nil" w:sz="6" w:space="0" w:color="auto"/>
              <w:bottom w:val="nil" w:sz="6" w:space="0" w:color="auto"/>
              <w:right w:val="nil" w:sz="6" w:space="0" w:color="auto"/>
            </w:tcBorders>
          </w:tcPr>
          <w:p>
            <w:pPr/>
          </w:p>
        </w:tc>
        <w:tc>
          <w:tcPr>
            <w:tcW w:w="2131" w:type="dxa"/>
            <w:tcBorders>
              <w:top w:val="nil" w:sz="6" w:space="0" w:color="auto"/>
              <w:left w:val="nil" w:sz="6" w:space="0" w:color="auto"/>
              <w:bottom w:val="single" w:sz="4" w:space="0" w:color="000000"/>
              <w:right w:val="nil" w:sz="6" w:space="0" w:color="auto"/>
            </w:tcBorders>
          </w:tcPr>
          <w:p>
            <w:pPr>
              <w:pStyle w:val="TableParagraph"/>
              <w:spacing w:line="20" w:lineRule="exact"/>
              <w:ind w:left="-5" w:right="-55"/>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107.05pt;height:.5pt;mso-position-horizontal-relative:char;mso-position-vertical-relative:line" coordorigin="0,0" coordsize="2141,10">
                  <v:shape style="position:absolute;left:0;top:0;width:29;height:10" type="#_x0000_t75" stroked="false">
                    <v:imagedata r:id="rId52" o:title=""/>
                  </v:shape>
                  <v:shape style="position:absolute;left:19;top:0;width:48;height:10" type="#_x0000_t75" stroked="false">
                    <v:imagedata r:id="rId53" o:title=""/>
                  </v:shape>
                  <v:shape style="position:absolute;left:58;top:0;width:29;height:10" type="#_x0000_t75" stroked="false">
                    <v:imagedata r:id="rId54" o:title=""/>
                  </v:shape>
                  <v:shape style="position:absolute;left:77;top:0;width:48;height:10" type="#_x0000_t75" stroked="false">
                    <v:imagedata r:id="rId55" o:title=""/>
                  </v:shape>
                  <v:shape style="position:absolute;left:115;top:0;width:67;height:10" type="#_x0000_t75" stroked="false">
                    <v:imagedata r:id="rId56" o:title=""/>
                  </v:shape>
                  <v:shape style="position:absolute;left:173;top:0;width:29;height:10" type="#_x0000_t75" stroked="false">
                    <v:imagedata r:id="rId52" o:title=""/>
                  </v:shape>
                  <v:shape style="position:absolute;left:192;top:0;width:67;height:10" type="#_x0000_t75" stroked="false">
                    <v:imagedata r:id="rId56" o:title=""/>
                  </v:shape>
                  <v:shape style="position:absolute;left:250;top:0;width:48;height:10" type="#_x0000_t75" stroked="false">
                    <v:imagedata r:id="rId55" o:title=""/>
                  </v:shape>
                  <v:shape style="position:absolute;left:288;top:0;width:67;height:10" type="#_x0000_t75" stroked="false">
                    <v:imagedata r:id="rId56" o:title=""/>
                  </v:shape>
                  <v:shape style="position:absolute;left:346;top:0;width:67;height:10" type="#_x0000_t75" stroked="false">
                    <v:imagedata r:id="rId56" o:title=""/>
                  </v:shape>
                  <v:shape style="position:absolute;left:403;top:0;width:67;height:10" type="#_x0000_t75" stroked="false">
                    <v:imagedata r:id="rId56" o:title=""/>
                  </v:shape>
                  <v:shape style="position:absolute;left:461;top:0;width:67;height:10" type="#_x0000_t75" stroked="false">
                    <v:imagedata r:id="rId56" o:title=""/>
                  </v:shape>
                  <v:shape style="position:absolute;left:518;top:0;width:29;height:10" type="#_x0000_t75" stroked="false">
                    <v:imagedata r:id="rId52" o:title=""/>
                  </v:shape>
                  <v:shape style="position:absolute;left:538;top:0;width:67;height:10" type="#_x0000_t75" stroked="false">
                    <v:imagedata r:id="rId56" o:title=""/>
                  </v:shape>
                  <v:shape style="position:absolute;left:595;top:0;width:48;height:10" type="#_x0000_t75" stroked="false">
                    <v:imagedata r:id="rId55" o:title=""/>
                  </v:shape>
                  <v:shape style="position:absolute;left:634;top:0;width:29;height:10" type="#_x0000_t75" stroked="false">
                    <v:imagedata r:id="rId52" o:title=""/>
                  </v:shape>
                  <v:shape style="position:absolute;left:653;top:0;width:48;height:10" type="#_x0000_t75" stroked="false">
                    <v:imagedata r:id="rId53" o:title=""/>
                  </v:shape>
                  <v:shape style="position:absolute;left:691;top:0;width:67;height:10" type="#_x0000_t75" stroked="false">
                    <v:imagedata r:id="rId56" o:title=""/>
                  </v:shape>
                  <v:shape style="position:absolute;left:749;top:0;width:29;height:10" type="#_x0000_t75" stroked="false">
                    <v:imagedata r:id="rId52" o:title=""/>
                  </v:shape>
                  <v:shape style="position:absolute;left:768;top:0;width:48;height:10" type="#_x0000_t75" stroked="false">
                    <v:imagedata r:id="rId55" o:title=""/>
                  </v:shape>
                  <v:shape style="position:absolute;left:806;top:0;width:29;height:10" type="#_x0000_t75" stroked="false">
                    <v:imagedata r:id="rId52" o:title=""/>
                  </v:shape>
                  <v:shape style="position:absolute;left:826;top:0;width:48;height:10" type="#_x0000_t75" stroked="false">
                    <v:imagedata r:id="rId53" o:title=""/>
                  </v:shape>
                  <v:shape style="position:absolute;left:864;top:0;width:29;height:10" type="#_x0000_t75" stroked="false">
                    <v:imagedata r:id="rId52" o:title=""/>
                  </v:shape>
                  <v:shape style="position:absolute;left:883;top:0;width:67;height:10" type="#_x0000_t75" stroked="false">
                    <v:imagedata r:id="rId56" o:title=""/>
                  </v:shape>
                  <v:shape style="position:absolute;left:941;top:0;width:67;height:10" type="#_x0000_t75" stroked="false">
                    <v:imagedata r:id="rId56" o:title=""/>
                  </v:shape>
                  <v:shape style="position:absolute;left:998;top:0;width:48;height:10" type="#_x0000_t75" stroked="false">
                    <v:imagedata r:id="rId53" o:title=""/>
                  </v:shape>
                  <v:shape style="position:absolute;left:1037;top:0;width:67;height:10" type="#_x0000_t75" stroked="false">
                    <v:imagedata r:id="rId56" o:title=""/>
                  </v:shape>
                  <v:shape style="position:absolute;left:1094;top:0;width:67;height:10" type="#_x0000_t75" stroked="false">
                    <v:imagedata r:id="rId56" o:title=""/>
                  </v:shape>
                  <v:shape style="position:absolute;left:1152;top:0;width:29;height:10" type="#_x0000_t75" stroked="false">
                    <v:imagedata r:id="rId54" o:title=""/>
                  </v:shape>
                  <v:shape style="position:absolute;left:1171;top:0;width:48;height:10" type="#_x0000_t75" stroked="false">
                    <v:imagedata r:id="rId55" o:title=""/>
                  </v:shape>
                  <v:shape style="position:absolute;left:1210;top:0;width:29;height:10" type="#_x0000_t75" stroked="false">
                    <v:imagedata r:id="rId52" o:title=""/>
                  </v:shape>
                  <v:shape style="position:absolute;left:1229;top:0;width:67;height:10" type="#_x0000_t75" stroked="false">
                    <v:imagedata r:id="rId56" o:title=""/>
                  </v:shape>
                  <v:shape style="position:absolute;left:1286;top:0;width:67;height:10" type="#_x0000_t75" stroked="false">
                    <v:imagedata r:id="rId56" o:title=""/>
                  </v:shape>
                  <v:shape style="position:absolute;left:1344;top:0;width:67;height:10" type="#_x0000_t75" stroked="false">
                    <v:imagedata r:id="rId56" o:title=""/>
                  </v:shape>
                  <v:shape style="position:absolute;left:1402;top:0;width:48;height:10" type="#_x0000_t75" stroked="false">
                    <v:imagedata r:id="rId53" o:title=""/>
                  </v:shape>
                  <v:shape style="position:absolute;left:1440;top:0;width:67;height:10" type="#_x0000_t75" stroked="false">
                    <v:imagedata r:id="rId56" o:title=""/>
                  </v:shape>
                  <v:shape style="position:absolute;left:1498;top:0;width:29;height:10" type="#_x0000_t75" stroked="false">
                    <v:imagedata r:id="rId54" o:title=""/>
                  </v:shape>
                  <v:shape style="position:absolute;left:1517;top:0;width:48;height:10" type="#_x0000_t75" stroked="false">
                    <v:imagedata r:id="rId55" o:title=""/>
                  </v:shape>
                  <v:shape style="position:absolute;left:1555;top:0;width:29;height:10" type="#_x0000_t75" stroked="false">
                    <v:imagedata r:id="rId52" o:title=""/>
                  </v:shape>
                  <v:shape style="position:absolute;left:1574;top:0;width:48;height:10" type="#_x0000_t75" stroked="false">
                    <v:imagedata r:id="rId53" o:title=""/>
                  </v:shape>
                  <v:shape style="position:absolute;left:1613;top:0;width:29;height:10" type="#_x0000_t75" stroked="false">
                    <v:imagedata r:id="rId52" o:title=""/>
                  </v:shape>
                  <v:shape style="position:absolute;left:1632;top:0;width:67;height:10" type="#_x0000_t75" stroked="false">
                    <v:imagedata r:id="rId56" o:title=""/>
                  </v:shape>
                  <v:shape style="position:absolute;left:1690;top:0;width:67;height:10" type="#_x0000_t75" stroked="false">
                    <v:imagedata r:id="rId56" o:title=""/>
                  </v:shape>
                  <v:shape style="position:absolute;left:1747;top:0;width:48;height:10" type="#_x0000_t75" stroked="false">
                    <v:imagedata r:id="rId53" o:title=""/>
                  </v:shape>
                  <v:shape style="position:absolute;left:1786;top:0;width:67;height:10" type="#_x0000_t75" stroked="false">
                    <v:imagedata r:id="rId56" o:title=""/>
                  </v:shape>
                  <v:shape style="position:absolute;left:1843;top:0;width:67;height:10" type="#_x0000_t75" stroked="false">
                    <v:imagedata r:id="rId56" o:title=""/>
                  </v:shape>
                  <v:shape style="position:absolute;left:1901;top:0;width:29;height:10" type="#_x0000_t75" stroked="false">
                    <v:imagedata r:id="rId52" o:title=""/>
                  </v:shape>
                  <v:shape style="position:absolute;left:1920;top:0;width:48;height:10" type="#_x0000_t75" stroked="false">
                    <v:imagedata r:id="rId53" o:title=""/>
                  </v:shape>
                  <v:shape style="position:absolute;left:1958;top:0;width:29;height:10" type="#_x0000_t75" stroked="false">
                    <v:imagedata r:id="rId52" o:title=""/>
                  </v:shape>
                  <v:shape style="position:absolute;left:1978;top:0;width:48;height:10" type="#_x0000_t75" stroked="false">
                    <v:imagedata r:id="rId53" o:title=""/>
                  </v:shape>
                  <v:shape style="position:absolute;left:2016;top:0;width:29;height:10" type="#_x0000_t75" stroked="false">
                    <v:imagedata r:id="rId52" o:title=""/>
                  </v:shape>
                  <v:shape style="position:absolute;left:2035;top:0;width:67;height:10" type="#_x0000_t75" stroked="false">
                    <v:imagedata r:id="rId56" o:title=""/>
                  </v:shape>
                  <v:shape style="position:absolute;left:2093;top:0;width:48;height:10" type="#_x0000_t75" stroked="false">
                    <v:imagedata r:id="rId53" o:title=""/>
                  </v:shape>
                </v:group>
              </w:pict>
            </w:r>
            <w:r>
              <w:rPr>
                <w:rFonts w:ascii="Times New Roman" w:hAnsi="Times New Roman" w:cs="Times New Roman" w:eastAsia="Times New Roman" w:hint="default"/>
                <w:sz w:val="2"/>
                <w:szCs w:val="2"/>
              </w:rPr>
            </w:r>
          </w:p>
          <w:p>
            <w:pPr>
              <w:pStyle w:val="TableParagraph"/>
              <w:spacing w:line="240" w:lineRule="auto"/>
              <w:ind w:right="107"/>
              <w:jc w:val="right"/>
              <w:rPr>
                <w:rFonts w:ascii="宋体" w:hAnsi="宋体" w:cs="宋体" w:eastAsia="宋体" w:hint="default"/>
                <w:sz w:val="18"/>
                <w:szCs w:val="18"/>
              </w:rPr>
            </w:pPr>
            <w:r>
              <w:rPr>
                <w:rFonts w:ascii="宋体"/>
                <w:spacing w:val="-1"/>
                <w:sz w:val="18"/>
              </w:rPr>
              <w:t>13,585,754.09</w:t>
            </w:r>
            <w:r>
              <w:rPr>
                <w:rFonts w:ascii="宋体"/>
                <w:sz w:val="18"/>
              </w:rPr>
            </w:r>
          </w:p>
        </w:tc>
        <w:tc>
          <w:tcPr>
            <w:tcW w:w="238"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single" w:sz="4" w:space="0" w:color="000000"/>
              <w:right w:val="nil" w:sz="6" w:space="0" w:color="auto"/>
            </w:tcBorders>
          </w:tcPr>
          <w:p>
            <w:pPr>
              <w:pStyle w:val="TableParagraph"/>
              <w:spacing w:line="20" w:lineRule="exact"/>
              <w:ind w:right="-56"/>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94.1pt;height:.5pt;mso-position-horizontal-relative:char;mso-position-vertical-relative:line" coordorigin="0,0" coordsize="1882,10">
                  <v:shape style="position:absolute;left:0;top:0;width:1862;height:10" type="#_x0000_t75" stroked="false">
                    <v:imagedata r:id="rId57" o:title=""/>
                  </v:shape>
                  <v:shape style="position:absolute;left:1858;top:0;width:24;height:10" type="#_x0000_t75" stroked="false">
                    <v:imagedata r:id="rId58" o:title=""/>
                  </v:shape>
                </v:group>
              </w:pict>
            </w:r>
            <w:r>
              <w:rPr>
                <w:rFonts w:ascii="Times New Roman" w:hAnsi="Times New Roman" w:cs="Times New Roman" w:eastAsia="Times New Roman" w:hint="default"/>
                <w:sz w:val="2"/>
                <w:szCs w:val="2"/>
              </w:rPr>
            </w:r>
          </w:p>
          <w:p>
            <w:pPr>
              <w:pStyle w:val="TableParagraph"/>
              <w:spacing w:line="240" w:lineRule="auto"/>
              <w:ind w:right="104"/>
              <w:jc w:val="right"/>
              <w:rPr>
                <w:rFonts w:ascii="宋体" w:hAnsi="宋体" w:cs="宋体" w:eastAsia="宋体" w:hint="default"/>
                <w:sz w:val="18"/>
                <w:szCs w:val="18"/>
              </w:rPr>
            </w:pPr>
            <w:r>
              <w:rPr>
                <w:rFonts w:ascii="宋体"/>
                <w:spacing w:val="-1"/>
                <w:sz w:val="18"/>
              </w:rPr>
              <w:t>10,852,543.81</w:t>
            </w:r>
          </w:p>
        </w:tc>
      </w:tr>
      <w:tr>
        <w:trPr>
          <w:trHeight w:val="315" w:hRule="exact"/>
        </w:trPr>
        <w:tc>
          <w:tcPr>
            <w:tcW w:w="3151"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07" w:right="0"/>
              <w:jc w:val="left"/>
              <w:rPr>
                <w:rFonts w:ascii="宋体" w:hAnsi="宋体" w:cs="宋体" w:eastAsia="宋体" w:hint="default"/>
                <w:sz w:val="18"/>
                <w:szCs w:val="18"/>
              </w:rPr>
            </w:pPr>
            <w:r>
              <w:rPr>
                <w:rFonts w:ascii="宋体" w:hAnsi="宋体" w:cs="宋体" w:eastAsia="宋体" w:hint="default"/>
                <w:b/>
                <w:bCs/>
                <w:sz w:val="18"/>
                <w:szCs w:val="18"/>
              </w:rPr>
              <w:t>非流动负债：</w:t>
            </w:r>
            <w:r>
              <w:rPr>
                <w:rFonts w:ascii="宋体" w:hAnsi="宋体" w:cs="宋体" w:eastAsia="宋体" w:hint="default"/>
                <w:sz w:val="18"/>
                <w:szCs w:val="18"/>
              </w:rPr>
            </w:r>
          </w:p>
        </w:tc>
        <w:tc>
          <w:tcPr>
            <w:tcW w:w="235"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c>
          <w:tcPr>
            <w:tcW w:w="223" w:type="dxa"/>
            <w:tcBorders>
              <w:top w:val="nil" w:sz="6" w:space="0" w:color="auto"/>
              <w:left w:val="nil" w:sz="6" w:space="0" w:color="auto"/>
              <w:bottom w:val="nil" w:sz="6" w:space="0" w:color="auto"/>
              <w:right w:val="nil" w:sz="6" w:space="0" w:color="auto"/>
            </w:tcBorders>
          </w:tcPr>
          <w:p>
            <w:pPr/>
          </w:p>
        </w:tc>
        <w:tc>
          <w:tcPr>
            <w:tcW w:w="2131" w:type="dxa"/>
            <w:tcBorders>
              <w:top w:val="single" w:sz="4" w:space="0" w:color="000000"/>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877" w:type="dxa"/>
            <w:tcBorders>
              <w:top w:val="single" w:sz="4" w:space="0" w:color="000000"/>
              <w:left w:val="nil" w:sz="6" w:space="0" w:color="auto"/>
              <w:bottom w:val="nil" w:sz="6" w:space="0" w:color="auto"/>
              <w:right w:val="nil" w:sz="6" w:space="0" w:color="auto"/>
            </w:tcBorders>
          </w:tcPr>
          <w:p>
            <w:pPr/>
          </w:p>
        </w:tc>
      </w:tr>
      <w:tr>
        <w:trPr>
          <w:trHeight w:val="312" w:hRule="exact"/>
        </w:trPr>
        <w:tc>
          <w:tcPr>
            <w:tcW w:w="315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90"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35"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c>
          <w:tcPr>
            <w:tcW w:w="223" w:type="dxa"/>
            <w:tcBorders>
              <w:top w:val="nil" w:sz="6" w:space="0" w:color="auto"/>
              <w:left w:val="nil" w:sz="6" w:space="0" w:color="auto"/>
              <w:bottom w:val="nil" w:sz="6" w:space="0" w:color="auto"/>
              <w:right w:val="nil" w:sz="6" w:space="0" w:color="auto"/>
            </w:tcBorders>
          </w:tcPr>
          <w:p>
            <w:pPr/>
          </w:p>
        </w:tc>
        <w:tc>
          <w:tcPr>
            <w:tcW w:w="213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4"/>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4"/>
              <w:jc w:val="right"/>
              <w:rPr>
                <w:rFonts w:ascii="宋体" w:hAnsi="宋体" w:cs="宋体" w:eastAsia="宋体" w:hint="default"/>
                <w:sz w:val="18"/>
                <w:szCs w:val="18"/>
              </w:rPr>
            </w:pPr>
            <w:r>
              <w:rPr>
                <w:rFonts w:ascii="宋体"/>
                <w:sz w:val="18"/>
              </w:rPr>
              <w:t>-</w:t>
            </w:r>
          </w:p>
        </w:tc>
      </w:tr>
      <w:tr>
        <w:trPr>
          <w:trHeight w:val="312" w:hRule="exact"/>
        </w:trPr>
        <w:tc>
          <w:tcPr>
            <w:tcW w:w="315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90"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35"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c>
          <w:tcPr>
            <w:tcW w:w="223" w:type="dxa"/>
            <w:tcBorders>
              <w:top w:val="nil" w:sz="6" w:space="0" w:color="auto"/>
              <w:left w:val="nil" w:sz="6" w:space="0" w:color="auto"/>
              <w:bottom w:val="nil" w:sz="6" w:space="0" w:color="auto"/>
              <w:right w:val="nil" w:sz="6" w:space="0" w:color="auto"/>
            </w:tcBorders>
          </w:tcPr>
          <w:p>
            <w:pPr/>
          </w:p>
        </w:tc>
        <w:tc>
          <w:tcPr>
            <w:tcW w:w="213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4"/>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4"/>
              <w:jc w:val="right"/>
              <w:rPr>
                <w:rFonts w:ascii="宋体" w:hAnsi="宋体" w:cs="宋体" w:eastAsia="宋体" w:hint="default"/>
                <w:sz w:val="18"/>
                <w:szCs w:val="18"/>
              </w:rPr>
            </w:pPr>
            <w:r>
              <w:rPr>
                <w:rFonts w:ascii="宋体"/>
                <w:sz w:val="18"/>
              </w:rPr>
              <w:t>-</w:t>
            </w:r>
          </w:p>
        </w:tc>
      </w:tr>
      <w:tr>
        <w:trPr>
          <w:trHeight w:val="312" w:hRule="exact"/>
        </w:trPr>
        <w:tc>
          <w:tcPr>
            <w:tcW w:w="315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90"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35"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c>
          <w:tcPr>
            <w:tcW w:w="223" w:type="dxa"/>
            <w:tcBorders>
              <w:top w:val="nil" w:sz="6" w:space="0" w:color="auto"/>
              <w:left w:val="nil" w:sz="6" w:space="0" w:color="auto"/>
              <w:bottom w:val="nil" w:sz="6" w:space="0" w:color="auto"/>
              <w:right w:val="nil" w:sz="6" w:space="0" w:color="auto"/>
            </w:tcBorders>
          </w:tcPr>
          <w:p>
            <w:pPr/>
          </w:p>
        </w:tc>
        <w:tc>
          <w:tcPr>
            <w:tcW w:w="213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4"/>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4"/>
              <w:jc w:val="right"/>
              <w:rPr>
                <w:rFonts w:ascii="宋体" w:hAnsi="宋体" w:cs="宋体" w:eastAsia="宋体" w:hint="default"/>
                <w:sz w:val="18"/>
                <w:szCs w:val="18"/>
              </w:rPr>
            </w:pPr>
            <w:r>
              <w:rPr>
                <w:rFonts w:ascii="宋体"/>
                <w:sz w:val="18"/>
              </w:rPr>
              <w:t>-</w:t>
            </w:r>
          </w:p>
        </w:tc>
      </w:tr>
      <w:tr>
        <w:trPr>
          <w:trHeight w:val="312" w:hRule="exact"/>
        </w:trPr>
        <w:tc>
          <w:tcPr>
            <w:tcW w:w="315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88"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35"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c>
          <w:tcPr>
            <w:tcW w:w="223" w:type="dxa"/>
            <w:tcBorders>
              <w:top w:val="nil" w:sz="6" w:space="0" w:color="auto"/>
              <w:left w:val="nil" w:sz="6" w:space="0" w:color="auto"/>
              <w:bottom w:val="nil" w:sz="6" w:space="0" w:color="auto"/>
              <w:right w:val="nil" w:sz="6" w:space="0" w:color="auto"/>
            </w:tcBorders>
          </w:tcPr>
          <w:p>
            <w:pPr/>
          </w:p>
        </w:tc>
        <w:tc>
          <w:tcPr>
            <w:tcW w:w="213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4"/>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4"/>
              <w:jc w:val="right"/>
              <w:rPr>
                <w:rFonts w:ascii="宋体" w:hAnsi="宋体" w:cs="宋体" w:eastAsia="宋体" w:hint="default"/>
                <w:sz w:val="18"/>
                <w:szCs w:val="18"/>
              </w:rPr>
            </w:pPr>
            <w:r>
              <w:rPr>
                <w:rFonts w:ascii="宋体"/>
                <w:sz w:val="18"/>
              </w:rPr>
              <w:t>-</w:t>
            </w:r>
          </w:p>
        </w:tc>
      </w:tr>
      <w:tr>
        <w:trPr>
          <w:trHeight w:val="312" w:hRule="exact"/>
        </w:trPr>
        <w:tc>
          <w:tcPr>
            <w:tcW w:w="315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90"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5"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c>
          <w:tcPr>
            <w:tcW w:w="223" w:type="dxa"/>
            <w:tcBorders>
              <w:top w:val="nil" w:sz="6" w:space="0" w:color="auto"/>
              <w:left w:val="nil" w:sz="6" w:space="0" w:color="auto"/>
              <w:bottom w:val="nil" w:sz="6" w:space="0" w:color="auto"/>
              <w:right w:val="nil" w:sz="6" w:space="0" w:color="auto"/>
            </w:tcBorders>
          </w:tcPr>
          <w:p>
            <w:pPr/>
          </w:p>
        </w:tc>
        <w:tc>
          <w:tcPr>
            <w:tcW w:w="213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7"/>
              <w:jc w:val="right"/>
              <w:rPr>
                <w:rFonts w:ascii="宋体" w:hAnsi="宋体" w:cs="宋体" w:eastAsia="宋体" w:hint="default"/>
                <w:sz w:val="18"/>
                <w:szCs w:val="18"/>
              </w:rPr>
            </w:pPr>
            <w:r>
              <w:rPr>
                <w:rFonts w:ascii="宋体"/>
                <w:spacing w:val="-1"/>
                <w:sz w:val="18"/>
              </w:rPr>
              <w:t>5,405,801.36</w:t>
            </w:r>
            <w:r>
              <w:rPr>
                <w:rFonts w:ascii="宋体"/>
                <w:sz w:val="18"/>
              </w:rPr>
            </w:r>
          </w:p>
        </w:tc>
        <w:tc>
          <w:tcPr>
            <w:tcW w:w="238"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2"/>
              <w:jc w:val="right"/>
              <w:rPr>
                <w:rFonts w:ascii="宋体" w:hAnsi="宋体" w:cs="宋体" w:eastAsia="宋体" w:hint="default"/>
                <w:sz w:val="18"/>
                <w:szCs w:val="18"/>
              </w:rPr>
            </w:pPr>
            <w:r>
              <w:rPr>
                <w:rFonts w:ascii="宋体"/>
                <w:spacing w:val="-1"/>
                <w:sz w:val="18"/>
              </w:rPr>
              <w:t>4,620,556.01</w:t>
            </w:r>
          </w:p>
        </w:tc>
      </w:tr>
      <w:tr>
        <w:trPr>
          <w:trHeight w:val="312" w:hRule="exact"/>
        </w:trPr>
        <w:tc>
          <w:tcPr>
            <w:tcW w:w="315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90"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35"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c>
          <w:tcPr>
            <w:tcW w:w="223" w:type="dxa"/>
            <w:tcBorders>
              <w:top w:val="nil" w:sz="6" w:space="0" w:color="auto"/>
              <w:left w:val="nil" w:sz="6" w:space="0" w:color="auto"/>
              <w:bottom w:val="nil" w:sz="6" w:space="0" w:color="auto"/>
              <w:right w:val="nil" w:sz="6" w:space="0" w:color="auto"/>
            </w:tcBorders>
          </w:tcPr>
          <w:p>
            <w:pPr/>
          </w:p>
        </w:tc>
        <w:tc>
          <w:tcPr>
            <w:tcW w:w="213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2"/>
              <w:jc w:val="right"/>
              <w:rPr>
                <w:rFonts w:ascii="宋体" w:hAnsi="宋体" w:cs="宋体" w:eastAsia="宋体" w:hint="default"/>
                <w:sz w:val="18"/>
                <w:szCs w:val="18"/>
              </w:rPr>
            </w:pPr>
            <w:r>
              <w:rPr>
                <w:rFonts w:ascii="宋体"/>
                <w:spacing w:val="-1"/>
                <w:sz w:val="18"/>
              </w:rPr>
              <w:t>196,234.42</w:t>
            </w:r>
          </w:p>
        </w:tc>
        <w:tc>
          <w:tcPr>
            <w:tcW w:w="238"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4"/>
              <w:jc w:val="right"/>
              <w:rPr>
                <w:rFonts w:ascii="宋体" w:hAnsi="宋体" w:cs="宋体" w:eastAsia="宋体" w:hint="default"/>
                <w:sz w:val="18"/>
                <w:szCs w:val="18"/>
              </w:rPr>
            </w:pPr>
            <w:r>
              <w:rPr>
                <w:rFonts w:ascii="宋体"/>
                <w:sz w:val="18"/>
              </w:rPr>
              <w:t>-</w:t>
            </w:r>
          </w:p>
        </w:tc>
      </w:tr>
      <w:tr>
        <w:trPr>
          <w:trHeight w:val="317" w:hRule="exact"/>
        </w:trPr>
        <w:tc>
          <w:tcPr>
            <w:tcW w:w="315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90"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35"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c>
          <w:tcPr>
            <w:tcW w:w="223" w:type="dxa"/>
            <w:tcBorders>
              <w:top w:val="nil" w:sz="6" w:space="0" w:color="auto"/>
              <w:left w:val="nil" w:sz="6" w:space="0" w:color="auto"/>
              <w:bottom w:val="nil" w:sz="6" w:space="0" w:color="auto"/>
              <w:right w:val="nil" w:sz="6" w:space="0" w:color="auto"/>
            </w:tcBorders>
          </w:tcPr>
          <w:p>
            <w:pPr/>
          </w:p>
        </w:tc>
        <w:tc>
          <w:tcPr>
            <w:tcW w:w="213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4"/>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w:t>
            </w:r>
          </w:p>
        </w:tc>
      </w:tr>
      <w:tr>
        <w:trPr>
          <w:trHeight w:val="324" w:hRule="exact"/>
        </w:trPr>
        <w:tc>
          <w:tcPr>
            <w:tcW w:w="3151" w:type="dxa"/>
            <w:tcBorders>
              <w:top w:val="nil" w:sz="6" w:space="0" w:color="auto"/>
              <w:left w:val="nil" w:sz="6" w:space="0" w:color="auto"/>
              <w:bottom w:val="nil" w:sz="6" w:space="0" w:color="auto"/>
              <w:right w:val="nil" w:sz="6" w:space="0" w:color="auto"/>
            </w:tcBorders>
          </w:tcPr>
          <w:p>
            <w:pPr>
              <w:pStyle w:val="TableParagraph"/>
              <w:spacing w:line="240" w:lineRule="auto" w:before="15"/>
              <w:ind w:left="470"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35"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c>
          <w:tcPr>
            <w:tcW w:w="223" w:type="dxa"/>
            <w:tcBorders>
              <w:top w:val="nil" w:sz="6" w:space="0" w:color="auto"/>
              <w:left w:val="nil" w:sz="6" w:space="0" w:color="auto"/>
              <w:bottom w:val="nil" w:sz="6" w:space="0" w:color="auto"/>
              <w:right w:val="nil" w:sz="6" w:space="0" w:color="auto"/>
            </w:tcBorders>
          </w:tcPr>
          <w:p>
            <w:pPr/>
          </w:p>
        </w:tc>
        <w:tc>
          <w:tcPr>
            <w:tcW w:w="2131" w:type="dxa"/>
            <w:tcBorders>
              <w:top w:val="nil" w:sz="6" w:space="0" w:color="auto"/>
              <w:left w:val="nil" w:sz="6" w:space="0" w:color="auto"/>
              <w:bottom w:val="single" w:sz="4" w:space="0" w:color="000000"/>
              <w:right w:val="nil" w:sz="6" w:space="0" w:color="auto"/>
            </w:tcBorders>
          </w:tcPr>
          <w:p>
            <w:pPr>
              <w:pStyle w:val="TableParagraph"/>
              <w:spacing w:line="20" w:lineRule="exact"/>
              <w:ind w:left="-5" w:right="-55"/>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107.05pt;height:.5pt;mso-position-horizontal-relative:char;mso-position-vertical-relative:line" coordorigin="0,0" coordsize="2141,10">
                  <v:shape style="position:absolute;left:0;top:0;width:29;height:10" type="#_x0000_t75" stroked="false">
                    <v:imagedata r:id="rId52" o:title=""/>
                  </v:shape>
                  <v:shape style="position:absolute;left:19;top:0;width:48;height:10" type="#_x0000_t75" stroked="false">
                    <v:imagedata r:id="rId53" o:title=""/>
                  </v:shape>
                  <v:shape style="position:absolute;left:58;top:0;width:29;height:10" type="#_x0000_t75" stroked="false">
                    <v:imagedata r:id="rId54" o:title=""/>
                  </v:shape>
                  <v:shape style="position:absolute;left:77;top:0;width:48;height:10" type="#_x0000_t75" stroked="false">
                    <v:imagedata r:id="rId55" o:title=""/>
                  </v:shape>
                  <v:shape style="position:absolute;left:115;top:0;width:67;height:10" type="#_x0000_t75" stroked="false">
                    <v:imagedata r:id="rId56" o:title=""/>
                  </v:shape>
                  <v:shape style="position:absolute;left:173;top:0;width:29;height:10" type="#_x0000_t75" stroked="false">
                    <v:imagedata r:id="rId52" o:title=""/>
                  </v:shape>
                  <v:shape style="position:absolute;left:192;top:0;width:67;height:10" type="#_x0000_t75" stroked="false">
                    <v:imagedata r:id="rId56" o:title=""/>
                  </v:shape>
                  <v:shape style="position:absolute;left:250;top:0;width:48;height:10" type="#_x0000_t75" stroked="false">
                    <v:imagedata r:id="rId55" o:title=""/>
                  </v:shape>
                  <v:shape style="position:absolute;left:288;top:0;width:67;height:10" type="#_x0000_t75" stroked="false">
                    <v:imagedata r:id="rId56" o:title=""/>
                  </v:shape>
                  <v:shape style="position:absolute;left:346;top:0;width:67;height:10" type="#_x0000_t75" stroked="false">
                    <v:imagedata r:id="rId56" o:title=""/>
                  </v:shape>
                  <v:shape style="position:absolute;left:403;top:0;width:67;height:10" type="#_x0000_t75" stroked="false">
                    <v:imagedata r:id="rId56" o:title=""/>
                  </v:shape>
                  <v:shape style="position:absolute;left:461;top:0;width:67;height:10" type="#_x0000_t75" stroked="false">
                    <v:imagedata r:id="rId56" o:title=""/>
                  </v:shape>
                  <v:shape style="position:absolute;left:518;top:0;width:29;height:10" type="#_x0000_t75" stroked="false">
                    <v:imagedata r:id="rId52" o:title=""/>
                  </v:shape>
                  <v:shape style="position:absolute;left:538;top:0;width:67;height:10" type="#_x0000_t75" stroked="false">
                    <v:imagedata r:id="rId56" o:title=""/>
                  </v:shape>
                  <v:shape style="position:absolute;left:595;top:0;width:48;height:10" type="#_x0000_t75" stroked="false">
                    <v:imagedata r:id="rId55" o:title=""/>
                  </v:shape>
                  <v:shape style="position:absolute;left:634;top:0;width:29;height:10" type="#_x0000_t75" stroked="false">
                    <v:imagedata r:id="rId52" o:title=""/>
                  </v:shape>
                  <v:shape style="position:absolute;left:653;top:0;width:48;height:10" type="#_x0000_t75" stroked="false">
                    <v:imagedata r:id="rId53" o:title=""/>
                  </v:shape>
                  <v:shape style="position:absolute;left:691;top:0;width:67;height:10" type="#_x0000_t75" stroked="false">
                    <v:imagedata r:id="rId56" o:title=""/>
                  </v:shape>
                  <v:shape style="position:absolute;left:749;top:0;width:29;height:10" type="#_x0000_t75" stroked="false">
                    <v:imagedata r:id="rId52" o:title=""/>
                  </v:shape>
                  <v:shape style="position:absolute;left:768;top:0;width:48;height:10" type="#_x0000_t75" stroked="false">
                    <v:imagedata r:id="rId55" o:title=""/>
                  </v:shape>
                  <v:shape style="position:absolute;left:806;top:0;width:29;height:10" type="#_x0000_t75" stroked="false">
                    <v:imagedata r:id="rId52" o:title=""/>
                  </v:shape>
                  <v:shape style="position:absolute;left:826;top:0;width:48;height:10" type="#_x0000_t75" stroked="false">
                    <v:imagedata r:id="rId53" o:title=""/>
                  </v:shape>
                  <v:shape style="position:absolute;left:864;top:0;width:29;height:10" type="#_x0000_t75" stroked="false">
                    <v:imagedata r:id="rId52" o:title=""/>
                  </v:shape>
                  <v:shape style="position:absolute;left:883;top:0;width:67;height:10" type="#_x0000_t75" stroked="false">
                    <v:imagedata r:id="rId56" o:title=""/>
                  </v:shape>
                  <v:shape style="position:absolute;left:941;top:0;width:67;height:10" type="#_x0000_t75" stroked="false">
                    <v:imagedata r:id="rId56" o:title=""/>
                  </v:shape>
                  <v:shape style="position:absolute;left:998;top:0;width:48;height:10" type="#_x0000_t75" stroked="false">
                    <v:imagedata r:id="rId53" o:title=""/>
                  </v:shape>
                  <v:shape style="position:absolute;left:1037;top:0;width:67;height:10" type="#_x0000_t75" stroked="false">
                    <v:imagedata r:id="rId56" o:title=""/>
                  </v:shape>
                  <v:shape style="position:absolute;left:1094;top:0;width:67;height:10" type="#_x0000_t75" stroked="false">
                    <v:imagedata r:id="rId56" o:title=""/>
                  </v:shape>
                  <v:shape style="position:absolute;left:1152;top:0;width:29;height:10" type="#_x0000_t75" stroked="false">
                    <v:imagedata r:id="rId54" o:title=""/>
                  </v:shape>
                  <v:shape style="position:absolute;left:1171;top:0;width:48;height:10" type="#_x0000_t75" stroked="false">
                    <v:imagedata r:id="rId55" o:title=""/>
                  </v:shape>
                  <v:shape style="position:absolute;left:1210;top:0;width:29;height:10" type="#_x0000_t75" stroked="false">
                    <v:imagedata r:id="rId52" o:title=""/>
                  </v:shape>
                  <v:shape style="position:absolute;left:1229;top:0;width:67;height:10" type="#_x0000_t75" stroked="false">
                    <v:imagedata r:id="rId56" o:title=""/>
                  </v:shape>
                  <v:shape style="position:absolute;left:1286;top:0;width:67;height:10" type="#_x0000_t75" stroked="false">
                    <v:imagedata r:id="rId56" o:title=""/>
                  </v:shape>
                  <v:shape style="position:absolute;left:1344;top:0;width:67;height:10" type="#_x0000_t75" stroked="false">
                    <v:imagedata r:id="rId56" o:title=""/>
                  </v:shape>
                  <v:shape style="position:absolute;left:1402;top:0;width:48;height:10" type="#_x0000_t75" stroked="false">
                    <v:imagedata r:id="rId53" o:title=""/>
                  </v:shape>
                  <v:shape style="position:absolute;left:1440;top:0;width:67;height:10" type="#_x0000_t75" stroked="false">
                    <v:imagedata r:id="rId56" o:title=""/>
                  </v:shape>
                  <v:shape style="position:absolute;left:1498;top:0;width:29;height:10" type="#_x0000_t75" stroked="false">
                    <v:imagedata r:id="rId54" o:title=""/>
                  </v:shape>
                  <v:shape style="position:absolute;left:1517;top:0;width:48;height:10" type="#_x0000_t75" stroked="false">
                    <v:imagedata r:id="rId55" o:title=""/>
                  </v:shape>
                  <v:shape style="position:absolute;left:1555;top:0;width:29;height:10" type="#_x0000_t75" stroked="false">
                    <v:imagedata r:id="rId52" o:title=""/>
                  </v:shape>
                  <v:shape style="position:absolute;left:1574;top:0;width:48;height:10" type="#_x0000_t75" stroked="false">
                    <v:imagedata r:id="rId53" o:title=""/>
                  </v:shape>
                  <v:shape style="position:absolute;left:1613;top:0;width:29;height:10" type="#_x0000_t75" stroked="false">
                    <v:imagedata r:id="rId52" o:title=""/>
                  </v:shape>
                  <v:shape style="position:absolute;left:1632;top:0;width:67;height:10" type="#_x0000_t75" stroked="false">
                    <v:imagedata r:id="rId56" o:title=""/>
                  </v:shape>
                  <v:shape style="position:absolute;left:1690;top:0;width:67;height:10" type="#_x0000_t75" stroked="false">
                    <v:imagedata r:id="rId56" o:title=""/>
                  </v:shape>
                  <v:shape style="position:absolute;left:1747;top:0;width:48;height:10" type="#_x0000_t75" stroked="false">
                    <v:imagedata r:id="rId53" o:title=""/>
                  </v:shape>
                  <v:shape style="position:absolute;left:1786;top:0;width:67;height:10" type="#_x0000_t75" stroked="false">
                    <v:imagedata r:id="rId56" o:title=""/>
                  </v:shape>
                  <v:shape style="position:absolute;left:1843;top:0;width:67;height:10" type="#_x0000_t75" stroked="false">
                    <v:imagedata r:id="rId56" o:title=""/>
                  </v:shape>
                  <v:shape style="position:absolute;left:1901;top:0;width:29;height:10" type="#_x0000_t75" stroked="false">
                    <v:imagedata r:id="rId52" o:title=""/>
                  </v:shape>
                  <v:shape style="position:absolute;left:1920;top:0;width:48;height:10" type="#_x0000_t75" stroked="false">
                    <v:imagedata r:id="rId53" o:title=""/>
                  </v:shape>
                  <v:shape style="position:absolute;left:1958;top:0;width:29;height:10" type="#_x0000_t75" stroked="false">
                    <v:imagedata r:id="rId52" o:title=""/>
                  </v:shape>
                  <v:shape style="position:absolute;left:1978;top:0;width:48;height:10" type="#_x0000_t75" stroked="false">
                    <v:imagedata r:id="rId53" o:title=""/>
                  </v:shape>
                  <v:shape style="position:absolute;left:2016;top:0;width:29;height:10" type="#_x0000_t75" stroked="false">
                    <v:imagedata r:id="rId52" o:title=""/>
                  </v:shape>
                  <v:shape style="position:absolute;left:2035;top:0;width:67;height:10" type="#_x0000_t75" stroked="false">
                    <v:imagedata r:id="rId56" o:title=""/>
                  </v:shape>
                  <v:shape style="position:absolute;left:2093;top:0;width:48;height:10" type="#_x0000_t75" stroked="false">
                    <v:imagedata r:id="rId53" o:title=""/>
                  </v:shape>
                </v:group>
              </w:pict>
            </w:r>
            <w:r>
              <w:rPr>
                <w:rFonts w:ascii="Times New Roman" w:hAnsi="Times New Roman" w:cs="Times New Roman" w:eastAsia="Times New Roman" w:hint="default"/>
                <w:sz w:val="2"/>
                <w:szCs w:val="2"/>
              </w:rPr>
            </w:r>
          </w:p>
          <w:p>
            <w:pPr>
              <w:pStyle w:val="TableParagraph"/>
              <w:spacing w:line="240" w:lineRule="auto"/>
              <w:ind w:right="101"/>
              <w:jc w:val="right"/>
              <w:rPr>
                <w:rFonts w:ascii="宋体" w:hAnsi="宋体" w:cs="宋体" w:eastAsia="宋体" w:hint="default"/>
                <w:sz w:val="18"/>
                <w:szCs w:val="18"/>
              </w:rPr>
            </w:pPr>
            <w:r>
              <w:rPr>
                <w:rFonts w:ascii="宋体"/>
                <w:spacing w:val="-1"/>
                <w:sz w:val="18"/>
              </w:rPr>
              <w:t>5,620,035.78</w:t>
            </w:r>
            <w:r>
              <w:rPr>
                <w:rFonts w:ascii="宋体"/>
                <w:sz w:val="18"/>
              </w:rPr>
            </w:r>
          </w:p>
        </w:tc>
        <w:tc>
          <w:tcPr>
            <w:tcW w:w="238"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single" w:sz="4" w:space="0" w:color="000000"/>
              <w:right w:val="nil" w:sz="6" w:space="0" w:color="auto"/>
            </w:tcBorders>
          </w:tcPr>
          <w:p>
            <w:pPr>
              <w:pStyle w:val="TableParagraph"/>
              <w:spacing w:line="20" w:lineRule="exact"/>
              <w:ind w:right="-56"/>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94.1pt;height:.5pt;mso-position-horizontal-relative:char;mso-position-vertical-relative:line" coordorigin="0,0" coordsize="1882,10">
                  <v:shape style="position:absolute;left:0;top:0;width:1862;height:10" type="#_x0000_t75" stroked="false">
                    <v:imagedata r:id="rId57" o:title=""/>
                  </v:shape>
                  <v:shape style="position:absolute;left:1858;top:0;width:24;height:10" type="#_x0000_t75" stroked="false">
                    <v:imagedata r:id="rId58" o:title=""/>
                  </v:shape>
                </v:group>
              </w:pict>
            </w:r>
            <w:r>
              <w:rPr>
                <w:rFonts w:ascii="Times New Roman" w:hAnsi="Times New Roman" w:cs="Times New Roman" w:eastAsia="Times New Roman" w:hint="default"/>
                <w:sz w:val="2"/>
                <w:szCs w:val="2"/>
              </w:rPr>
            </w:r>
          </w:p>
          <w:p>
            <w:pPr>
              <w:pStyle w:val="TableParagraph"/>
              <w:spacing w:line="240" w:lineRule="auto"/>
              <w:ind w:right="107"/>
              <w:jc w:val="right"/>
              <w:rPr>
                <w:rFonts w:ascii="宋体" w:hAnsi="宋体" w:cs="宋体" w:eastAsia="宋体" w:hint="default"/>
                <w:sz w:val="18"/>
                <w:szCs w:val="18"/>
              </w:rPr>
            </w:pPr>
            <w:r>
              <w:rPr>
                <w:rFonts w:ascii="宋体"/>
                <w:spacing w:val="-1"/>
                <w:sz w:val="18"/>
              </w:rPr>
              <w:t>4,620,556.01</w:t>
            </w:r>
            <w:r>
              <w:rPr>
                <w:rFonts w:ascii="宋体"/>
                <w:sz w:val="18"/>
              </w:rPr>
            </w:r>
          </w:p>
        </w:tc>
      </w:tr>
      <w:tr>
        <w:trPr>
          <w:trHeight w:val="338" w:hRule="exact"/>
        </w:trPr>
        <w:tc>
          <w:tcPr>
            <w:tcW w:w="3151" w:type="dxa"/>
            <w:tcBorders>
              <w:top w:val="nil" w:sz="6" w:space="0" w:color="auto"/>
              <w:left w:val="nil" w:sz="6" w:space="0" w:color="auto"/>
              <w:bottom w:val="nil" w:sz="6" w:space="0" w:color="auto"/>
              <w:right w:val="nil" w:sz="6" w:space="0" w:color="auto"/>
            </w:tcBorders>
          </w:tcPr>
          <w:p>
            <w:pPr>
              <w:pStyle w:val="TableParagraph"/>
              <w:spacing w:line="240" w:lineRule="auto" w:before="13"/>
              <w:ind w:left="470"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35"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c>
          <w:tcPr>
            <w:tcW w:w="223" w:type="dxa"/>
            <w:tcBorders>
              <w:top w:val="nil" w:sz="6" w:space="0" w:color="auto"/>
              <w:left w:val="nil" w:sz="6" w:space="0" w:color="auto"/>
              <w:bottom w:val="nil" w:sz="6" w:space="0" w:color="auto"/>
              <w:right w:val="nil" w:sz="6" w:space="0" w:color="auto"/>
            </w:tcBorders>
          </w:tcPr>
          <w:p>
            <w:pPr/>
          </w:p>
        </w:tc>
        <w:tc>
          <w:tcPr>
            <w:tcW w:w="2131" w:type="dxa"/>
            <w:tcBorders>
              <w:top w:val="single" w:sz="4" w:space="0" w:color="000000"/>
              <w:left w:val="nil" w:sz="6" w:space="0" w:color="auto"/>
              <w:bottom w:val="single" w:sz="17" w:space="0" w:color="000000"/>
              <w:right w:val="nil" w:sz="6" w:space="0" w:color="auto"/>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19,187,789.87</w:t>
            </w:r>
          </w:p>
        </w:tc>
        <w:tc>
          <w:tcPr>
            <w:tcW w:w="238" w:type="dxa"/>
            <w:tcBorders>
              <w:top w:val="nil" w:sz="6" w:space="0" w:color="auto"/>
              <w:left w:val="nil" w:sz="6" w:space="0" w:color="auto"/>
              <w:bottom w:val="nil" w:sz="6" w:space="0" w:color="auto"/>
              <w:right w:val="nil" w:sz="6" w:space="0" w:color="auto"/>
            </w:tcBorders>
          </w:tcPr>
          <w:p>
            <w:pPr/>
          </w:p>
        </w:tc>
        <w:tc>
          <w:tcPr>
            <w:tcW w:w="1877" w:type="dxa"/>
            <w:tcBorders>
              <w:top w:val="single" w:sz="4" w:space="0" w:color="000000"/>
              <w:left w:val="nil" w:sz="6" w:space="0" w:color="auto"/>
              <w:bottom w:val="single" w:sz="17" w:space="0" w:color="000000"/>
              <w:right w:val="nil" w:sz="6" w:space="0" w:color="auto"/>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15,473,099.82</w:t>
            </w:r>
          </w:p>
        </w:tc>
      </w:tr>
      <w:tr>
        <w:trPr>
          <w:trHeight w:val="334" w:hRule="exact"/>
        </w:trPr>
        <w:tc>
          <w:tcPr>
            <w:tcW w:w="3151"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07" w:right="0"/>
              <w:jc w:val="left"/>
              <w:rPr>
                <w:rFonts w:ascii="宋体" w:hAnsi="宋体" w:cs="宋体" w:eastAsia="宋体" w:hint="default"/>
                <w:sz w:val="18"/>
                <w:szCs w:val="18"/>
              </w:rPr>
            </w:pPr>
            <w:r>
              <w:rPr>
                <w:rFonts w:ascii="宋体" w:hAnsi="宋体" w:cs="宋体" w:eastAsia="宋体" w:hint="default"/>
                <w:b/>
                <w:bCs/>
                <w:sz w:val="18"/>
                <w:szCs w:val="18"/>
              </w:rPr>
              <w:t>股东权益：</w:t>
            </w:r>
            <w:r>
              <w:rPr>
                <w:rFonts w:ascii="宋体" w:hAnsi="宋体" w:cs="宋体" w:eastAsia="宋体" w:hint="default"/>
                <w:sz w:val="18"/>
                <w:szCs w:val="18"/>
              </w:rPr>
            </w:r>
          </w:p>
        </w:tc>
        <w:tc>
          <w:tcPr>
            <w:tcW w:w="235"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c>
          <w:tcPr>
            <w:tcW w:w="223" w:type="dxa"/>
            <w:tcBorders>
              <w:top w:val="nil" w:sz="6" w:space="0" w:color="auto"/>
              <w:left w:val="nil" w:sz="6" w:space="0" w:color="auto"/>
              <w:bottom w:val="nil" w:sz="6" w:space="0" w:color="auto"/>
              <w:right w:val="nil" w:sz="6" w:space="0" w:color="auto"/>
            </w:tcBorders>
          </w:tcPr>
          <w:p>
            <w:pPr/>
          </w:p>
        </w:tc>
        <w:tc>
          <w:tcPr>
            <w:tcW w:w="2131" w:type="dxa"/>
            <w:tcBorders>
              <w:top w:val="single" w:sz="17" w:space="0" w:color="000000"/>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877" w:type="dxa"/>
            <w:tcBorders>
              <w:top w:val="single" w:sz="17" w:space="0" w:color="000000"/>
              <w:left w:val="nil" w:sz="6" w:space="0" w:color="auto"/>
              <w:bottom w:val="nil" w:sz="6" w:space="0" w:color="auto"/>
              <w:right w:val="nil" w:sz="6" w:space="0" w:color="auto"/>
            </w:tcBorders>
          </w:tcPr>
          <w:p>
            <w:pPr/>
          </w:p>
        </w:tc>
      </w:tr>
      <w:tr>
        <w:trPr>
          <w:trHeight w:val="312" w:hRule="exact"/>
        </w:trPr>
        <w:tc>
          <w:tcPr>
            <w:tcW w:w="315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9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35"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c>
          <w:tcPr>
            <w:tcW w:w="223" w:type="dxa"/>
            <w:tcBorders>
              <w:top w:val="nil" w:sz="6" w:space="0" w:color="auto"/>
              <w:left w:val="nil" w:sz="6" w:space="0" w:color="auto"/>
              <w:bottom w:val="nil" w:sz="6" w:space="0" w:color="auto"/>
              <w:right w:val="nil" w:sz="6" w:space="0" w:color="auto"/>
            </w:tcBorders>
          </w:tcPr>
          <w:p>
            <w:pPr/>
          </w:p>
        </w:tc>
        <w:tc>
          <w:tcPr>
            <w:tcW w:w="213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2"/>
              <w:jc w:val="right"/>
              <w:rPr>
                <w:rFonts w:ascii="宋体" w:hAnsi="宋体" w:cs="宋体" w:eastAsia="宋体" w:hint="default"/>
                <w:sz w:val="18"/>
                <w:szCs w:val="18"/>
              </w:rPr>
            </w:pPr>
            <w:r>
              <w:rPr>
                <w:rFonts w:ascii="宋体"/>
                <w:spacing w:val="-1"/>
                <w:sz w:val="18"/>
              </w:rPr>
              <w:t>158,400,000.00</w:t>
            </w:r>
          </w:p>
        </w:tc>
        <w:tc>
          <w:tcPr>
            <w:tcW w:w="238"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4"/>
              <w:jc w:val="right"/>
              <w:rPr>
                <w:rFonts w:ascii="宋体" w:hAnsi="宋体" w:cs="宋体" w:eastAsia="宋体" w:hint="default"/>
                <w:sz w:val="18"/>
                <w:szCs w:val="18"/>
              </w:rPr>
            </w:pPr>
            <w:r>
              <w:rPr>
                <w:rFonts w:ascii="宋体"/>
                <w:spacing w:val="-1"/>
                <w:sz w:val="18"/>
              </w:rPr>
              <w:t>88,000,000.00</w:t>
            </w:r>
          </w:p>
        </w:tc>
      </w:tr>
      <w:tr>
        <w:trPr>
          <w:trHeight w:val="312" w:hRule="exact"/>
        </w:trPr>
        <w:tc>
          <w:tcPr>
            <w:tcW w:w="315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9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35"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c>
          <w:tcPr>
            <w:tcW w:w="223" w:type="dxa"/>
            <w:tcBorders>
              <w:top w:val="nil" w:sz="6" w:space="0" w:color="auto"/>
              <w:left w:val="nil" w:sz="6" w:space="0" w:color="auto"/>
              <w:bottom w:val="nil" w:sz="6" w:space="0" w:color="auto"/>
              <w:right w:val="nil" w:sz="6" w:space="0" w:color="auto"/>
            </w:tcBorders>
          </w:tcPr>
          <w:p>
            <w:pPr/>
          </w:p>
        </w:tc>
        <w:tc>
          <w:tcPr>
            <w:tcW w:w="213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4"/>
              <w:jc w:val="right"/>
              <w:rPr>
                <w:rFonts w:ascii="宋体" w:hAnsi="宋体" w:cs="宋体" w:eastAsia="宋体" w:hint="default"/>
                <w:sz w:val="18"/>
                <w:szCs w:val="18"/>
              </w:rPr>
            </w:pPr>
            <w:r>
              <w:rPr>
                <w:rFonts w:ascii="宋体"/>
                <w:spacing w:val="-1"/>
                <w:sz w:val="18"/>
              </w:rPr>
              <w:t>62,580,990.76</w:t>
            </w:r>
          </w:p>
        </w:tc>
        <w:tc>
          <w:tcPr>
            <w:tcW w:w="238"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7"/>
              <w:jc w:val="right"/>
              <w:rPr>
                <w:rFonts w:ascii="宋体" w:hAnsi="宋体" w:cs="宋体" w:eastAsia="宋体" w:hint="default"/>
                <w:sz w:val="18"/>
                <w:szCs w:val="18"/>
              </w:rPr>
            </w:pPr>
            <w:r>
              <w:rPr>
                <w:rFonts w:ascii="宋体"/>
                <w:spacing w:val="-1"/>
                <w:sz w:val="18"/>
              </w:rPr>
              <w:t>132,980,990.76</w:t>
            </w:r>
            <w:r>
              <w:rPr>
                <w:rFonts w:ascii="宋体"/>
                <w:sz w:val="18"/>
              </w:rPr>
            </w:r>
          </w:p>
        </w:tc>
      </w:tr>
      <w:tr>
        <w:trPr>
          <w:trHeight w:val="312" w:hRule="exact"/>
        </w:trPr>
        <w:tc>
          <w:tcPr>
            <w:tcW w:w="315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90"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35"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c>
          <w:tcPr>
            <w:tcW w:w="223" w:type="dxa"/>
            <w:tcBorders>
              <w:top w:val="nil" w:sz="6" w:space="0" w:color="auto"/>
              <w:left w:val="nil" w:sz="6" w:space="0" w:color="auto"/>
              <w:bottom w:val="nil" w:sz="6" w:space="0" w:color="auto"/>
              <w:right w:val="nil" w:sz="6" w:space="0" w:color="auto"/>
            </w:tcBorders>
          </w:tcPr>
          <w:p>
            <w:pPr/>
          </w:p>
        </w:tc>
        <w:tc>
          <w:tcPr>
            <w:tcW w:w="213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4"/>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4"/>
              <w:jc w:val="right"/>
              <w:rPr>
                <w:rFonts w:ascii="宋体" w:hAnsi="宋体" w:cs="宋体" w:eastAsia="宋体" w:hint="default"/>
                <w:sz w:val="18"/>
                <w:szCs w:val="18"/>
              </w:rPr>
            </w:pPr>
            <w:r>
              <w:rPr>
                <w:rFonts w:ascii="宋体"/>
                <w:sz w:val="18"/>
              </w:rPr>
              <w:t>-</w:t>
            </w:r>
          </w:p>
        </w:tc>
      </w:tr>
      <w:tr>
        <w:trPr>
          <w:trHeight w:val="312" w:hRule="exact"/>
        </w:trPr>
        <w:tc>
          <w:tcPr>
            <w:tcW w:w="315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90"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35"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c>
          <w:tcPr>
            <w:tcW w:w="223" w:type="dxa"/>
            <w:tcBorders>
              <w:top w:val="nil" w:sz="6" w:space="0" w:color="auto"/>
              <w:left w:val="nil" w:sz="6" w:space="0" w:color="auto"/>
              <w:bottom w:val="nil" w:sz="6" w:space="0" w:color="auto"/>
              <w:right w:val="nil" w:sz="6" w:space="0" w:color="auto"/>
            </w:tcBorders>
          </w:tcPr>
          <w:p>
            <w:pPr/>
          </w:p>
        </w:tc>
        <w:tc>
          <w:tcPr>
            <w:tcW w:w="213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4"/>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4"/>
              <w:jc w:val="right"/>
              <w:rPr>
                <w:rFonts w:ascii="宋体" w:hAnsi="宋体" w:cs="宋体" w:eastAsia="宋体" w:hint="default"/>
                <w:sz w:val="18"/>
                <w:szCs w:val="18"/>
              </w:rPr>
            </w:pPr>
            <w:r>
              <w:rPr>
                <w:rFonts w:ascii="宋体"/>
                <w:sz w:val="18"/>
              </w:rPr>
              <w:t>-</w:t>
            </w:r>
          </w:p>
        </w:tc>
      </w:tr>
      <w:tr>
        <w:trPr>
          <w:trHeight w:val="312" w:hRule="exact"/>
        </w:trPr>
        <w:tc>
          <w:tcPr>
            <w:tcW w:w="315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9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35"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c>
          <w:tcPr>
            <w:tcW w:w="223" w:type="dxa"/>
            <w:tcBorders>
              <w:top w:val="nil" w:sz="6" w:space="0" w:color="auto"/>
              <w:left w:val="nil" w:sz="6" w:space="0" w:color="auto"/>
              <w:bottom w:val="nil" w:sz="6" w:space="0" w:color="auto"/>
              <w:right w:val="nil" w:sz="6" w:space="0" w:color="auto"/>
            </w:tcBorders>
          </w:tcPr>
          <w:p>
            <w:pPr/>
          </w:p>
        </w:tc>
        <w:tc>
          <w:tcPr>
            <w:tcW w:w="213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4"/>
              <w:jc w:val="right"/>
              <w:rPr>
                <w:rFonts w:ascii="宋体" w:hAnsi="宋体" w:cs="宋体" w:eastAsia="宋体" w:hint="default"/>
                <w:sz w:val="18"/>
                <w:szCs w:val="18"/>
              </w:rPr>
            </w:pPr>
            <w:r>
              <w:rPr>
                <w:rFonts w:ascii="宋体"/>
                <w:spacing w:val="-1"/>
                <w:sz w:val="18"/>
              </w:rPr>
              <w:t>14,026,838.97</w:t>
            </w:r>
          </w:p>
        </w:tc>
        <w:tc>
          <w:tcPr>
            <w:tcW w:w="238"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4"/>
              <w:jc w:val="right"/>
              <w:rPr>
                <w:rFonts w:ascii="宋体" w:hAnsi="宋体" w:cs="宋体" w:eastAsia="宋体" w:hint="default"/>
                <w:sz w:val="18"/>
                <w:szCs w:val="18"/>
              </w:rPr>
            </w:pPr>
            <w:r>
              <w:rPr>
                <w:rFonts w:ascii="宋体"/>
                <w:spacing w:val="-1"/>
                <w:sz w:val="18"/>
              </w:rPr>
              <w:t>11,736,079.47</w:t>
            </w:r>
          </w:p>
        </w:tc>
      </w:tr>
      <w:tr>
        <w:trPr>
          <w:trHeight w:val="312" w:hRule="exact"/>
        </w:trPr>
        <w:tc>
          <w:tcPr>
            <w:tcW w:w="315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9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35"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c>
          <w:tcPr>
            <w:tcW w:w="223" w:type="dxa"/>
            <w:tcBorders>
              <w:top w:val="nil" w:sz="6" w:space="0" w:color="auto"/>
              <w:left w:val="nil" w:sz="6" w:space="0" w:color="auto"/>
              <w:bottom w:val="nil" w:sz="6" w:space="0" w:color="auto"/>
              <w:right w:val="nil" w:sz="6" w:space="0" w:color="auto"/>
            </w:tcBorders>
          </w:tcPr>
          <w:p>
            <w:pPr/>
          </w:p>
        </w:tc>
        <w:tc>
          <w:tcPr>
            <w:tcW w:w="213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7"/>
              <w:jc w:val="right"/>
              <w:rPr>
                <w:rFonts w:ascii="宋体" w:hAnsi="宋体" w:cs="宋体" w:eastAsia="宋体" w:hint="default"/>
                <w:sz w:val="18"/>
                <w:szCs w:val="18"/>
              </w:rPr>
            </w:pPr>
            <w:r>
              <w:rPr>
                <w:rFonts w:ascii="宋体"/>
                <w:spacing w:val="-1"/>
                <w:sz w:val="18"/>
              </w:rPr>
              <w:t>96,361,550.74</w:t>
            </w:r>
            <w:r>
              <w:rPr>
                <w:rFonts w:ascii="宋体"/>
                <w:sz w:val="18"/>
              </w:rPr>
            </w:r>
          </w:p>
        </w:tc>
        <w:tc>
          <w:tcPr>
            <w:tcW w:w="238"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4"/>
              <w:jc w:val="right"/>
              <w:rPr>
                <w:rFonts w:ascii="宋体" w:hAnsi="宋体" w:cs="宋体" w:eastAsia="宋体" w:hint="default"/>
                <w:sz w:val="18"/>
                <w:szCs w:val="18"/>
              </w:rPr>
            </w:pPr>
            <w:r>
              <w:rPr>
                <w:rFonts w:ascii="宋体"/>
                <w:spacing w:val="-1"/>
                <w:sz w:val="18"/>
              </w:rPr>
              <w:t>81,024,715.27</w:t>
            </w:r>
          </w:p>
        </w:tc>
      </w:tr>
      <w:tr>
        <w:trPr>
          <w:trHeight w:val="317" w:hRule="exact"/>
        </w:trPr>
        <w:tc>
          <w:tcPr>
            <w:tcW w:w="315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90"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235"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c>
          <w:tcPr>
            <w:tcW w:w="223" w:type="dxa"/>
            <w:tcBorders>
              <w:top w:val="nil" w:sz="6" w:space="0" w:color="auto"/>
              <w:left w:val="nil" w:sz="6" w:space="0" w:color="auto"/>
              <w:bottom w:val="nil" w:sz="6" w:space="0" w:color="auto"/>
              <w:right w:val="nil" w:sz="6" w:space="0" w:color="auto"/>
            </w:tcBorders>
          </w:tcPr>
          <w:p>
            <w:pPr/>
          </w:p>
        </w:tc>
        <w:tc>
          <w:tcPr>
            <w:tcW w:w="213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4"/>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4"/>
              <w:jc w:val="right"/>
              <w:rPr>
                <w:rFonts w:ascii="宋体" w:hAnsi="宋体" w:cs="宋体" w:eastAsia="宋体" w:hint="default"/>
                <w:sz w:val="18"/>
                <w:szCs w:val="18"/>
              </w:rPr>
            </w:pPr>
            <w:r>
              <w:rPr>
                <w:rFonts w:ascii="宋体"/>
                <w:sz w:val="18"/>
              </w:rPr>
              <w:t>-</w:t>
            </w:r>
          </w:p>
        </w:tc>
      </w:tr>
      <w:tr>
        <w:trPr>
          <w:trHeight w:val="324" w:hRule="exact"/>
        </w:trPr>
        <w:tc>
          <w:tcPr>
            <w:tcW w:w="3151" w:type="dxa"/>
            <w:tcBorders>
              <w:top w:val="nil" w:sz="6" w:space="0" w:color="auto"/>
              <w:left w:val="nil" w:sz="6" w:space="0" w:color="auto"/>
              <w:bottom w:val="nil" w:sz="6" w:space="0" w:color="auto"/>
              <w:right w:val="nil" w:sz="6" w:space="0" w:color="auto"/>
            </w:tcBorders>
          </w:tcPr>
          <w:p>
            <w:pPr>
              <w:pStyle w:val="TableParagraph"/>
              <w:spacing w:line="240" w:lineRule="auto" w:before="15"/>
              <w:ind w:left="470" w:right="0"/>
              <w:jc w:val="left"/>
              <w:rPr>
                <w:rFonts w:ascii="宋体" w:hAnsi="宋体" w:cs="宋体" w:eastAsia="宋体" w:hint="default"/>
                <w:sz w:val="18"/>
                <w:szCs w:val="18"/>
              </w:rPr>
            </w:pPr>
            <w:r>
              <w:rPr>
                <w:rFonts w:ascii="宋体" w:hAnsi="宋体" w:cs="宋体" w:eastAsia="宋体" w:hint="default"/>
                <w:sz w:val="18"/>
                <w:szCs w:val="18"/>
              </w:rPr>
              <w:t>股东权益合计</w:t>
            </w:r>
          </w:p>
        </w:tc>
        <w:tc>
          <w:tcPr>
            <w:tcW w:w="235"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c>
          <w:tcPr>
            <w:tcW w:w="223" w:type="dxa"/>
            <w:tcBorders>
              <w:top w:val="nil" w:sz="6" w:space="0" w:color="auto"/>
              <w:left w:val="nil" w:sz="6" w:space="0" w:color="auto"/>
              <w:bottom w:val="nil" w:sz="6" w:space="0" w:color="auto"/>
              <w:right w:val="nil" w:sz="6" w:space="0" w:color="auto"/>
            </w:tcBorders>
          </w:tcPr>
          <w:p>
            <w:pPr/>
          </w:p>
        </w:tc>
        <w:tc>
          <w:tcPr>
            <w:tcW w:w="2131" w:type="dxa"/>
            <w:tcBorders>
              <w:top w:val="nil" w:sz="6" w:space="0" w:color="auto"/>
              <w:left w:val="nil" w:sz="6" w:space="0" w:color="auto"/>
              <w:bottom w:val="nil" w:sz="6" w:space="0" w:color="auto"/>
              <w:right w:val="nil" w:sz="6" w:space="0" w:color="auto"/>
            </w:tcBorders>
          </w:tcPr>
          <w:p>
            <w:pPr>
              <w:pStyle w:val="TableParagraph"/>
              <w:spacing w:line="20" w:lineRule="exact"/>
              <w:ind w:left="-5" w:right="-55"/>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107.05pt;height:.5pt;mso-position-horizontal-relative:char;mso-position-vertical-relative:line" coordorigin="0,0" coordsize="2141,10">
                  <v:shape style="position:absolute;left:0;top:0;width:29;height:10" type="#_x0000_t75" stroked="false">
                    <v:imagedata r:id="rId52" o:title=""/>
                  </v:shape>
                  <v:shape style="position:absolute;left:19;top:0;width:48;height:10" type="#_x0000_t75" stroked="false">
                    <v:imagedata r:id="rId53" o:title=""/>
                  </v:shape>
                  <v:shape style="position:absolute;left:58;top:0;width:29;height:10" type="#_x0000_t75" stroked="false">
                    <v:imagedata r:id="rId54" o:title=""/>
                  </v:shape>
                  <v:shape style="position:absolute;left:77;top:0;width:48;height:10" type="#_x0000_t75" stroked="false">
                    <v:imagedata r:id="rId55" o:title=""/>
                  </v:shape>
                  <v:shape style="position:absolute;left:115;top:0;width:67;height:10" type="#_x0000_t75" stroked="false">
                    <v:imagedata r:id="rId56" o:title=""/>
                  </v:shape>
                  <v:shape style="position:absolute;left:173;top:0;width:29;height:10" type="#_x0000_t75" stroked="false">
                    <v:imagedata r:id="rId52" o:title=""/>
                  </v:shape>
                  <v:shape style="position:absolute;left:192;top:0;width:67;height:10" type="#_x0000_t75" stroked="false">
                    <v:imagedata r:id="rId56" o:title=""/>
                  </v:shape>
                  <v:shape style="position:absolute;left:250;top:0;width:48;height:10" type="#_x0000_t75" stroked="false">
                    <v:imagedata r:id="rId55" o:title=""/>
                  </v:shape>
                  <v:shape style="position:absolute;left:288;top:0;width:67;height:10" type="#_x0000_t75" stroked="false">
                    <v:imagedata r:id="rId56" o:title=""/>
                  </v:shape>
                  <v:shape style="position:absolute;left:346;top:0;width:67;height:10" type="#_x0000_t75" stroked="false">
                    <v:imagedata r:id="rId56" o:title=""/>
                  </v:shape>
                  <v:shape style="position:absolute;left:403;top:0;width:67;height:10" type="#_x0000_t75" stroked="false">
                    <v:imagedata r:id="rId56" o:title=""/>
                  </v:shape>
                  <v:shape style="position:absolute;left:461;top:0;width:67;height:10" type="#_x0000_t75" stroked="false">
                    <v:imagedata r:id="rId56" o:title=""/>
                  </v:shape>
                  <v:shape style="position:absolute;left:518;top:0;width:29;height:10" type="#_x0000_t75" stroked="false">
                    <v:imagedata r:id="rId52" o:title=""/>
                  </v:shape>
                  <v:shape style="position:absolute;left:538;top:0;width:67;height:10" type="#_x0000_t75" stroked="false">
                    <v:imagedata r:id="rId56" o:title=""/>
                  </v:shape>
                  <v:shape style="position:absolute;left:595;top:0;width:48;height:10" type="#_x0000_t75" stroked="false">
                    <v:imagedata r:id="rId55" o:title=""/>
                  </v:shape>
                  <v:shape style="position:absolute;left:634;top:0;width:29;height:10" type="#_x0000_t75" stroked="false">
                    <v:imagedata r:id="rId52" o:title=""/>
                  </v:shape>
                  <v:shape style="position:absolute;left:653;top:0;width:48;height:10" type="#_x0000_t75" stroked="false">
                    <v:imagedata r:id="rId53" o:title=""/>
                  </v:shape>
                  <v:shape style="position:absolute;left:691;top:0;width:67;height:10" type="#_x0000_t75" stroked="false">
                    <v:imagedata r:id="rId56" o:title=""/>
                  </v:shape>
                  <v:shape style="position:absolute;left:749;top:0;width:29;height:10" type="#_x0000_t75" stroked="false">
                    <v:imagedata r:id="rId52" o:title=""/>
                  </v:shape>
                  <v:shape style="position:absolute;left:768;top:0;width:48;height:10" type="#_x0000_t75" stroked="false">
                    <v:imagedata r:id="rId55" o:title=""/>
                  </v:shape>
                  <v:shape style="position:absolute;left:806;top:0;width:29;height:10" type="#_x0000_t75" stroked="false">
                    <v:imagedata r:id="rId52" o:title=""/>
                  </v:shape>
                  <v:shape style="position:absolute;left:826;top:0;width:48;height:10" type="#_x0000_t75" stroked="false">
                    <v:imagedata r:id="rId53" o:title=""/>
                  </v:shape>
                  <v:shape style="position:absolute;left:864;top:0;width:29;height:10" type="#_x0000_t75" stroked="false">
                    <v:imagedata r:id="rId52" o:title=""/>
                  </v:shape>
                  <v:shape style="position:absolute;left:883;top:0;width:67;height:10" type="#_x0000_t75" stroked="false">
                    <v:imagedata r:id="rId56" o:title=""/>
                  </v:shape>
                  <v:shape style="position:absolute;left:941;top:0;width:67;height:10" type="#_x0000_t75" stroked="false">
                    <v:imagedata r:id="rId56" o:title=""/>
                  </v:shape>
                  <v:shape style="position:absolute;left:998;top:0;width:48;height:10" type="#_x0000_t75" stroked="false">
                    <v:imagedata r:id="rId53" o:title=""/>
                  </v:shape>
                  <v:shape style="position:absolute;left:1037;top:0;width:67;height:10" type="#_x0000_t75" stroked="false">
                    <v:imagedata r:id="rId56" o:title=""/>
                  </v:shape>
                  <v:shape style="position:absolute;left:1094;top:0;width:67;height:10" type="#_x0000_t75" stroked="false">
                    <v:imagedata r:id="rId56" o:title=""/>
                  </v:shape>
                  <v:shape style="position:absolute;left:1152;top:0;width:29;height:10" type="#_x0000_t75" stroked="false">
                    <v:imagedata r:id="rId54" o:title=""/>
                  </v:shape>
                  <v:shape style="position:absolute;left:1171;top:0;width:48;height:10" type="#_x0000_t75" stroked="false">
                    <v:imagedata r:id="rId55" o:title=""/>
                  </v:shape>
                  <v:shape style="position:absolute;left:1210;top:0;width:29;height:10" type="#_x0000_t75" stroked="false">
                    <v:imagedata r:id="rId52" o:title=""/>
                  </v:shape>
                  <v:shape style="position:absolute;left:1229;top:0;width:67;height:10" type="#_x0000_t75" stroked="false">
                    <v:imagedata r:id="rId56" o:title=""/>
                  </v:shape>
                  <v:shape style="position:absolute;left:1286;top:0;width:67;height:10" type="#_x0000_t75" stroked="false">
                    <v:imagedata r:id="rId56" o:title=""/>
                  </v:shape>
                  <v:shape style="position:absolute;left:1344;top:0;width:67;height:10" type="#_x0000_t75" stroked="false">
                    <v:imagedata r:id="rId56" o:title=""/>
                  </v:shape>
                  <v:shape style="position:absolute;left:1402;top:0;width:48;height:10" type="#_x0000_t75" stroked="false">
                    <v:imagedata r:id="rId53" o:title=""/>
                  </v:shape>
                  <v:shape style="position:absolute;left:1440;top:0;width:67;height:10" type="#_x0000_t75" stroked="false">
                    <v:imagedata r:id="rId56" o:title=""/>
                  </v:shape>
                  <v:shape style="position:absolute;left:1498;top:0;width:29;height:10" type="#_x0000_t75" stroked="false">
                    <v:imagedata r:id="rId54" o:title=""/>
                  </v:shape>
                  <v:shape style="position:absolute;left:1517;top:0;width:48;height:10" type="#_x0000_t75" stroked="false">
                    <v:imagedata r:id="rId55" o:title=""/>
                  </v:shape>
                  <v:shape style="position:absolute;left:1555;top:0;width:29;height:10" type="#_x0000_t75" stroked="false">
                    <v:imagedata r:id="rId52" o:title=""/>
                  </v:shape>
                  <v:shape style="position:absolute;left:1574;top:0;width:48;height:10" type="#_x0000_t75" stroked="false">
                    <v:imagedata r:id="rId53" o:title=""/>
                  </v:shape>
                  <v:shape style="position:absolute;left:1613;top:0;width:29;height:10" type="#_x0000_t75" stroked="false">
                    <v:imagedata r:id="rId52" o:title=""/>
                  </v:shape>
                  <v:shape style="position:absolute;left:1632;top:0;width:67;height:10" type="#_x0000_t75" stroked="false">
                    <v:imagedata r:id="rId56" o:title=""/>
                  </v:shape>
                  <v:shape style="position:absolute;left:1690;top:0;width:67;height:10" type="#_x0000_t75" stroked="false">
                    <v:imagedata r:id="rId56" o:title=""/>
                  </v:shape>
                  <v:shape style="position:absolute;left:1747;top:0;width:48;height:10" type="#_x0000_t75" stroked="false">
                    <v:imagedata r:id="rId53" o:title=""/>
                  </v:shape>
                  <v:shape style="position:absolute;left:1786;top:0;width:67;height:10" type="#_x0000_t75" stroked="false">
                    <v:imagedata r:id="rId56" o:title=""/>
                  </v:shape>
                  <v:shape style="position:absolute;left:1843;top:0;width:67;height:10" type="#_x0000_t75" stroked="false">
                    <v:imagedata r:id="rId56" o:title=""/>
                  </v:shape>
                  <v:shape style="position:absolute;left:1901;top:0;width:29;height:10" type="#_x0000_t75" stroked="false">
                    <v:imagedata r:id="rId52" o:title=""/>
                  </v:shape>
                  <v:shape style="position:absolute;left:1920;top:0;width:48;height:10" type="#_x0000_t75" stroked="false">
                    <v:imagedata r:id="rId53" o:title=""/>
                  </v:shape>
                  <v:shape style="position:absolute;left:1958;top:0;width:29;height:10" type="#_x0000_t75" stroked="false">
                    <v:imagedata r:id="rId52" o:title=""/>
                  </v:shape>
                  <v:shape style="position:absolute;left:1978;top:0;width:48;height:10" type="#_x0000_t75" stroked="false">
                    <v:imagedata r:id="rId53" o:title=""/>
                  </v:shape>
                  <v:shape style="position:absolute;left:2016;top:0;width:29;height:10" type="#_x0000_t75" stroked="false">
                    <v:imagedata r:id="rId52" o:title=""/>
                  </v:shape>
                  <v:shape style="position:absolute;left:2035;top:0;width:67;height:10" type="#_x0000_t75" stroked="false">
                    <v:imagedata r:id="rId56" o:title=""/>
                  </v:shape>
                  <v:shape style="position:absolute;left:2093;top:0;width:48;height:10" type="#_x0000_t75" stroked="false">
                    <v:imagedata r:id="rId53" o:title=""/>
                  </v:shape>
                </v:group>
              </w:pict>
            </w:r>
            <w:r>
              <w:rPr>
                <w:rFonts w:ascii="Times New Roman" w:hAnsi="Times New Roman" w:cs="Times New Roman" w:eastAsia="Times New Roman" w:hint="default"/>
                <w:sz w:val="2"/>
                <w:szCs w:val="2"/>
              </w:rPr>
            </w:r>
          </w:p>
          <w:p>
            <w:pPr>
              <w:pStyle w:val="TableParagraph"/>
              <w:spacing w:line="240" w:lineRule="auto"/>
              <w:ind w:right="107"/>
              <w:jc w:val="right"/>
              <w:rPr>
                <w:rFonts w:ascii="宋体" w:hAnsi="宋体" w:cs="宋体" w:eastAsia="宋体" w:hint="default"/>
                <w:sz w:val="18"/>
                <w:szCs w:val="18"/>
              </w:rPr>
            </w:pPr>
            <w:r>
              <w:rPr>
                <w:rFonts w:ascii="宋体"/>
                <w:spacing w:val="-1"/>
                <w:sz w:val="18"/>
              </w:rPr>
              <w:t>331,369,380.47</w:t>
            </w:r>
            <w:r>
              <w:rPr>
                <w:rFonts w:ascii="宋体"/>
                <w:sz w:val="18"/>
              </w:rPr>
            </w:r>
          </w:p>
        </w:tc>
        <w:tc>
          <w:tcPr>
            <w:tcW w:w="238"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single" w:sz="4" w:space="0" w:color="000000"/>
              <w:right w:val="nil" w:sz="6" w:space="0" w:color="auto"/>
            </w:tcBorders>
          </w:tcPr>
          <w:p>
            <w:pPr>
              <w:pStyle w:val="TableParagraph"/>
              <w:spacing w:line="20" w:lineRule="exact"/>
              <w:ind w:right="-56"/>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94.1pt;height:.5pt;mso-position-horizontal-relative:char;mso-position-vertical-relative:line" coordorigin="0,0" coordsize="1882,10">
                  <v:shape style="position:absolute;left:0;top:0;width:1862;height:10" type="#_x0000_t75" stroked="false">
                    <v:imagedata r:id="rId57" o:title=""/>
                  </v:shape>
                  <v:shape style="position:absolute;left:1858;top:0;width:24;height:10" type="#_x0000_t75" stroked="false">
                    <v:imagedata r:id="rId58" o:title=""/>
                  </v:shape>
                </v:group>
              </w:pict>
            </w:r>
            <w:r>
              <w:rPr>
                <w:rFonts w:ascii="Times New Roman" w:hAnsi="Times New Roman" w:cs="Times New Roman" w:eastAsia="Times New Roman" w:hint="default"/>
                <w:sz w:val="2"/>
                <w:szCs w:val="2"/>
              </w:rPr>
            </w:r>
          </w:p>
          <w:p>
            <w:pPr>
              <w:pStyle w:val="TableParagraph"/>
              <w:spacing w:line="240" w:lineRule="auto"/>
              <w:ind w:right="107"/>
              <w:jc w:val="right"/>
              <w:rPr>
                <w:rFonts w:ascii="宋体" w:hAnsi="宋体" w:cs="宋体" w:eastAsia="宋体" w:hint="default"/>
                <w:sz w:val="18"/>
                <w:szCs w:val="18"/>
              </w:rPr>
            </w:pPr>
            <w:r>
              <w:rPr>
                <w:rFonts w:ascii="宋体"/>
                <w:spacing w:val="-1"/>
                <w:sz w:val="18"/>
              </w:rPr>
              <w:t>313,741,785.50</w:t>
            </w:r>
            <w:r>
              <w:rPr>
                <w:rFonts w:ascii="宋体"/>
                <w:sz w:val="18"/>
              </w:rPr>
            </w:r>
          </w:p>
        </w:tc>
      </w:tr>
      <w:tr>
        <w:trPr>
          <w:trHeight w:val="322" w:hRule="exact"/>
        </w:trPr>
        <w:tc>
          <w:tcPr>
            <w:tcW w:w="3151"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c>
          <w:tcPr>
            <w:tcW w:w="223" w:type="dxa"/>
            <w:tcBorders>
              <w:top w:val="nil" w:sz="6" w:space="0" w:color="auto"/>
              <w:left w:val="nil" w:sz="6" w:space="0" w:color="auto"/>
              <w:bottom w:val="nil" w:sz="6" w:space="0" w:color="auto"/>
              <w:right w:val="nil" w:sz="6" w:space="0" w:color="auto"/>
            </w:tcBorders>
          </w:tcPr>
          <w:p>
            <w:pPr/>
          </w:p>
        </w:tc>
        <w:tc>
          <w:tcPr>
            <w:tcW w:w="2131" w:type="dxa"/>
            <w:tcBorders>
              <w:top w:val="nil" w:sz="6" w:space="0" w:color="auto"/>
              <w:left w:val="nil" w:sz="6" w:space="0" w:color="auto"/>
              <w:bottom w:val="single" w:sz="4" w:space="0" w:color="000000"/>
              <w:right w:val="nil" w:sz="6" w:space="0" w:color="auto"/>
            </w:tcBorders>
          </w:tcPr>
          <w:p>
            <w:pPr>
              <w:pStyle w:val="TableParagraph"/>
              <w:spacing w:line="20" w:lineRule="exact"/>
              <w:ind w:left="-5" w:right="-55"/>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107.05pt;height:.5pt;mso-position-horizontal-relative:char;mso-position-vertical-relative:line" coordorigin="0,0" coordsize="2141,10">
                  <v:group style="position:absolute;left:5;top:5;width:2132;height:2" coordorigin="5,5" coordsize="2132,2">
                    <v:shape style="position:absolute;left:5;top:5;width:2132;height:2" coordorigin="5,5" coordsize="2132,0" path="m5,5l2136,5e" filled="false" stroked="true" strokeweight=".481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before="3"/>
              <w:ind w:right="0"/>
              <w:jc w:val="left"/>
              <w:rPr>
                <w:rFonts w:ascii="Times New Roman" w:hAnsi="Times New Roman" w:cs="Times New Roman" w:eastAsia="Times New Roman" w:hint="default"/>
                <w:sz w:val="26"/>
                <w:szCs w:val="26"/>
              </w:rPr>
            </w:pPr>
          </w:p>
        </w:tc>
        <w:tc>
          <w:tcPr>
            <w:tcW w:w="238" w:type="dxa"/>
            <w:tcBorders>
              <w:top w:val="nil" w:sz="6" w:space="0" w:color="auto"/>
              <w:left w:val="nil" w:sz="6" w:space="0" w:color="auto"/>
              <w:bottom w:val="nil" w:sz="6" w:space="0" w:color="auto"/>
              <w:right w:val="nil" w:sz="6" w:space="0" w:color="auto"/>
            </w:tcBorders>
          </w:tcPr>
          <w:p>
            <w:pPr/>
          </w:p>
        </w:tc>
        <w:tc>
          <w:tcPr>
            <w:tcW w:w="1877" w:type="dxa"/>
            <w:tcBorders>
              <w:top w:val="single" w:sz="4" w:space="0" w:color="000000"/>
              <w:left w:val="nil" w:sz="6" w:space="0" w:color="auto"/>
              <w:bottom w:val="single" w:sz="4" w:space="0" w:color="000000"/>
              <w:right w:val="nil" w:sz="6" w:space="0" w:color="auto"/>
            </w:tcBorders>
          </w:tcPr>
          <w:p>
            <w:pPr/>
          </w:p>
        </w:tc>
      </w:tr>
      <w:tr>
        <w:trPr>
          <w:trHeight w:val="338" w:hRule="exact"/>
        </w:trPr>
        <w:tc>
          <w:tcPr>
            <w:tcW w:w="3151"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07" w:right="0"/>
              <w:jc w:val="left"/>
              <w:rPr>
                <w:rFonts w:ascii="宋体" w:hAnsi="宋体" w:cs="宋体" w:eastAsia="宋体" w:hint="default"/>
                <w:sz w:val="18"/>
                <w:szCs w:val="18"/>
              </w:rPr>
            </w:pPr>
            <w:r>
              <w:rPr>
                <w:rFonts w:ascii="宋体" w:hAnsi="宋体" w:cs="宋体" w:eastAsia="宋体" w:hint="default"/>
                <w:b/>
                <w:bCs/>
                <w:sz w:val="18"/>
                <w:szCs w:val="18"/>
              </w:rPr>
              <w:t>负债和股东权益总计</w:t>
            </w:r>
            <w:r>
              <w:rPr>
                <w:rFonts w:ascii="宋体" w:hAnsi="宋体" w:cs="宋体" w:eastAsia="宋体" w:hint="default"/>
                <w:sz w:val="18"/>
                <w:szCs w:val="18"/>
              </w:rPr>
            </w:r>
          </w:p>
        </w:tc>
        <w:tc>
          <w:tcPr>
            <w:tcW w:w="235"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c>
          <w:tcPr>
            <w:tcW w:w="223" w:type="dxa"/>
            <w:tcBorders>
              <w:top w:val="nil" w:sz="6" w:space="0" w:color="auto"/>
              <w:left w:val="nil" w:sz="6" w:space="0" w:color="auto"/>
              <w:bottom w:val="nil" w:sz="6" w:space="0" w:color="auto"/>
              <w:right w:val="nil" w:sz="6" w:space="0" w:color="auto"/>
            </w:tcBorders>
          </w:tcPr>
          <w:p>
            <w:pPr/>
          </w:p>
        </w:tc>
        <w:tc>
          <w:tcPr>
            <w:tcW w:w="2131"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104"/>
              <w:jc w:val="right"/>
              <w:rPr>
                <w:rFonts w:ascii="宋体" w:hAnsi="宋体" w:cs="宋体" w:eastAsia="宋体" w:hint="default"/>
                <w:sz w:val="18"/>
                <w:szCs w:val="18"/>
              </w:rPr>
            </w:pPr>
            <w:r>
              <w:rPr>
                <w:rFonts w:ascii="宋体"/>
                <w:spacing w:val="-1"/>
                <w:sz w:val="18"/>
              </w:rPr>
              <w:t>350,557,170.34</w:t>
            </w:r>
          </w:p>
        </w:tc>
        <w:tc>
          <w:tcPr>
            <w:tcW w:w="238" w:type="dxa"/>
            <w:tcBorders>
              <w:top w:val="nil" w:sz="6" w:space="0" w:color="auto"/>
              <w:left w:val="nil" w:sz="6" w:space="0" w:color="auto"/>
              <w:bottom w:val="nil" w:sz="6" w:space="0" w:color="auto"/>
              <w:right w:val="nil" w:sz="6" w:space="0" w:color="auto"/>
            </w:tcBorders>
          </w:tcPr>
          <w:p>
            <w:pPr/>
          </w:p>
        </w:tc>
        <w:tc>
          <w:tcPr>
            <w:tcW w:w="1877" w:type="dxa"/>
            <w:tcBorders>
              <w:top w:val="single" w:sz="4" w:space="0" w:color="000000"/>
              <w:left w:val="nil" w:sz="6" w:space="0" w:color="auto"/>
              <w:bottom w:val="single" w:sz="17" w:space="0" w:color="000000"/>
              <w:right w:val="nil" w:sz="6" w:space="0" w:color="auto"/>
            </w:tcBorders>
          </w:tcPr>
          <w:p>
            <w:pPr>
              <w:pStyle w:val="TableParagraph"/>
              <w:spacing w:line="240" w:lineRule="auto" w:before="10"/>
              <w:ind w:right="107"/>
              <w:jc w:val="right"/>
              <w:rPr>
                <w:rFonts w:ascii="宋体" w:hAnsi="宋体" w:cs="宋体" w:eastAsia="宋体" w:hint="default"/>
                <w:sz w:val="18"/>
                <w:szCs w:val="18"/>
              </w:rPr>
            </w:pPr>
            <w:r>
              <w:rPr>
                <w:rFonts w:ascii="宋体"/>
                <w:spacing w:val="-1"/>
                <w:sz w:val="18"/>
              </w:rPr>
              <w:t>329,214,885.32</w:t>
            </w:r>
            <w:r>
              <w:rPr>
                <w:rFonts w:ascii="宋体"/>
                <w:sz w:val="18"/>
              </w:rPr>
            </w:r>
          </w:p>
        </w:tc>
      </w:tr>
      <w:tr>
        <w:trPr>
          <w:trHeight w:val="341" w:hRule="exact"/>
        </w:trPr>
        <w:tc>
          <w:tcPr>
            <w:tcW w:w="3151" w:type="dxa"/>
            <w:tcBorders>
              <w:top w:val="nil" w:sz="6" w:space="0" w:color="auto"/>
              <w:left w:val="nil" w:sz="6" w:space="0" w:color="auto"/>
              <w:bottom w:val="single" w:sz="4" w:space="0" w:color="000000"/>
              <w:right w:val="nil" w:sz="6" w:space="0" w:color="auto"/>
            </w:tcBorders>
          </w:tcPr>
          <w:p>
            <w:pPr/>
          </w:p>
        </w:tc>
        <w:tc>
          <w:tcPr>
            <w:tcW w:w="235" w:type="dxa"/>
            <w:tcBorders>
              <w:top w:val="nil" w:sz="6" w:space="0" w:color="auto"/>
              <w:left w:val="nil" w:sz="6" w:space="0" w:color="auto"/>
              <w:bottom w:val="single" w:sz="4" w:space="0" w:color="000000"/>
              <w:right w:val="nil" w:sz="6" w:space="0" w:color="auto"/>
            </w:tcBorders>
          </w:tcPr>
          <w:p>
            <w:pPr/>
          </w:p>
        </w:tc>
        <w:tc>
          <w:tcPr>
            <w:tcW w:w="1630" w:type="dxa"/>
            <w:tcBorders>
              <w:top w:val="nil" w:sz="6" w:space="0" w:color="auto"/>
              <w:left w:val="nil" w:sz="6" w:space="0" w:color="auto"/>
              <w:bottom w:val="single" w:sz="4" w:space="0" w:color="000000"/>
              <w:right w:val="nil" w:sz="6" w:space="0" w:color="auto"/>
            </w:tcBorders>
          </w:tcPr>
          <w:p>
            <w:pPr/>
          </w:p>
        </w:tc>
        <w:tc>
          <w:tcPr>
            <w:tcW w:w="223" w:type="dxa"/>
            <w:tcBorders>
              <w:top w:val="nil" w:sz="6" w:space="0" w:color="auto"/>
              <w:left w:val="nil" w:sz="6" w:space="0" w:color="auto"/>
              <w:bottom w:val="single" w:sz="4" w:space="0" w:color="000000"/>
              <w:right w:val="nil" w:sz="6" w:space="0" w:color="auto"/>
            </w:tcBorders>
          </w:tcPr>
          <w:p>
            <w:pPr/>
          </w:p>
        </w:tc>
        <w:tc>
          <w:tcPr>
            <w:tcW w:w="2131" w:type="dxa"/>
            <w:tcBorders>
              <w:top w:val="nil" w:sz="6" w:space="0" w:color="auto"/>
              <w:left w:val="nil" w:sz="6" w:space="0" w:color="auto"/>
              <w:bottom w:val="single" w:sz="4" w:space="0" w:color="000000"/>
              <w:right w:val="nil" w:sz="6" w:space="0" w:color="auto"/>
            </w:tcBorders>
          </w:tcPr>
          <w:p>
            <w:pPr/>
          </w:p>
        </w:tc>
        <w:tc>
          <w:tcPr>
            <w:tcW w:w="238" w:type="dxa"/>
            <w:tcBorders>
              <w:top w:val="nil" w:sz="6" w:space="0" w:color="auto"/>
              <w:left w:val="nil" w:sz="6" w:space="0" w:color="auto"/>
              <w:bottom w:val="single" w:sz="4" w:space="0" w:color="000000"/>
              <w:right w:val="nil" w:sz="6" w:space="0" w:color="auto"/>
            </w:tcBorders>
          </w:tcPr>
          <w:p>
            <w:pPr/>
          </w:p>
        </w:tc>
        <w:tc>
          <w:tcPr>
            <w:tcW w:w="1877" w:type="dxa"/>
            <w:tcBorders>
              <w:top w:val="single" w:sz="17" w:space="0" w:color="000000"/>
              <w:left w:val="nil" w:sz="6" w:space="0" w:color="auto"/>
              <w:bottom w:val="single" w:sz="4" w:space="0" w:color="000000"/>
              <w:right w:val="nil" w:sz="6" w:space="0" w:color="auto"/>
            </w:tcBorders>
          </w:tcPr>
          <w:p>
            <w:pPr/>
          </w:p>
        </w:tc>
      </w:tr>
      <w:tr>
        <w:trPr>
          <w:trHeight w:val="315" w:hRule="exact"/>
        </w:trPr>
        <w:tc>
          <w:tcPr>
            <w:tcW w:w="9485" w:type="dxa"/>
            <w:gridSpan w:val="7"/>
            <w:tcBorders>
              <w:top w:val="single" w:sz="4" w:space="0" w:color="000000"/>
              <w:left w:val="nil" w:sz="6" w:space="0" w:color="auto"/>
              <w:bottom w:val="nil" w:sz="6" w:space="0" w:color="auto"/>
              <w:right w:val="nil" w:sz="6" w:space="0" w:color="auto"/>
            </w:tcBorders>
          </w:tcPr>
          <w:p>
            <w:pPr>
              <w:pStyle w:val="TableParagraph"/>
              <w:tabs>
                <w:tab w:pos="3081" w:val="left" w:leader="none"/>
                <w:tab w:pos="7044" w:val="left" w:leader="none"/>
              </w:tabs>
              <w:spacing w:line="240" w:lineRule="auto" w:before="8"/>
              <w:ind w:left="107" w:right="0"/>
              <w:jc w:val="left"/>
              <w:rPr>
                <w:rFonts w:ascii="宋体" w:hAnsi="宋体" w:cs="宋体" w:eastAsia="宋体" w:hint="default"/>
                <w:sz w:val="18"/>
                <w:szCs w:val="18"/>
              </w:rPr>
            </w:pPr>
            <w:r>
              <w:rPr>
                <w:rFonts w:ascii="宋体" w:hAnsi="宋体" w:cs="宋体" w:eastAsia="宋体" w:hint="default"/>
                <w:sz w:val="18"/>
                <w:szCs w:val="18"/>
              </w:rPr>
              <w:t>公司负责人：</w:t>
            </w:r>
            <w:r>
              <w:rPr>
                <w:rFonts w:ascii="宋体" w:hAnsi="宋体" w:cs="宋体" w:eastAsia="宋体" w:hint="default"/>
                <w:spacing w:val="1"/>
                <w:sz w:val="18"/>
                <w:szCs w:val="18"/>
              </w:rPr>
              <w:t> </w:t>
            </w:r>
            <w:r>
              <w:rPr>
                <w:rFonts w:ascii="宋体" w:hAnsi="宋体" w:cs="宋体" w:eastAsia="宋体" w:hint="default"/>
                <w:sz w:val="18"/>
                <w:szCs w:val="18"/>
              </w:rPr>
              <w:t>黄元忠</w:t>
              <w:tab/>
              <w:t>主管会计工作负责人：</w:t>
            </w:r>
            <w:r>
              <w:rPr>
                <w:rFonts w:ascii="宋体" w:hAnsi="宋体" w:cs="宋体" w:eastAsia="宋体" w:hint="default"/>
                <w:spacing w:val="89"/>
                <w:sz w:val="18"/>
                <w:szCs w:val="18"/>
              </w:rPr>
              <w:t> </w:t>
            </w:r>
            <w:r>
              <w:rPr>
                <w:rFonts w:ascii="宋体" w:hAnsi="宋体" w:cs="宋体" w:eastAsia="宋体" w:hint="default"/>
                <w:sz w:val="18"/>
                <w:szCs w:val="18"/>
              </w:rPr>
              <w:t>孙晓玲</w:t>
              <w:tab/>
              <w:t>会计机构负责人：全丽</w:t>
            </w:r>
          </w:p>
        </w:tc>
      </w:tr>
      <w:tr>
        <w:trPr>
          <w:trHeight w:val="246" w:hRule="exact"/>
        </w:trPr>
        <w:tc>
          <w:tcPr>
            <w:tcW w:w="9485"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（所附附注是合并财务报表的组成部分）</w:t>
            </w:r>
          </w:p>
        </w:tc>
      </w:tr>
    </w:tbl>
    <w:p>
      <w:pPr>
        <w:spacing w:after="0" w:line="240" w:lineRule="auto"/>
        <w:jc w:val="left"/>
        <w:rPr>
          <w:rFonts w:ascii="宋体" w:hAnsi="宋体" w:cs="宋体" w:eastAsia="宋体" w:hint="default"/>
          <w:sz w:val="18"/>
          <w:szCs w:val="18"/>
        </w:rPr>
        <w:sectPr>
          <w:pgSz w:w="11910" w:h="16840"/>
          <w:pgMar w:header="870" w:footer="979" w:top="1060" w:bottom="1160" w:left="980" w:right="420"/>
        </w:sectPr>
      </w:pPr>
    </w:p>
    <w:p>
      <w:pPr>
        <w:spacing w:line="240" w:lineRule="auto" w:before="0"/>
        <w:rPr>
          <w:rFonts w:ascii="Times New Roman" w:hAnsi="Times New Roman" w:cs="Times New Roman" w:eastAsia="Times New Roman" w:hint="default"/>
          <w:sz w:val="20"/>
          <w:szCs w:val="20"/>
        </w:rPr>
      </w:pPr>
      <w:r>
        <w:rPr/>
        <w:pict>
          <v:group style="position:absolute;margin-left:319.200012pt;margin-top:415.799988pt;width:109.1pt;height:.5pt;mso-position-horizontal-relative:page;mso-position-vertical-relative:page;z-index:-1159216" coordorigin="6384,8316" coordsize="2182,10">
            <v:shape style="position:absolute;left:6384;top:8316;width:2170;height:10" type="#_x0000_t75" stroked="false">
              <v:imagedata r:id="rId59" o:title=""/>
            </v:shape>
            <v:shape style="position:absolute;left:8549;top:8316;width:17;height:10" type="#_x0000_t75" stroked="false">
              <v:imagedata r:id="rId60" o:title=""/>
            </v:shape>
            <w10:wrap type="none"/>
          </v:group>
        </w:pict>
      </w:r>
      <w:r>
        <w:rPr/>
        <w:pict>
          <v:shape style="position:absolute;margin-left:439.079987pt;margin-top:415.799988pt;width:103.200946pt;height:.48pt;mso-position-horizontal-relative:page;mso-position-vertical-relative:page;z-index:2368" type="#_x0000_t75" stroked="false">
            <v:imagedata r:id="rId61" o:title=""/>
          </v:shape>
        </w:pict>
      </w:r>
      <w:r>
        <w:rPr/>
        <w:pict>
          <v:group style="position:absolute;margin-left:318.839996pt;margin-top:566.399963pt;width:109.6pt;height:2.2pt;mso-position-horizontal-relative:page;mso-position-vertical-relative:page;z-index:-1159168" coordorigin="6377,11328" coordsize="2192,44">
            <v:group style="position:absolute;left:6384;top:11335;width:2177;height:2" coordorigin="6384,11335" coordsize="2177,2">
              <v:shape style="position:absolute;left:6384;top:11335;width:2177;height:2" coordorigin="6384,11335" coordsize="2177,0" path="m6384,11335l8561,11335e" filled="false" stroked="true" strokeweight=".72pt" strokecolor="#000000">
                <v:path arrowok="t"/>
              </v:shape>
            </v:group>
            <v:group style="position:absolute;left:6384;top:11364;width:2177;height:2" coordorigin="6384,11364" coordsize="2177,2">
              <v:shape style="position:absolute;left:6384;top:11364;width:2177;height:2" coordorigin="6384,11364" coordsize="2177,0" path="m6384,11364l8561,11364e" filled="false" stroked="true" strokeweight=".72pt" strokecolor="#000000">
                <v:path arrowok="t"/>
              </v:shape>
            </v:group>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7"/>
          <w:szCs w:val="17"/>
        </w:rPr>
      </w:pPr>
    </w:p>
    <w:tbl>
      <w:tblPr>
        <w:tblW w:w="0" w:type="auto"/>
        <w:jc w:val="left"/>
        <w:tblInd w:w="152" w:type="dxa"/>
        <w:tblLayout w:type="fixed"/>
        <w:tblCellMar>
          <w:top w:w="0" w:type="dxa"/>
          <w:left w:w="0" w:type="dxa"/>
          <w:bottom w:w="0" w:type="dxa"/>
          <w:right w:w="0" w:type="dxa"/>
        </w:tblCellMar>
        <w:tblLook w:val="01E0"/>
      </w:tblPr>
      <w:tblGrid>
        <w:gridCol w:w="3247"/>
        <w:gridCol w:w="238"/>
        <w:gridCol w:w="1531"/>
        <w:gridCol w:w="235"/>
        <w:gridCol w:w="2177"/>
        <w:gridCol w:w="221"/>
        <w:gridCol w:w="2059"/>
      </w:tblGrid>
      <w:tr>
        <w:trPr>
          <w:trHeight w:val="400" w:hRule="exact"/>
        </w:trPr>
        <w:tc>
          <w:tcPr>
            <w:tcW w:w="9708" w:type="dxa"/>
            <w:gridSpan w:val="7"/>
            <w:tcBorders>
              <w:top w:val="nil" w:sz="6" w:space="0" w:color="auto"/>
              <w:left w:val="nil" w:sz="6" w:space="0" w:color="auto"/>
              <w:bottom w:val="nil" w:sz="6" w:space="0" w:color="auto"/>
              <w:right w:val="nil" w:sz="6" w:space="0" w:color="auto"/>
            </w:tcBorders>
          </w:tcPr>
          <w:p>
            <w:pPr>
              <w:pStyle w:val="TableParagraph"/>
              <w:spacing w:line="281" w:lineRule="exact"/>
              <w:ind w:left="3000" w:right="0"/>
              <w:jc w:val="left"/>
              <w:rPr>
                <w:rFonts w:ascii="宋体" w:hAnsi="宋体" w:cs="宋体" w:eastAsia="宋体" w:hint="default"/>
                <w:sz w:val="28"/>
                <w:szCs w:val="28"/>
              </w:rPr>
            </w:pPr>
            <w:r>
              <w:rPr>
                <w:rFonts w:ascii="宋体" w:hAnsi="宋体" w:cs="宋体" w:eastAsia="宋体" w:hint="default"/>
                <w:sz w:val="28"/>
                <w:szCs w:val="28"/>
              </w:rPr>
              <w:t>深圳市方直科技股份有限公司</w:t>
            </w:r>
          </w:p>
        </w:tc>
      </w:tr>
      <w:tr>
        <w:trPr>
          <w:trHeight w:val="517" w:hRule="exact"/>
        </w:trPr>
        <w:tc>
          <w:tcPr>
            <w:tcW w:w="3247"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3"/>
              <w:jc w:val="right"/>
              <w:rPr>
                <w:rFonts w:ascii="宋体" w:hAnsi="宋体" w:cs="宋体" w:eastAsia="宋体" w:hint="default"/>
                <w:sz w:val="28"/>
                <w:szCs w:val="28"/>
              </w:rPr>
            </w:pPr>
            <w:r>
              <w:rPr>
                <w:rFonts w:ascii="宋体" w:hAnsi="宋体" w:cs="宋体" w:eastAsia="宋体" w:hint="default"/>
                <w:sz w:val="28"/>
                <w:szCs w:val="28"/>
              </w:rPr>
              <w:t>利润</w:t>
            </w:r>
          </w:p>
        </w:tc>
        <w:tc>
          <w:tcPr>
            <w:tcW w:w="235" w:type="dxa"/>
            <w:tcBorders>
              <w:top w:val="nil" w:sz="6" w:space="0" w:color="auto"/>
              <w:left w:val="nil" w:sz="6" w:space="0" w:color="auto"/>
              <w:bottom w:val="nil" w:sz="6" w:space="0" w:color="auto"/>
              <w:right w:val="nil" w:sz="6" w:space="0" w:color="auto"/>
            </w:tcBorders>
          </w:tcPr>
          <w:p>
            <w:pPr>
              <w:pStyle w:val="TableParagraph"/>
              <w:spacing w:line="240" w:lineRule="auto" w:before="33"/>
              <w:ind w:left="-56" w:right="0"/>
              <w:jc w:val="left"/>
              <w:rPr>
                <w:rFonts w:ascii="宋体" w:hAnsi="宋体" w:cs="宋体" w:eastAsia="宋体" w:hint="default"/>
                <w:sz w:val="28"/>
                <w:szCs w:val="28"/>
              </w:rPr>
            </w:pPr>
            <w:r>
              <w:rPr>
                <w:rFonts w:ascii="宋体" w:hAnsi="宋体" w:cs="宋体" w:eastAsia="宋体" w:hint="default"/>
                <w:w w:val="100"/>
                <w:sz w:val="28"/>
                <w:szCs w:val="28"/>
              </w:rPr>
              <w:t>表</w:t>
            </w:r>
          </w:p>
        </w:tc>
        <w:tc>
          <w:tcPr>
            <w:tcW w:w="2177" w:type="dxa"/>
            <w:tcBorders>
              <w:top w:val="nil" w:sz="6" w:space="0" w:color="auto"/>
              <w:left w:val="nil" w:sz="6" w:space="0" w:color="auto"/>
              <w:bottom w:val="nil" w:sz="6" w:space="0" w:color="auto"/>
              <w:right w:val="nil" w:sz="6" w:space="0" w:color="auto"/>
            </w:tcBorders>
          </w:tcPr>
          <w:p>
            <w:pPr/>
          </w:p>
        </w:tc>
        <w:tc>
          <w:tcPr>
            <w:tcW w:w="221" w:type="dxa"/>
            <w:tcBorders>
              <w:top w:val="nil" w:sz="6" w:space="0" w:color="auto"/>
              <w:left w:val="nil" w:sz="6" w:space="0" w:color="auto"/>
              <w:bottom w:val="nil" w:sz="6" w:space="0" w:color="auto"/>
              <w:right w:val="nil" w:sz="6" w:space="0" w:color="auto"/>
            </w:tcBorders>
          </w:tcPr>
          <w:p>
            <w:pPr/>
          </w:p>
        </w:tc>
        <w:tc>
          <w:tcPr>
            <w:tcW w:w="2059" w:type="dxa"/>
            <w:tcBorders>
              <w:top w:val="nil" w:sz="6" w:space="0" w:color="auto"/>
              <w:left w:val="nil" w:sz="6" w:space="0" w:color="auto"/>
              <w:bottom w:val="nil" w:sz="6" w:space="0" w:color="auto"/>
              <w:right w:val="nil" w:sz="6" w:space="0" w:color="auto"/>
            </w:tcBorders>
          </w:tcPr>
          <w:p>
            <w:pPr/>
          </w:p>
        </w:tc>
      </w:tr>
      <w:tr>
        <w:trPr>
          <w:trHeight w:val="393" w:hRule="exact"/>
        </w:trPr>
        <w:tc>
          <w:tcPr>
            <w:tcW w:w="3247"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8"/>
              <w:jc w:val="righ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35" w:type="dxa"/>
            <w:tcBorders>
              <w:top w:val="nil" w:sz="6" w:space="0" w:color="auto"/>
              <w:left w:val="nil" w:sz="6" w:space="0" w:color="auto"/>
              <w:bottom w:val="nil" w:sz="6" w:space="0" w:color="auto"/>
              <w:right w:val="nil" w:sz="6" w:space="0" w:color="auto"/>
            </w:tcBorders>
          </w:tcPr>
          <w:p>
            <w:pPr>
              <w:pStyle w:val="TableParagraph"/>
              <w:spacing w:line="240" w:lineRule="auto" w:before="62"/>
              <w:ind w:left="7" w:right="0"/>
              <w:jc w:val="left"/>
              <w:rPr>
                <w:rFonts w:ascii="宋体" w:hAnsi="宋体" w:cs="宋体" w:eastAsia="宋体" w:hint="default"/>
                <w:sz w:val="18"/>
                <w:szCs w:val="18"/>
              </w:rPr>
            </w:pPr>
            <w:r>
              <w:rPr>
                <w:rFonts w:ascii="宋体" w:hAnsi="宋体" w:cs="宋体" w:eastAsia="宋体" w:hint="default"/>
                <w:sz w:val="18"/>
                <w:szCs w:val="18"/>
              </w:rPr>
              <w:t>度</w:t>
            </w:r>
          </w:p>
        </w:tc>
        <w:tc>
          <w:tcPr>
            <w:tcW w:w="2177" w:type="dxa"/>
            <w:tcBorders>
              <w:top w:val="nil" w:sz="6" w:space="0" w:color="auto"/>
              <w:left w:val="nil" w:sz="6" w:space="0" w:color="auto"/>
              <w:bottom w:val="nil" w:sz="6" w:space="0" w:color="auto"/>
              <w:right w:val="nil" w:sz="6" w:space="0" w:color="auto"/>
            </w:tcBorders>
          </w:tcPr>
          <w:p>
            <w:pPr/>
          </w:p>
        </w:tc>
        <w:tc>
          <w:tcPr>
            <w:tcW w:w="221" w:type="dxa"/>
            <w:tcBorders>
              <w:top w:val="nil" w:sz="6" w:space="0" w:color="auto"/>
              <w:left w:val="nil" w:sz="6" w:space="0" w:color="auto"/>
              <w:bottom w:val="nil" w:sz="6" w:space="0" w:color="auto"/>
              <w:right w:val="nil" w:sz="6" w:space="0" w:color="auto"/>
            </w:tcBorders>
          </w:tcPr>
          <w:p>
            <w:pPr/>
          </w:p>
        </w:tc>
        <w:tc>
          <w:tcPr>
            <w:tcW w:w="2059" w:type="dxa"/>
            <w:tcBorders>
              <w:top w:val="nil" w:sz="6" w:space="0" w:color="auto"/>
              <w:left w:val="nil" w:sz="6" w:space="0" w:color="auto"/>
              <w:bottom w:val="nil" w:sz="6" w:space="0" w:color="auto"/>
              <w:right w:val="nil" w:sz="6" w:space="0" w:color="auto"/>
            </w:tcBorders>
          </w:tcPr>
          <w:p>
            <w:pPr/>
          </w:p>
        </w:tc>
      </w:tr>
      <w:tr>
        <w:trPr>
          <w:trHeight w:val="553" w:hRule="exact"/>
        </w:trPr>
        <w:tc>
          <w:tcPr>
            <w:tcW w:w="3247"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2177" w:type="dxa"/>
            <w:tcBorders>
              <w:top w:val="nil" w:sz="6" w:space="0" w:color="auto"/>
              <w:left w:val="nil" w:sz="6" w:space="0" w:color="auto"/>
              <w:bottom w:val="nil" w:sz="6" w:space="0" w:color="auto"/>
              <w:right w:val="nil" w:sz="6" w:space="0" w:color="auto"/>
            </w:tcBorders>
          </w:tcPr>
          <w:p>
            <w:pPr/>
          </w:p>
        </w:tc>
        <w:tc>
          <w:tcPr>
            <w:tcW w:w="221" w:type="dxa"/>
            <w:tcBorders>
              <w:top w:val="nil" w:sz="6" w:space="0" w:color="auto"/>
              <w:left w:val="nil" w:sz="6" w:space="0" w:color="auto"/>
              <w:bottom w:val="nil" w:sz="6" w:space="0" w:color="auto"/>
              <w:right w:val="nil" w:sz="6" w:space="0" w:color="auto"/>
            </w:tcBorders>
          </w:tcPr>
          <w:p>
            <w:pPr/>
          </w:p>
        </w:tc>
        <w:tc>
          <w:tcPr>
            <w:tcW w:w="205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3"/>
              <w:jc w:val="right"/>
              <w:rPr>
                <w:rFonts w:ascii="宋体" w:hAnsi="宋体" w:cs="宋体" w:eastAsia="宋体" w:hint="default"/>
                <w:sz w:val="18"/>
                <w:szCs w:val="18"/>
              </w:rPr>
            </w:pPr>
            <w:r>
              <w:rPr>
                <w:rFonts w:ascii="宋体" w:hAnsi="宋体" w:cs="宋体" w:eastAsia="宋体" w:hint="default"/>
                <w:sz w:val="18"/>
                <w:szCs w:val="18"/>
              </w:rPr>
              <w:t>单位：人民币元</w:t>
            </w:r>
          </w:p>
        </w:tc>
      </w:tr>
      <w:tr>
        <w:trPr>
          <w:trHeight w:val="560" w:hRule="exact"/>
        </w:trPr>
        <w:tc>
          <w:tcPr>
            <w:tcW w:w="3247"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8"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附注十五</w:t>
            </w:r>
          </w:p>
        </w:tc>
        <w:tc>
          <w:tcPr>
            <w:tcW w:w="235" w:type="dxa"/>
            <w:tcBorders>
              <w:top w:val="nil" w:sz="6" w:space="0" w:color="auto"/>
              <w:left w:val="nil" w:sz="6" w:space="0" w:color="auto"/>
              <w:bottom w:val="nil" w:sz="6" w:space="0" w:color="auto"/>
              <w:right w:val="nil" w:sz="6" w:space="0" w:color="auto"/>
            </w:tcBorders>
          </w:tcPr>
          <w:p>
            <w:pPr/>
          </w:p>
        </w:tc>
        <w:tc>
          <w:tcPr>
            <w:tcW w:w="2177"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21" w:type="dxa"/>
            <w:tcBorders>
              <w:top w:val="nil" w:sz="6" w:space="0" w:color="auto"/>
              <w:left w:val="nil" w:sz="6" w:space="0" w:color="auto"/>
              <w:bottom w:val="nil" w:sz="6" w:space="0" w:color="auto"/>
              <w:right w:val="nil" w:sz="6" w:space="0" w:color="auto"/>
            </w:tcBorders>
          </w:tcPr>
          <w:p>
            <w:pPr/>
          </w:p>
        </w:tc>
        <w:tc>
          <w:tcPr>
            <w:tcW w:w="2059"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上期数</w:t>
            </w:r>
          </w:p>
        </w:tc>
      </w:tr>
      <w:tr>
        <w:trPr>
          <w:trHeight w:val="747" w:hRule="exact"/>
        </w:trPr>
        <w:tc>
          <w:tcPr>
            <w:tcW w:w="3247"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b/>
                <w:bCs/>
                <w:sz w:val="18"/>
                <w:szCs w:val="18"/>
              </w:rPr>
              <w:t>一、营业收入</w:t>
            </w:r>
            <w:r>
              <w:rPr>
                <w:rFonts w:ascii="宋体" w:hAnsi="宋体" w:cs="宋体" w:eastAsia="宋体" w:hint="default"/>
                <w:sz w:val="18"/>
                <w:szCs w:val="18"/>
              </w:rPr>
            </w:r>
          </w:p>
        </w:tc>
        <w:tc>
          <w:tcPr>
            <w:tcW w:w="238" w:type="dxa"/>
            <w:tcBorders>
              <w:top w:val="nil" w:sz="6" w:space="0" w:color="auto"/>
              <w:left w:val="nil" w:sz="6" w:space="0" w:color="auto"/>
              <w:bottom w:val="nil" w:sz="6" w:space="0" w:color="auto"/>
              <w:right w:val="nil" w:sz="6" w:space="0" w:color="auto"/>
            </w:tcBorders>
          </w:tcPr>
          <w:p>
            <w:pPr/>
          </w:p>
        </w:tc>
        <w:tc>
          <w:tcPr>
            <w:tcW w:w="1531"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0"/>
              <w:ind w:left="489"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注释</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4</w:t>
            </w:r>
          </w:p>
        </w:tc>
        <w:tc>
          <w:tcPr>
            <w:tcW w:w="235" w:type="dxa"/>
            <w:tcBorders>
              <w:top w:val="nil" w:sz="6" w:space="0" w:color="auto"/>
              <w:left w:val="nil" w:sz="6" w:space="0" w:color="auto"/>
              <w:bottom w:val="nil" w:sz="6" w:space="0" w:color="auto"/>
              <w:right w:val="nil" w:sz="6" w:space="0" w:color="auto"/>
            </w:tcBorders>
          </w:tcPr>
          <w:p>
            <w:pPr/>
          </w:p>
        </w:tc>
        <w:tc>
          <w:tcPr>
            <w:tcW w:w="2177"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08"/>
              <w:jc w:val="right"/>
              <w:rPr>
                <w:rFonts w:ascii="宋体" w:hAnsi="宋体" w:cs="宋体" w:eastAsia="宋体" w:hint="default"/>
                <w:sz w:val="18"/>
                <w:szCs w:val="18"/>
              </w:rPr>
            </w:pPr>
            <w:r>
              <w:rPr>
                <w:rFonts w:ascii="宋体"/>
                <w:spacing w:val="-1"/>
                <w:sz w:val="18"/>
              </w:rPr>
              <w:t>79,859,719.78</w:t>
            </w:r>
            <w:r>
              <w:rPr>
                <w:rFonts w:ascii="宋体"/>
                <w:sz w:val="18"/>
              </w:rPr>
            </w:r>
          </w:p>
        </w:tc>
        <w:tc>
          <w:tcPr>
            <w:tcW w:w="221" w:type="dxa"/>
            <w:tcBorders>
              <w:top w:val="nil" w:sz="6" w:space="0" w:color="auto"/>
              <w:left w:val="nil" w:sz="6" w:space="0" w:color="auto"/>
              <w:bottom w:val="nil" w:sz="6" w:space="0" w:color="auto"/>
              <w:right w:val="nil" w:sz="6" w:space="0" w:color="auto"/>
            </w:tcBorders>
          </w:tcPr>
          <w:p>
            <w:pPr/>
          </w:p>
        </w:tc>
        <w:tc>
          <w:tcPr>
            <w:tcW w:w="2059"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68,152,717.25</w:t>
            </w:r>
          </w:p>
        </w:tc>
      </w:tr>
      <w:tr>
        <w:trPr>
          <w:trHeight w:val="373" w:hRule="exact"/>
        </w:trPr>
        <w:tc>
          <w:tcPr>
            <w:tcW w:w="3247" w:type="dxa"/>
            <w:tcBorders>
              <w:top w:val="nil" w:sz="6" w:space="0" w:color="auto"/>
              <w:left w:val="nil" w:sz="6" w:space="0" w:color="auto"/>
              <w:bottom w:val="nil" w:sz="6" w:space="0" w:color="auto"/>
              <w:right w:val="nil" w:sz="6" w:space="0" w:color="auto"/>
            </w:tcBorders>
          </w:tcPr>
          <w:p>
            <w:pPr>
              <w:pStyle w:val="TableParagraph"/>
              <w:spacing w:line="240" w:lineRule="auto" w:before="31"/>
              <w:ind w:left="287"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238"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17"/>
              <w:ind w:left="489"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注释</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4</w:t>
            </w:r>
          </w:p>
        </w:tc>
        <w:tc>
          <w:tcPr>
            <w:tcW w:w="235" w:type="dxa"/>
            <w:tcBorders>
              <w:top w:val="nil" w:sz="6" w:space="0" w:color="auto"/>
              <w:left w:val="nil" w:sz="6" w:space="0" w:color="auto"/>
              <w:bottom w:val="nil" w:sz="6" w:space="0" w:color="auto"/>
              <w:right w:val="nil" w:sz="6" w:space="0" w:color="auto"/>
            </w:tcBorders>
          </w:tcPr>
          <w:p>
            <w:pPr/>
          </w:p>
        </w:tc>
        <w:tc>
          <w:tcPr>
            <w:tcW w:w="2177"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3"/>
              <w:jc w:val="right"/>
              <w:rPr>
                <w:rFonts w:ascii="宋体" w:hAnsi="宋体" w:cs="宋体" w:eastAsia="宋体" w:hint="default"/>
                <w:sz w:val="18"/>
                <w:szCs w:val="18"/>
              </w:rPr>
            </w:pPr>
            <w:r>
              <w:rPr>
                <w:rFonts w:ascii="宋体"/>
                <w:spacing w:val="-1"/>
                <w:sz w:val="18"/>
              </w:rPr>
              <w:t>19,309,068.71</w:t>
            </w:r>
            <w:r>
              <w:rPr>
                <w:rFonts w:ascii="宋体"/>
                <w:sz w:val="18"/>
              </w:rPr>
            </w:r>
          </w:p>
        </w:tc>
        <w:tc>
          <w:tcPr>
            <w:tcW w:w="221" w:type="dxa"/>
            <w:tcBorders>
              <w:top w:val="nil" w:sz="6" w:space="0" w:color="auto"/>
              <w:left w:val="nil" w:sz="6" w:space="0" w:color="auto"/>
              <w:bottom w:val="nil" w:sz="6" w:space="0" w:color="auto"/>
              <w:right w:val="nil" w:sz="6" w:space="0" w:color="auto"/>
            </w:tcBorders>
          </w:tcPr>
          <w:p>
            <w:pPr/>
          </w:p>
        </w:tc>
        <w:tc>
          <w:tcPr>
            <w:tcW w:w="2059"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2"/>
              <w:jc w:val="right"/>
              <w:rPr>
                <w:rFonts w:ascii="宋体" w:hAnsi="宋体" w:cs="宋体" w:eastAsia="宋体" w:hint="default"/>
                <w:sz w:val="18"/>
                <w:szCs w:val="18"/>
              </w:rPr>
            </w:pPr>
            <w:r>
              <w:rPr>
                <w:rFonts w:ascii="宋体"/>
                <w:spacing w:val="-1"/>
                <w:sz w:val="18"/>
              </w:rPr>
              <w:t>16,634,086.32</w:t>
            </w:r>
          </w:p>
        </w:tc>
      </w:tr>
      <w:tr>
        <w:trPr>
          <w:trHeight w:val="358" w:hRule="exact"/>
        </w:trPr>
        <w:tc>
          <w:tcPr>
            <w:tcW w:w="3247" w:type="dxa"/>
            <w:tcBorders>
              <w:top w:val="nil" w:sz="6" w:space="0" w:color="auto"/>
              <w:left w:val="nil" w:sz="6" w:space="0" w:color="auto"/>
              <w:bottom w:val="nil" w:sz="6" w:space="0" w:color="auto"/>
              <w:right w:val="nil" w:sz="6" w:space="0" w:color="auto"/>
            </w:tcBorders>
          </w:tcPr>
          <w:p>
            <w:pPr>
              <w:pStyle w:val="TableParagraph"/>
              <w:spacing w:line="240" w:lineRule="auto" w:before="27"/>
              <w:ind w:left="650"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238"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2177"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03"/>
              <w:jc w:val="right"/>
              <w:rPr>
                <w:rFonts w:ascii="宋体" w:hAnsi="宋体" w:cs="宋体" w:eastAsia="宋体" w:hint="default"/>
                <w:sz w:val="18"/>
                <w:szCs w:val="18"/>
              </w:rPr>
            </w:pPr>
            <w:r>
              <w:rPr>
                <w:rFonts w:ascii="宋体"/>
                <w:spacing w:val="-1"/>
                <w:sz w:val="18"/>
              </w:rPr>
              <w:t>849,358.35</w:t>
            </w:r>
            <w:r>
              <w:rPr>
                <w:rFonts w:ascii="宋体"/>
                <w:sz w:val="18"/>
              </w:rPr>
            </w:r>
          </w:p>
        </w:tc>
        <w:tc>
          <w:tcPr>
            <w:tcW w:w="221" w:type="dxa"/>
            <w:tcBorders>
              <w:top w:val="nil" w:sz="6" w:space="0" w:color="auto"/>
              <w:left w:val="nil" w:sz="6" w:space="0" w:color="auto"/>
              <w:bottom w:val="nil" w:sz="6" w:space="0" w:color="auto"/>
              <w:right w:val="nil" w:sz="6" w:space="0" w:color="auto"/>
            </w:tcBorders>
          </w:tcPr>
          <w:p>
            <w:pPr/>
          </w:p>
        </w:tc>
        <w:tc>
          <w:tcPr>
            <w:tcW w:w="2059"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02"/>
              <w:jc w:val="right"/>
              <w:rPr>
                <w:rFonts w:ascii="宋体" w:hAnsi="宋体" w:cs="宋体" w:eastAsia="宋体" w:hint="default"/>
                <w:sz w:val="18"/>
                <w:szCs w:val="18"/>
              </w:rPr>
            </w:pPr>
            <w:r>
              <w:rPr>
                <w:rFonts w:ascii="宋体"/>
                <w:spacing w:val="-1"/>
                <w:sz w:val="18"/>
              </w:rPr>
              <w:t>700,781.02</w:t>
            </w:r>
          </w:p>
        </w:tc>
      </w:tr>
      <w:tr>
        <w:trPr>
          <w:trHeight w:val="370" w:hRule="exact"/>
        </w:trPr>
        <w:tc>
          <w:tcPr>
            <w:tcW w:w="3247" w:type="dxa"/>
            <w:tcBorders>
              <w:top w:val="nil" w:sz="6" w:space="0" w:color="auto"/>
              <w:left w:val="nil" w:sz="6" w:space="0" w:color="auto"/>
              <w:bottom w:val="nil" w:sz="6" w:space="0" w:color="auto"/>
              <w:right w:val="nil" w:sz="6" w:space="0" w:color="auto"/>
            </w:tcBorders>
          </w:tcPr>
          <w:p>
            <w:pPr>
              <w:pStyle w:val="TableParagraph"/>
              <w:spacing w:line="240" w:lineRule="auto" w:before="39"/>
              <w:ind w:left="650"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38"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217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4"/>
              <w:jc w:val="right"/>
              <w:rPr>
                <w:rFonts w:ascii="宋体" w:hAnsi="宋体" w:cs="宋体" w:eastAsia="宋体" w:hint="default"/>
                <w:sz w:val="18"/>
                <w:szCs w:val="18"/>
              </w:rPr>
            </w:pPr>
            <w:r>
              <w:rPr>
                <w:rFonts w:ascii="宋体"/>
                <w:spacing w:val="-1"/>
                <w:sz w:val="18"/>
              </w:rPr>
              <w:t>19,399,026.24</w:t>
            </w:r>
          </w:p>
        </w:tc>
        <w:tc>
          <w:tcPr>
            <w:tcW w:w="221" w:type="dxa"/>
            <w:tcBorders>
              <w:top w:val="nil" w:sz="6" w:space="0" w:color="auto"/>
              <w:left w:val="nil" w:sz="6" w:space="0" w:color="auto"/>
              <w:bottom w:val="nil" w:sz="6" w:space="0" w:color="auto"/>
              <w:right w:val="nil" w:sz="6" w:space="0" w:color="auto"/>
            </w:tcBorders>
          </w:tcPr>
          <w:p>
            <w:pPr/>
          </w:p>
        </w:tc>
        <w:tc>
          <w:tcPr>
            <w:tcW w:w="205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2"/>
              <w:jc w:val="right"/>
              <w:rPr>
                <w:rFonts w:ascii="宋体" w:hAnsi="宋体" w:cs="宋体" w:eastAsia="宋体" w:hint="default"/>
                <w:sz w:val="18"/>
                <w:szCs w:val="18"/>
              </w:rPr>
            </w:pPr>
            <w:r>
              <w:rPr>
                <w:rFonts w:ascii="宋体"/>
                <w:spacing w:val="-1"/>
                <w:sz w:val="18"/>
              </w:rPr>
              <w:t>15,142,606.44</w:t>
            </w:r>
          </w:p>
        </w:tc>
      </w:tr>
      <w:tr>
        <w:trPr>
          <w:trHeight w:val="368" w:hRule="exact"/>
        </w:trPr>
        <w:tc>
          <w:tcPr>
            <w:tcW w:w="3247" w:type="dxa"/>
            <w:tcBorders>
              <w:top w:val="nil" w:sz="6" w:space="0" w:color="auto"/>
              <w:left w:val="nil" w:sz="6" w:space="0" w:color="auto"/>
              <w:bottom w:val="nil" w:sz="6" w:space="0" w:color="auto"/>
              <w:right w:val="nil" w:sz="6" w:space="0" w:color="auto"/>
            </w:tcBorders>
          </w:tcPr>
          <w:p>
            <w:pPr>
              <w:pStyle w:val="TableParagraph"/>
              <w:spacing w:line="240" w:lineRule="auto" w:before="39"/>
              <w:ind w:left="650"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38"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217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3"/>
              <w:jc w:val="right"/>
              <w:rPr>
                <w:rFonts w:ascii="宋体" w:hAnsi="宋体" w:cs="宋体" w:eastAsia="宋体" w:hint="default"/>
                <w:sz w:val="18"/>
                <w:szCs w:val="18"/>
              </w:rPr>
            </w:pPr>
            <w:r>
              <w:rPr>
                <w:rFonts w:ascii="宋体"/>
                <w:spacing w:val="-1"/>
                <w:sz w:val="18"/>
              </w:rPr>
              <w:t>26,943,346.34</w:t>
            </w:r>
            <w:r>
              <w:rPr>
                <w:rFonts w:ascii="宋体"/>
                <w:sz w:val="18"/>
              </w:rPr>
            </w:r>
          </w:p>
        </w:tc>
        <w:tc>
          <w:tcPr>
            <w:tcW w:w="221" w:type="dxa"/>
            <w:tcBorders>
              <w:top w:val="nil" w:sz="6" w:space="0" w:color="auto"/>
              <w:left w:val="nil" w:sz="6" w:space="0" w:color="auto"/>
              <w:bottom w:val="nil" w:sz="6" w:space="0" w:color="auto"/>
              <w:right w:val="nil" w:sz="6" w:space="0" w:color="auto"/>
            </w:tcBorders>
          </w:tcPr>
          <w:p>
            <w:pPr/>
          </w:p>
        </w:tc>
        <w:tc>
          <w:tcPr>
            <w:tcW w:w="205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2"/>
              <w:jc w:val="right"/>
              <w:rPr>
                <w:rFonts w:ascii="宋体" w:hAnsi="宋体" w:cs="宋体" w:eastAsia="宋体" w:hint="default"/>
                <w:sz w:val="18"/>
                <w:szCs w:val="18"/>
              </w:rPr>
            </w:pPr>
            <w:r>
              <w:rPr>
                <w:rFonts w:ascii="宋体"/>
                <w:spacing w:val="-1"/>
                <w:sz w:val="18"/>
              </w:rPr>
              <w:t>25,153,135.58</w:t>
            </w:r>
          </w:p>
        </w:tc>
      </w:tr>
      <w:tr>
        <w:trPr>
          <w:trHeight w:val="368" w:hRule="exact"/>
        </w:trPr>
        <w:tc>
          <w:tcPr>
            <w:tcW w:w="3247" w:type="dxa"/>
            <w:tcBorders>
              <w:top w:val="nil" w:sz="6" w:space="0" w:color="auto"/>
              <w:left w:val="nil" w:sz="6" w:space="0" w:color="auto"/>
              <w:bottom w:val="nil" w:sz="6" w:space="0" w:color="auto"/>
              <w:right w:val="nil" w:sz="6" w:space="0" w:color="auto"/>
            </w:tcBorders>
          </w:tcPr>
          <w:p>
            <w:pPr>
              <w:pStyle w:val="TableParagraph"/>
              <w:spacing w:line="240" w:lineRule="auto" w:before="38"/>
              <w:ind w:left="650"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38"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217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4"/>
              <w:jc w:val="right"/>
              <w:rPr>
                <w:rFonts w:ascii="宋体" w:hAnsi="宋体" w:cs="宋体" w:eastAsia="宋体" w:hint="default"/>
                <w:sz w:val="18"/>
                <w:szCs w:val="18"/>
              </w:rPr>
            </w:pPr>
            <w:r>
              <w:rPr>
                <w:rFonts w:ascii="宋体"/>
                <w:spacing w:val="-1"/>
                <w:sz w:val="18"/>
              </w:rPr>
              <w:t>(2,934,798.83)</w:t>
            </w:r>
          </w:p>
        </w:tc>
        <w:tc>
          <w:tcPr>
            <w:tcW w:w="221" w:type="dxa"/>
            <w:tcBorders>
              <w:top w:val="nil" w:sz="6" w:space="0" w:color="auto"/>
              <w:left w:val="nil" w:sz="6" w:space="0" w:color="auto"/>
              <w:bottom w:val="nil" w:sz="6" w:space="0" w:color="auto"/>
              <w:right w:val="nil" w:sz="6" w:space="0" w:color="auto"/>
            </w:tcBorders>
          </w:tcPr>
          <w:p>
            <w:pPr/>
          </w:p>
        </w:tc>
        <w:tc>
          <w:tcPr>
            <w:tcW w:w="2059"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2"/>
              <w:jc w:val="right"/>
              <w:rPr>
                <w:rFonts w:ascii="宋体" w:hAnsi="宋体" w:cs="宋体" w:eastAsia="宋体" w:hint="default"/>
                <w:sz w:val="18"/>
                <w:szCs w:val="18"/>
              </w:rPr>
            </w:pPr>
            <w:r>
              <w:rPr>
                <w:rFonts w:ascii="宋体"/>
                <w:spacing w:val="-1"/>
                <w:sz w:val="18"/>
              </w:rPr>
              <w:t>(3,478,537.11)</w:t>
            </w:r>
          </w:p>
        </w:tc>
      </w:tr>
      <w:tr>
        <w:trPr>
          <w:trHeight w:val="370" w:hRule="exact"/>
        </w:trPr>
        <w:tc>
          <w:tcPr>
            <w:tcW w:w="3247" w:type="dxa"/>
            <w:tcBorders>
              <w:top w:val="nil" w:sz="6" w:space="0" w:color="auto"/>
              <w:left w:val="nil" w:sz="6" w:space="0" w:color="auto"/>
              <w:bottom w:val="nil" w:sz="6" w:space="0" w:color="auto"/>
              <w:right w:val="nil" w:sz="6" w:space="0" w:color="auto"/>
            </w:tcBorders>
          </w:tcPr>
          <w:p>
            <w:pPr>
              <w:pStyle w:val="TableParagraph"/>
              <w:spacing w:line="240" w:lineRule="auto" w:before="39"/>
              <w:ind w:left="650"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38"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217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4"/>
              <w:jc w:val="right"/>
              <w:rPr>
                <w:rFonts w:ascii="宋体" w:hAnsi="宋体" w:cs="宋体" w:eastAsia="宋体" w:hint="default"/>
                <w:sz w:val="18"/>
                <w:szCs w:val="18"/>
              </w:rPr>
            </w:pPr>
            <w:r>
              <w:rPr>
                <w:rFonts w:ascii="宋体"/>
                <w:spacing w:val="-1"/>
                <w:sz w:val="18"/>
              </w:rPr>
              <w:t>1,767,167.91</w:t>
            </w:r>
          </w:p>
        </w:tc>
        <w:tc>
          <w:tcPr>
            <w:tcW w:w="221" w:type="dxa"/>
            <w:tcBorders>
              <w:top w:val="nil" w:sz="6" w:space="0" w:color="auto"/>
              <w:left w:val="nil" w:sz="6" w:space="0" w:color="auto"/>
              <w:bottom w:val="nil" w:sz="6" w:space="0" w:color="auto"/>
              <w:right w:val="nil" w:sz="6" w:space="0" w:color="auto"/>
            </w:tcBorders>
          </w:tcPr>
          <w:p>
            <w:pPr/>
          </w:p>
        </w:tc>
        <w:tc>
          <w:tcPr>
            <w:tcW w:w="205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2"/>
              <w:jc w:val="right"/>
              <w:rPr>
                <w:rFonts w:ascii="宋体" w:hAnsi="宋体" w:cs="宋体" w:eastAsia="宋体" w:hint="default"/>
                <w:sz w:val="18"/>
                <w:szCs w:val="18"/>
              </w:rPr>
            </w:pPr>
            <w:r>
              <w:rPr>
                <w:rFonts w:ascii="宋体"/>
                <w:spacing w:val="-1"/>
                <w:sz w:val="18"/>
              </w:rPr>
              <w:t>472,870.12</w:t>
            </w:r>
          </w:p>
        </w:tc>
      </w:tr>
      <w:tr>
        <w:trPr>
          <w:trHeight w:val="370" w:hRule="exact"/>
        </w:trPr>
        <w:tc>
          <w:tcPr>
            <w:tcW w:w="3247" w:type="dxa"/>
            <w:tcBorders>
              <w:top w:val="nil" w:sz="6" w:space="0" w:color="auto"/>
              <w:left w:val="nil" w:sz="6" w:space="0" w:color="auto"/>
              <w:bottom w:val="nil" w:sz="6" w:space="0" w:color="auto"/>
              <w:right w:val="nil" w:sz="6" w:space="0" w:color="auto"/>
            </w:tcBorders>
          </w:tcPr>
          <w:p>
            <w:pPr>
              <w:pStyle w:val="TableParagraph"/>
              <w:spacing w:line="240" w:lineRule="auto" w:before="39"/>
              <w:ind w:left="290" w:right="0"/>
              <w:jc w:val="left"/>
              <w:rPr>
                <w:rFonts w:ascii="宋体" w:hAnsi="宋体" w:cs="宋体" w:eastAsia="宋体" w:hint="default"/>
                <w:sz w:val="18"/>
                <w:szCs w:val="18"/>
              </w:rPr>
            </w:pPr>
            <w:r>
              <w:rPr>
                <w:rFonts w:ascii="宋体" w:hAnsi="宋体" w:cs="宋体" w:eastAsia="宋体" w:hint="default"/>
                <w:sz w:val="18"/>
                <w:szCs w:val="18"/>
              </w:rPr>
              <w:t>加：公允价值变动收益</w:t>
            </w:r>
          </w:p>
        </w:tc>
        <w:tc>
          <w:tcPr>
            <w:tcW w:w="238"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217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4"/>
              <w:jc w:val="right"/>
              <w:rPr>
                <w:rFonts w:ascii="宋体" w:hAnsi="宋体" w:cs="宋体" w:eastAsia="宋体" w:hint="default"/>
                <w:sz w:val="18"/>
                <w:szCs w:val="18"/>
              </w:rPr>
            </w:pPr>
            <w:r>
              <w:rPr>
                <w:rFonts w:ascii="宋体"/>
                <w:sz w:val="18"/>
              </w:rPr>
              <w:t>-</w:t>
            </w:r>
          </w:p>
        </w:tc>
        <w:tc>
          <w:tcPr>
            <w:tcW w:w="221" w:type="dxa"/>
            <w:tcBorders>
              <w:top w:val="nil" w:sz="6" w:space="0" w:color="auto"/>
              <w:left w:val="nil" w:sz="6" w:space="0" w:color="auto"/>
              <w:bottom w:val="nil" w:sz="6" w:space="0" w:color="auto"/>
              <w:right w:val="nil" w:sz="6" w:space="0" w:color="auto"/>
            </w:tcBorders>
          </w:tcPr>
          <w:p>
            <w:pPr/>
          </w:p>
        </w:tc>
        <w:tc>
          <w:tcPr>
            <w:tcW w:w="205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2"/>
              <w:jc w:val="right"/>
              <w:rPr>
                <w:rFonts w:ascii="宋体" w:hAnsi="宋体" w:cs="宋体" w:eastAsia="宋体" w:hint="default"/>
                <w:sz w:val="18"/>
                <w:szCs w:val="18"/>
              </w:rPr>
            </w:pPr>
            <w:r>
              <w:rPr>
                <w:rFonts w:ascii="宋体"/>
                <w:sz w:val="18"/>
              </w:rPr>
              <w:t>-</w:t>
            </w:r>
          </w:p>
        </w:tc>
      </w:tr>
      <w:tr>
        <w:trPr>
          <w:trHeight w:val="335" w:hRule="exact"/>
        </w:trPr>
        <w:tc>
          <w:tcPr>
            <w:tcW w:w="3247" w:type="dxa"/>
            <w:tcBorders>
              <w:top w:val="nil" w:sz="6" w:space="0" w:color="auto"/>
              <w:left w:val="nil" w:sz="6" w:space="0" w:color="auto"/>
              <w:bottom w:val="nil" w:sz="6" w:space="0" w:color="auto"/>
              <w:right w:val="nil" w:sz="6" w:space="0" w:color="auto"/>
            </w:tcBorders>
          </w:tcPr>
          <w:p>
            <w:pPr>
              <w:pStyle w:val="TableParagraph"/>
              <w:spacing w:line="240" w:lineRule="auto" w:before="39"/>
              <w:ind w:left="650"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238"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217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8"/>
              <w:jc w:val="right"/>
              <w:rPr>
                <w:rFonts w:ascii="宋体" w:hAnsi="宋体" w:cs="宋体" w:eastAsia="宋体" w:hint="default"/>
                <w:sz w:val="18"/>
                <w:szCs w:val="18"/>
              </w:rPr>
            </w:pPr>
            <w:r>
              <w:rPr>
                <w:rFonts w:ascii="宋体"/>
                <w:spacing w:val="-1"/>
                <w:sz w:val="18"/>
              </w:rPr>
              <w:t>4,424,106.13</w:t>
            </w:r>
            <w:r>
              <w:rPr>
                <w:rFonts w:ascii="宋体"/>
                <w:sz w:val="18"/>
              </w:rPr>
            </w:r>
          </w:p>
        </w:tc>
        <w:tc>
          <w:tcPr>
            <w:tcW w:w="221" w:type="dxa"/>
            <w:tcBorders>
              <w:top w:val="nil" w:sz="6" w:space="0" w:color="auto"/>
              <w:left w:val="nil" w:sz="6" w:space="0" w:color="auto"/>
              <w:bottom w:val="nil" w:sz="6" w:space="0" w:color="auto"/>
              <w:right w:val="nil" w:sz="6" w:space="0" w:color="auto"/>
            </w:tcBorders>
          </w:tcPr>
          <w:p>
            <w:pPr/>
          </w:p>
        </w:tc>
        <w:tc>
          <w:tcPr>
            <w:tcW w:w="205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2"/>
              <w:jc w:val="right"/>
              <w:rPr>
                <w:rFonts w:ascii="宋体" w:hAnsi="宋体" w:cs="宋体" w:eastAsia="宋体" w:hint="default"/>
                <w:sz w:val="18"/>
                <w:szCs w:val="18"/>
              </w:rPr>
            </w:pPr>
            <w:r>
              <w:rPr>
                <w:rFonts w:ascii="宋体"/>
                <w:spacing w:val="-1"/>
                <w:sz w:val="18"/>
              </w:rPr>
              <w:t>2,776,904.09</w:t>
            </w:r>
          </w:p>
        </w:tc>
      </w:tr>
      <w:tr>
        <w:trPr>
          <w:trHeight w:val="541" w:hRule="exact"/>
        </w:trPr>
        <w:tc>
          <w:tcPr>
            <w:tcW w:w="3247"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7" w:right="105" w:firstLine="542"/>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其中：对联营企业和合营企业的</w:t>
            </w:r>
            <w:r>
              <w:rPr>
                <w:rFonts w:ascii="宋体" w:hAnsi="宋体" w:cs="宋体" w:eastAsia="宋体" w:hint="default"/>
                <w:sz w:val="18"/>
                <w:szCs w:val="18"/>
              </w:rPr>
              <w:t> 投资收益</w:t>
            </w:r>
          </w:p>
        </w:tc>
        <w:tc>
          <w:tcPr>
            <w:tcW w:w="238"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2177"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104"/>
              <w:jc w:val="right"/>
              <w:rPr>
                <w:rFonts w:ascii="宋体" w:hAnsi="宋体" w:cs="宋体" w:eastAsia="宋体" w:hint="default"/>
                <w:sz w:val="18"/>
                <w:szCs w:val="18"/>
              </w:rPr>
            </w:pPr>
            <w:r>
              <w:rPr>
                <w:rFonts w:ascii="宋体"/>
                <w:sz w:val="18"/>
              </w:rPr>
              <w:t>-</w:t>
            </w:r>
          </w:p>
        </w:tc>
        <w:tc>
          <w:tcPr>
            <w:tcW w:w="221" w:type="dxa"/>
            <w:tcBorders>
              <w:top w:val="nil" w:sz="6" w:space="0" w:color="auto"/>
              <w:left w:val="nil" w:sz="6" w:space="0" w:color="auto"/>
              <w:bottom w:val="nil" w:sz="6" w:space="0" w:color="auto"/>
              <w:right w:val="nil" w:sz="6" w:space="0" w:color="auto"/>
            </w:tcBorders>
          </w:tcPr>
          <w:p>
            <w:pPr/>
          </w:p>
        </w:tc>
        <w:tc>
          <w:tcPr>
            <w:tcW w:w="2059"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102"/>
              <w:jc w:val="right"/>
              <w:rPr>
                <w:rFonts w:ascii="宋体" w:hAnsi="宋体" w:cs="宋体" w:eastAsia="宋体" w:hint="default"/>
                <w:sz w:val="18"/>
                <w:szCs w:val="18"/>
              </w:rPr>
            </w:pPr>
            <w:r>
              <w:rPr>
                <w:rFonts w:ascii="宋体"/>
                <w:sz w:val="18"/>
              </w:rPr>
              <w:t>-</w:t>
            </w:r>
          </w:p>
        </w:tc>
      </w:tr>
      <w:tr>
        <w:trPr>
          <w:trHeight w:val="345" w:hRule="exact"/>
        </w:trPr>
        <w:tc>
          <w:tcPr>
            <w:tcW w:w="324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b/>
                <w:bCs/>
                <w:sz w:val="18"/>
                <w:szCs w:val="18"/>
              </w:rPr>
              <w:t>二、营业利润</w:t>
            </w:r>
            <w:r>
              <w:rPr>
                <w:rFonts w:ascii="宋体" w:hAnsi="宋体" w:cs="宋体" w:eastAsia="宋体" w:hint="default"/>
                <w:sz w:val="18"/>
                <w:szCs w:val="18"/>
              </w:rPr>
            </w:r>
          </w:p>
        </w:tc>
        <w:tc>
          <w:tcPr>
            <w:tcW w:w="238"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2177"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103"/>
              <w:jc w:val="right"/>
              <w:rPr>
                <w:rFonts w:ascii="宋体" w:hAnsi="宋体" w:cs="宋体" w:eastAsia="宋体" w:hint="default"/>
                <w:sz w:val="18"/>
                <w:szCs w:val="18"/>
              </w:rPr>
            </w:pPr>
            <w:r>
              <w:rPr>
                <w:rFonts w:ascii="宋体"/>
                <w:spacing w:val="-1"/>
                <w:sz w:val="18"/>
              </w:rPr>
              <w:t>18,950,657.19</w:t>
            </w:r>
            <w:r>
              <w:rPr>
                <w:rFonts w:ascii="宋体"/>
                <w:sz w:val="18"/>
              </w:rPr>
            </w:r>
          </w:p>
        </w:tc>
        <w:tc>
          <w:tcPr>
            <w:tcW w:w="221" w:type="dxa"/>
            <w:tcBorders>
              <w:top w:val="nil" w:sz="6" w:space="0" w:color="auto"/>
              <w:left w:val="nil" w:sz="6" w:space="0" w:color="auto"/>
              <w:bottom w:val="nil" w:sz="6" w:space="0" w:color="auto"/>
              <w:right w:val="nil" w:sz="6" w:space="0" w:color="auto"/>
            </w:tcBorders>
          </w:tcPr>
          <w:p>
            <w:pPr/>
          </w:p>
        </w:tc>
        <w:tc>
          <w:tcPr>
            <w:tcW w:w="2059"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16,304,678.97</w:t>
            </w:r>
            <w:r>
              <w:rPr>
                <w:rFonts w:ascii="宋体"/>
                <w:sz w:val="18"/>
              </w:rPr>
            </w:r>
          </w:p>
        </w:tc>
      </w:tr>
      <w:tr>
        <w:trPr>
          <w:trHeight w:val="373" w:hRule="exact"/>
        </w:trPr>
        <w:tc>
          <w:tcPr>
            <w:tcW w:w="324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470"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38"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2177" w:type="dxa"/>
            <w:tcBorders>
              <w:top w:val="single" w:sz="4" w:space="0" w:color="000000"/>
              <w:left w:val="nil" w:sz="6" w:space="0" w:color="auto"/>
              <w:bottom w:val="nil" w:sz="6" w:space="0" w:color="auto"/>
              <w:right w:val="nil" w:sz="6" w:space="0" w:color="auto"/>
            </w:tcBorders>
          </w:tcPr>
          <w:p>
            <w:pPr>
              <w:pStyle w:val="TableParagraph"/>
              <w:spacing w:line="240" w:lineRule="auto" w:before="39"/>
              <w:ind w:right="103"/>
              <w:jc w:val="right"/>
              <w:rPr>
                <w:rFonts w:ascii="宋体" w:hAnsi="宋体" w:cs="宋体" w:eastAsia="宋体" w:hint="default"/>
                <w:sz w:val="18"/>
                <w:szCs w:val="18"/>
              </w:rPr>
            </w:pPr>
            <w:r>
              <w:rPr>
                <w:rFonts w:ascii="宋体"/>
                <w:spacing w:val="-1"/>
                <w:sz w:val="18"/>
              </w:rPr>
              <w:t>7,386,670.98</w:t>
            </w:r>
            <w:r>
              <w:rPr>
                <w:rFonts w:ascii="宋体"/>
                <w:sz w:val="18"/>
              </w:rPr>
            </w:r>
          </w:p>
        </w:tc>
        <w:tc>
          <w:tcPr>
            <w:tcW w:w="221" w:type="dxa"/>
            <w:tcBorders>
              <w:top w:val="nil" w:sz="6" w:space="0" w:color="auto"/>
              <w:left w:val="nil" w:sz="6" w:space="0" w:color="auto"/>
              <w:bottom w:val="nil" w:sz="6" w:space="0" w:color="auto"/>
              <w:right w:val="nil" w:sz="6" w:space="0" w:color="auto"/>
            </w:tcBorders>
          </w:tcPr>
          <w:p>
            <w:pPr/>
          </w:p>
        </w:tc>
        <w:tc>
          <w:tcPr>
            <w:tcW w:w="2059" w:type="dxa"/>
            <w:tcBorders>
              <w:top w:val="single" w:sz="4" w:space="0" w:color="000000"/>
              <w:left w:val="nil" w:sz="6" w:space="0" w:color="auto"/>
              <w:bottom w:val="nil" w:sz="6" w:space="0" w:color="auto"/>
              <w:right w:val="nil" w:sz="6" w:space="0" w:color="auto"/>
            </w:tcBorders>
          </w:tcPr>
          <w:p>
            <w:pPr>
              <w:pStyle w:val="TableParagraph"/>
              <w:spacing w:line="240" w:lineRule="auto" w:before="39"/>
              <w:ind w:right="102"/>
              <w:jc w:val="right"/>
              <w:rPr>
                <w:rFonts w:ascii="宋体" w:hAnsi="宋体" w:cs="宋体" w:eastAsia="宋体" w:hint="default"/>
                <w:sz w:val="18"/>
                <w:szCs w:val="18"/>
              </w:rPr>
            </w:pPr>
            <w:r>
              <w:rPr>
                <w:rFonts w:ascii="宋体"/>
                <w:spacing w:val="-1"/>
                <w:sz w:val="18"/>
              </w:rPr>
              <w:t>9,795,438.46</w:t>
            </w:r>
          </w:p>
        </w:tc>
      </w:tr>
      <w:tr>
        <w:trPr>
          <w:trHeight w:val="368" w:hRule="exact"/>
        </w:trPr>
        <w:tc>
          <w:tcPr>
            <w:tcW w:w="3247" w:type="dxa"/>
            <w:tcBorders>
              <w:top w:val="nil" w:sz="6" w:space="0" w:color="auto"/>
              <w:left w:val="nil" w:sz="6" w:space="0" w:color="auto"/>
              <w:bottom w:val="nil" w:sz="6" w:space="0" w:color="auto"/>
              <w:right w:val="nil" w:sz="6" w:space="0" w:color="auto"/>
            </w:tcBorders>
          </w:tcPr>
          <w:p>
            <w:pPr>
              <w:pStyle w:val="TableParagraph"/>
              <w:spacing w:line="240" w:lineRule="auto" w:before="38"/>
              <w:ind w:left="470"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38"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217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8"/>
              <w:jc w:val="right"/>
              <w:rPr>
                <w:rFonts w:ascii="宋体" w:hAnsi="宋体" w:cs="宋体" w:eastAsia="宋体" w:hint="default"/>
                <w:sz w:val="18"/>
                <w:szCs w:val="18"/>
              </w:rPr>
            </w:pPr>
            <w:r>
              <w:rPr>
                <w:rFonts w:ascii="宋体"/>
                <w:spacing w:val="-1"/>
                <w:sz w:val="18"/>
              </w:rPr>
              <w:t>6,876.88</w:t>
            </w:r>
            <w:r>
              <w:rPr>
                <w:rFonts w:ascii="宋体"/>
                <w:sz w:val="18"/>
              </w:rPr>
            </w:r>
          </w:p>
        </w:tc>
        <w:tc>
          <w:tcPr>
            <w:tcW w:w="221" w:type="dxa"/>
            <w:tcBorders>
              <w:top w:val="nil" w:sz="6" w:space="0" w:color="auto"/>
              <w:left w:val="nil" w:sz="6" w:space="0" w:color="auto"/>
              <w:bottom w:val="nil" w:sz="6" w:space="0" w:color="auto"/>
              <w:right w:val="nil" w:sz="6" w:space="0" w:color="auto"/>
            </w:tcBorders>
          </w:tcPr>
          <w:p>
            <w:pPr/>
          </w:p>
        </w:tc>
        <w:tc>
          <w:tcPr>
            <w:tcW w:w="2059"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2"/>
              <w:jc w:val="right"/>
              <w:rPr>
                <w:rFonts w:ascii="宋体" w:hAnsi="宋体" w:cs="宋体" w:eastAsia="宋体" w:hint="default"/>
                <w:sz w:val="18"/>
                <w:szCs w:val="18"/>
              </w:rPr>
            </w:pPr>
            <w:r>
              <w:rPr>
                <w:rFonts w:ascii="宋体"/>
                <w:spacing w:val="-1"/>
                <w:sz w:val="18"/>
              </w:rPr>
              <w:t>223,736.70</w:t>
            </w:r>
          </w:p>
        </w:tc>
      </w:tr>
      <w:tr>
        <w:trPr>
          <w:trHeight w:val="374" w:hRule="exact"/>
        </w:trPr>
        <w:tc>
          <w:tcPr>
            <w:tcW w:w="3247" w:type="dxa"/>
            <w:tcBorders>
              <w:top w:val="nil" w:sz="6" w:space="0" w:color="auto"/>
              <w:left w:val="nil" w:sz="6" w:space="0" w:color="auto"/>
              <w:bottom w:val="nil" w:sz="6" w:space="0" w:color="auto"/>
              <w:right w:val="nil" w:sz="6" w:space="0" w:color="auto"/>
            </w:tcBorders>
          </w:tcPr>
          <w:p>
            <w:pPr>
              <w:pStyle w:val="TableParagraph"/>
              <w:spacing w:line="240" w:lineRule="auto" w:before="39"/>
              <w:ind w:left="830"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238"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217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3"/>
              <w:jc w:val="right"/>
              <w:rPr>
                <w:rFonts w:ascii="宋体" w:hAnsi="宋体" w:cs="宋体" w:eastAsia="宋体" w:hint="default"/>
                <w:sz w:val="18"/>
                <w:szCs w:val="18"/>
              </w:rPr>
            </w:pPr>
            <w:r>
              <w:rPr>
                <w:rFonts w:ascii="宋体"/>
                <w:spacing w:val="-1"/>
                <w:sz w:val="18"/>
              </w:rPr>
              <w:t>6,876.88</w:t>
            </w:r>
            <w:r>
              <w:rPr>
                <w:rFonts w:ascii="宋体"/>
                <w:sz w:val="18"/>
              </w:rPr>
            </w:r>
          </w:p>
        </w:tc>
        <w:tc>
          <w:tcPr>
            <w:tcW w:w="221" w:type="dxa"/>
            <w:tcBorders>
              <w:top w:val="nil" w:sz="6" w:space="0" w:color="auto"/>
              <w:left w:val="nil" w:sz="6" w:space="0" w:color="auto"/>
              <w:bottom w:val="nil" w:sz="6" w:space="0" w:color="auto"/>
              <w:right w:val="nil" w:sz="6" w:space="0" w:color="auto"/>
            </w:tcBorders>
          </w:tcPr>
          <w:p>
            <w:pPr/>
          </w:p>
        </w:tc>
        <w:tc>
          <w:tcPr>
            <w:tcW w:w="205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2"/>
              <w:jc w:val="right"/>
              <w:rPr>
                <w:rFonts w:ascii="宋体" w:hAnsi="宋体" w:cs="宋体" w:eastAsia="宋体" w:hint="default"/>
                <w:sz w:val="18"/>
                <w:szCs w:val="18"/>
              </w:rPr>
            </w:pPr>
            <w:r>
              <w:rPr>
                <w:rFonts w:ascii="宋体"/>
                <w:spacing w:val="-1"/>
                <w:sz w:val="18"/>
              </w:rPr>
              <w:t>3,156.56</w:t>
            </w:r>
          </w:p>
        </w:tc>
      </w:tr>
      <w:tr>
        <w:trPr>
          <w:trHeight w:val="381" w:hRule="exact"/>
        </w:trPr>
        <w:tc>
          <w:tcPr>
            <w:tcW w:w="324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7" w:right="0"/>
              <w:jc w:val="left"/>
              <w:rPr>
                <w:rFonts w:ascii="宋体" w:hAnsi="宋体" w:cs="宋体" w:eastAsia="宋体" w:hint="default"/>
                <w:sz w:val="18"/>
                <w:szCs w:val="18"/>
              </w:rPr>
            </w:pPr>
            <w:r>
              <w:rPr>
                <w:rFonts w:ascii="宋体" w:hAnsi="宋体" w:cs="宋体" w:eastAsia="宋体" w:hint="default"/>
                <w:b/>
                <w:bCs/>
                <w:sz w:val="18"/>
                <w:szCs w:val="18"/>
              </w:rPr>
              <w:t>三、利润总额</w:t>
            </w:r>
            <w:r>
              <w:rPr>
                <w:rFonts w:ascii="宋体" w:hAnsi="宋体" w:cs="宋体" w:eastAsia="宋体" w:hint="default"/>
                <w:sz w:val="18"/>
                <w:szCs w:val="18"/>
              </w:rPr>
            </w:r>
          </w:p>
        </w:tc>
        <w:tc>
          <w:tcPr>
            <w:tcW w:w="238"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2177" w:type="dxa"/>
            <w:tcBorders>
              <w:top w:val="nil" w:sz="6" w:space="0" w:color="auto"/>
              <w:left w:val="nil" w:sz="6" w:space="0" w:color="auto"/>
              <w:bottom w:val="single" w:sz="4" w:space="0" w:color="000000"/>
              <w:right w:val="nil" w:sz="6" w:space="0" w:color="auto"/>
            </w:tcBorders>
          </w:tcPr>
          <w:p>
            <w:pPr>
              <w:pStyle w:val="TableParagraph"/>
              <w:spacing w:line="20" w:lineRule="exact"/>
              <w:ind w:right="-56"/>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109.1pt;height:.5pt;mso-position-horizontal-relative:char;mso-position-vertical-relative:line" coordorigin="0,0" coordsize="2182,10">
                  <v:shape style="position:absolute;left:0;top:0;width:2170;height:10" type="#_x0000_t75" stroked="false">
                    <v:imagedata r:id="rId59" o:title=""/>
                  </v:shape>
                  <v:shape style="position:absolute;left:2165;top:0;width:17;height:10" type="#_x0000_t75" stroked="false">
                    <v:imagedata r:id="rId62" o:title=""/>
                  </v:shape>
                </v:group>
              </w:pict>
            </w:r>
            <w:r>
              <w:rPr>
                <w:rFonts w:ascii="Times New Roman" w:hAnsi="Times New Roman" w:cs="Times New Roman" w:eastAsia="Times New Roman" w:hint="default"/>
                <w:sz w:val="2"/>
                <w:szCs w:val="2"/>
              </w:rPr>
            </w:r>
          </w:p>
          <w:p>
            <w:pPr>
              <w:pStyle w:val="TableParagraph"/>
              <w:spacing w:line="240" w:lineRule="auto" w:before="26"/>
              <w:ind w:right="103"/>
              <w:jc w:val="right"/>
              <w:rPr>
                <w:rFonts w:ascii="宋体" w:hAnsi="宋体" w:cs="宋体" w:eastAsia="宋体" w:hint="default"/>
                <w:sz w:val="18"/>
                <w:szCs w:val="18"/>
              </w:rPr>
            </w:pPr>
            <w:r>
              <w:rPr>
                <w:rFonts w:ascii="宋体"/>
                <w:spacing w:val="-1"/>
                <w:sz w:val="18"/>
              </w:rPr>
              <w:t>26,330,451.29</w:t>
            </w:r>
            <w:r>
              <w:rPr>
                <w:rFonts w:ascii="宋体"/>
                <w:sz w:val="18"/>
              </w:rPr>
            </w:r>
          </w:p>
        </w:tc>
        <w:tc>
          <w:tcPr>
            <w:tcW w:w="221" w:type="dxa"/>
            <w:tcBorders>
              <w:top w:val="nil" w:sz="6" w:space="0" w:color="auto"/>
              <w:left w:val="nil" w:sz="6" w:space="0" w:color="auto"/>
              <w:bottom w:val="nil" w:sz="6" w:space="0" w:color="auto"/>
              <w:right w:val="nil" w:sz="6" w:space="0" w:color="auto"/>
            </w:tcBorders>
          </w:tcPr>
          <w:p>
            <w:pPr/>
          </w:p>
        </w:tc>
        <w:tc>
          <w:tcPr>
            <w:tcW w:w="2059" w:type="dxa"/>
            <w:tcBorders>
              <w:top w:val="nil" w:sz="6" w:space="0" w:color="auto"/>
              <w:left w:val="nil" w:sz="6" w:space="0" w:color="auto"/>
              <w:bottom w:val="single" w:sz="4" w:space="0" w:color="000000"/>
              <w:right w:val="nil" w:sz="6" w:space="0" w:color="auto"/>
            </w:tcBorders>
          </w:tcPr>
          <w:p>
            <w:pPr>
              <w:pStyle w:val="TableParagraph"/>
              <w:spacing w:line="20" w:lineRule="exact"/>
              <w:ind w:right="-45"/>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1310652" cy="6096"/>
                  <wp:effectExtent l="0" t="0" r="0" b="0"/>
                  <wp:docPr id="35" name="image41.png" descr=""/>
                  <wp:cNvGraphicFramePr>
                    <a:graphicFrameLocks noChangeAspect="1"/>
                  </wp:cNvGraphicFramePr>
                  <a:graphic>
                    <a:graphicData uri="http://schemas.openxmlformats.org/drawingml/2006/picture">
                      <pic:pic>
                        <pic:nvPicPr>
                          <pic:cNvPr id="36" name="image41.png"/>
                          <pic:cNvPicPr/>
                        </pic:nvPicPr>
                        <pic:blipFill>
                          <a:blip r:embed="rId63" cstate="print"/>
                          <a:stretch>
                            <a:fillRect/>
                          </a:stretch>
                        </pic:blipFill>
                        <pic:spPr>
                          <a:xfrm>
                            <a:off x="0" y="0"/>
                            <a:ext cx="1310652" cy="6096"/>
                          </a:xfrm>
                          <a:prstGeom prst="rect">
                            <a:avLst/>
                          </a:prstGeom>
                        </pic:spPr>
                      </pic:pic>
                    </a:graphicData>
                  </a:graphic>
                </wp:inline>
              </w:drawing>
            </w:r>
            <w:r>
              <w:rPr>
                <w:rFonts w:ascii="Times New Roman" w:hAnsi="Times New Roman" w:cs="Times New Roman" w:eastAsia="Times New Roman" w:hint="default"/>
                <w:sz w:val="2"/>
                <w:szCs w:val="2"/>
              </w:rPr>
            </w:r>
          </w:p>
          <w:p>
            <w:pPr>
              <w:pStyle w:val="TableParagraph"/>
              <w:spacing w:line="240" w:lineRule="auto" w:before="26"/>
              <w:ind w:right="101"/>
              <w:jc w:val="right"/>
              <w:rPr>
                <w:rFonts w:ascii="宋体" w:hAnsi="宋体" w:cs="宋体" w:eastAsia="宋体" w:hint="default"/>
                <w:sz w:val="18"/>
                <w:szCs w:val="18"/>
              </w:rPr>
            </w:pPr>
            <w:r>
              <w:rPr>
                <w:rFonts w:ascii="宋体"/>
                <w:spacing w:val="-1"/>
                <w:sz w:val="18"/>
              </w:rPr>
              <w:t>25,876,380.73</w:t>
            </w:r>
            <w:r>
              <w:rPr>
                <w:rFonts w:ascii="宋体"/>
                <w:sz w:val="18"/>
              </w:rPr>
            </w:r>
          </w:p>
        </w:tc>
      </w:tr>
      <w:tr>
        <w:trPr>
          <w:trHeight w:val="377" w:hRule="exact"/>
        </w:trPr>
        <w:tc>
          <w:tcPr>
            <w:tcW w:w="3247" w:type="dxa"/>
            <w:tcBorders>
              <w:top w:val="nil" w:sz="6" w:space="0" w:color="auto"/>
              <w:left w:val="nil" w:sz="6" w:space="0" w:color="auto"/>
              <w:bottom w:val="nil" w:sz="6" w:space="0" w:color="auto"/>
              <w:right w:val="nil" w:sz="6" w:space="0" w:color="auto"/>
            </w:tcBorders>
          </w:tcPr>
          <w:p>
            <w:pPr>
              <w:pStyle w:val="TableParagraph"/>
              <w:spacing w:line="240" w:lineRule="auto" w:before="41"/>
              <w:ind w:left="470"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38"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2177"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right="103"/>
              <w:jc w:val="right"/>
              <w:rPr>
                <w:rFonts w:ascii="宋体" w:hAnsi="宋体" w:cs="宋体" w:eastAsia="宋体" w:hint="default"/>
                <w:sz w:val="18"/>
                <w:szCs w:val="18"/>
              </w:rPr>
            </w:pPr>
            <w:r>
              <w:rPr>
                <w:rFonts w:ascii="宋体"/>
                <w:spacing w:val="-1"/>
                <w:sz w:val="18"/>
              </w:rPr>
              <w:t>3,422,856.32</w:t>
            </w:r>
            <w:r>
              <w:rPr>
                <w:rFonts w:ascii="宋体"/>
                <w:sz w:val="18"/>
              </w:rPr>
            </w:r>
          </w:p>
        </w:tc>
        <w:tc>
          <w:tcPr>
            <w:tcW w:w="221" w:type="dxa"/>
            <w:tcBorders>
              <w:top w:val="nil" w:sz="6" w:space="0" w:color="auto"/>
              <w:left w:val="nil" w:sz="6" w:space="0" w:color="auto"/>
              <w:bottom w:val="nil" w:sz="6" w:space="0" w:color="auto"/>
              <w:right w:val="nil" w:sz="6" w:space="0" w:color="auto"/>
            </w:tcBorders>
          </w:tcPr>
          <w:p>
            <w:pPr/>
          </w:p>
        </w:tc>
        <w:tc>
          <w:tcPr>
            <w:tcW w:w="2059"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right="102"/>
              <w:jc w:val="right"/>
              <w:rPr>
                <w:rFonts w:ascii="宋体" w:hAnsi="宋体" w:cs="宋体" w:eastAsia="宋体" w:hint="default"/>
                <w:sz w:val="18"/>
                <w:szCs w:val="18"/>
              </w:rPr>
            </w:pPr>
            <w:r>
              <w:rPr>
                <w:rFonts w:ascii="宋体"/>
                <w:spacing w:val="-1"/>
                <w:sz w:val="18"/>
              </w:rPr>
              <w:t>3,499,499.89</w:t>
            </w:r>
          </w:p>
        </w:tc>
      </w:tr>
      <w:tr>
        <w:trPr>
          <w:trHeight w:val="379" w:hRule="exact"/>
        </w:trPr>
        <w:tc>
          <w:tcPr>
            <w:tcW w:w="324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7" w:right="0"/>
              <w:jc w:val="left"/>
              <w:rPr>
                <w:rFonts w:ascii="宋体" w:hAnsi="宋体" w:cs="宋体" w:eastAsia="宋体" w:hint="default"/>
                <w:sz w:val="18"/>
                <w:szCs w:val="18"/>
              </w:rPr>
            </w:pPr>
            <w:r>
              <w:rPr>
                <w:rFonts w:ascii="宋体" w:hAnsi="宋体" w:cs="宋体" w:eastAsia="宋体" w:hint="default"/>
                <w:b/>
                <w:bCs/>
                <w:sz w:val="18"/>
                <w:szCs w:val="18"/>
              </w:rPr>
              <w:t>四、净利润</w:t>
            </w:r>
            <w:r>
              <w:rPr>
                <w:rFonts w:ascii="宋体" w:hAnsi="宋体" w:cs="宋体" w:eastAsia="宋体" w:hint="default"/>
                <w:sz w:val="18"/>
                <w:szCs w:val="18"/>
              </w:rPr>
            </w:r>
          </w:p>
        </w:tc>
        <w:tc>
          <w:tcPr>
            <w:tcW w:w="238"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2177" w:type="dxa"/>
            <w:tcBorders>
              <w:top w:val="nil" w:sz="6" w:space="0" w:color="auto"/>
              <w:left w:val="nil" w:sz="6" w:space="0" w:color="auto"/>
              <w:bottom w:val="single" w:sz="4" w:space="0" w:color="000000"/>
              <w:right w:val="nil" w:sz="6" w:space="0" w:color="auto"/>
            </w:tcBorders>
          </w:tcPr>
          <w:p>
            <w:pPr>
              <w:pStyle w:val="TableParagraph"/>
              <w:spacing w:line="20" w:lineRule="exact"/>
              <w:ind w:right="-56"/>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109.1pt;height:.5pt;mso-position-horizontal-relative:char;mso-position-vertical-relative:line" coordorigin="0,0" coordsize="2182,10">
                  <v:shape style="position:absolute;left:0;top:0;width:2170;height:10" type="#_x0000_t75" stroked="false">
                    <v:imagedata r:id="rId59" o:title=""/>
                  </v:shape>
                  <v:shape style="position:absolute;left:2165;top:0;width:17;height:10" type="#_x0000_t75" stroked="false">
                    <v:imagedata r:id="rId60" o:title=""/>
                  </v:shape>
                </v:group>
              </w:pict>
            </w:r>
            <w:r>
              <w:rPr>
                <w:rFonts w:ascii="Times New Roman" w:hAnsi="Times New Roman" w:cs="Times New Roman" w:eastAsia="Times New Roman" w:hint="default"/>
                <w:sz w:val="2"/>
                <w:szCs w:val="2"/>
              </w:rPr>
            </w:r>
          </w:p>
          <w:p>
            <w:pPr>
              <w:pStyle w:val="TableParagraph"/>
              <w:spacing w:line="240" w:lineRule="auto" w:before="29"/>
              <w:ind w:right="103"/>
              <w:jc w:val="right"/>
              <w:rPr>
                <w:rFonts w:ascii="宋体" w:hAnsi="宋体" w:cs="宋体" w:eastAsia="宋体" w:hint="default"/>
                <w:sz w:val="18"/>
                <w:szCs w:val="18"/>
              </w:rPr>
            </w:pPr>
            <w:r>
              <w:rPr>
                <w:rFonts w:ascii="宋体"/>
                <w:spacing w:val="-1"/>
                <w:sz w:val="18"/>
              </w:rPr>
              <w:t>22,907,594.97</w:t>
            </w:r>
            <w:r>
              <w:rPr>
                <w:rFonts w:ascii="宋体"/>
                <w:sz w:val="18"/>
              </w:rPr>
            </w:r>
          </w:p>
        </w:tc>
        <w:tc>
          <w:tcPr>
            <w:tcW w:w="221" w:type="dxa"/>
            <w:tcBorders>
              <w:top w:val="nil" w:sz="6" w:space="0" w:color="auto"/>
              <w:left w:val="nil" w:sz="6" w:space="0" w:color="auto"/>
              <w:bottom w:val="nil" w:sz="6" w:space="0" w:color="auto"/>
              <w:right w:val="nil" w:sz="6" w:space="0" w:color="auto"/>
            </w:tcBorders>
          </w:tcPr>
          <w:p>
            <w:pPr/>
          </w:p>
        </w:tc>
        <w:tc>
          <w:tcPr>
            <w:tcW w:w="2059" w:type="dxa"/>
            <w:tcBorders>
              <w:top w:val="nil" w:sz="6" w:space="0" w:color="auto"/>
              <w:left w:val="nil" w:sz="6" w:space="0" w:color="auto"/>
              <w:bottom w:val="single" w:sz="4" w:space="0" w:color="000000"/>
              <w:right w:val="nil" w:sz="6" w:space="0" w:color="auto"/>
            </w:tcBorders>
          </w:tcPr>
          <w:p>
            <w:pPr>
              <w:pStyle w:val="TableParagraph"/>
              <w:spacing w:line="20" w:lineRule="exact"/>
              <w:ind w:right="-45"/>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1310652" cy="6096"/>
                  <wp:effectExtent l="0" t="0" r="0" b="0"/>
                  <wp:docPr id="37" name="image39.png" descr=""/>
                  <wp:cNvGraphicFramePr>
                    <a:graphicFrameLocks noChangeAspect="1"/>
                  </wp:cNvGraphicFramePr>
                  <a:graphic>
                    <a:graphicData uri="http://schemas.openxmlformats.org/drawingml/2006/picture">
                      <pic:pic>
                        <pic:nvPicPr>
                          <pic:cNvPr id="38" name="image39.png"/>
                          <pic:cNvPicPr/>
                        </pic:nvPicPr>
                        <pic:blipFill>
                          <a:blip r:embed="rId61" cstate="print"/>
                          <a:stretch>
                            <a:fillRect/>
                          </a:stretch>
                        </pic:blipFill>
                        <pic:spPr>
                          <a:xfrm>
                            <a:off x="0" y="0"/>
                            <a:ext cx="1310652" cy="6096"/>
                          </a:xfrm>
                          <a:prstGeom prst="rect">
                            <a:avLst/>
                          </a:prstGeom>
                        </pic:spPr>
                      </pic:pic>
                    </a:graphicData>
                  </a:graphic>
                </wp:inline>
              </w:drawing>
            </w:r>
            <w:r>
              <w:rPr>
                <w:rFonts w:ascii="Times New Roman" w:hAnsi="Times New Roman" w:cs="Times New Roman" w:eastAsia="Times New Roman" w:hint="default"/>
                <w:sz w:val="2"/>
                <w:szCs w:val="2"/>
              </w:rPr>
            </w:r>
          </w:p>
          <w:p>
            <w:pPr>
              <w:pStyle w:val="TableParagraph"/>
              <w:spacing w:line="240" w:lineRule="auto" w:before="29"/>
              <w:ind w:right="101"/>
              <w:jc w:val="right"/>
              <w:rPr>
                <w:rFonts w:ascii="宋体" w:hAnsi="宋体" w:cs="宋体" w:eastAsia="宋体" w:hint="default"/>
                <w:sz w:val="18"/>
                <w:szCs w:val="18"/>
              </w:rPr>
            </w:pPr>
            <w:r>
              <w:rPr>
                <w:rFonts w:ascii="宋体"/>
                <w:spacing w:val="-1"/>
                <w:sz w:val="18"/>
              </w:rPr>
              <w:t>22,376,880.84</w:t>
            </w:r>
            <w:r>
              <w:rPr>
                <w:rFonts w:ascii="宋体"/>
                <w:sz w:val="18"/>
              </w:rPr>
            </w:r>
          </w:p>
        </w:tc>
      </w:tr>
      <w:tr>
        <w:trPr>
          <w:trHeight w:val="396" w:hRule="exact"/>
        </w:trPr>
        <w:tc>
          <w:tcPr>
            <w:tcW w:w="324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7" w:right="0"/>
              <w:jc w:val="left"/>
              <w:rPr>
                <w:rFonts w:ascii="宋体" w:hAnsi="宋体" w:cs="宋体" w:eastAsia="宋体" w:hint="default"/>
                <w:sz w:val="18"/>
                <w:szCs w:val="18"/>
              </w:rPr>
            </w:pPr>
            <w:r>
              <w:rPr>
                <w:rFonts w:ascii="宋体" w:hAnsi="宋体" w:cs="宋体" w:eastAsia="宋体" w:hint="default"/>
                <w:b/>
                <w:bCs/>
                <w:sz w:val="18"/>
                <w:szCs w:val="18"/>
              </w:rPr>
              <w:t>五、综合收益总额</w:t>
            </w:r>
            <w:r>
              <w:rPr>
                <w:rFonts w:ascii="宋体" w:hAnsi="宋体" w:cs="宋体" w:eastAsia="宋体" w:hint="default"/>
                <w:sz w:val="18"/>
                <w:szCs w:val="18"/>
              </w:rPr>
            </w:r>
          </w:p>
        </w:tc>
        <w:tc>
          <w:tcPr>
            <w:tcW w:w="238"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2177" w:type="dxa"/>
            <w:tcBorders>
              <w:top w:val="single" w:sz="4" w:space="0" w:color="000000"/>
              <w:left w:val="nil" w:sz="6" w:space="0" w:color="auto"/>
              <w:bottom w:val="nil" w:sz="6" w:space="0" w:color="auto"/>
              <w:right w:val="nil" w:sz="6" w:space="0" w:color="auto"/>
            </w:tcBorders>
          </w:tcPr>
          <w:p>
            <w:pPr>
              <w:pStyle w:val="TableParagraph"/>
              <w:spacing w:line="240" w:lineRule="auto" w:before="39"/>
              <w:ind w:right="103"/>
              <w:jc w:val="right"/>
              <w:rPr>
                <w:rFonts w:ascii="宋体" w:hAnsi="宋体" w:cs="宋体" w:eastAsia="宋体" w:hint="default"/>
                <w:sz w:val="18"/>
                <w:szCs w:val="18"/>
              </w:rPr>
            </w:pPr>
            <w:r>
              <w:rPr>
                <w:rFonts w:ascii="宋体"/>
                <w:spacing w:val="-1"/>
                <w:sz w:val="18"/>
              </w:rPr>
              <w:t>22,907,594.97</w:t>
            </w:r>
            <w:r>
              <w:rPr>
                <w:rFonts w:ascii="宋体"/>
                <w:sz w:val="18"/>
              </w:rPr>
            </w:r>
          </w:p>
        </w:tc>
        <w:tc>
          <w:tcPr>
            <w:tcW w:w="221" w:type="dxa"/>
            <w:tcBorders>
              <w:top w:val="nil" w:sz="6" w:space="0" w:color="auto"/>
              <w:left w:val="nil" w:sz="6" w:space="0" w:color="auto"/>
              <w:bottom w:val="nil" w:sz="6" w:space="0" w:color="auto"/>
              <w:right w:val="nil" w:sz="6" w:space="0" w:color="auto"/>
            </w:tcBorders>
          </w:tcPr>
          <w:p>
            <w:pPr/>
          </w:p>
        </w:tc>
        <w:tc>
          <w:tcPr>
            <w:tcW w:w="2059" w:type="dxa"/>
            <w:tcBorders>
              <w:top w:val="single" w:sz="4" w:space="0" w:color="000000"/>
              <w:left w:val="nil" w:sz="6" w:space="0" w:color="auto"/>
              <w:bottom w:val="single" w:sz="17" w:space="0" w:color="000000"/>
              <w:right w:val="nil" w:sz="6" w:space="0" w:color="auto"/>
            </w:tcBorders>
          </w:tcPr>
          <w:p>
            <w:pPr>
              <w:pStyle w:val="TableParagraph"/>
              <w:spacing w:line="240" w:lineRule="auto" w:before="39"/>
              <w:ind w:right="101"/>
              <w:jc w:val="right"/>
              <w:rPr>
                <w:rFonts w:ascii="宋体" w:hAnsi="宋体" w:cs="宋体" w:eastAsia="宋体" w:hint="default"/>
                <w:sz w:val="18"/>
                <w:szCs w:val="18"/>
              </w:rPr>
            </w:pPr>
            <w:r>
              <w:rPr>
                <w:rFonts w:ascii="宋体"/>
                <w:spacing w:val="-1"/>
                <w:sz w:val="18"/>
              </w:rPr>
              <w:t>22,376,880.84</w:t>
            </w:r>
            <w:r>
              <w:rPr>
                <w:rFonts w:ascii="宋体"/>
                <w:sz w:val="18"/>
              </w:rPr>
            </w:r>
          </w:p>
        </w:tc>
      </w:tr>
      <w:tr>
        <w:trPr>
          <w:trHeight w:val="398" w:hRule="exact"/>
        </w:trPr>
        <w:tc>
          <w:tcPr>
            <w:tcW w:w="3247" w:type="dxa"/>
            <w:tcBorders>
              <w:top w:val="nil" w:sz="6" w:space="0" w:color="auto"/>
              <w:left w:val="nil" w:sz="6" w:space="0" w:color="auto"/>
              <w:bottom w:val="single" w:sz="4" w:space="0" w:color="000000"/>
              <w:right w:val="nil" w:sz="6" w:space="0" w:color="auto"/>
            </w:tcBorders>
          </w:tcPr>
          <w:p>
            <w:pPr/>
          </w:p>
        </w:tc>
        <w:tc>
          <w:tcPr>
            <w:tcW w:w="238" w:type="dxa"/>
            <w:tcBorders>
              <w:top w:val="nil" w:sz="6" w:space="0" w:color="auto"/>
              <w:left w:val="nil" w:sz="6" w:space="0" w:color="auto"/>
              <w:bottom w:val="single" w:sz="4" w:space="0" w:color="000000"/>
              <w:right w:val="nil" w:sz="6" w:space="0" w:color="auto"/>
            </w:tcBorders>
          </w:tcPr>
          <w:p>
            <w:pPr/>
          </w:p>
        </w:tc>
        <w:tc>
          <w:tcPr>
            <w:tcW w:w="1531" w:type="dxa"/>
            <w:tcBorders>
              <w:top w:val="nil" w:sz="6" w:space="0" w:color="auto"/>
              <w:left w:val="nil" w:sz="6" w:space="0" w:color="auto"/>
              <w:bottom w:val="single" w:sz="4" w:space="0" w:color="000000"/>
              <w:right w:val="nil" w:sz="6" w:space="0" w:color="auto"/>
            </w:tcBorders>
          </w:tcPr>
          <w:p>
            <w:pPr/>
          </w:p>
        </w:tc>
        <w:tc>
          <w:tcPr>
            <w:tcW w:w="235" w:type="dxa"/>
            <w:tcBorders>
              <w:top w:val="nil" w:sz="6" w:space="0" w:color="auto"/>
              <w:left w:val="nil" w:sz="6" w:space="0" w:color="auto"/>
              <w:bottom w:val="single" w:sz="4" w:space="0" w:color="000000"/>
              <w:right w:val="nil" w:sz="6" w:space="0" w:color="auto"/>
            </w:tcBorders>
          </w:tcPr>
          <w:p>
            <w:pPr/>
          </w:p>
        </w:tc>
        <w:tc>
          <w:tcPr>
            <w:tcW w:w="2177" w:type="dxa"/>
            <w:tcBorders>
              <w:top w:val="nil" w:sz="6" w:space="0" w:color="auto"/>
              <w:left w:val="nil" w:sz="6" w:space="0" w:color="auto"/>
              <w:bottom w:val="single" w:sz="4" w:space="0" w:color="000000"/>
              <w:right w:val="nil" w:sz="6" w:space="0" w:color="auto"/>
            </w:tcBorders>
          </w:tcPr>
          <w:p>
            <w:pPr/>
          </w:p>
        </w:tc>
        <w:tc>
          <w:tcPr>
            <w:tcW w:w="221" w:type="dxa"/>
            <w:tcBorders>
              <w:top w:val="nil" w:sz="6" w:space="0" w:color="auto"/>
              <w:left w:val="nil" w:sz="6" w:space="0" w:color="auto"/>
              <w:bottom w:val="single" w:sz="4" w:space="0" w:color="000000"/>
              <w:right w:val="nil" w:sz="6" w:space="0" w:color="auto"/>
            </w:tcBorders>
          </w:tcPr>
          <w:p>
            <w:pPr/>
          </w:p>
        </w:tc>
        <w:tc>
          <w:tcPr>
            <w:tcW w:w="2059" w:type="dxa"/>
            <w:tcBorders>
              <w:top w:val="single" w:sz="17" w:space="0" w:color="000000"/>
              <w:left w:val="nil" w:sz="6" w:space="0" w:color="auto"/>
              <w:bottom w:val="single" w:sz="4" w:space="0" w:color="000000"/>
              <w:right w:val="nil" w:sz="6" w:space="0" w:color="auto"/>
            </w:tcBorders>
          </w:tcPr>
          <w:p>
            <w:pPr/>
          </w:p>
        </w:tc>
      </w:tr>
      <w:tr>
        <w:trPr>
          <w:trHeight w:val="925" w:hRule="exact"/>
        </w:trPr>
        <w:tc>
          <w:tcPr>
            <w:tcW w:w="9708" w:type="dxa"/>
            <w:gridSpan w:val="7"/>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tabs>
                <w:tab w:pos="3081" w:val="left" w:leader="none"/>
                <w:tab w:pos="7044" w:val="left" w:leader="none"/>
              </w:tabs>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公司负责人：</w:t>
            </w:r>
            <w:r>
              <w:rPr>
                <w:rFonts w:ascii="宋体" w:hAnsi="宋体" w:cs="宋体" w:eastAsia="宋体" w:hint="default"/>
                <w:spacing w:val="1"/>
                <w:sz w:val="18"/>
                <w:szCs w:val="18"/>
              </w:rPr>
              <w:t> </w:t>
            </w:r>
            <w:r>
              <w:rPr>
                <w:rFonts w:ascii="宋体" w:hAnsi="宋体" w:cs="宋体" w:eastAsia="宋体" w:hint="default"/>
                <w:sz w:val="18"/>
                <w:szCs w:val="18"/>
              </w:rPr>
              <w:t>黄元忠</w:t>
              <w:tab/>
              <w:t>主管会计工作负责人：</w:t>
            </w:r>
            <w:r>
              <w:rPr>
                <w:rFonts w:ascii="宋体" w:hAnsi="宋体" w:cs="宋体" w:eastAsia="宋体" w:hint="default"/>
                <w:spacing w:val="89"/>
                <w:sz w:val="18"/>
                <w:szCs w:val="18"/>
              </w:rPr>
              <w:t> </w:t>
            </w:r>
            <w:r>
              <w:rPr>
                <w:rFonts w:ascii="宋体" w:hAnsi="宋体" w:cs="宋体" w:eastAsia="宋体" w:hint="default"/>
                <w:sz w:val="18"/>
                <w:szCs w:val="18"/>
              </w:rPr>
              <w:t>孙晓玲</w:t>
              <w:tab/>
              <w:t>会计机构负责人：全丽</w:t>
            </w:r>
          </w:p>
        </w:tc>
      </w:tr>
      <w:tr>
        <w:trPr>
          <w:trHeight w:val="458" w:hRule="exact"/>
        </w:trPr>
        <w:tc>
          <w:tcPr>
            <w:tcW w:w="324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（所附附注是合并财务报表的组成部分</w:t>
            </w:r>
          </w:p>
        </w:tc>
        <w:tc>
          <w:tcPr>
            <w:tcW w:w="23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80" w:right="0"/>
              <w:jc w:val="left"/>
              <w:rPr>
                <w:rFonts w:ascii="宋体" w:hAnsi="宋体" w:cs="宋体" w:eastAsia="宋体" w:hint="default"/>
                <w:sz w:val="18"/>
                <w:szCs w:val="18"/>
              </w:rPr>
            </w:pPr>
            <w:r>
              <w:rPr>
                <w:rFonts w:ascii="宋体" w:hAnsi="宋体" w:cs="宋体" w:eastAsia="宋体" w:hint="default"/>
                <w:sz w:val="18"/>
                <w:szCs w:val="18"/>
              </w:rPr>
              <w:t>）</w:t>
            </w:r>
          </w:p>
        </w:tc>
        <w:tc>
          <w:tcPr>
            <w:tcW w:w="1531"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2177" w:type="dxa"/>
            <w:tcBorders>
              <w:top w:val="nil" w:sz="6" w:space="0" w:color="auto"/>
              <w:left w:val="nil" w:sz="6" w:space="0" w:color="auto"/>
              <w:bottom w:val="nil" w:sz="6" w:space="0" w:color="auto"/>
              <w:right w:val="nil" w:sz="6" w:space="0" w:color="auto"/>
            </w:tcBorders>
          </w:tcPr>
          <w:p>
            <w:pPr/>
          </w:p>
        </w:tc>
        <w:tc>
          <w:tcPr>
            <w:tcW w:w="221" w:type="dxa"/>
            <w:tcBorders>
              <w:top w:val="nil" w:sz="6" w:space="0" w:color="auto"/>
              <w:left w:val="nil" w:sz="6" w:space="0" w:color="auto"/>
              <w:bottom w:val="nil" w:sz="6" w:space="0" w:color="auto"/>
              <w:right w:val="nil" w:sz="6" w:space="0" w:color="auto"/>
            </w:tcBorders>
          </w:tcPr>
          <w:p>
            <w:pPr/>
          </w:p>
        </w:tc>
        <w:tc>
          <w:tcPr>
            <w:tcW w:w="2059"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870" w:footer="979" w:top="1060" w:bottom="1160" w:left="980" w:right="420"/>
        </w:sectPr>
      </w:pPr>
    </w:p>
    <w:p>
      <w:pPr>
        <w:spacing w:line="240" w:lineRule="auto" w:before="2"/>
        <w:rPr>
          <w:rFonts w:ascii="Times New Roman" w:hAnsi="Times New Roman" w:cs="Times New Roman" w:eastAsia="Times New Roman" w:hint="default"/>
          <w:sz w:val="3"/>
          <w:szCs w:val="3"/>
        </w:rPr>
      </w:pPr>
      <w:r>
        <w:rPr/>
        <w:pict>
          <v:group style="position:absolute;margin-left:188.639999pt;margin-top:137.160004pt;width:38.550pt;height:.1pt;mso-position-horizontal-relative:page;mso-position-vertical-relative:page;z-index:-1159144" coordorigin="3773,2743" coordsize="771,2">
            <v:shape style="position:absolute;left:3773;top:2743;width:771;height:2" coordorigin="3773,2743" coordsize="771,0" path="m3773,2743l4543,2743e" filled="false" stroked="true" strokeweight=".48pt" strokecolor="#000000">
              <v:path arrowok="t"/>
            </v:shape>
            <w10:wrap type="none"/>
          </v:group>
        </w:pict>
      </w:r>
      <w:r>
        <w:rPr/>
        <w:pict>
          <v:group style="position:absolute;margin-left:230.520004pt;margin-top:486.839996pt;width:223.45pt;height:2.2pt;mso-position-horizontal-relative:page;mso-position-vertical-relative:page;z-index:-1159120" coordorigin="4610,9737" coordsize="4469,44">
            <v:group style="position:absolute;left:4618;top:9744;width:1563;height:2" coordorigin="4618,9744" coordsize="1563,2">
              <v:shape style="position:absolute;left:4618;top:9744;width:1563;height:2" coordorigin="4618,9744" coordsize="1563,0" path="m4618,9744l6180,9744e" filled="false" stroked="true" strokeweight=".72pt" strokecolor="#000000">
                <v:path arrowok="t"/>
              </v:shape>
            </v:group>
            <v:group style="position:absolute;left:4618;top:9773;width:1563;height:2" coordorigin="4618,9773" coordsize="1563,2">
              <v:shape style="position:absolute;left:4618;top:9773;width:1563;height:2" coordorigin="4618,9773" coordsize="1563,0" path="m4618,9773l6180,9773e" filled="false" stroked="true" strokeweight=".72pt" strokecolor="#000000">
                <v:path arrowok="t"/>
              </v:shape>
            </v:group>
            <v:group style="position:absolute;left:6242;top:9744;width:1740;height:2" coordorigin="6242,9744" coordsize="1740,2">
              <v:shape style="position:absolute;left:6242;top:9744;width:1740;height:2" coordorigin="6242,9744" coordsize="1740,0" path="m6242,9744l7982,9744e" filled="false" stroked="true" strokeweight=".72pt" strokecolor="#000000">
                <v:path arrowok="t"/>
              </v:shape>
            </v:group>
            <v:group style="position:absolute;left:6242;top:9773;width:1740;height:2" coordorigin="6242,9773" coordsize="1740,2">
              <v:shape style="position:absolute;left:6242;top:9773;width:1740;height:2" coordorigin="6242,9773" coordsize="1740,0" path="m6242,9773l7982,9773e" filled="false" stroked="true" strokeweight=".72pt" strokecolor="#000000">
                <v:path arrowok="t"/>
              </v:shape>
            </v:group>
            <v:group style="position:absolute;left:8045;top:9744;width:1028;height:2" coordorigin="8045,9744" coordsize="1028,2">
              <v:shape style="position:absolute;left:8045;top:9744;width:1028;height:2" coordorigin="8045,9744" coordsize="1028,0" path="m8045,9744l9072,9744e" filled="false" stroked="true" strokeweight=".72pt" strokecolor="#000000">
                <v:path arrowok="t"/>
              </v:shape>
            </v:group>
            <v:group style="position:absolute;left:8045;top:9773;width:1028;height:2" coordorigin="8045,9773" coordsize="1028,2">
              <v:shape style="position:absolute;left:8045;top:9773;width:1028;height:2" coordorigin="8045,9773" coordsize="1028,0" path="m8045,9773l9072,9773e" filled="false" stroked="true" strokeweight=".72pt" strokecolor="#000000">
                <v:path arrowok="t"/>
              </v:shape>
            </v:group>
            <w10:wrap type="none"/>
          </v:group>
        </w:pict>
      </w:r>
      <w:r>
        <w:rPr/>
        <w:pict>
          <v:group style="position:absolute;margin-left:460.320007pt;margin-top:486.839996pt;width:43.35pt;height:2.2pt;mso-position-horizontal-relative:page;mso-position-vertical-relative:page;z-index:-1159096" coordorigin="9206,9737" coordsize="867,44">
            <v:group style="position:absolute;left:9214;top:9744;width:852;height:2" coordorigin="9214,9744" coordsize="852,2">
              <v:shape style="position:absolute;left:9214;top:9744;width:852;height:2" coordorigin="9214,9744" coordsize="852,0" path="m9214,9744l10066,9744e" filled="false" stroked="true" strokeweight=".72pt" strokecolor="#000000">
                <v:path arrowok="t"/>
              </v:shape>
            </v:group>
            <v:group style="position:absolute;left:9214;top:9773;width:852;height:2" coordorigin="9214,9773" coordsize="852,2">
              <v:shape style="position:absolute;left:9214;top:9773;width:852;height:2" coordorigin="9214,9773" coordsize="852,0" path="m9214,9773l10066,9773e" filled="false" stroked="true" strokeweight=".72pt" strokecolor="#000000">
                <v:path arrowok="t"/>
              </v:shape>
            </v:group>
            <w10:wrap type="none"/>
          </v:group>
        </w:pict>
      </w:r>
      <w:r>
        <w:rPr/>
        <w:pict>
          <v:group style="position:absolute;margin-left:509.880005pt;margin-top:486.839996pt;width:71.650pt;height:2.2pt;mso-position-horizontal-relative:page;mso-position-vertical-relative:page;z-index:-1159072" coordorigin="10198,9737" coordsize="1433,44">
            <v:group style="position:absolute;left:10205;top:9744;width:1419;height:2" coordorigin="10205,9744" coordsize="1419,2">
              <v:shape style="position:absolute;left:10205;top:9744;width:1419;height:2" coordorigin="10205,9744" coordsize="1419,0" path="m10205,9744l11623,9744e" filled="false" stroked="true" strokeweight=".72pt" strokecolor="#000000">
                <v:path arrowok="t"/>
              </v:shape>
            </v:group>
            <v:group style="position:absolute;left:10205;top:9773;width:1419;height:2" coordorigin="10205,9773" coordsize="1419,2">
              <v:shape style="position:absolute;left:10205;top:9773;width:1419;height:2" coordorigin="10205,9773" coordsize="1419,0" path="m10205,9773l11623,9773e" filled="false" stroked="true" strokeweight=".72pt" strokecolor="#000000">
                <v:path arrowok="t"/>
              </v:shape>
            </v:group>
            <w10:wrap type="none"/>
          </v:group>
        </w:pict>
      </w:r>
      <w:r>
        <w:rPr/>
        <w:pict>
          <v:group style="position:absolute;margin-left:587.880005pt;margin-top:486.839996pt;width:64.6pt;height:2.2pt;mso-position-horizontal-relative:page;mso-position-vertical-relative:page;z-index:-1159048" coordorigin="11758,9737" coordsize="1292,44">
            <v:group style="position:absolute;left:11765;top:9744;width:1277;height:2" coordorigin="11765,9744" coordsize="1277,2">
              <v:shape style="position:absolute;left:11765;top:9744;width:1277;height:2" coordorigin="11765,9744" coordsize="1277,0" path="m11765,9744l13042,9744e" filled="false" stroked="true" strokeweight=".72pt" strokecolor="#000000">
                <v:path arrowok="t"/>
              </v:shape>
            </v:group>
            <v:group style="position:absolute;left:11765;top:9773;width:1277;height:2" coordorigin="11765,9773" coordsize="1277,2">
              <v:shape style="position:absolute;left:11765;top:9773;width:1277;height:2" coordorigin="11765,9773" coordsize="1277,0" path="m11765,9773l13042,9773e" filled="false" stroked="true" strokeweight=".72pt" strokecolor="#000000">
                <v:path arrowok="t"/>
              </v:shape>
            </v:group>
            <w10:wrap type="none"/>
          </v:group>
        </w:pict>
      </w:r>
      <w:r>
        <w:rPr/>
        <w:pict>
          <v:group style="position:absolute;margin-left:658.799988pt;margin-top:486.839996pt;width:71.650pt;height:2.2pt;mso-position-horizontal-relative:page;mso-position-vertical-relative:page;z-index:-1159024" coordorigin="13176,9737" coordsize="1433,44">
            <v:group style="position:absolute;left:13183;top:9744;width:1419;height:2" coordorigin="13183,9744" coordsize="1419,2">
              <v:shape style="position:absolute;left:13183;top:9744;width:1419;height:2" coordorigin="13183,9744" coordsize="1419,0" path="m13183,9744l14602,9744e" filled="false" stroked="true" strokeweight=".72pt" strokecolor="#000000">
                <v:path arrowok="t"/>
              </v:shape>
            </v:group>
            <v:group style="position:absolute;left:13183;top:9773;width:1419;height:2" coordorigin="13183,9773" coordsize="1419,2">
              <v:shape style="position:absolute;left:13183;top:9773;width:1419;height:2" coordorigin="13183,9773" coordsize="1419,0" path="m13183,9773l14602,9773e" filled="false" stroked="true" strokeweight=".72pt" strokecolor="#000000">
                <v:path arrowok="t"/>
              </v:shape>
            </v:group>
            <w10:wrap type="none"/>
          </v:group>
        </w:pict>
      </w:r>
    </w:p>
    <w:tbl>
      <w:tblPr>
        <w:tblW w:w="0" w:type="auto"/>
        <w:jc w:val="left"/>
        <w:tblInd w:w="117" w:type="dxa"/>
        <w:tblLayout w:type="fixed"/>
        <w:tblCellMar>
          <w:top w:w="0" w:type="dxa"/>
          <w:left w:w="0" w:type="dxa"/>
          <w:bottom w:w="0" w:type="dxa"/>
          <w:right w:w="0" w:type="dxa"/>
        </w:tblCellMar>
        <w:tblLook w:val="01E0"/>
      </w:tblPr>
      <w:tblGrid>
        <w:gridCol w:w="108"/>
        <w:gridCol w:w="3046"/>
        <w:gridCol w:w="2598"/>
        <w:gridCol w:w="1745"/>
        <w:gridCol w:w="1038"/>
        <w:gridCol w:w="142"/>
        <w:gridCol w:w="852"/>
        <w:gridCol w:w="139"/>
        <w:gridCol w:w="1418"/>
        <w:gridCol w:w="142"/>
        <w:gridCol w:w="1277"/>
        <w:gridCol w:w="142"/>
        <w:gridCol w:w="1418"/>
        <w:gridCol w:w="144"/>
        <w:gridCol w:w="1555"/>
      </w:tblGrid>
      <w:tr>
        <w:trPr>
          <w:trHeight w:val="600" w:hRule="exact"/>
        </w:trPr>
        <w:tc>
          <w:tcPr>
            <w:tcW w:w="15763" w:type="dxa"/>
            <w:gridSpan w:val="15"/>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4" w:right="0"/>
              <w:jc w:val="center"/>
              <w:rPr>
                <w:rFonts w:ascii="宋体" w:hAnsi="宋体" w:cs="宋体" w:eastAsia="宋体" w:hint="default"/>
                <w:sz w:val="24"/>
                <w:szCs w:val="24"/>
              </w:rPr>
            </w:pPr>
            <w:r>
              <w:rPr>
                <w:rFonts w:ascii="宋体" w:hAnsi="宋体" w:cs="宋体" w:eastAsia="宋体" w:hint="default"/>
                <w:sz w:val="24"/>
                <w:szCs w:val="24"/>
              </w:rPr>
              <w:t>深圳市方直科技股份有限公司</w:t>
            </w:r>
          </w:p>
        </w:tc>
      </w:tr>
      <w:tr>
        <w:trPr>
          <w:trHeight w:val="362" w:hRule="exact"/>
        </w:trPr>
        <w:tc>
          <w:tcPr>
            <w:tcW w:w="15763" w:type="dxa"/>
            <w:gridSpan w:val="15"/>
            <w:tcBorders>
              <w:top w:val="nil" w:sz="6" w:space="0" w:color="auto"/>
              <w:left w:val="nil" w:sz="6" w:space="0" w:color="auto"/>
              <w:bottom w:val="nil" w:sz="6" w:space="0" w:color="auto"/>
              <w:right w:val="nil" w:sz="6" w:space="0" w:color="auto"/>
            </w:tcBorders>
          </w:tcPr>
          <w:p>
            <w:pPr>
              <w:pStyle w:val="TableParagraph"/>
              <w:spacing w:line="302" w:lineRule="exact"/>
              <w:ind w:left="14" w:right="0"/>
              <w:jc w:val="center"/>
              <w:rPr>
                <w:rFonts w:ascii="宋体" w:hAnsi="宋体" w:cs="宋体" w:eastAsia="宋体" w:hint="default"/>
                <w:sz w:val="24"/>
                <w:szCs w:val="24"/>
              </w:rPr>
            </w:pPr>
            <w:r>
              <w:rPr>
                <w:rFonts w:ascii="宋体" w:hAnsi="宋体" w:cs="宋体" w:eastAsia="宋体" w:hint="default"/>
                <w:sz w:val="24"/>
                <w:szCs w:val="24"/>
              </w:rPr>
              <w:t>股东权益变动表</w:t>
            </w:r>
          </w:p>
        </w:tc>
      </w:tr>
      <w:tr>
        <w:trPr>
          <w:trHeight w:val="376" w:hRule="exact"/>
        </w:trPr>
        <w:tc>
          <w:tcPr>
            <w:tcW w:w="108" w:type="dxa"/>
            <w:tcBorders>
              <w:top w:val="nil" w:sz="6" w:space="0" w:color="auto"/>
              <w:left w:val="nil" w:sz="6" w:space="0" w:color="auto"/>
              <w:bottom w:val="nil" w:sz="6" w:space="0" w:color="auto"/>
              <w:right w:val="nil" w:sz="6" w:space="0" w:color="auto"/>
            </w:tcBorders>
          </w:tcPr>
          <w:p>
            <w:pPr/>
          </w:p>
        </w:tc>
        <w:tc>
          <w:tcPr>
            <w:tcW w:w="3046" w:type="dxa"/>
            <w:tcBorders>
              <w:top w:val="nil" w:sz="6" w:space="0" w:color="auto"/>
              <w:left w:val="nil" w:sz="6" w:space="0" w:color="auto"/>
              <w:bottom w:val="nil" w:sz="6" w:space="0" w:color="auto"/>
              <w:right w:val="nil" w:sz="6" w:space="0" w:color="auto"/>
            </w:tcBorders>
          </w:tcPr>
          <w:p>
            <w:pPr/>
          </w:p>
        </w:tc>
        <w:tc>
          <w:tcPr>
            <w:tcW w:w="2598" w:type="dxa"/>
            <w:tcBorders>
              <w:top w:val="nil" w:sz="6" w:space="0" w:color="auto"/>
              <w:left w:val="nil" w:sz="6" w:space="0" w:color="auto"/>
              <w:bottom w:val="nil" w:sz="6" w:space="0" w:color="auto"/>
              <w:right w:val="nil" w:sz="6" w:space="0" w:color="auto"/>
            </w:tcBorders>
          </w:tcPr>
          <w:p>
            <w:pPr/>
          </w:p>
        </w:tc>
        <w:tc>
          <w:tcPr>
            <w:tcW w:w="2783" w:type="dxa"/>
            <w:gridSpan w:val="2"/>
            <w:tcBorders>
              <w:top w:val="nil" w:sz="6" w:space="0" w:color="auto"/>
              <w:left w:val="nil" w:sz="6" w:space="0" w:color="auto"/>
              <w:bottom w:val="nil" w:sz="6" w:space="0" w:color="auto"/>
              <w:right w:val="nil" w:sz="6" w:space="0" w:color="auto"/>
            </w:tcBorders>
          </w:tcPr>
          <w:p>
            <w:pPr>
              <w:pStyle w:val="TableParagraph"/>
              <w:spacing w:line="300" w:lineRule="exact"/>
              <w:ind w:left="1625" w:right="0"/>
              <w:jc w:val="left"/>
              <w:rPr>
                <w:rFonts w:ascii="宋体" w:hAnsi="宋体" w:cs="宋体" w:eastAsia="宋体" w:hint="default"/>
                <w:sz w:val="24"/>
                <w:szCs w:val="24"/>
              </w:rPr>
            </w:pPr>
            <w:r>
              <w:rPr>
                <w:rFonts w:ascii="宋体" w:hAnsi="宋体" w:cs="宋体" w:eastAsia="宋体" w:hint="default"/>
                <w:sz w:val="24"/>
                <w:szCs w:val="24"/>
              </w:rPr>
              <w:t>2014</w:t>
            </w:r>
            <w:r>
              <w:rPr>
                <w:rFonts w:ascii="宋体" w:hAnsi="宋体" w:cs="宋体" w:eastAsia="宋体" w:hint="default"/>
                <w:spacing w:val="-60"/>
                <w:sz w:val="24"/>
                <w:szCs w:val="24"/>
              </w:rPr>
              <w:t> </w:t>
            </w:r>
            <w:r>
              <w:rPr>
                <w:rFonts w:ascii="宋体" w:hAnsi="宋体" w:cs="宋体" w:eastAsia="宋体" w:hint="default"/>
                <w:sz w:val="24"/>
                <w:szCs w:val="24"/>
              </w:rPr>
              <w:t>年度</w:t>
            </w:r>
          </w:p>
        </w:tc>
        <w:tc>
          <w:tcPr>
            <w:tcW w:w="142" w:type="dxa"/>
            <w:tcBorders>
              <w:top w:val="nil" w:sz="6" w:space="0" w:color="auto"/>
              <w:left w:val="nil" w:sz="6" w:space="0" w:color="auto"/>
              <w:bottom w:val="nil" w:sz="6" w:space="0" w:color="auto"/>
              <w:right w:val="nil" w:sz="6" w:space="0" w:color="auto"/>
            </w:tcBorders>
          </w:tcPr>
          <w:p>
            <w:pPr/>
          </w:p>
        </w:tc>
        <w:tc>
          <w:tcPr>
            <w:tcW w:w="852"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56"/>
              <w:ind w:left="-3" w:right="0"/>
              <w:jc w:val="left"/>
              <w:rPr>
                <w:rFonts w:ascii="宋体" w:hAnsi="宋体" w:cs="宋体" w:eastAsia="宋体" w:hint="default"/>
                <w:sz w:val="18"/>
                <w:szCs w:val="18"/>
              </w:rPr>
            </w:pPr>
            <w:r>
              <w:rPr>
                <w:rFonts w:ascii="宋体" w:hAnsi="宋体" w:cs="宋体" w:eastAsia="宋体" w:hint="default"/>
                <w:sz w:val="18"/>
                <w:szCs w:val="18"/>
              </w:rPr>
              <w:t>单位：人民币元</w:t>
            </w:r>
          </w:p>
        </w:tc>
      </w:tr>
      <w:tr>
        <w:trPr>
          <w:trHeight w:val="291" w:hRule="exact"/>
        </w:trPr>
        <w:tc>
          <w:tcPr>
            <w:tcW w:w="108" w:type="dxa"/>
            <w:tcBorders>
              <w:top w:val="nil" w:sz="6" w:space="0" w:color="auto"/>
              <w:left w:val="nil" w:sz="6" w:space="0" w:color="auto"/>
              <w:bottom w:val="nil" w:sz="6" w:space="0" w:color="auto"/>
              <w:right w:val="nil" w:sz="6" w:space="0" w:color="auto"/>
            </w:tcBorders>
          </w:tcPr>
          <w:p>
            <w:pPr/>
          </w:p>
        </w:tc>
        <w:tc>
          <w:tcPr>
            <w:tcW w:w="3046" w:type="dxa"/>
            <w:tcBorders>
              <w:top w:val="nil" w:sz="6" w:space="0" w:color="auto"/>
              <w:left w:val="nil" w:sz="6" w:space="0" w:color="auto"/>
              <w:bottom w:val="single" w:sz="4" w:space="0" w:color="000000"/>
              <w:right w:val="nil" w:sz="6" w:space="0" w:color="auto"/>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259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46" w:right="0"/>
              <w:jc w:val="left"/>
              <w:rPr>
                <w:rFonts w:ascii="宋体" w:hAnsi="宋体" w:cs="宋体" w:eastAsia="宋体" w:hint="default"/>
                <w:sz w:val="16"/>
                <w:szCs w:val="16"/>
              </w:rPr>
            </w:pPr>
            <w:r>
              <w:rPr>
                <w:rFonts w:ascii="宋体" w:hAnsi="宋体" w:cs="宋体" w:eastAsia="宋体" w:hint="default"/>
                <w:sz w:val="16"/>
                <w:szCs w:val="16"/>
              </w:rPr>
              <w:t>附注十五</w:t>
            </w:r>
          </w:p>
        </w:tc>
        <w:tc>
          <w:tcPr>
            <w:tcW w:w="1745" w:type="dxa"/>
            <w:tcBorders>
              <w:top w:val="nil" w:sz="6" w:space="0" w:color="auto"/>
              <w:left w:val="nil" w:sz="6" w:space="0" w:color="auto"/>
              <w:bottom w:val="single" w:sz="4" w:space="0" w:color="000000"/>
              <w:right w:val="nil" w:sz="6" w:space="0" w:color="auto"/>
            </w:tcBorders>
          </w:tcPr>
          <w:p>
            <w:pPr/>
          </w:p>
        </w:tc>
        <w:tc>
          <w:tcPr>
            <w:tcW w:w="1038" w:type="dxa"/>
            <w:tcBorders>
              <w:top w:val="nil" w:sz="6" w:space="0" w:color="auto"/>
              <w:left w:val="nil" w:sz="6" w:space="0" w:color="auto"/>
              <w:bottom w:val="single" w:sz="4" w:space="0" w:color="000000"/>
              <w:right w:val="nil" w:sz="6" w:space="0" w:color="auto"/>
            </w:tcBorders>
          </w:tcPr>
          <w:p>
            <w:pPr/>
          </w:p>
        </w:tc>
        <w:tc>
          <w:tcPr>
            <w:tcW w:w="142" w:type="dxa"/>
            <w:tcBorders>
              <w:top w:val="nil" w:sz="6" w:space="0" w:color="auto"/>
              <w:left w:val="nil" w:sz="6" w:space="0" w:color="auto"/>
              <w:bottom w:val="single" w:sz="4" w:space="0" w:color="000000"/>
              <w:right w:val="nil" w:sz="6" w:space="0" w:color="auto"/>
            </w:tcBorders>
          </w:tcPr>
          <w:p>
            <w:pPr/>
          </w:p>
        </w:tc>
        <w:tc>
          <w:tcPr>
            <w:tcW w:w="852" w:type="dxa"/>
            <w:tcBorders>
              <w:top w:val="nil" w:sz="6" w:space="0" w:color="auto"/>
              <w:left w:val="nil" w:sz="6" w:space="0" w:color="auto"/>
              <w:bottom w:val="single" w:sz="4" w:space="0" w:color="000000"/>
              <w:right w:val="nil" w:sz="6" w:space="0" w:color="auto"/>
            </w:tcBorders>
          </w:tcPr>
          <w:p>
            <w:pPr/>
          </w:p>
        </w:tc>
        <w:tc>
          <w:tcPr>
            <w:tcW w:w="139" w:type="dxa"/>
            <w:tcBorders>
              <w:top w:val="nil" w:sz="6" w:space="0" w:color="auto"/>
              <w:left w:val="nil" w:sz="6" w:space="0" w:color="auto"/>
              <w:bottom w:val="single" w:sz="4" w:space="0" w:color="000000"/>
              <w:right w:val="nil" w:sz="6" w:space="0" w:color="auto"/>
            </w:tcBorders>
          </w:tcPr>
          <w:p>
            <w:pPr/>
          </w:p>
        </w:tc>
        <w:tc>
          <w:tcPr>
            <w:tcW w:w="1418" w:type="dxa"/>
            <w:tcBorders>
              <w:top w:val="nil" w:sz="6" w:space="0" w:color="auto"/>
              <w:left w:val="nil" w:sz="6" w:space="0" w:color="auto"/>
              <w:bottom w:val="single" w:sz="4" w:space="0" w:color="000000"/>
              <w:right w:val="nil" w:sz="6" w:space="0" w:color="auto"/>
            </w:tcBorders>
          </w:tcPr>
          <w:p>
            <w:pPr/>
          </w:p>
        </w:tc>
        <w:tc>
          <w:tcPr>
            <w:tcW w:w="142" w:type="dxa"/>
            <w:tcBorders>
              <w:top w:val="nil" w:sz="6" w:space="0" w:color="auto"/>
              <w:left w:val="nil" w:sz="6" w:space="0" w:color="auto"/>
              <w:bottom w:val="single" w:sz="4" w:space="0" w:color="000000"/>
              <w:right w:val="nil" w:sz="6" w:space="0" w:color="auto"/>
            </w:tcBorders>
          </w:tcPr>
          <w:p>
            <w:pPr/>
          </w:p>
        </w:tc>
        <w:tc>
          <w:tcPr>
            <w:tcW w:w="1277" w:type="dxa"/>
            <w:tcBorders>
              <w:top w:val="nil" w:sz="6" w:space="0" w:color="auto"/>
              <w:left w:val="nil" w:sz="6" w:space="0" w:color="auto"/>
              <w:bottom w:val="single" w:sz="4" w:space="0" w:color="000000"/>
              <w:right w:val="nil" w:sz="6" w:space="0" w:color="auto"/>
            </w:tcBorders>
          </w:tcPr>
          <w:p>
            <w:pPr/>
          </w:p>
        </w:tc>
        <w:tc>
          <w:tcPr>
            <w:tcW w:w="142" w:type="dxa"/>
            <w:tcBorders>
              <w:top w:val="nil" w:sz="6" w:space="0" w:color="auto"/>
              <w:left w:val="nil" w:sz="6" w:space="0" w:color="auto"/>
              <w:bottom w:val="single" w:sz="4" w:space="0" w:color="000000"/>
              <w:right w:val="nil" w:sz="6" w:space="0" w:color="auto"/>
            </w:tcBorders>
          </w:tcPr>
          <w:p>
            <w:pPr/>
          </w:p>
        </w:tc>
        <w:tc>
          <w:tcPr>
            <w:tcW w:w="1418" w:type="dxa"/>
            <w:tcBorders>
              <w:top w:val="nil" w:sz="6" w:space="0" w:color="auto"/>
              <w:left w:val="nil" w:sz="6" w:space="0" w:color="auto"/>
              <w:bottom w:val="single" w:sz="4" w:space="0" w:color="000000"/>
              <w:right w:val="nil" w:sz="6" w:space="0" w:color="auto"/>
            </w:tcBorders>
          </w:tcPr>
          <w:p>
            <w:pPr/>
          </w:p>
        </w:tc>
        <w:tc>
          <w:tcPr>
            <w:tcW w:w="144" w:type="dxa"/>
            <w:tcBorders>
              <w:top w:val="nil" w:sz="6" w:space="0" w:color="auto"/>
              <w:left w:val="nil" w:sz="6" w:space="0" w:color="auto"/>
              <w:bottom w:val="single" w:sz="4" w:space="0" w:color="000000"/>
              <w:right w:val="nil" w:sz="6" w:space="0" w:color="auto"/>
            </w:tcBorders>
          </w:tcPr>
          <w:p>
            <w:pPr/>
          </w:p>
        </w:tc>
        <w:tc>
          <w:tcPr>
            <w:tcW w:w="1555" w:type="dxa"/>
            <w:tcBorders>
              <w:top w:val="nil" w:sz="6" w:space="0" w:color="auto"/>
              <w:left w:val="nil" w:sz="6" w:space="0" w:color="auto"/>
              <w:bottom w:val="single" w:sz="4" w:space="0" w:color="000000"/>
              <w:right w:val="nil" w:sz="6" w:space="0" w:color="auto"/>
            </w:tcBorders>
          </w:tcPr>
          <w:p>
            <w:pPr/>
          </w:p>
        </w:tc>
      </w:tr>
      <w:tr>
        <w:trPr>
          <w:trHeight w:val="266" w:hRule="exact"/>
        </w:trPr>
        <w:tc>
          <w:tcPr>
            <w:tcW w:w="108" w:type="dxa"/>
            <w:tcBorders>
              <w:top w:val="nil" w:sz="6" w:space="0" w:color="auto"/>
              <w:left w:val="nil" w:sz="6" w:space="0" w:color="auto"/>
              <w:bottom w:val="nil" w:sz="6" w:space="0" w:color="auto"/>
              <w:right w:val="nil" w:sz="6" w:space="0" w:color="auto"/>
            </w:tcBorders>
          </w:tcPr>
          <w:p>
            <w:pPr/>
          </w:p>
        </w:tc>
        <w:tc>
          <w:tcPr>
            <w:tcW w:w="3046" w:type="dxa"/>
            <w:tcBorders>
              <w:top w:val="single" w:sz="4" w:space="0" w:color="000000"/>
              <w:left w:val="nil" w:sz="6" w:space="0" w:color="auto"/>
              <w:bottom w:val="nil" w:sz="6" w:space="0" w:color="auto"/>
              <w:right w:val="nil" w:sz="6" w:space="0" w:color="auto"/>
            </w:tcBorders>
          </w:tcPr>
          <w:p>
            <w:pPr/>
          </w:p>
        </w:tc>
        <w:tc>
          <w:tcPr>
            <w:tcW w:w="2598" w:type="dxa"/>
            <w:tcBorders>
              <w:top w:val="single" w:sz="4" w:space="0" w:color="000000"/>
              <w:left w:val="nil" w:sz="6" w:space="0" w:color="auto"/>
              <w:bottom w:val="single" w:sz="4" w:space="0" w:color="000000"/>
              <w:right w:val="nil" w:sz="6" w:space="0" w:color="auto"/>
            </w:tcBorders>
          </w:tcPr>
          <w:p>
            <w:pPr>
              <w:pStyle w:val="TableParagraph"/>
              <w:spacing w:line="227" w:lineRule="exact"/>
              <w:ind w:left="1526"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745" w:type="dxa"/>
            <w:tcBorders>
              <w:top w:val="single" w:sz="4" w:space="0" w:color="000000"/>
              <w:left w:val="nil" w:sz="6" w:space="0" w:color="auto"/>
              <w:bottom w:val="single" w:sz="4" w:space="0" w:color="000000"/>
              <w:right w:val="nil" w:sz="6" w:space="0" w:color="auto"/>
            </w:tcBorders>
          </w:tcPr>
          <w:p>
            <w:pPr>
              <w:pStyle w:val="TableParagraph"/>
              <w:spacing w:line="227" w:lineRule="exact"/>
              <w:ind w:left="46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38" w:type="dxa"/>
            <w:tcBorders>
              <w:top w:val="single" w:sz="4" w:space="0" w:color="000000"/>
              <w:left w:val="nil" w:sz="6" w:space="0" w:color="auto"/>
              <w:bottom w:val="single" w:sz="4" w:space="0" w:color="000000"/>
              <w:right w:val="nil" w:sz="6" w:space="0" w:color="auto"/>
            </w:tcBorders>
          </w:tcPr>
          <w:p>
            <w:pPr>
              <w:pStyle w:val="TableParagraph"/>
              <w:spacing w:line="227" w:lineRule="exact"/>
              <w:ind w:right="60"/>
              <w:jc w:val="right"/>
              <w:rPr>
                <w:rFonts w:ascii="宋体" w:hAnsi="宋体" w:cs="宋体" w:eastAsia="宋体" w:hint="default"/>
                <w:sz w:val="18"/>
                <w:szCs w:val="18"/>
              </w:rPr>
            </w:pPr>
            <w:r>
              <w:rPr>
                <w:rFonts w:ascii="宋体" w:hAnsi="宋体" w:cs="宋体" w:eastAsia="宋体" w:hint="default"/>
                <w:sz w:val="18"/>
                <w:szCs w:val="18"/>
              </w:rPr>
              <w:t>减：库存股</w:t>
            </w:r>
          </w:p>
        </w:tc>
        <w:tc>
          <w:tcPr>
            <w:tcW w:w="142" w:type="dxa"/>
            <w:tcBorders>
              <w:top w:val="single" w:sz="4" w:space="0" w:color="000000"/>
              <w:left w:val="nil" w:sz="6" w:space="0" w:color="auto"/>
              <w:bottom w:val="nil" w:sz="6" w:space="0" w:color="auto"/>
              <w:right w:val="nil" w:sz="6" w:space="0" w:color="auto"/>
            </w:tcBorders>
          </w:tcPr>
          <w:p>
            <w:pPr/>
          </w:p>
        </w:tc>
        <w:tc>
          <w:tcPr>
            <w:tcW w:w="852" w:type="dxa"/>
            <w:tcBorders>
              <w:top w:val="single" w:sz="4" w:space="0" w:color="000000"/>
              <w:left w:val="nil" w:sz="6" w:space="0" w:color="auto"/>
              <w:bottom w:val="single" w:sz="4" w:space="0" w:color="000000"/>
              <w:right w:val="nil" w:sz="6" w:space="0" w:color="auto"/>
            </w:tcBorders>
          </w:tcPr>
          <w:p>
            <w:pPr>
              <w:pStyle w:val="TableParagraph"/>
              <w:spacing w:line="227" w:lineRule="exact"/>
              <w:ind w:right="65"/>
              <w:jc w:val="right"/>
              <w:rPr>
                <w:rFonts w:ascii="宋体" w:hAnsi="宋体" w:cs="宋体" w:eastAsia="宋体" w:hint="default"/>
                <w:sz w:val="18"/>
                <w:szCs w:val="18"/>
              </w:rPr>
            </w:pPr>
            <w:r>
              <w:rPr>
                <w:rFonts w:ascii="宋体" w:hAnsi="宋体" w:cs="宋体" w:eastAsia="宋体" w:hint="default"/>
                <w:sz w:val="18"/>
                <w:szCs w:val="18"/>
              </w:rPr>
              <w:t>专项储备</w:t>
            </w:r>
          </w:p>
        </w:tc>
        <w:tc>
          <w:tcPr>
            <w:tcW w:w="139" w:type="dxa"/>
            <w:tcBorders>
              <w:top w:val="single" w:sz="4" w:space="0" w:color="000000"/>
              <w:left w:val="nil" w:sz="6" w:space="0" w:color="auto"/>
              <w:bottom w:val="nil" w:sz="6" w:space="0" w:color="auto"/>
              <w:right w:val="nil" w:sz="6" w:space="0" w:color="auto"/>
            </w:tcBorders>
          </w:tcPr>
          <w:p>
            <w:pPr/>
          </w:p>
        </w:tc>
        <w:tc>
          <w:tcPr>
            <w:tcW w:w="1418" w:type="dxa"/>
            <w:tcBorders>
              <w:top w:val="single" w:sz="4" w:space="0" w:color="000000"/>
              <w:left w:val="nil" w:sz="6" w:space="0" w:color="auto"/>
              <w:bottom w:val="single" w:sz="4" w:space="0" w:color="000000"/>
              <w:right w:val="nil" w:sz="6" w:space="0" w:color="auto"/>
            </w:tcBorders>
          </w:tcPr>
          <w:p>
            <w:pPr>
              <w:pStyle w:val="TableParagraph"/>
              <w:spacing w:line="227" w:lineRule="exact"/>
              <w:ind w:left="35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42" w:type="dxa"/>
            <w:tcBorders>
              <w:top w:val="single" w:sz="4" w:space="0" w:color="000000"/>
              <w:left w:val="nil" w:sz="6" w:space="0" w:color="auto"/>
              <w:bottom w:val="nil" w:sz="6" w:space="0" w:color="auto"/>
              <w:right w:val="nil" w:sz="6" w:space="0" w:color="auto"/>
            </w:tcBorders>
          </w:tcPr>
          <w:p>
            <w:pPr/>
          </w:p>
        </w:tc>
        <w:tc>
          <w:tcPr>
            <w:tcW w:w="1277" w:type="dxa"/>
            <w:tcBorders>
              <w:top w:val="single" w:sz="4" w:space="0" w:color="000000"/>
              <w:left w:val="nil" w:sz="6" w:space="0" w:color="auto"/>
              <w:bottom w:val="single" w:sz="4" w:space="0" w:color="000000"/>
              <w:right w:val="nil" w:sz="6" w:space="0" w:color="auto"/>
            </w:tcBorders>
          </w:tcPr>
          <w:p>
            <w:pPr>
              <w:pStyle w:val="TableParagraph"/>
              <w:spacing w:line="227" w:lineRule="exact"/>
              <w:ind w:left="28"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42" w:type="dxa"/>
            <w:tcBorders>
              <w:top w:val="single" w:sz="4" w:space="0" w:color="000000"/>
              <w:left w:val="nil" w:sz="6" w:space="0" w:color="auto"/>
              <w:bottom w:val="nil" w:sz="6" w:space="0" w:color="auto"/>
              <w:right w:val="nil" w:sz="6" w:space="0" w:color="auto"/>
            </w:tcBorders>
          </w:tcPr>
          <w:p>
            <w:pPr/>
          </w:p>
        </w:tc>
        <w:tc>
          <w:tcPr>
            <w:tcW w:w="1418" w:type="dxa"/>
            <w:tcBorders>
              <w:top w:val="single" w:sz="4" w:space="0" w:color="000000"/>
              <w:left w:val="nil" w:sz="6" w:space="0" w:color="auto"/>
              <w:bottom w:val="single" w:sz="4" w:space="0" w:color="000000"/>
              <w:right w:val="nil" w:sz="6" w:space="0" w:color="auto"/>
            </w:tcBorders>
          </w:tcPr>
          <w:p>
            <w:pPr>
              <w:pStyle w:val="TableParagraph"/>
              <w:spacing w:line="227" w:lineRule="exact"/>
              <w:ind w:left="259"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4" w:type="dxa"/>
            <w:tcBorders>
              <w:top w:val="single" w:sz="4" w:space="0" w:color="000000"/>
              <w:left w:val="nil" w:sz="6" w:space="0" w:color="auto"/>
              <w:bottom w:val="nil" w:sz="6" w:space="0" w:color="auto"/>
              <w:right w:val="nil" w:sz="6" w:space="0" w:color="auto"/>
            </w:tcBorders>
          </w:tcPr>
          <w:p>
            <w:pPr/>
          </w:p>
        </w:tc>
        <w:tc>
          <w:tcPr>
            <w:tcW w:w="1555" w:type="dxa"/>
            <w:tcBorders>
              <w:top w:val="single" w:sz="4" w:space="0" w:color="000000"/>
              <w:left w:val="nil" w:sz="6" w:space="0" w:color="auto"/>
              <w:bottom w:val="single" w:sz="4" w:space="0" w:color="000000"/>
              <w:right w:val="nil" w:sz="6" w:space="0" w:color="auto"/>
            </w:tcBorders>
          </w:tcPr>
          <w:p>
            <w:pPr>
              <w:pStyle w:val="TableParagraph"/>
              <w:spacing w:line="227" w:lineRule="exact"/>
              <w:ind w:left="237" w:right="0"/>
              <w:jc w:val="left"/>
              <w:rPr>
                <w:rFonts w:ascii="宋体" w:hAnsi="宋体" w:cs="宋体" w:eastAsia="宋体" w:hint="default"/>
                <w:sz w:val="18"/>
                <w:szCs w:val="18"/>
              </w:rPr>
            </w:pPr>
            <w:r>
              <w:rPr>
                <w:rFonts w:ascii="宋体" w:hAnsi="宋体" w:cs="宋体" w:eastAsia="宋体" w:hint="default"/>
                <w:sz w:val="18"/>
                <w:szCs w:val="18"/>
              </w:rPr>
              <w:t>股东权益合计</w:t>
            </w:r>
          </w:p>
        </w:tc>
      </w:tr>
      <w:tr>
        <w:trPr>
          <w:trHeight w:val="269" w:hRule="exact"/>
        </w:trPr>
        <w:tc>
          <w:tcPr>
            <w:tcW w:w="108" w:type="dxa"/>
            <w:tcBorders>
              <w:top w:val="nil" w:sz="6" w:space="0" w:color="auto"/>
              <w:left w:val="nil" w:sz="6" w:space="0" w:color="auto"/>
              <w:bottom w:val="nil" w:sz="6" w:space="0" w:color="auto"/>
              <w:right w:val="nil" w:sz="6" w:space="0" w:color="auto"/>
            </w:tcBorders>
          </w:tcPr>
          <w:p>
            <w:pPr/>
          </w:p>
        </w:tc>
        <w:tc>
          <w:tcPr>
            <w:tcW w:w="3046" w:type="dxa"/>
            <w:tcBorders>
              <w:top w:val="nil" w:sz="6" w:space="0" w:color="auto"/>
              <w:left w:val="nil" w:sz="6" w:space="0" w:color="auto"/>
              <w:bottom w:val="nil" w:sz="6" w:space="0" w:color="auto"/>
              <w:right w:val="nil" w:sz="6" w:space="0" w:color="auto"/>
            </w:tcBorders>
          </w:tcPr>
          <w:p>
            <w:pPr>
              <w:pStyle w:val="TableParagraph"/>
              <w:spacing w:line="232" w:lineRule="exact"/>
              <w:ind w:left="28" w:right="0"/>
              <w:jc w:val="left"/>
              <w:rPr>
                <w:rFonts w:ascii="宋体" w:hAnsi="宋体" w:cs="宋体" w:eastAsia="宋体" w:hint="default"/>
                <w:sz w:val="18"/>
                <w:szCs w:val="18"/>
              </w:rPr>
            </w:pPr>
            <w:r>
              <w:rPr>
                <w:rFonts w:ascii="宋体" w:hAnsi="宋体" w:cs="宋体" w:eastAsia="宋体" w:hint="default"/>
                <w:b/>
                <w:bCs/>
                <w:sz w:val="18"/>
                <w:szCs w:val="18"/>
              </w:rPr>
              <w:t>一、上年年末余额</w:t>
            </w:r>
            <w:r>
              <w:rPr>
                <w:rFonts w:ascii="宋体" w:hAnsi="宋体" w:cs="宋体" w:eastAsia="宋体" w:hint="default"/>
                <w:sz w:val="18"/>
                <w:szCs w:val="18"/>
              </w:rPr>
            </w:r>
          </w:p>
        </w:tc>
        <w:tc>
          <w:tcPr>
            <w:tcW w:w="2598" w:type="dxa"/>
            <w:tcBorders>
              <w:top w:val="single" w:sz="4" w:space="0" w:color="000000"/>
              <w:left w:val="nil" w:sz="6" w:space="0" w:color="auto"/>
              <w:bottom w:val="single" w:sz="4" w:space="0" w:color="000000"/>
              <w:right w:val="nil" w:sz="6" w:space="0" w:color="auto"/>
            </w:tcBorders>
          </w:tcPr>
          <w:p>
            <w:pPr>
              <w:pStyle w:val="TableParagraph"/>
              <w:spacing w:line="217" w:lineRule="exact"/>
              <w:ind w:right="133"/>
              <w:jc w:val="right"/>
              <w:rPr>
                <w:rFonts w:ascii="宋体" w:hAnsi="宋体" w:cs="宋体" w:eastAsia="宋体" w:hint="default"/>
                <w:sz w:val="18"/>
                <w:szCs w:val="18"/>
              </w:rPr>
            </w:pPr>
            <w:r>
              <w:rPr>
                <w:rFonts w:ascii="宋体"/>
                <w:spacing w:val="-1"/>
                <w:sz w:val="18"/>
              </w:rPr>
              <w:t>88,000,000.00</w:t>
            </w:r>
            <w:r>
              <w:rPr>
                <w:rFonts w:ascii="宋体"/>
                <w:sz w:val="18"/>
              </w:rPr>
            </w:r>
          </w:p>
        </w:tc>
        <w:tc>
          <w:tcPr>
            <w:tcW w:w="1745" w:type="dxa"/>
            <w:tcBorders>
              <w:top w:val="single" w:sz="4" w:space="0" w:color="000000"/>
              <w:left w:val="nil" w:sz="6" w:space="0" w:color="auto"/>
              <w:bottom w:val="single" w:sz="4" w:space="0" w:color="000000"/>
              <w:right w:val="nil" w:sz="6" w:space="0" w:color="auto"/>
            </w:tcBorders>
          </w:tcPr>
          <w:p>
            <w:pPr>
              <w:pStyle w:val="TableParagraph"/>
              <w:spacing w:line="217" w:lineRule="exact"/>
              <w:ind w:right="74"/>
              <w:jc w:val="right"/>
              <w:rPr>
                <w:rFonts w:ascii="宋体" w:hAnsi="宋体" w:cs="宋体" w:eastAsia="宋体" w:hint="default"/>
                <w:sz w:val="18"/>
                <w:szCs w:val="18"/>
              </w:rPr>
            </w:pPr>
            <w:r>
              <w:rPr>
                <w:rFonts w:ascii="宋体"/>
                <w:spacing w:val="-1"/>
                <w:sz w:val="18"/>
              </w:rPr>
              <w:t>132,980,990.76</w:t>
            </w:r>
          </w:p>
        </w:tc>
        <w:tc>
          <w:tcPr>
            <w:tcW w:w="1038" w:type="dxa"/>
            <w:tcBorders>
              <w:top w:val="single" w:sz="4" w:space="0" w:color="000000"/>
              <w:left w:val="nil" w:sz="6" w:space="0" w:color="auto"/>
              <w:bottom w:val="single" w:sz="4" w:space="0" w:color="000000"/>
              <w:right w:val="nil" w:sz="6" w:space="0" w:color="auto"/>
            </w:tcBorders>
          </w:tcPr>
          <w:p>
            <w:pPr>
              <w:pStyle w:val="TableParagraph"/>
              <w:spacing w:line="217" w:lineRule="exact"/>
              <w:ind w:right="25"/>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single" w:sz="4" w:space="0" w:color="000000"/>
              <w:right w:val="nil" w:sz="6" w:space="0" w:color="auto"/>
            </w:tcBorders>
          </w:tcPr>
          <w:p>
            <w:pPr/>
          </w:p>
        </w:tc>
        <w:tc>
          <w:tcPr>
            <w:tcW w:w="852" w:type="dxa"/>
            <w:tcBorders>
              <w:top w:val="single" w:sz="4" w:space="0" w:color="000000"/>
              <w:left w:val="nil" w:sz="6" w:space="0" w:color="auto"/>
              <w:bottom w:val="single" w:sz="4" w:space="0" w:color="000000"/>
              <w:right w:val="nil" w:sz="6" w:space="0" w:color="auto"/>
            </w:tcBorders>
          </w:tcPr>
          <w:p>
            <w:pPr>
              <w:pStyle w:val="TableParagraph"/>
              <w:spacing w:line="217" w:lineRule="exact"/>
              <w:ind w:right="29"/>
              <w:jc w:val="right"/>
              <w:rPr>
                <w:rFonts w:ascii="宋体" w:hAnsi="宋体" w:cs="宋体" w:eastAsia="宋体" w:hint="default"/>
                <w:sz w:val="18"/>
                <w:szCs w:val="18"/>
              </w:rPr>
            </w:pPr>
            <w:r>
              <w:rPr>
                <w:rFonts w:ascii="宋体"/>
                <w:sz w:val="18"/>
              </w:rPr>
              <w:t>-</w:t>
            </w:r>
          </w:p>
        </w:tc>
        <w:tc>
          <w:tcPr>
            <w:tcW w:w="139" w:type="dxa"/>
            <w:tcBorders>
              <w:top w:val="nil" w:sz="6" w:space="0" w:color="auto"/>
              <w:left w:val="nil" w:sz="6" w:space="0" w:color="auto"/>
              <w:bottom w:val="single" w:sz="4" w:space="0" w:color="000000"/>
              <w:right w:val="nil" w:sz="6" w:space="0" w:color="auto"/>
            </w:tcBorders>
          </w:tcPr>
          <w:p>
            <w:pPr/>
          </w:p>
        </w:tc>
        <w:tc>
          <w:tcPr>
            <w:tcW w:w="1418" w:type="dxa"/>
            <w:tcBorders>
              <w:top w:val="single" w:sz="4" w:space="0" w:color="000000"/>
              <w:left w:val="nil" w:sz="6" w:space="0" w:color="auto"/>
              <w:bottom w:val="single" w:sz="4" w:space="0" w:color="000000"/>
              <w:right w:val="nil" w:sz="6" w:space="0" w:color="auto"/>
            </w:tcBorders>
          </w:tcPr>
          <w:p>
            <w:pPr>
              <w:pStyle w:val="TableParagraph"/>
              <w:spacing w:line="217" w:lineRule="exact"/>
              <w:ind w:right="21"/>
              <w:jc w:val="right"/>
              <w:rPr>
                <w:rFonts w:ascii="宋体" w:hAnsi="宋体" w:cs="宋体" w:eastAsia="宋体" w:hint="default"/>
                <w:sz w:val="18"/>
                <w:szCs w:val="18"/>
              </w:rPr>
            </w:pPr>
            <w:r>
              <w:rPr>
                <w:rFonts w:ascii="宋体"/>
                <w:spacing w:val="-1"/>
                <w:sz w:val="18"/>
              </w:rPr>
              <w:t>11,736,079.47</w:t>
            </w:r>
            <w:r>
              <w:rPr>
                <w:rFonts w:ascii="宋体"/>
                <w:sz w:val="18"/>
              </w:rPr>
            </w:r>
          </w:p>
        </w:tc>
        <w:tc>
          <w:tcPr>
            <w:tcW w:w="142" w:type="dxa"/>
            <w:tcBorders>
              <w:top w:val="nil" w:sz="6" w:space="0" w:color="auto"/>
              <w:left w:val="nil" w:sz="6" w:space="0" w:color="auto"/>
              <w:bottom w:val="single" w:sz="4" w:space="0" w:color="000000"/>
              <w:right w:val="nil" w:sz="6" w:space="0" w:color="auto"/>
            </w:tcBorders>
          </w:tcPr>
          <w:p>
            <w:pPr/>
          </w:p>
        </w:tc>
        <w:tc>
          <w:tcPr>
            <w:tcW w:w="1277" w:type="dxa"/>
            <w:tcBorders>
              <w:top w:val="single" w:sz="4" w:space="0" w:color="000000"/>
              <w:left w:val="nil" w:sz="6" w:space="0" w:color="auto"/>
              <w:bottom w:val="single" w:sz="4" w:space="0" w:color="000000"/>
              <w:right w:val="nil" w:sz="6" w:space="0" w:color="auto"/>
            </w:tcBorders>
          </w:tcPr>
          <w:p>
            <w:pPr>
              <w:pStyle w:val="TableParagraph"/>
              <w:spacing w:line="217" w:lineRule="exact"/>
              <w:ind w:right="29"/>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single" w:sz="4" w:space="0" w:color="000000"/>
              <w:right w:val="nil" w:sz="6" w:space="0" w:color="auto"/>
            </w:tcBorders>
          </w:tcPr>
          <w:p>
            <w:pPr/>
          </w:p>
        </w:tc>
        <w:tc>
          <w:tcPr>
            <w:tcW w:w="1418" w:type="dxa"/>
            <w:tcBorders>
              <w:top w:val="single" w:sz="4" w:space="0" w:color="000000"/>
              <w:left w:val="nil" w:sz="6" w:space="0" w:color="auto"/>
              <w:bottom w:val="single" w:sz="4" w:space="0" w:color="000000"/>
              <w:right w:val="nil" w:sz="6" w:space="0" w:color="auto"/>
            </w:tcBorders>
          </w:tcPr>
          <w:p>
            <w:pPr>
              <w:pStyle w:val="TableParagraph"/>
              <w:spacing w:line="217" w:lineRule="exact"/>
              <w:ind w:right="23"/>
              <w:jc w:val="right"/>
              <w:rPr>
                <w:rFonts w:ascii="宋体" w:hAnsi="宋体" w:cs="宋体" w:eastAsia="宋体" w:hint="default"/>
                <w:sz w:val="18"/>
                <w:szCs w:val="18"/>
              </w:rPr>
            </w:pPr>
            <w:r>
              <w:rPr>
                <w:rFonts w:ascii="宋体"/>
                <w:spacing w:val="-1"/>
                <w:sz w:val="18"/>
              </w:rPr>
              <w:t>81,024,715.27</w:t>
            </w:r>
          </w:p>
        </w:tc>
        <w:tc>
          <w:tcPr>
            <w:tcW w:w="144" w:type="dxa"/>
            <w:tcBorders>
              <w:top w:val="nil" w:sz="6" w:space="0" w:color="auto"/>
              <w:left w:val="nil" w:sz="6" w:space="0" w:color="auto"/>
              <w:bottom w:val="single" w:sz="4" w:space="0" w:color="000000"/>
              <w:right w:val="nil" w:sz="6" w:space="0" w:color="auto"/>
            </w:tcBorders>
          </w:tcPr>
          <w:p>
            <w:pPr/>
          </w:p>
        </w:tc>
        <w:tc>
          <w:tcPr>
            <w:tcW w:w="1555" w:type="dxa"/>
            <w:tcBorders>
              <w:top w:val="single" w:sz="4" w:space="0" w:color="000000"/>
              <w:left w:val="nil" w:sz="6" w:space="0" w:color="auto"/>
              <w:bottom w:val="single" w:sz="4" w:space="0" w:color="000000"/>
              <w:right w:val="nil" w:sz="6" w:space="0" w:color="auto"/>
            </w:tcBorders>
          </w:tcPr>
          <w:p>
            <w:pPr>
              <w:pStyle w:val="TableParagraph"/>
              <w:spacing w:line="217" w:lineRule="exact"/>
              <w:ind w:right="24"/>
              <w:jc w:val="right"/>
              <w:rPr>
                <w:rFonts w:ascii="宋体" w:hAnsi="宋体" w:cs="宋体" w:eastAsia="宋体" w:hint="default"/>
                <w:sz w:val="18"/>
                <w:szCs w:val="18"/>
              </w:rPr>
            </w:pPr>
            <w:r>
              <w:rPr>
                <w:rFonts w:ascii="宋体"/>
                <w:spacing w:val="-1"/>
                <w:sz w:val="18"/>
              </w:rPr>
              <w:t>313,741,785.50</w:t>
            </w:r>
            <w:r>
              <w:rPr>
                <w:rFonts w:ascii="宋体"/>
                <w:sz w:val="18"/>
              </w:rPr>
            </w:r>
          </w:p>
        </w:tc>
      </w:tr>
      <w:tr>
        <w:trPr>
          <w:trHeight w:val="264" w:hRule="exact"/>
        </w:trPr>
        <w:tc>
          <w:tcPr>
            <w:tcW w:w="108" w:type="dxa"/>
            <w:tcBorders>
              <w:top w:val="nil" w:sz="6" w:space="0" w:color="auto"/>
              <w:left w:val="nil" w:sz="6" w:space="0" w:color="auto"/>
              <w:bottom w:val="nil" w:sz="6" w:space="0" w:color="auto"/>
              <w:right w:val="nil" w:sz="6" w:space="0" w:color="auto"/>
            </w:tcBorders>
          </w:tcPr>
          <w:p>
            <w:pPr/>
          </w:p>
        </w:tc>
        <w:tc>
          <w:tcPr>
            <w:tcW w:w="3046" w:type="dxa"/>
            <w:tcBorders>
              <w:top w:val="nil" w:sz="6" w:space="0" w:color="auto"/>
              <w:left w:val="nil" w:sz="6" w:space="0" w:color="auto"/>
              <w:bottom w:val="nil" w:sz="6" w:space="0" w:color="auto"/>
              <w:right w:val="nil" w:sz="6" w:space="0" w:color="auto"/>
            </w:tcBorders>
          </w:tcPr>
          <w:p>
            <w:pPr>
              <w:pStyle w:val="TableParagraph"/>
              <w:spacing w:line="229" w:lineRule="exact"/>
              <w:ind w:left="28"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2598" w:type="dxa"/>
            <w:tcBorders>
              <w:top w:val="single" w:sz="4" w:space="0" w:color="000000"/>
              <w:left w:val="nil" w:sz="6" w:space="0" w:color="auto"/>
              <w:bottom w:val="nil" w:sz="6" w:space="0" w:color="auto"/>
              <w:right w:val="nil" w:sz="6" w:space="0" w:color="auto"/>
            </w:tcBorders>
          </w:tcPr>
          <w:p>
            <w:pPr>
              <w:pStyle w:val="TableParagraph"/>
              <w:spacing w:line="217" w:lineRule="exact"/>
              <w:ind w:right="137"/>
              <w:jc w:val="right"/>
              <w:rPr>
                <w:rFonts w:ascii="宋体" w:hAnsi="宋体" w:cs="宋体" w:eastAsia="宋体" w:hint="default"/>
                <w:sz w:val="18"/>
                <w:szCs w:val="18"/>
              </w:rPr>
            </w:pPr>
            <w:r>
              <w:rPr>
                <w:rFonts w:ascii="宋体"/>
                <w:sz w:val="18"/>
              </w:rPr>
              <w:t>-</w:t>
            </w:r>
          </w:p>
        </w:tc>
        <w:tc>
          <w:tcPr>
            <w:tcW w:w="1745" w:type="dxa"/>
            <w:tcBorders>
              <w:top w:val="single" w:sz="4" w:space="0" w:color="000000"/>
              <w:left w:val="nil" w:sz="6" w:space="0" w:color="auto"/>
              <w:bottom w:val="nil" w:sz="6" w:space="0" w:color="auto"/>
              <w:right w:val="nil" w:sz="6" w:space="0" w:color="auto"/>
            </w:tcBorders>
          </w:tcPr>
          <w:p>
            <w:pPr>
              <w:pStyle w:val="TableParagraph"/>
              <w:spacing w:line="217" w:lineRule="exact"/>
              <w:ind w:right="77"/>
              <w:jc w:val="right"/>
              <w:rPr>
                <w:rFonts w:ascii="宋体" w:hAnsi="宋体" w:cs="宋体" w:eastAsia="宋体" w:hint="default"/>
                <w:sz w:val="18"/>
                <w:szCs w:val="18"/>
              </w:rPr>
            </w:pPr>
            <w:r>
              <w:rPr>
                <w:rFonts w:ascii="宋体"/>
                <w:sz w:val="18"/>
              </w:rPr>
              <w:t>-</w:t>
            </w:r>
          </w:p>
        </w:tc>
        <w:tc>
          <w:tcPr>
            <w:tcW w:w="1038" w:type="dxa"/>
            <w:tcBorders>
              <w:top w:val="single" w:sz="4" w:space="0" w:color="000000"/>
              <w:left w:val="nil" w:sz="6" w:space="0" w:color="auto"/>
              <w:bottom w:val="nil" w:sz="6" w:space="0" w:color="auto"/>
              <w:right w:val="nil" w:sz="6" w:space="0" w:color="auto"/>
            </w:tcBorders>
          </w:tcPr>
          <w:p>
            <w:pPr>
              <w:pStyle w:val="TableParagraph"/>
              <w:spacing w:line="217" w:lineRule="exact"/>
              <w:ind w:right="25"/>
              <w:jc w:val="right"/>
              <w:rPr>
                <w:rFonts w:ascii="宋体" w:hAnsi="宋体" w:cs="宋体" w:eastAsia="宋体" w:hint="default"/>
                <w:sz w:val="18"/>
                <w:szCs w:val="18"/>
              </w:rPr>
            </w:pPr>
            <w:r>
              <w:rPr>
                <w:rFonts w:ascii="宋体"/>
                <w:sz w:val="18"/>
              </w:rPr>
              <w:t>-</w:t>
            </w:r>
          </w:p>
        </w:tc>
        <w:tc>
          <w:tcPr>
            <w:tcW w:w="142" w:type="dxa"/>
            <w:tcBorders>
              <w:top w:val="single" w:sz="4" w:space="0" w:color="000000"/>
              <w:left w:val="nil" w:sz="6" w:space="0" w:color="auto"/>
              <w:bottom w:val="nil" w:sz="6" w:space="0" w:color="auto"/>
              <w:right w:val="nil" w:sz="6" w:space="0" w:color="auto"/>
            </w:tcBorders>
          </w:tcPr>
          <w:p>
            <w:pPr/>
          </w:p>
        </w:tc>
        <w:tc>
          <w:tcPr>
            <w:tcW w:w="852" w:type="dxa"/>
            <w:tcBorders>
              <w:top w:val="single" w:sz="4" w:space="0" w:color="000000"/>
              <w:left w:val="nil" w:sz="6" w:space="0" w:color="auto"/>
              <w:bottom w:val="nil" w:sz="6" w:space="0" w:color="auto"/>
              <w:right w:val="nil" w:sz="6" w:space="0" w:color="auto"/>
            </w:tcBorders>
          </w:tcPr>
          <w:p>
            <w:pPr>
              <w:pStyle w:val="TableParagraph"/>
              <w:spacing w:line="217" w:lineRule="exact"/>
              <w:ind w:right="29"/>
              <w:jc w:val="right"/>
              <w:rPr>
                <w:rFonts w:ascii="宋体" w:hAnsi="宋体" w:cs="宋体" w:eastAsia="宋体" w:hint="default"/>
                <w:sz w:val="18"/>
                <w:szCs w:val="18"/>
              </w:rPr>
            </w:pPr>
            <w:r>
              <w:rPr>
                <w:rFonts w:ascii="宋体"/>
                <w:sz w:val="18"/>
              </w:rPr>
              <w:t>-</w:t>
            </w:r>
          </w:p>
        </w:tc>
        <w:tc>
          <w:tcPr>
            <w:tcW w:w="139" w:type="dxa"/>
            <w:tcBorders>
              <w:top w:val="single" w:sz="4" w:space="0" w:color="000000"/>
              <w:left w:val="nil" w:sz="6" w:space="0" w:color="auto"/>
              <w:bottom w:val="nil" w:sz="6" w:space="0" w:color="auto"/>
              <w:right w:val="nil" w:sz="6" w:space="0" w:color="auto"/>
            </w:tcBorders>
          </w:tcPr>
          <w:p>
            <w:pPr/>
          </w:p>
        </w:tc>
        <w:tc>
          <w:tcPr>
            <w:tcW w:w="1418" w:type="dxa"/>
            <w:tcBorders>
              <w:top w:val="single" w:sz="4" w:space="0" w:color="000000"/>
              <w:left w:val="nil" w:sz="6" w:space="0" w:color="auto"/>
              <w:bottom w:val="nil" w:sz="6" w:space="0" w:color="auto"/>
              <w:right w:val="nil" w:sz="6" w:space="0" w:color="auto"/>
            </w:tcBorders>
          </w:tcPr>
          <w:p>
            <w:pPr>
              <w:pStyle w:val="TableParagraph"/>
              <w:spacing w:line="217" w:lineRule="exact"/>
              <w:ind w:right="25"/>
              <w:jc w:val="right"/>
              <w:rPr>
                <w:rFonts w:ascii="宋体" w:hAnsi="宋体" w:cs="宋体" w:eastAsia="宋体" w:hint="default"/>
                <w:sz w:val="18"/>
                <w:szCs w:val="18"/>
              </w:rPr>
            </w:pPr>
            <w:r>
              <w:rPr>
                <w:rFonts w:ascii="宋体"/>
                <w:sz w:val="18"/>
              </w:rPr>
              <w:t>-</w:t>
            </w:r>
          </w:p>
        </w:tc>
        <w:tc>
          <w:tcPr>
            <w:tcW w:w="142" w:type="dxa"/>
            <w:tcBorders>
              <w:top w:val="single" w:sz="4" w:space="0" w:color="000000"/>
              <w:left w:val="nil" w:sz="6" w:space="0" w:color="auto"/>
              <w:bottom w:val="nil" w:sz="6" w:space="0" w:color="auto"/>
              <w:right w:val="nil" w:sz="6" w:space="0" w:color="auto"/>
            </w:tcBorders>
          </w:tcPr>
          <w:p>
            <w:pPr/>
          </w:p>
        </w:tc>
        <w:tc>
          <w:tcPr>
            <w:tcW w:w="1277" w:type="dxa"/>
            <w:tcBorders>
              <w:top w:val="single" w:sz="4" w:space="0" w:color="000000"/>
              <w:left w:val="nil" w:sz="6" w:space="0" w:color="auto"/>
              <w:bottom w:val="nil" w:sz="6" w:space="0" w:color="auto"/>
              <w:right w:val="nil" w:sz="6" w:space="0" w:color="auto"/>
            </w:tcBorders>
          </w:tcPr>
          <w:p>
            <w:pPr>
              <w:pStyle w:val="TableParagraph"/>
              <w:spacing w:line="217" w:lineRule="exact"/>
              <w:ind w:right="29"/>
              <w:jc w:val="right"/>
              <w:rPr>
                <w:rFonts w:ascii="宋体" w:hAnsi="宋体" w:cs="宋体" w:eastAsia="宋体" w:hint="default"/>
                <w:sz w:val="18"/>
                <w:szCs w:val="18"/>
              </w:rPr>
            </w:pPr>
            <w:r>
              <w:rPr>
                <w:rFonts w:ascii="宋体"/>
                <w:sz w:val="18"/>
              </w:rPr>
              <w:t>-</w:t>
            </w:r>
          </w:p>
        </w:tc>
        <w:tc>
          <w:tcPr>
            <w:tcW w:w="142" w:type="dxa"/>
            <w:tcBorders>
              <w:top w:val="single" w:sz="4" w:space="0" w:color="000000"/>
              <w:left w:val="nil" w:sz="6" w:space="0" w:color="auto"/>
              <w:bottom w:val="nil" w:sz="6" w:space="0" w:color="auto"/>
              <w:right w:val="nil" w:sz="6" w:space="0" w:color="auto"/>
            </w:tcBorders>
          </w:tcPr>
          <w:p>
            <w:pPr/>
          </w:p>
        </w:tc>
        <w:tc>
          <w:tcPr>
            <w:tcW w:w="1418" w:type="dxa"/>
            <w:tcBorders>
              <w:top w:val="single" w:sz="4" w:space="0" w:color="000000"/>
              <w:left w:val="nil" w:sz="6" w:space="0" w:color="auto"/>
              <w:bottom w:val="nil" w:sz="6" w:space="0" w:color="auto"/>
              <w:right w:val="nil" w:sz="6" w:space="0" w:color="auto"/>
            </w:tcBorders>
          </w:tcPr>
          <w:p>
            <w:pPr>
              <w:pStyle w:val="TableParagraph"/>
              <w:spacing w:line="217" w:lineRule="exact"/>
              <w:ind w:right="25"/>
              <w:jc w:val="right"/>
              <w:rPr>
                <w:rFonts w:ascii="宋体" w:hAnsi="宋体" w:cs="宋体" w:eastAsia="宋体" w:hint="default"/>
                <w:sz w:val="18"/>
                <w:szCs w:val="18"/>
              </w:rPr>
            </w:pPr>
            <w:r>
              <w:rPr>
                <w:rFonts w:ascii="宋体"/>
                <w:sz w:val="18"/>
              </w:rPr>
              <w:t>-</w:t>
            </w:r>
          </w:p>
        </w:tc>
        <w:tc>
          <w:tcPr>
            <w:tcW w:w="144" w:type="dxa"/>
            <w:tcBorders>
              <w:top w:val="single" w:sz="4" w:space="0" w:color="000000"/>
              <w:left w:val="nil" w:sz="6" w:space="0" w:color="auto"/>
              <w:bottom w:val="nil" w:sz="6" w:space="0" w:color="auto"/>
              <w:right w:val="nil" w:sz="6" w:space="0" w:color="auto"/>
            </w:tcBorders>
          </w:tcPr>
          <w:p>
            <w:pPr/>
          </w:p>
        </w:tc>
        <w:tc>
          <w:tcPr>
            <w:tcW w:w="1555" w:type="dxa"/>
            <w:tcBorders>
              <w:top w:val="single" w:sz="4" w:space="0" w:color="000000"/>
              <w:left w:val="nil" w:sz="6" w:space="0" w:color="auto"/>
              <w:bottom w:val="nil" w:sz="6" w:space="0" w:color="auto"/>
              <w:right w:val="nil" w:sz="6" w:space="0" w:color="auto"/>
            </w:tcBorders>
          </w:tcPr>
          <w:p>
            <w:pPr>
              <w:pStyle w:val="TableParagraph"/>
              <w:spacing w:line="217" w:lineRule="exact"/>
              <w:ind w:right="25"/>
              <w:jc w:val="right"/>
              <w:rPr>
                <w:rFonts w:ascii="宋体" w:hAnsi="宋体" w:cs="宋体" w:eastAsia="宋体" w:hint="default"/>
                <w:sz w:val="18"/>
                <w:szCs w:val="18"/>
              </w:rPr>
            </w:pPr>
            <w:r>
              <w:rPr>
                <w:rFonts w:ascii="宋体"/>
                <w:sz w:val="18"/>
              </w:rPr>
              <w:t>-</w:t>
            </w:r>
          </w:p>
        </w:tc>
      </w:tr>
      <w:tr>
        <w:trPr>
          <w:trHeight w:val="257" w:hRule="exact"/>
        </w:trPr>
        <w:tc>
          <w:tcPr>
            <w:tcW w:w="108" w:type="dxa"/>
            <w:tcBorders>
              <w:top w:val="nil" w:sz="6" w:space="0" w:color="auto"/>
              <w:left w:val="nil" w:sz="6" w:space="0" w:color="auto"/>
              <w:bottom w:val="nil" w:sz="6" w:space="0" w:color="auto"/>
              <w:right w:val="nil" w:sz="6" w:space="0" w:color="auto"/>
            </w:tcBorders>
          </w:tcPr>
          <w:p>
            <w:pPr/>
          </w:p>
        </w:tc>
        <w:tc>
          <w:tcPr>
            <w:tcW w:w="3046" w:type="dxa"/>
            <w:tcBorders>
              <w:top w:val="nil" w:sz="6" w:space="0" w:color="auto"/>
              <w:left w:val="nil" w:sz="6" w:space="0" w:color="auto"/>
              <w:bottom w:val="nil" w:sz="6" w:space="0" w:color="auto"/>
              <w:right w:val="nil" w:sz="6" w:space="0" w:color="auto"/>
            </w:tcBorders>
          </w:tcPr>
          <w:p>
            <w:pPr>
              <w:pStyle w:val="TableParagraph"/>
              <w:spacing w:line="222" w:lineRule="exact"/>
              <w:ind w:left="39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2598" w:type="dxa"/>
            <w:tcBorders>
              <w:top w:val="nil" w:sz="6" w:space="0" w:color="auto"/>
              <w:left w:val="nil" w:sz="6" w:space="0" w:color="auto"/>
              <w:bottom w:val="nil" w:sz="6" w:space="0" w:color="auto"/>
              <w:right w:val="nil" w:sz="6" w:space="0" w:color="auto"/>
            </w:tcBorders>
          </w:tcPr>
          <w:p>
            <w:pPr>
              <w:pStyle w:val="TableParagraph"/>
              <w:spacing w:line="215" w:lineRule="exact"/>
              <w:ind w:right="137"/>
              <w:jc w:val="right"/>
              <w:rPr>
                <w:rFonts w:ascii="宋体" w:hAnsi="宋体" w:cs="宋体" w:eastAsia="宋体" w:hint="default"/>
                <w:sz w:val="18"/>
                <w:szCs w:val="18"/>
              </w:rPr>
            </w:pPr>
            <w:r>
              <w:rPr>
                <w:rFonts w:ascii="宋体"/>
                <w:sz w:val="18"/>
              </w:rPr>
              <w:t>-</w:t>
            </w:r>
          </w:p>
        </w:tc>
        <w:tc>
          <w:tcPr>
            <w:tcW w:w="1745" w:type="dxa"/>
            <w:tcBorders>
              <w:top w:val="nil" w:sz="6" w:space="0" w:color="auto"/>
              <w:left w:val="nil" w:sz="6" w:space="0" w:color="auto"/>
              <w:bottom w:val="nil" w:sz="6" w:space="0" w:color="auto"/>
              <w:right w:val="nil" w:sz="6" w:space="0" w:color="auto"/>
            </w:tcBorders>
          </w:tcPr>
          <w:p>
            <w:pPr>
              <w:pStyle w:val="TableParagraph"/>
              <w:spacing w:line="215" w:lineRule="exact"/>
              <w:ind w:right="77"/>
              <w:jc w:val="right"/>
              <w:rPr>
                <w:rFonts w:ascii="宋体" w:hAnsi="宋体" w:cs="宋体" w:eastAsia="宋体" w:hint="default"/>
                <w:sz w:val="18"/>
                <w:szCs w:val="18"/>
              </w:rPr>
            </w:pPr>
            <w:r>
              <w:rPr>
                <w:rFonts w:ascii="宋体"/>
                <w:sz w:val="18"/>
              </w:rPr>
              <w:t>-</w:t>
            </w:r>
          </w:p>
        </w:tc>
        <w:tc>
          <w:tcPr>
            <w:tcW w:w="1038" w:type="dxa"/>
            <w:tcBorders>
              <w:top w:val="nil" w:sz="6" w:space="0" w:color="auto"/>
              <w:left w:val="nil" w:sz="6" w:space="0" w:color="auto"/>
              <w:bottom w:val="nil" w:sz="6" w:space="0" w:color="auto"/>
              <w:right w:val="nil" w:sz="6" w:space="0" w:color="auto"/>
            </w:tcBorders>
          </w:tcPr>
          <w:p>
            <w:pPr>
              <w:pStyle w:val="TableParagraph"/>
              <w:spacing w:line="215" w:lineRule="exact"/>
              <w:ind w:right="25"/>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852" w:type="dxa"/>
            <w:tcBorders>
              <w:top w:val="nil" w:sz="6" w:space="0" w:color="auto"/>
              <w:left w:val="nil" w:sz="6" w:space="0" w:color="auto"/>
              <w:bottom w:val="nil" w:sz="6" w:space="0" w:color="auto"/>
              <w:right w:val="nil" w:sz="6" w:space="0" w:color="auto"/>
            </w:tcBorders>
          </w:tcPr>
          <w:p>
            <w:pPr>
              <w:pStyle w:val="TableParagraph"/>
              <w:spacing w:line="215" w:lineRule="exact"/>
              <w:ind w:right="29"/>
              <w:jc w:val="right"/>
              <w:rPr>
                <w:rFonts w:ascii="宋体" w:hAnsi="宋体" w:cs="宋体" w:eastAsia="宋体" w:hint="default"/>
                <w:sz w:val="18"/>
                <w:szCs w:val="18"/>
              </w:rPr>
            </w:pPr>
            <w:r>
              <w:rPr>
                <w:rFonts w:ascii="宋体"/>
                <w:sz w:val="18"/>
              </w:rPr>
              <w:t>-</w:t>
            </w:r>
          </w:p>
        </w:tc>
        <w:tc>
          <w:tcPr>
            <w:tcW w:w="139"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15" w:lineRule="exact"/>
              <w:ind w:right="25"/>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15" w:lineRule="exact"/>
              <w:ind w:right="29"/>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15" w:lineRule="exact"/>
              <w:ind w:right="25"/>
              <w:jc w:val="right"/>
              <w:rPr>
                <w:rFonts w:ascii="宋体" w:hAnsi="宋体" w:cs="宋体" w:eastAsia="宋体" w:hint="default"/>
                <w:sz w:val="18"/>
                <w:szCs w:val="18"/>
              </w:rPr>
            </w:pPr>
            <w:r>
              <w:rPr>
                <w:rFonts w:ascii="宋体"/>
                <w:sz w:val="18"/>
              </w:rPr>
              <w:t>-</w:t>
            </w:r>
          </w:p>
        </w:tc>
        <w:tc>
          <w:tcPr>
            <w:tcW w:w="144"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Style w:val="TableParagraph"/>
              <w:spacing w:line="215" w:lineRule="exact"/>
              <w:ind w:right="25"/>
              <w:jc w:val="right"/>
              <w:rPr>
                <w:rFonts w:ascii="宋体" w:hAnsi="宋体" w:cs="宋体" w:eastAsia="宋体" w:hint="default"/>
                <w:sz w:val="18"/>
                <w:szCs w:val="18"/>
              </w:rPr>
            </w:pPr>
            <w:r>
              <w:rPr>
                <w:rFonts w:ascii="宋体"/>
                <w:sz w:val="18"/>
              </w:rPr>
              <w:t>-</w:t>
            </w:r>
          </w:p>
        </w:tc>
      </w:tr>
      <w:tr>
        <w:trPr>
          <w:trHeight w:val="259" w:hRule="exact"/>
        </w:trPr>
        <w:tc>
          <w:tcPr>
            <w:tcW w:w="108" w:type="dxa"/>
            <w:tcBorders>
              <w:top w:val="nil" w:sz="6" w:space="0" w:color="auto"/>
              <w:left w:val="nil" w:sz="6" w:space="0" w:color="auto"/>
              <w:bottom w:val="nil" w:sz="6" w:space="0" w:color="auto"/>
              <w:right w:val="nil" w:sz="6" w:space="0" w:color="auto"/>
            </w:tcBorders>
          </w:tcPr>
          <w:p>
            <w:pPr/>
          </w:p>
        </w:tc>
        <w:tc>
          <w:tcPr>
            <w:tcW w:w="3046" w:type="dxa"/>
            <w:tcBorders>
              <w:top w:val="nil" w:sz="6" w:space="0" w:color="auto"/>
              <w:left w:val="nil" w:sz="6" w:space="0" w:color="auto"/>
              <w:bottom w:val="nil" w:sz="6" w:space="0" w:color="auto"/>
              <w:right w:val="nil" w:sz="6" w:space="0" w:color="auto"/>
            </w:tcBorders>
          </w:tcPr>
          <w:p>
            <w:pPr>
              <w:pStyle w:val="TableParagraph"/>
              <w:spacing w:line="224" w:lineRule="exact"/>
              <w:ind w:left="28" w:right="0"/>
              <w:jc w:val="left"/>
              <w:rPr>
                <w:rFonts w:ascii="宋体" w:hAnsi="宋体" w:cs="宋体" w:eastAsia="宋体" w:hint="default"/>
                <w:sz w:val="18"/>
                <w:szCs w:val="18"/>
              </w:rPr>
            </w:pPr>
            <w:r>
              <w:rPr>
                <w:rFonts w:ascii="宋体" w:hAnsi="宋体" w:cs="宋体" w:eastAsia="宋体" w:hint="default"/>
                <w:b/>
                <w:bCs/>
                <w:sz w:val="18"/>
                <w:szCs w:val="18"/>
              </w:rPr>
              <w:t>二、本年年初余额</w:t>
            </w:r>
            <w:r>
              <w:rPr>
                <w:rFonts w:ascii="宋体" w:hAnsi="宋体" w:cs="宋体" w:eastAsia="宋体" w:hint="default"/>
                <w:sz w:val="18"/>
                <w:szCs w:val="18"/>
              </w:rPr>
            </w:r>
          </w:p>
        </w:tc>
        <w:tc>
          <w:tcPr>
            <w:tcW w:w="2598" w:type="dxa"/>
            <w:tcBorders>
              <w:top w:val="nil" w:sz="6" w:space="0" w:color="auto"/>
              <w:left w:val="nil" w:sz="6" w:space="0" w:color="auto"/>
              <w:bottom w:val="single" w:sz="4" w:space="0" w:color="000000"/>
              <w:right w:val="nil" w:sz="6" w:space="0" w:color="auto"/>
            </w:tcBorders>
          </w:tcPr>
          <w:p>
            <w:pPr>
              <w:pStyle w:val="TableParagraph"/>
              <w:spacing w:line="215" w:lineRule="exact"/>
              <w:ind w:right="133"/>
              <w:jc w:val="right"/>
              <w:rPr>
                <w:rFonts w:ascii="宋体" w:hAnsi="宋体" w:cs="宋体" w:eastAsia="宋体" w:hint="default"/>
                <w:sz w:val="18"/>
                <w:szCs w:val="18"/>
              </w:rPr>
            </w:pPr>
            <w:r>
              <w:rPr>
                <w:rFonts w:ascii="宋体"/>
                <w:spacing w:val="-1"/>
                <w:sz w:val="18"/>
              </w:rPr>
              <w:t>88,000,000.00</w:t>
            </w:r>
            <w:r>
              <w:rPr>
                <w:rFonts w:ascii="宋体"/>
                <w:sz w:val="18"/>
              </w:rPr>
            </w:r>
          </w:p>
        </w:tc>
        <w:tc>
          <w:tcPr>
            <w:tcW w:w="1745" w:type="dxa"/>
            <w:tcBorders>
              <w:top w:val="nil" w:sz="6" w:space="0" w:color="auto"/>
              <w:left w:val="nil" w:sz="6" w:space="0" w:color="auto"/>
              <w:bottom w:val="single" w:sz="4" w:space="0" w:color="000000"/>
              <w:right w:val="nil" w:sz="6" w:space="0" w:color="auto"/>
            </w:tcBorders>
          </w:tcPr>
          <w:p>
            <w:pPr>
              <w:pStyle w:val="TableParagraph"/>
              <w:spacing w:line="215" w:lineRule="exact"/>
              <w:ind w:right="74"/>
              <w:jc w:val="right"/>
              <w:rPr>
                <w:rFonts w:ascii="宋体" w:hAnsi="宋体" w:cs="宋体" w:eastAsia="宋体" w:hint="default"/>
                <w:sz w:val="18"/>
                <w:szCs w:val="18"/>
              </w:rPr>
            </w:pPr>
            <w:r>
              <w:rPr>
                <w:rFonts w:ascii="宋体"/>
                <w:spacing w:val="-1"/>
                <w:sz w:val="18"/>
              </w:rPr>
              <w:t>132,980,990.76</w:t>
            </w:r>
          </w:p>
        </w:tc>
        <w:tc>
          <w:tcPr>
            <w:tcW w:w="1038" w:type="dxa"/>
            <w:tcBorders>
              <w:top w:val="nil" w:sz="6" w:space="0" w:color="auto"/>
              <w:left w:val="nil" w:sz="6" w:space="0" w:color="auto"/>
              <w:bottom w:val="single" w:sz="4" w:space="0" w:color="000000"/>
              <w:right w:val="nil" w:sz="6" w:space="0" w:color="auto"/>
            </w:tcBorders>
          </w:tcPr>
          <w:p>
            <w:pPr>
              <w:pStyle w:val="TableParagraph"/>
              <w:spacing w:line="215" w:lineRule="exact"/>
              <w:ind w:right="25"/>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852" w:type="dxa"/>
            <w:tcBorders>
              <w:top w:val="nil" w:sz="6" w:space="0" w:color="auto"/>
              <w:left w:val="nil" w:sz="6" w:space="0" w:color="auto"/>
              <w:bottom w:val="single" w:sz="4" w:space="0" w:color="000000"/>
              <w:right w:val="nil" w:sz="6" w:space="0" w:color="auto"/>
            </w:tcBorders>
          </w:tcPr>
          <w:p>
            <w:pPr>
              <w:pStyle w:val="TableParagraph"/>
              <w:spacing w:line="215" w:lineRule="exact"/>
              <w:ind w:right="29"/>
              <w:jc w:val="right"/>
              <w:rPr>
                <w:rFonts w:ascii="宋体" w:hAnsi="宋体" w:cs="宋体" w:eastAsia="宋体" w:hint="default"/>
                <w:sz w:val="18"/>
                <w:szCs w:val="18"/>
              </w:rPr>
            </w:pPr>
            <w:r>
              <w:rPr>
                <w:rFonts w:ascii="宋体"/>
                <w:sz w:val="18"/>
              </w:rPr>
              <w:t>-</w:t>
            </w:r>
          </w:p>
        </w:tc>
        <w:tc>
          <w:tcPr>
            <w:tcW w:w="139"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single" w:sz="4" w:space="0" w:color="000000"/>
              <w:right w:val="nil" w:sz="6" w:space="0" w:color="auto"/>
            </w:tcBorders>
          </w:tcPr>
          <w:p>
            <w:pPr>
              <w:pStyle w:val="TableParagraph"/>
              <w:spacing w:line="215" w:lineRule="exact"/>
              <w:ind w:right="21"/>
              <w:jc w:val="right"/>
              <w:rPr>
                <w:rFonts w:ascii="宋体" w:hAnsi="宋体" w:cs="宋体" w:eastAsia="宋体" w:hint="default"/>
                <w:sz w:val="18"/>
                <w:szCs w:val="18"/>
              </w:rPr>
            </w:pPr>
            <w:r>
              <w:rPr>
                <w:rFonts w:ascii="宋体"/>
                <w:spacing w:val="-1"/>
                <w:sz w:val="18"/>
              </w:rPr>
              <w:t>11,736,079.47</w:t>
            </w:r>
            <w:r>
              <w:rPr>
                <w:rFonts w:ascii="宋体"/>
                <w:sz w:val="18"/>
              </w:rPr>
            </w:r>
          </w:p>
        </w:tc>
        <w:tc>
          <w:tcPr>
            <w:tcW w:w="142"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single" w:sz="4" w:space="0" w:color="000000"/>
              <w:right w:val="nil" w:sz="6" w:space="0" w:color="auto"/>
            </w:tcBorders>
          </w:tcPr>
          <w:p>
            <w:pPr>
              <w:pStyle w:val="TableParagraph"/>
              <w:spacing w:line="215" w:lineRule="exact"/>
              <w:ind w:right="29"/>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single" w:sz="4" w:space="0" w:color="000000"/>
              <w:right w:val="nil" w:sz="6" w:space="0" w:color="auto"/>
            </w:tcBorders>
          </w:tcPr>
          <w:p>
            <w:pPr>
              <w:pStyle w:val="TableParagraph"/>
              <w:spacing w:line="215" w:lineRule="exact"/>
              <w:ind w:right="21"/>
              <w:jc w:val="right"/>
              <w:rPr>
                <w:rFonts w:ascii="宋体" w:hAnsi="宋体" w:cs="宋体" w:eastAsia="宋体" w:hint="default"/>
                <w:sz w:val="18"/>
                <w:szCs w:val="18"/>
              </w:rPr>
            </w:pPr>
            <w:r>
              <w:rPr>
                <w:rFonts w:ascii="宋体"/>
                <w:spacing w:val="-1"/>
                <w:sz w:val="18"/>
              </w:rPr>
              <w:t>81,024,715.27</w:t>
            </w:r>
            <w:r>
              <w:rPr>
                <w:rFonts w:ascii="宋体"/>
                <w:sz w:val="18"/>
              </w:rPr>
            </w:r>
          </w:p>
        </w:tc>
        <w:tc>
          <w:tcPr>
            <w:tcW w:w="144"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single" w:sz="4" w:space="0" w:color="000000"/>
              <w:right w:val="nil" w:sz="6" w:space="0" w:color="auto"/>
            </w:tcBorders>
          </w:tcPr>
          <w:p>
            <w:pPr>
              <w:pStyle w:val="TableParagraph"/>
              <w:spacing w:line="215" w:lineRule="exact"/>
              <w:ind w:right="24"/>
              <w:jc w:val="right"/>
              <w:rPr>
                <w:rFonts w:ascii="宋体" w:hAnsi="宋体" w:cs="宋体" w:eastAsia="宋体" w:hint="default"/>
                <w:sz w:val="18"/>
                <w:szCs w:val="18"/>
              </w:rPr>
            </w:pPr>
            <w:r>
              <w:rPr>
                <w:rFonts w:ascii="宋体"/>
                <w:spacing w:val="-1"/>
                <w:sz w:val="18"/>
              </w:rPr>
              <w:t>313,741,785.50</w:t>
            </w:r>
            <w:r>
              <w:rPr>
                <w:rFonts w:ascii="宋体"/>
                <w:sz w:val="18"/>
              </w:rPr>
            </w:r>
          </w:p>
        </w:tc>
      </w:tr>
      <w:tr>
        <w:trPr>
          <w:trHeight w:val="266" w:hRule="exact"/>
        </w:trPr>
        <w:tc>
          <w:tcPr>
            <w:tcW w:w="108" w:type="dxa"/>
            <w:tcBorders>
              <w:top w:val="nil" w:sz="6" w:space="0" w:color="auto"/>
              <w:left w:val="nil" w:sz="6" w:space="0" w:color="auto"/>
              <w:bottom w:val="nil" w:sz="6" w:space="0" w:color="auto"/>
              <w:right w:val="nil" w:sz="6" w:space="0" w:color="auto"/>
            </w:tcBorders>
          </w:tcPr>
          <w:p>
            <w:pPr/>
          </w:p>
        </w:tc>
        <w:tc>
          <w:tcPr>
            <w:tcW w:w="3046" w:type="dxa"/>
            <w:tcBorders>
              <w:top w:val="nil" w:sz="6" w:space="0" w:color="auto"/>
              <w:left w:val="nil" w:sz="6" w:space="0" w:color="auto"/>
              <w:bottom w:val="nil" w:sz="6" w:space="0" w:color="auto"/>
              <w:right w:val="nil" w:sz="6" w:space="0" w:color="auto"/>
            </w:tcBorders>
          </w:tcPr>
          <w:p>
            <w:pPr>
              <w:pStyle w:val="TableParagraph"/>
              <w:spacing w:line="232" w:lineRule="exact"/>
              <w:ind w:left="28" w:right="0"/>
              <w:jc w:val="left"/>
              <w:rPr>
                <w:rFonts w:ascii="宋体" w:hAnsi="宋体" w:cs="宋体" w:eastAsia="宋体" w:hint="default"/>
                <w:sz w:val="18"/>
                <w:szCs w:val="18"/>
              </w:rPr>
            </w:pPr>
            <w:r>
              <w:rPr>
                <w:rFonts w:ascii="宋体" w:hAnsi="宋体" w:cs="宋体" w:eastAsia="宋体" w:hint="default"/>
                <w:b/>
                <w:bCs/>
                <w:sz w:val="18"/>
                <w:szCs w:val="18"/>
              </w:rPr>
              <w:t>三、本年增减变动金额</w:t>
            </w:r>
            <w:r>
              <w:rPr>
                <w:rFonts w:ascii="宋体" w:hAnsi="宋体" w:cs="宋体" w:eastAsia="宋体" w:hint="default"/>
                <w:sz w:val="18"/>
                <w:szCs w:val="18"/>
              </w:rPr>
            </w:r>
          </w:p>
        </w:tc>
        <w:tc>
          <w:tcPr>
            <w:tcW w:w="2598" w:type="dxa"/>
            <w:tcBorders>
              <w:top w:val="single" w:sz="4" w:space="0" w:color="000000"/>
              <w:left w:val="nil" w:sz="6" w:space="0" w:color="auto"/>
              <w:bottom w:val="single" w:sz="4" w:space="0" w:color="000000"/>
              <w:right w:val="nil" w:sz="6" w:space="0" w:color="auto"/>
            </w:tcBorders>
          </w:tcPr>
          <w:p>
            <w:pPr>
              <w:pStyle w:val="TableParagraph"/>
              <w:spacing w:line="217" w:lineRule="exact"/>
              <w:ind w:right="133"/>
              <w:jc w:val="right"/>
              <w:rPr>
                <w:rFonts w:ascii="宋体" w:hAnsi="宋体" w:cs="宋体" w:eastAsia="宋体" w:hint="default"/>
                <w:sz w:val="18"/>
                <w:szCs w:val="18"/>
              </w:rPr>
            </w:pPr>
            <w:r>
              <w:rPr>
                <w:rFonts w:ascii="宋体"/>
                <w:spacing w:val="-1"/>
                <w:sz w:val="18"/>
              </w:rPr>
              <w:t>70,400,000.00</w:t>
            </w:r>
            <w:r>
              <w:rPr>
                <w:rFonts w:ascii="宋体"/>
                <w:sz w:val="18"/>
              </w:rPr>
            </w:r>
          </w:p>
        </w:tc>
        <w:tc>
          <w:tcPr>
            <w:tcW w:w="1745" w:type="dxa"/>
            <w:tcBorders>
              <w:top w:val="single" w:sz="4" w:space="0" w:color="000000"/>
              <w:left w:val="nil" w:sz="6" w:space="0" w:color="auto"/>
              <w:bottom w:val="single" w:sz="4" w:space="0" w:color="000000"/>
              <w:right w:val="nil" w:sz="6" w:space="0" w:color="auto"/>
            </w:tcBorders>
          </w:tcPr>
          <w:p>
            <w:pPr>
              <w:pStyle w:val="TableParagraph"/>
              <w:spacing w:line="217" w:lineRule="exact"/>
              <w:ind w:right="73"/>
              <w:jc w:val="right"/>
              <w:rPr>
                <w:rFonts w:ascii="宋体" w:hAnsi="宋体" w:cs="宋体" w:eastAsia="宋体" w:hint="default"/>
                <w:sz w:val="18"/>
                <w:szCs w:val="18"/>
              </w:rPr>
            </w:pPr>
            <w:r>
              <w:rPr>
                <w:rFonts w:ascii="宋体" w:hAnsi="宋体" w:cs="宋体" w:eastAsia="宋体" w:hint="default"/>
                <w:spacing w:val="-1"/>
                <w:sz w:val="18"/>
                <w:szCs w:val="18"/>
              </w:rPr>
              <w:t>（</w:t>
            </w:r>
            <w:r>
              <w:rPr>
                <w:rFonts w:ascii="宋体" w:hAnsi="宋体" w:cs="宋体" w:eastAsia="宋体" w:hint="default"/>
                <w:spacing w:val="-1"/>
                <w:sz w:val="18"/>
                <w:szCs w:val="18"/>
              </w:rPr>
              <w:t>70,400,000.00</w:t>
            </w:r>
            <w:r>
              <w:rPr>
                <w:rFonts w:ascii="宋体" w:hAnsi="宋体" w:cs="宋体" w:eastAsia="宋体" w:hint="default"/>
                <w:spacing w:val="-1"/>
                <w:sz w:val="18"/>
                <w:szCs w:val="18"/>
              </w:rPr>
              <w:t>）</w:t>
            </w:r>
          </w:p>
        </w:tc>
        <w:tc>
          <w:tcPr>
            <w:tcW w:w="1038" w:type="dxa"/>
            <w:tcBorders>
              <w:top w:val="single" w:sz="4" w:space="0" w:color="000000"/>
              <w:left w:val="nil" w:sz="6" w:space="0" w:color="auto"/>
              <w:bottom w:val="single" w:sz="4" w:space="0" w:color="000000"/>
              <w:right w:val="nil" w:sz="6" w:space="0" w:color="auto"/>
            </w:tcBorders>
          </w:tcPr>
          <w:p>
            <w:pPr>
              <w:pStyle w:val="TableParagraph"/>
              <w:spacing w:line="217" w:lineRule="exact"/>
              <w:ind w:right="25"/>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852" w:type="dxa"/>
            <w:tcBorders>
              <w:top w:val="single" w:sz="4" w:space="0" w:color="000000"/>
              <w:left w:val="nil" w:sz="6" w:space="0" w:color="auto"/>
              <w:bottom w:val="single" w:sz="4" w:space="0" w:color="000000"/>
              <w:right w:val="nil" w:sz="6" w:space="0" w:color="auto"/>
            </w:tcBorders>
          </w:tcPr>
          <w:p>
            <w:pPr>
              <w:pStyle w:val="TableParagraph"/>
              <w:spacing w:line="217" w:lineRule="exact"/>
              <w:ind w:right="29"/>
              <w:jc w:val="right"/>
              <w:rPr>
                <w:rFonts w:ascii="宋体" w:hAnsi="宋体" w:cs="宋体" w:eastAsia="宋体" w:hint="default"/>
                <w:sz w:val="18"/>
                <w:szCs w:val="18"/>
              </w:rPr>
            </w:pPr>
            <w:r>
              <w:rPr>
                <w:rFonts w:ascii="宋体"/>
                <w:sz w:val="18"/>
              </w:rPr>
              <w:t>-</w:t>
            </w:r>
          </w:p>
        </w:tc>
        <w:tc>
          <w:tcPr>
            <w:tcW w:w="139" w:type="dxa"/>
            <w:tcBorders>
              <w:top w:val="nil" w:sz="6" w:space="0" w:color="auto"/>
              <w:left w:val="nil" w:sz="6" w:space="0" w:color="auto"/>
              <w:bottom w:val="nil" w:sz="6" w:space="0" w:color="auto"/>
              <w:right w:val="nil" w:sz="6" w:space="0" w:color="auto"/>
            </w:tcBorders>
          </w:tcPr>
          <w:p>
            <w:pPr/>
          </w:p>
        </w:tc>
        <w:tc>
          <w:tcPr>
            <w:tcW w:w="1418" w:type="dxa"/>
            <w:tcBorders>
              <w:top w:val="single" w:sz="4" w:space="0" w:color="000000"/>
              <w:left w:val="nil" w:sz="6" w:space="0" w:color="auto"/>
              <w:bottom w:val="single" w:sz="4" w:space="0" w:color="000000"/>
              <w:right w:val="nil" w:sz="6" w:space="0" w:color="auto"/>
            </w:tcBorders>
          </w:tcPr>
          <w:p>
            <w:pPr>
              <w:pStyle w:val="TableParagraph"/>
              <w:spacing w:line="217" w:lineRule="exact"/>
              <w:ind w:right="25"/>
              <w:jc w:val="right"/>
              <w:rPr>
                <w:rFonts w:ascii="宋体" w:hAnsi="宋体" w:cs="宋体" w:eastAsia="宋体" w:hint="default"/>
                <w:sz w:val="18"/>
                <w:szCs w:val="18"/>
              </w:rPr>
            </w:pPr>
            <w:r>
              <w:rPr>
                <w:rFonts w:ascii="宋体"/>
                <w:spacing w:val="-1"/>
                <w:sz w:val="18"/>
              </w:rPr>
              <w:t>2,290,759.50</w:t>
            </w:r>
          </w:p>
        </w:tc>
        <w:tc>
          <w:tcPr>
            <w:tcW w:w="142" w:type="dxa"/>
            <w:tcBorders>
              <w:top w:val="nil" w:sz="6" w:space="0" w:color="auto"/>
              <w:left w:val="nil" w:sz="6" w:space="0" w:color="auto"/>
              <w:bottom w:val="nil" w:sz="6" w:space="0" w:color="auto"/>
              <w:right w:val="nil" w:sz="6" w:space="0" w:color="auto"/>
            </w:tcBorders>
          </w:tcPr>
          <w:p>
            <w:pPr/>
          </w:p>
        </w:tc>
        <w:tc>
          <w:tcPr>
            <w:tcW w:w="1277" w:type="dxa"/>
            <w:tcBorders>
              <w:top w:val="single" w:sz="4" w:space="0" w:color="000000"/>
              <w:left w:val="nil" w:sz="6" w:space="0" w:color="auto"/>
              <w:bottom w:val="single" w:sz="4" w:space="0" w:color="000000"/>
              <w:right w:val="nil" w:sz="6" w:space="0" w:color="auto"/>
            </w:tcBorders>
          </w:tcPr>
          <w:p>
            <w:pPr>
              <w:pStyle w:val="TableParagraph"/>
              <w:spacing w:line="217" w:lineRule="exact"/>
              <w:ind w:right="29"/>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1418" w:type="dxa"/>
            <w:tcBorders>
              <w:top w:val="single" w:sz="4" w:space="0" w:color="000000"/>
              <w:left w:val="nil" w:sz="6" w:space="0" w:color="auto"/>
              <w:bottom w:val="single" w:sz="4" w:space="0" w:color="000000"/>
              <w:right w:val="nil" w:sz="6" w:space="0" w:color="auto"/>
            </w:tcBorders>
          </w:tcPr>
          <w:p>
            <w:pPr>
              <w:pStyle w:val="TableParagraph"/>
              <w:spacing w:line="217" w:lineRule="exact"/>
              <w:ind w:right="21"/>
              <w:jc w:val="right"/>
              <w:rPr>
                <w:rFonts w:ascii="宋体" w:hAnsi="宋体" w:cs="宋体" w:eastAsia="宋体" w:hint="default"/>
                <w:sz w:val="18"/>
                <w:szCs w:val="18"/>
              </w:rPr>
            </w:pPr>
            <w:r>
              <w:rPr>
                <w:rFonts w:ascii="宋体"/>
                <w:spacing w:val="-1"/>
                <w:sz w:val="18"/>
              </w:rPr>
              <w:t>14,953,145.85</w:t>
            </w:r>
            <w:r>
              <w:rPr>
                <w:rFonts w:ascii="宋体"/>
                <w:sz w:val="18"/>
              </w:rPr>
            </w:r>
          </w:p>
        </w:tc>
        <w:tc>
          <w:tcPr>
            <w:tcW w:w="144" w:type="dxa"/>
            <w:tcBorders>
              <w:top w:val="nil" w:sz="6" w:space="0" w:color="auto"/>
              <w:left w:val="nil" w:sz="6" w:space="0" w:color="auto"/>
              <w:bottom w:val="nil" w:sz="6" w:space="0" w:color="auto"/>
              <w:right w:val="nil" w:sz="6" w:space="0" w:color="auto"/>
            </w:tcBorders>
          </w:tcPr>
          <w:p>
            <w:pPr/>
          </w:p>
        </w:tc>
        <w:tc>
          <w:tcPr>
            <w:tcW w:w="1555" w:type="dxa"/>
            <w:tcBorders>
              <w:top w:val="single" w:sz="4" w:space="0" w:color="000000"/>
              <w:left w:val="nil" w:sz="6" w:space="0" w:color="auto"/>
              <w:bottom w:val="single" w:sz="4" w:space="0" w:color="000000"/>
              <w:right w:val="nil" w:sz="6" w:space="0" w:color="auto"/>
            </w:tcBorders>
          </w:tcPr>
          <w:p>
            <w:pPr>
              <w:pStyle w:val="TableParagraph"/>
              <w:spacing w:line="217" w:lineRule="exact"/>
              <w:ind w:right="21"/>
              <w:jc w:val="right"/>
              <w:rPr>
                <w:rFonts w:ascii="宋体" w:hAnsi="宋体" w:cs="宋体" w:eastAsia="宋体" w:hint="default"/>
                <w:sz w:val="18"/>
                <w:szCs w:val="18"/>
              </w:rPr>
            </w:pPr>
            <w:r>
              <w:rPr>
                <w:rFonts w:ascii="宋体"/>
                <w:spacing w:val="-1"/>
                <w:sz w:val="18"/>
              </w:rPr>
              <w:t>17,627,594.97</w:t>
            </w:r>
            <w:r>
              <w:rPr>
                <w:rFonts w:ascii="宋体"/>
                <w:sz w:val="18"/>
              </w:rPr>
            </w:r>
          </w:p>
        </w:tc>
      </w:tr>
      <w:tr>
        <w:trPr>
          <w:trHeight w:val="265" w:hRule="exact"/>
        </w:trPr>
        <w:tc>
          <w:tcPr>
            <w:tcW w:w="108" w:type="dxa"/>
            <w:tcBorders>
              <w:top w:val="nil" w:sz="6" w:space="0" w:color="auto"/>
              <w:left w:val="nil" w:sz="6" w:space="0" w:color="auto"/>
              <w:bottom w:val="nil" w:sz="6" w:space="0" w:color="auto"/>
              <w:right w:val="nil" w:sz="6" w:space="0" w:color="auto"/>
            </w:tcBorders>
          </w:tcPr>
          <w:p>
            <w:pPr/>
          </w:p>
        </w:tc>
        <w:tc>
          <w:tcPr>
            <w:tcW w:w="3046" w:type="dxa"/>
            <w:tcBorders>
              <w:top w:val="nil" w:sz="6" w:space="0" w:color="auto"/>
              <w:left w:val="nil" w:sz="6" w:space="0" w:color="auto"/>
              <w:bottom w:val="nil" w:sz="6" w:space="0" w:color="auto"/>
              <w:right w:val="nil" w:sz="6" w:space="0" w:color="auto"/>
            </w:tcBorders>
          </w:tcPr>
          <w:p>
            <w:pPr>
              <w:pStyle w:val="TableParagraph"/>
              <w:spacing w:line="232" w:lineRule="exact"/>
              <w:ind w:left="28"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2598" w:type="dxa"/>
            <w:tcBorders>
              <w:top w:val="single" w:sz="4" w:space="0" w:color="000000"/>
              <w:left w:val="nil" w:sz="6" w:space="0" w:color="auto"/>
              <w:bottom w:val="nil" w:sz="6" w:space="0" w:color="auto"/>
              <w:right w:val="nil" w:sz="6" w:space="0" w:color="auto"/>
            </w:tcBorders>
          </w:tcPr>
          <w:p>
            <w:pPr>
              <w:pStyle w:val="TableParagraph"/>
              <w:spacing w:line="217" w:lineRule="exact"/>
              <w:ind w:right="137"/>
              <w:jc w:val="right"/>
              <w:rPr>
                <w:rFonts w:ascii="宋体" w:hAnsi="宋体" w:cs="宋体" w:eastAsia="宋体" w:hint="default"/>
                <w:sz w:val="18"/>
                <w:szCs w:val="18"/>
              </w:rPr>
            </w:pPr>
            <w:r>
              <w:rPr>
                <w:rFonts w:ascii="宋体"/>
                <w:sz w:val="18"/>
              </w:rPr>
              <w:t>-</w:t>
            </w:r>
          </w:p>
        </w:tc>
        <w:tc>
          <w:tcPr>
            <w:tcW w:w="1745" w:type="dxa"/>
            <w:tcBorders>
              <w:top w:val="single" w:sz="4" w:space="0" w:color="000000"/>
              <w:left w:val="nil" w:sz="6" w:space="0" w:color="auto"/>
              <w:bottom w:val="nil" w:sz="6" w:space="0" w:color="auto"/>
              <w:right w:val="nil" w:sz="6" w:space="0" w:color="auto"/>
            </w:tcBorders>
          </w:tcPr>
          <w:p>
            <w:pPr>
              <w:pStyle w:val="TableParagraph"/>
              <w:spacing w:line="217" w:lineRule="exact"/>
              <w:ind w:right="77"/>
              <w:jc w:val="right"/>
              <w:rPr>
                <w:rFonts w:ascii="宋体" w:hAnsi="宋体" w:cs="宋体" w:eastAsia="宋体" w:hint="default"/>
                <w:sz w:val="18"/>
                <w:szCs w:val="18"/>
              </w:rPr>
            </w:pPr>
            <w:r>
              <w:rPr>
                <w:rFonts w:ascii="宋体"/>
                <w:sz w:val="18"/>
              </w:rPr>
              <w:t>-</w:t>
            </w:r>
          </w:p>
        </w:tc>
        <w:tc>
          <w:tcPr>
            <w:tcW w:w="1038" w:type="dxa"/>
            <w:tcBorders>
              <w:top w:val="single" w:sz="4" w:space="0" w:color="000000"/>
              <w:left w:val="nil" w:sz="6" w:space="0" w:color="auto"/>
              <w:bottom w:val="nil" w:sz="6" w:space="0" w:color="auto"/>
              <w:right w:val="nil" w:sz="6" w:space="0" w:color="auto"/>
            </w:tcBorders>
          </w:tcPr>
          <w:p>
            <w:pPr>
              <w:pStyle w:val="TableParagraph"/>
              <w:spacing w:line="217" w:lineRule="exact"/>
              <w:ind w:right="25"/>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852" w:type="dxa"/>
            <w:tcBorders>
              <w:top w:val="single" w:sz="4" w:space="0" w:color="000000"/>
              <w:left w:val="nil" w:sz="6" w:space="0" w:color="auto"/>
              <w:bottom w:val="nil" w:sz="6" w:space="0" w:color="auto"/>
              <w:right w:val="nil" w:sz="6" w:space="0" w:color="auto"/>
            </w:tcBorders>
          </w:tcPr>
          <w:p>
            <w:pPr>
              <w:pStyle w:val="TableParagraph"/>
              <w:spacing w:line="217" w:lineRule="exact"/>
              <w:ind w:right="29"/>
              <w:jc w:val="right"/>
              <w:rPr>
                <w:rFonts w:ascii="宋体" w:hAnsi="宋体" w:cs="宋体" w:eastAsia="宋体" w:hint="default"/>
                <w:sz w:val="18"/>
                <w:szCs w:val="18"/>
              </w:rPr>
            </w:pPr>
            <w:r>
              <w:rPr>
                <w:rFonts w:ascii="宋体"/>
                <w:sz w:val="18"/>
              </w:rPr>
              <w:t>-</w:t>
            </w:r>
          </w:p>
        </w:tc>
        <w:tc>
          <w:tcPr>
            <w:tcW w:w="139" w:type="dxa"/>
            <w:tcBorders>
              <w:top w:val="nil" w:sz="6" w:space="0" w:color="auto"/>
              <w:left w:val="nil" w:sz="6" w:space="0" w:color="auto"/>
              <w:bottom w:val="nil" w:sz="6" w:space="0" w:color="auto"/>
              <w:right w:val="nil" w:sz="6" w:space="0" w:color="auto"/>
            </w:tcBorders>
          </w:tcPr>
          <w:p>
            <w:pPr/>
          </w:p>
        </w:tc>
        <w:tc>
          <w:tcPr>
            <w:tcW w:w="1418" w:type="dxa"/>
            <w:tcBorders>
              <w:top w:val="single" w:sz="4" w:space="0" w:color="000000"/>
              <w:left w:val="nil" w:sz="6" w:space="0" w:color="auto"/>
              <w:bottom w:val="nil" w:sz="6" w:space="0" w:color="auto"/>
              <w:right w:val="nil" w:sz="6" w:space="0" w:color="auto"/>
            </w:tcBorders>
          </w:tcPr>
          <w:p>
            <w:pPr>
              <w:pStyle w:val="TableParagraph"/>
              <w:spacing w:line="217" w:lineRule="exact"/>
              <w:ind w:right="25"/>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1277" w:type="dxa"/>
            <w:tcBorders>
              <w:top w:val="single" w:sz="4" w:space="0" w:color="000000"/>
              <w:left w:val="nil" w:sz="6" w:space="0" w:color="auto"/>
              <w:bottom w:val="nil" w:sz="6" w:space="0" w:color="auto"/>
              <w:right w:val="nil" w:sz="6" w:space="0" w:color="auto"/>
            </w:tcBorders>
          </w:tcPr>
          <w:p>
            <w:pPr>
              <w:pStyle w:val="TableParagraph"/>
              <w:spacing w:line="217" w:lineRule="exact"/>
              <w:ind w:right="29"/>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1418" w:type="dxa"/>
            <w:tcBorders>
              <w:top w:val="single" w:sz="4" w:space="0" w:color="000000"/>
              <w:left w:val="nil" w:sz="6" w:space="0" w:color="auto"/>
              <w:bottom w:val="nil" w:sz="6" w:space="0" w:color="auto"/>
              <w:right w:val="nil" w:sz="6" w:space="0" w:color="auto"/>
            </w:tcBorders>
          </w:tcPr>
          <w:p>
            <w:pPr>
              <w:pStyle w:val="TableParagraph"/>
              <w:spacing w:line="217" w:lineRule="exact"/>
              <w:ind w:right="21"/>
              <w:jc w:val="right"/>
              <w:rPr>
                <w:rFonts w:ascii="宋体" w:hAnsi="宋体" w:cs="宋体" w:eastAsia="宋体" w:hint="default"/>
                <w:sz w:val="18"/>
                <w:szCs w:val="18"/>
              </w:rPr>
            </w:pPr>
            <w:r>
              <w:rPr>
                <w:rFonts w:ascii="宋体"/>
                <w:spacing w:val="-1"/>
                <w:sz w:val="18"/>
              </w:rPr>
              <w:t>22,907,594.97</w:t>
            </w:r>
            <w:r>
              <w:rPr>
                <w:rFonts w:ascii="宋体"/>
                <w:sz w:val="18"/>
              </w:rPr>
            </w:r>
          </w:p>
        </w:tc>
        <w:tc>
          <w:tcPr>
            <w:tcW w:w="144" w:type="dxa"/>
            <w:tcBorders>
              <w:top w:val="nil" w:sz="6" w:space="0" w:color="auto"/>
              <w:left w:val="nil" w:sz="6" w:space="0" w:color="auto"/>
              <w:bottom w:val="nil" w:sz="6" w:space="0" w:color="auto"/>
              <w:right w:val="nil" w:sz="6" w:space="0" w:color="auto"/>
            </w:tcBorders>
          </w:tcPr>
          <w:p>
            <w:pPr/>
          </w:p>
        </w:tc>
        <w:tc>
          <w:tcPr>
            <w:tcW w:w="1555" w:type="dxa"/>
            <w:tcBorders>
              <w:top w:val="single" w:sz="4" w:space="0" w:color="000000"/>
              <w:left w:val="nil" w:sz="6" w:space="0" w:color="auto"/>
              <w:bottom w:val="nil" w:sz="6" w:space="0" w:color="auto"/>
              <w:right w:val="nil" w:sz="6" w:space="0" w:color="auto"/>
            </w:tcBorders>
          </w:tcPr>
          <w:p>
            <w:pPr>
              <w:pStyle w:val="TableParagraph"/>
              <w:spacing w:line="217" w:lineRule="exact"/>
              <w:ind w:right="21"/>
              <w:jc w:val="right"/>
              <w:rPr>
                <w:rFonts w:ascii="宋体" w:hAnsi="宋体" w:cs="宋体" w:eastAsia="宋体" w:hint="default"/>
                <w:sz w:val="18"/>
                <w:szCs w:val="18"/>
              </w:rPr>
            </w:pPr>
            <w:r>
              <w:rPr>
                <w:rFonts w:ascii="宋体"/>
                <w:spacing w:val="-1"/>
                <w:sz w:val="18"/>
              </w:rPr>
              <w:t>22,907,594.97</w:t>
            </w:r>
            <w:r>
              <w:rPr>
                <w:rFonts w:ascii="宋体"/>
                <w:sz w:val="18"/>
              </w:rPr>
            </w:r>
          </w:p>
        </w:tc>
      </w:tr>
      <w:tr>
        <w:trPr>
          <w:trHeight w:val="257" w:hRule="exact"/>
        </w:trPr>
        <w:tc>
          <w:tcPr>
            <w:tcW w:w="108" w:type="dxa"/>
            <w:tcBorders>
              <w:top w:val="nil" w:sz="6" w:space="0" w:color="auto"/>
              <w:left w:val="nil" w:sz="6" w:space="0" w:color="auto"/>
              <w:bottom w:val="nil" w:sz="6" w:space="0" w:color="auto"/>
              <w:right w:val="nil" w:sz="6" w:space="0" w:color="auto"/>
            </w:tcBorders>
          </w:tcPr>
          <w:p>
            <w:pPr/>
          </w:p>
        </w:tc>
        <w:tc>
          <w:tcPr>
            <w:tcW w:w="3046" w:type="dxa"/>
            <w:tcBorders>
              <w:top w:val="nil" w:sz="6" w:space="0" w:color="auto"/>
              <w:left w:val="nil" w:sz="6" w:space="0" w:color="auto"/>
              <w:bottom w:val="nil" w:sz="6" w:space="0" w:color="auto"/>
              <w:right w:val="nil" w:sz="6" w:space="0" w:color="auto"/>
            </w:tcBorders>
          </w:tcPr>
          <w:p>
            <w:pPr>
              <w:pStyle w:val="TableParagraph"/>
              <w:spacing w:line="223" w:lineRule="exact"/>
              <w:ind w:left="28"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2598" w:type="dxa"/>
            <w:tcBorders>
              <w:top w:val="nil" w:sz="6" w:space="0" w:color="auto"/>
              <w:left w:val="nil" w:sz="6" w:space="0" w:color="auto"/>
              <w:bottom w:val="nil" w:sz="6" w:space="0" w:color="auto"/>
              <w:right w:val="nil" w:sz="6" w:space="0" w:color="auto"/>
            </w:tcBorders>
          </w:tcPr>
          <w:p>
            <w:pPr>
              <w:pStyle w:val="TableParagraph"/>
              <w:spacing w:line="214" w:lineRule="exact"/>
              <w:ind w:right="137"/>
              <w:jc w:val="right"/>
              <w:rPr>
                <w:rFonts w:ascii="宋体" w:hAnsi="宋体" w:cs="宋体" w:eastAsia="宋体" w:hint="default"/>
                <w:sz w:val="18"/>
                <w:szCs w:val="18"/>
              </w:rPr>
            </w:pPr>
            <w:r>
              <w:rPr>
                <w:rFonts w:ascii="宋体"/>
                <w:sz w:val="18"/>
              </w:rPr>
              <w:t>-</w:t>
            </w:r>
          </w:p>
        </w:tc>
        <w:tc>
          <w:tcPr>
            <w:tcW w:w="1745" w:type="dxa"/>
            <w:tcBorders>
              <w:top w:val="nil" w:sz="6" w:space="0" w:color="auto"/>
              <w:left w:val="nil" w:sz="6" w:space="0" w:color="auto"/>
              <w:bottom w:val="nil" w:sz="6" w:space="0" w:color="auto"/>
              <w:right w:val="nil" w:sz="6" w:space="0" w:color="auto"/>
            </w:tcBorders>
          </w:tcPr>
          <w:p>
            <w:pPr>
              <w:pStyle w:val="TableParagraph"/>
              <w:spacing w:line="214" w:lineRule="exact"/>
              <w:ind w:right="77"/>
              <w:jc w:val="right"/>
              <w:rPr>
                <w:rFonts w:ascii="宋体" w:hAnsi="宋体" w:cs="宋体" w:eastAsia="宋体" w:hint="default"/>
                <w:sz w:val="18"/>
                <w:szCs w:val="18"/>
              </w:rPr>
            </w:pPr>
            <w:r>
              <w:rPr>
                <w:rFonts w:ascii="宋体"/>
                <w:sz w:val="18"/>
              </w:rPr>
              <w:t>-</w:t>
            </w:r>
          </w:p>
        </w:tc>
        <w:tc>
          <w:tcPr>
            <w:tcW w:w="1038" w:type="dxa"/>
            <w:tcBorders>
              <w:top w:val="nil" w:sz="6" w:space="0" w:color="auto"/>
              <w:left w:val="nil" w:sz="6" w:space="0" w:color="auto"/>
              <w:bottom w:val="nil" w:sz="6" w:space="0" w:color="auto"/>
              <w:right w:val="nil" w:sz="6" w:space="0" w:color="auto"/>
            </w:tcBorders>
          </w:tcPr>
          <w:p>
            <w:pPr>
              <w:pStyle w:val="TableParagraph"/>
              <w:spacing w:line="214" w:lineRule="exact"/>
              <w:ind w:right="25"/>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852" w:type="dxa"/>
            <w:tcBorders>
              <w:top w:val="nil" w:sz="6" w:space="0" w:color="auto"/>
              <w:left w:val="nil" w:sz="6" w:space="0" w:color="auto"/>
              <w:bottom w:val="nil" w:sz="6" w:space="0" w:color="auto"/>
              <w:right w:val="nil" w:sz="6" w:space="0" w:color="auto"/>
            </w:tcBorders>
          </w:tcPr>
          <w:p>
            <w:pPr>
              <w:pStyle w:val="TableParagraph"/>
              <w:spacing w:line="214" w:lineRule="exact"/>
              <w:ind w:right="29"/>
              <w:jc w:val="right"/>
              <w:rPr>
                <w:rFonts w:ascii="宋体" w:hAnsi="宋体" w:cs="宋体" w:eastAsia="宋体" w:hint="default"/>
                <w:sz w:val="18"/>
                <w:szCs w:val="18"/>
              </w:rPr>
            </w:pPr>
            <w:r>
              <w:rPr>
                <w:rFonts w:ascii="宋体"/>
                <w:sz w:val="18"/>
              </w:rPr>
              <w:t>-</w:t>
            </w:r>
          </w:p>
        </w:tc>
        <w:tc>
          <w:tcPr>
            <w:tcW w:w="139"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14" w:lineRule="exact"/>
              <w:ind w:right="25"/>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14" w:lineRule="exact"/>
              <w:ind w:right="29"/>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14" w:lineRule="exact"/>
              <w:ind w:right="25"/>
              <w:jc w:val="right"/>
              <w:rPr>
                <w:rFonts w:ascii="宋体" w:hAnsi="宋体" w:cs="宋体" w:eastAsia="宋体" w:hint="default"/>
                <w:sz w:val="18"/>
                <w:szCs w:val="18"/>
              </w:rPr>
            </w:pPr>
            <w:r>
              <w:rPr>
                <w:rFonts w:ascii="宋体"/>
                <w:sz w:val="18"/>
              </w:rPr>
              <w:t>-</w:t>
            </w:r>
          </w:p>
        </w:tc>
        <w:tc>
          <w:tcPr>
            <w:tcW w:w="144"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Style w:val="TableParagraph"/>
              <w:spacing w:line="214" w:lineRule="exact"/>
              <w:ind w:right="25"/>
              <w:jc w:val="right"/>
              <w:rPr>
                <w:rFonts w:ascii="宋体" w:hAnsi="宋体" w:cs="宋体" w:eastAsia="宋体" w:hint="default"/>
                <w:sz w:val="18"/>
                <w:szCs w:val="18"/>
              </w:rPr>
            </w:pPr>
            <w:r>
              <w:rPr>
                <w:rFonts w:ascii="宋体"/>
                <w:sz w:val="18"/>
              </w:rPr>
              <w:t>-</w:t>
            </w:r>
          </w:p>
        </w:tc>
      </w:tr>
      <w:tr>
        <w:trPr>
          <w:trHeight w:val="258" w:hRule="exact"/>
        </w:trPr>
        <w:tc>
          <w:tcPr>
            <w:tcW w:w="108" w:type="dxa"/>
            <w:tcBorders>
              <w:top w:val="nil" w:sz="6" w:space="0" w:color="auto"/>
              <w:left w:val="nil" w:sz="6" w:space="0" w:color="auto"/>
              <w:bottom w:val="nil" w:sz="6" w:space="0" w:color="auto"/>
              <w:right w:val="nil" w:sz="6" w:space="0" w:color="auto"/>
            </w:tcBorders>
          </w:tcPr>
          <w:p>
            <w:pPr/>
          </w:p>
        </w:tc>
        <w:tc>
          <w:tcPr>
            <w:tcW w:w="3046" w:type="dxa"/>
            <w:tcBorders>
              <w:top w:val="nil" w:sz="6" w:space="0" w:color="auto"/>
              <w:left w:val="nil" w:sz="6" w:space="0" w:color="auto"/>
              <w:bottom w:val="nil" w:sz="6" w:space="0" w:color="auto"/>
              <w:right w:val="nil" w:sz="6" w:space="0" w:color="auto"/>
            </w:tcBorders>
          </w:tcPr>
          <w:p>
            <w:pPr>
              <w:pStyle w:val="TableParagraph"/>
              <w:spacing w:line="223" w:lineRule="exact"/>
              <w:ind w:left="28"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2598" w:type="dxa"/>
            <w:tcBorders>
              <w:top w:val="nil" w:sz="6" w:space="0" w:color="auto"/>
              <w:left w:val="nil" w:sz="6" w:space="0" w:color="auto"/>
              <w:bottom w:val="nil" w:sz="6" w:space="0" w:color="auto"/>
              <w:right w:val="nil" w:sz="6" w:space="0" w:color="auto"/>
            </w:tcBorders>
          </w:tcPr>
          <w:p>
            <w:pPr>
              <w:pStyle w:val="TableParagraph"/>
              <w:spacing w:line="214" w:lineRule="exact"/>
              <w:ind w:right="137"/>
              <w:jc w:val="right"/>
              <w:rPr>
                <w:rFonts w:ascii="宋体" w:hAnsi="宋体" w:cs="宋体" w:eastAsia="宋体" w:hint="default"/>
                <w:sz w:val="18"/>
                <w:szCs w:val="18"/>
              </w:rPr>
            </w:pPr>
            <w:r>
              <w:rPr>
                <w:rFonts w:ascii="宋体"/>
                <w:sz w:val="18"/>
              </w:rPr>
              <w:t>-</w:t>
            </w:r>
          </w:p>
        </w:tc>
        <w:tc>
          <w:tcPr>
            <w:tcW w:w="1745" w:type="dxa"/>
            <w:tcBorders>
              <w:top w:val="nil" w:sz="6" w:space="0" w:color="auto"/>
              <w:left w:val="nil" w:sz="6" w:space="0" w:color="auto"/>
              <w:bottom w:val="nil" w:sz="6" w:space="0" w:color="auto"/>
              <w:right w:val="nil" w:sz="6" w:space="0" w:color="auto"/>
            </w:tcBorders>
          </w:tcPr>
          <w:p>
            <w:pPr>
              <w:pStyle w:val="TableParagraph"/>
              <w:spacing w:line="214" w:lineRule="exact"/>
              <w:ind w:right="77"/>
              <w:jc w:val="right"/>
              <w:rPr>
                <w:rFonts w:ascii="宋体" w:hAnsi="宋体" w:cs="宋体" w:eastAsia="宋体" w:hint="default"/>
                <w:sz w:val="18"/>
                <w:szCs w:val="18"/>
              </w:rPr>
            </w:pPr>
            <w:r>
              <w:rPr>
                <w:rFonts w:ascii="宋体"/>
                <w:sz w:val="18"/>
              </w:rPr>
              <w:t>-</w:t>
            </w:r>
          </w:p>
        </w:tc>
        <w:tc>
          <w:tcPr>
            <w:tcW w:w="1038" w:type="dxa"/>
            <w:tcBorders>
              <w:top w:val="nil" w:sz="6" w:space="0" w:color="auto"/>
              <w:left w:val="nil" w:sz="6" w:space="0" w:color="auto"/>
              <w:bottom w:val="nil" w:sz="6" w:space="0" w:color="auto"/>
              <w:right w:val="nil" w:sz="6" w:space="0" w:color="auto"/>
            </w:tcBorders>
          </w:tcPr>
          <w:p>
            <w:pPr>
              <w:pStyle w:val="TableParagraph"/>
              <w:spacing w:line="214" w:lineRule="exact"/>
              <w:ind w:right="25"/>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852" w:type="dxa"/>
            <w:tcBorders>
              <w:top w:val="nil" w:sz="6" w:space="0" w:color="auto"/>
              <w:left w:val="nil" w:sz="6" w:space="0" w:color="auto"/>
              <w:bottom w:val="nil" w:sz="6" w:space="0" w:color="auto"/>
              <w:right w:val="nil" w:sz="6" w:space="0" w:color="auto"/>
            </w:tcBorders>
          </w:tcPr>
          <w:p>
            <w:pPr>
              <w:pStyle w:val="TableParagraph"/>
              <w:spacing w:line="214" w:lineRule="exact"/>
              <w:ind w:right="29"/>
              <w:jc w:val="right"/>
              <w:rPr>
                <w:rFonts w:ascii="宋体" w:hAnsi="宋体" w:cs="宋体" w:eastAsia="宋体" w:hint="default"/>
                <w:sz w:val="18"/>
                <w:szCs w:val="18"/>
              </w:rPr>
            </w:pPr>
            <w:r>
              <w:rPr>
                <w:rFonts w:ascii="宋体"/>
                <w:sz w:val="18"/>
              </w:rPr>
              <w:t>-</w:t>
            </w:r>
          </w:p>
        </w:tc>
        <w:tc>
          <w:tcPr>
            <w:tcW w:w="139"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14" w:lineRule="exact"/>
              <w:ind w:right="25"/>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14" w:lineRule="exact"/>
              <w:ind w:right="29"/>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14" w:lineRule="exact"/>
              <w:ind w:right="21"/>
              <w:jc w:val="right"/>
              <w:rPr>
                <w:rFonts w:ascii="宋体" w:hAnsi="宋体" w:cs="宋体" w:eastAsia="宋体" w:hint="default"/>
                <w:sz w:val="18"/>
                <w:szCs w:val="18"/>
              </w:rPr>
            </w:pPr>
            <w:r>
              <w:rPr>
                <w:rFonts w:ascii="宋体"/>
                <w:spacing w:val="-1"/>
                <w:sz w:val="18"/>
              </w:rPr>
              <w:t>22,907,594.97</w:t>
            </w:r>
            <w:r>
              <w:rPr>
                <w:rFonts w:ascii="宋体"/>
                <w:sz w:val="18"/>
              </w:rPr>
            </w:r>
          </w:p>
        </w:tc>
        <w:tc>
          <w:tcPr>
            <w:tcW w:w="144"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Style w:val="TableParagraph"/>
              <w:spacing w:line="214" w:lineRule="exact"/>
              <w:ind w:right="21"/>
              <w:jc w:val="right"/>
              <w:rPr>
                <w:rFonts w:ascii="宋体" w:hAnsi="宋体" w:cs="宋体" w:eastAsia="宋体" w:hint="default"/>
                <w:sz w:val="18"/>
                <w:szCs w:val="18"/>
              </w:rPr>
            </w:pPr>
            <w:r>
              <w:rPr>
                <w:rFonts w:ascii="宋体"/>
                <w:spacing w:val="-1"/>
                <w:sz w:val="18"/>
              </w:rPr>
              <w:t>22,907,594.97</w:t>
            </w:r>
            <w:r>
              <w:rPr>
                <w:rFonts w:ascii="宋体"/>
                <w:sz w:val="18"/>
              </w:rPr>
            </w:r>
          </w:p>
        </w:tc>
      </w:tr>
      <w:tr>
        <w:trPr>
          <w:trHeight w:val="257" w:hRule="exact"/>
        </w:trPr>
        <w:tc>
          <w:tcPr>
            <w:tcW w:w="108" w:type="dxa"/>
            <w:tcBorders>
              <w:top w:val="nil" w:sz="6" w:space="0" w:color="auto"/>
              <w:left w:val="nil" w:sz="6" w:space="0" w:color="auto"/>
              <w:bottom w:val="nil" w:sz="6" w:space="0" w:color="auto"/>
              <w:right w:val="nil" w:sz="6" w:space="0" w:color="auto"/>
            </w:tcBorders>
          </w:tcPr>
          <w:p>
            <w:pPr/>
          </w:p>
        </w:tc>
        <w:tc>
          <w:tcPr>
            <w:tcW w:w="3046" w:type="dxa"/>
            <w:tcBorders>
              <w:top w:val="nil" w:sz="6" w:space="0" w:color="auto"/>
              <w:left w:val="nil" w:sz="6" w:space="0" w:color="auto"/>
              <w:bottom w:val="nil" w:sz="6" w:space="0" w:color="auto"/>
              <w:right w:val="nil" w:sz="6" w:space="0" w:color="auto"/>
            </w:tcBorders>
          </w:tcPr>
          <w:p>
            <w:pPr>
              <w:pStyle w:val="TableParagraph"/>
              <w:spacing w:line="222" w:lineRule="exact"/>
              <w:ind w:left="28" w:right="0"/>
              <w:jc w:val="left"/>
              <w:rPr>
                <w:rFonts w:ascii="宋体" w:hAnsi="宋体" w:cs="宋体" w:eastAsia="宋体" w:hint="default"/>
                <w:sz w:val="18"/>
                <w:szCs w:val="18"/>
              </w:rPr>
            </w:pPr>
            <w:r>
              <w:rPr>
                <w:rFonts w:ascii="宋体" w:hAnsi="宋体" w:cs="宋体" w:eastAsia="宋体" w:hint="default"/>
                <w:sz w:val="18"/>
                <w:szCs w:val="18"/>
              </w:rPr>
              <w:t>（三）股东投入和减少股本</w:t>
            </w:r>
          </w:p>
        </w:tc>
        <w:tc>
          <w:tcPr>
            <w:tcW w:w="2598" w:type="dxa"/>
            <w:tcBorders>
              <w:top w:val="nil" w:sz="6" w:space="0" w:color="auto"/>
              <w:left w:val="nil" w:sz="6" w:space="0" w:color="auto"/>
              <w:bottom w:val="nil" w:sz="6" w:space="0" w:color="auto"/>
              <w:right w:val="nil" w:sz="6" w:space="0" w:color="auto"/>
            </w:tcBorders>
          </w:tcPr>
          <w:p>
            <w:pPr>
              <w:pStyle w:val="TableParagraph"/>
              <w:spacing w:line="215" w:lineRule="exact"/>
              <w:ind w:right="137"/>
              <w:jc w:val="right"/>
              <w:rPr>
                <w:rFonts w:ascii="宋体" w:hAnsi="宋体" w:cs="宋体" w:eastAsia="宋体" w:hint="default"/>
                <w:sz w:val="18"/>
                <w:szCs w:val="18"/>
              </w:rPr>
            </w:pPr>
            <w:r>
              <w:rPr>
                <w:rFonts w:ascii="宋体"/>
                <w:sz w:val="18"/>
              </w:rPr>
              <w:t>-</w:t>
            </w:r>
          </w:p>
        </w:tc>
        <w:tc>
          <w:tcPr>
            <w:tcW w:w="1745" w:type="dxa"/>
            <w:tcBorders>
              <w:top w:val="nil" w:sz="6" w:space="0" w:color="auto"/>
              <w:left w:val="nil" w:sz="6" w:space="0" w:color="auto"/>
              <w:bottom w:val="nil" w:sz="6" w:space="0" w:color="auto"/>
              <w:right w:val="nil" w:sz="6" w:space="0" w:color="auto"/>
            </w:tcBorders>
          </w:tcPr>
          <w:p>
            <w:pPr>
              <w:pStyle w:val="TableParagraph"/>
              <w:spacing w:line="215" w:lineRule="exact"/>
              <w:ind w:right="77"/>
              <w:jc w:val="right"/>
              <w:rPr>
                <w:rFonts w:ascii="宋体" w:hAnsi="宋体" w:cs="宋体" w:eastAsia="宋体" w:hint="default"/>
                <w:sz w:val="18"/>
                <w:szCs w:val="18"/>
              </w:rPr>
            </w:pPr>
            <w:r>
              <w:rPr>
                <w:rFonts w:ascii="宋体"/>
                <w:sz w:val="18"/>
              </w:rPr>
              <w:t>-</w:t>
            </w:r>
          </w:p>
        </w:tc>
        <w:tc>
          <w:tcPr>
            <w:tcW w:w="1038" w:type="dxa"/>
            <w:tcBorders>
              <w:top w:val="nil" w:sz="6" w:space="0" w:color="auto"/>
              <w:left w:val="nil" w:sz="6" w:space="0" w:color="auto"/>
              <w:bottom w:val="nil" w:sz="6" w:space="0" w:color="auto"/>
              <w:right w:val="nil" w:sz="6" w:space="0" w:color="auto"/>
            </w:tcBorders>
          </w:tcPr>
          <w:p>
            <w:pPr>
              <w:pStyle w:val="TableParagraph"/>
              <w:spacing w:line="215" w:lineRule="exact"/>
              <w:ind w:right="25"/>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852" w:type="dxa"/>
            <w:tcBorders>
              <w:top w:val="nil" w:sz="6" w:space="0" w:color="auto"/>
              <w:left w:val="nil" w:sz="6" w:space="0" w:color="auto"/>
              <w:bottom w:val="nil" w:sz="6" w:space="0" w:color="auto"/>
              <w:right w:val="nil" w:sz="6" w:space="0" w:color="auto"/>
            </w:tcBorders>
          </w:tcPr>
          <w:p>
            <w:pPr>
              <w:pStyle w:val="TableParagraph"/>
              <w:spacing w:line="215" w:lineRule="exact"/>
              <w:ind w:right="29"/>
              <w:jc w:val="right"/>
              <w:rPr>
                <w:rFonts w:ascii="宋体" w:hAnsi="宋体" w:cs="宋体" w:eastAsia="宋体" w:hint="default"/>
                <w:sz w:val="18"/>
                <w:szCs w:val="18"/>
              </w:rPr>
            </w:pPr>
            <w:r>
              <w:rPr>
                <w:rFonts w:ascii="宋体"/>
                <w:sz w:val="18"/>
              </w:rPr>
              <w:t>-</w:t>
            </w:r>
          </w:p>
        </w:tc>
        <w:tc>
          <w:tcPr>
            <w:tcW w:w="139"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15" w:lineRule="exact"/>
              <w:ind w:right="25"/>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15" w:lineRule="exact"/>
              <w:ind w:right="29"/>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15" w:lineRule="exact"/>
              <w:ind w:right="25"/>
              <w:jc w:val="right"/>
              <w:rPr>
                <w:rFonts w:ascii="宋体" w:hAnsi="宋体" w:cs="宋体" w:eastAsia="宋体" w:hint="default"/>
                <w:sz w:val="18"/>
                <w:szCs w:val="18"/>
              </w:rPr>
            </w:pPr>
            <w:r>
              <w:rPr>
                <w:rFonts w:ascii="宋体"/>
                <w:sz w:val="18"/>
              </w:rPr>
              <w:t>-</w:t>
            </w:r>
          </w:p>
        </w:tc>
        <w:tc>
          <w:tcPr>
            <w:tcW w:w="144"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Style w:val="TableParagraph"/>
              <w:spacing w:line="215" w:lineRule="exact"/>
              <w:ind w:right="25"/>
              <w:jc w:val="right"/>
              <w:rPr>
                <w:rFonts w:ascii="宋体" w:hAnsi="宋体" w:cs="宋体" w:eastAsia="宋体" w:hint="default"/>
                <w:sz w:val="18"/>
                <w:szCs w:val="18"/>
              </w:rPr>
            </w:pPr>
            <w:r>
              <w:rPr>
                <w:rFonts w:ascii="宋体"/>
                <w:sz w:val="18"/>
              </w:rPr>
              <w:t>-</w:t>
            </w:r>
          </w:p>
        </w:tc>
      </w:tr>
      <w:tr>
        <w:trPr>
          <w:trHeight w:val="257" w:hRule="exact"/>
        </w:trPr>
        <w:tc>
          <w:tcPr>
            <w:tcW w:w="108" w:type="dxa"/>
            <w:tcBorders>
              <w:top w:val="nil" w:sz="6" w:space="0" w:color="auto"/>
              <w:left w:val="nil" w:sz="6" w:space="0" w:color="auto"/>
              <w:bottom w:val="nil" w:sz="6" w:space="0" w:color="auto"/>
              <w:right w:val="nil" w:sz="6" w:space="0" w:color="auto"/>
            </w:tcBorders>
          </w:tcPr>
          <w:p>
            <w:pPr/>
          </w:p>
        </w:tc>
        <w:tc>
          <w:tcPr>
            <w:tcW w:w="3046" w:type="dxa"/>
            <w:tcBorders>
              <w:top w:val="nil" w:sz="6" w:space="0" w:color="auto"/>
              <w:left w:val="nil" w:sz="6" w:space="0" w:color="auto"/>
              <w:bottom w:val="nil" w:sz="6" w:space="0" w:color="auto"/>
              <w:right w:val="nil" w:sz="6" w:space="0" w:color="auto"/>
            </w:tcBorders>
          </w:tcPr>
          <w:p>
            <w:pPr>
              <w:pStyle w:val="TableParagraph"/>
              <w:spacing w:line="222" w:lineRule="exact"/>
              <w:ind w:left="391" w:right="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股东投入股本</w:t>
            </w:r>
          </w:p>
        </w:tc>
        <w:tc>
          <w:tcPr>
            <w:tcW w:w="2598" w:type="dxa"/>
            <w:tcBorders>
              <w:top w:val="nil" w:sz="6" w:space="0" w:color="auto"/>
              <w:left w:val="nil" w:sz="6" w:space="0" w:color="auto"/>
              <w:bottom w:val="nil" w:sz="6" w:space="0" w:color="auto"/>
              <w:right w:val="nil" w:sz="6" w:space="0" w:color="auto"/>
            </w:tcBorders>
          </w:tcPr>
          <w:p>
            <w:pPr>
              <w:pStyle w:val="TableParagraph"/>
              <w:spacing w:line="215" w:lineRule="exact"/>
              <w:ind w:right="137"/>
              <w:jc w:val="right"/>
              <w:rPr>
                <w:rFonts w:ascii="宋体" w:hAnsi="宋体" w:cs="宋体" w:eastAsia="宋体" w:hint="default"/>
                <w:sz w:val="18"/>
                <w:szCs w:val="18"/>
              </w:rPr>
            </w:pPr>
            <w:r>
              <w:rPr>
                <w:rFonts w:ascii="宋体"/>
                <w:sz w:val="18"/>
              </w:rPr>
              <w:t>-</w:t>
            </w:r>
          </w:p>
        </w:tc>
        <w:tc>
          <w:tcPr>
            <w:tcW w:w="1745" w:type="dxa"/>
            <w:tcBorders>
              <w:top w:val="nil" w:sz="6" w:space="0" w:color="auto"/>
              <w:left w:val="nil" w:sz="6" w:space="0" w:color="auto"/>
              <w:bottom w:val="nil" w:sz="6" w:space="0" w:color="auto"/>
              <w:right w:val="nil" w:sz="6" w:space="0" w:color="auto"/>
            </w:tcBorders>
          </w:tcPr>
          <w:p>
            <w:pPr>
              <w:pStyle w:val="TableParagraph"/>
              <w:spacing w:line="215" w:lineRule="exact"/>
              <w:ind w:right="77"/>
              <w:jc w:val="right"/>
              <w:rPr>
                <w:rFonts w:ascii="宋体" w:hAnsi="宋体" w:cs="宋体" w:eastAsia="宋体" w:hint="default"/>
                <w:sz w:val="18"/>
                <w:szCs w:val="18"/>
              </w:rPr>
            </w:pPr>
            <w:r>
              <w:rPr>
                <w:rFonts w:ascii="宋体"/>
                <w:sz w:val="18"/>
              </w:rPr>
              <w:t>-</w:t>
            </w:r>
          </w:p>
        </w:tc>
        <w:tc>
          <w:tcPr>
            <w:tcW w:w="1038" w:type="dxa"/>
            <w:tcBorders>
              <w:top w:val="nil" w:sz="6" w:space="0" w:color="auto"/>
              <w:left w:val="nil" w:sz="6" w:space="0" w:color="auto"/>
              <w:bottom w:val="nil" w:sz="6" w:space="0" w:color="auto"/>
              <w:right w:val="nil" w:sz="6" w:space="0" w:color="auto"/>
            </w:tcBorders>
          </w:tcPr>
          <w:p>
            <w:pPr>
              <w:pStyle w:val="TableParagraph"/>
              <w:spacing w:line="215" w:lineRule="exact"/>
              <w:ind w:right="25"/>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852" w:type="dxa"/>
            <w:tcBorders>
              <w:top w:val="nil" w:sz="6" w:space="0" w:color="auto"/>
              <w:left w:val="nil" w:sz="6" w:space="0" w:color="auto"/>
              <w:bottom w:val="nil" w:sz="6" w:space="0" w:color="auto"/>
              <w:right w:val="nil" w:sz="6" w:space="0" w:color="auto"/>
            </w:tcBorders>
          </w:tcPr>
          <w:p>
            <w:pPr>
              <w:pStyle w:val="TableParagraph"/>
              <w:spacing w:line="215" w:lineRule="exact"/>
              <w:ind w:right="29"/>
              <w:jc w:val="right"/>
              <w:rPr>
                <w:rFonts w:ascii="宋体" w:hAnsi="宋体" w:cs="宋体" w:eastAsia="宋体" w:hint="default"/>
                <w:sz w:val="18"/>
                <w:szCs w:val="18"/>
              </w:rPr>
            </w:pPr>
            <w:r>
              <w:rPr>
                <w:rFonts w:ascii="宋体"/>
                <w:sz w:val="18"/>
              </w:rPr>
              <w:t>-</w:t>
            </w:r>
          </w:p>
        </w:tc>
        <w:tc>
          <w:tcPr>
            <w:tcW w:w="139"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15" w:lineRule="exact"/>
              <w:ind w:right="25"/>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15" w:lineRule="exact"/>
              <w:ind w:right="29"/>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15" w:lineRule="exact"/>
              <w:ind w:right="25"/>
              <w:jc w:val="right"/>
              <w:rPr>
                <w:rFonts w:ascii="宋体" w:hAnsi="宋体" w:cs="宋体" w:eastAsia="宋体" w:hint="default"/>
                <w:sz w:val="18"/>
                <w:szCs w:val="18"/>
              </w:rPr>
            </w:pPr>
            <w:r>
              <w:rPr>
                <w:rFonts w:ascii="宋体"/>
                <w:sz w:val="18"/>
              </w:rPr>
              <w:t>-</w:t>
            </w:r>
          </w:p>
        </w:tc>
        <w:tc>
          <w:tcPr>
            <w:tcW w:w="144"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Style w:val="TableParagraph"/>
              <w:spacing w:line="215" w:lineRule="exact"/>
              <w:ind w:right="25"/>
              <w:jc w:val="right"/>
              <w:rPr>
                <w:rFonts w:ascii="宋体" w:hAnsi="宋体" w:cs="宋体" w:eastAsia="宋体" w:hint="default"/>
                <w:sz w:val="18"/>
                <w:szCs w:val="18"/>
              </w:rPr>
            </w:pPr>
            <w:r>
              <w:rPr>
                <w:rFonts w:ascii="宋体"/>
                <w:sz w:val="18"/>
              </w:rPr>
              <w:t>-</w:t>
            </w:r>
          </w:p>
        </w:tc>
      </w:tr>
      <w:tr>
        <w:trPr>
          <w:trHeight w:val="257" w:hRule="exact"/>
        </w:trPr>
        <w:tc>
          <w:tcPr>
            <w:tcW w:w="108" w:type="dxa"/>
            <w:tcBorders>
              <w:top w:val="nil" w:sz="6" w:space="0" w:color="auto"/>
              <w:left w:val="nil" w:sz="6" w:space="0" w:color="auto"/>
              <w:bottom w:val="nil" w:sz="6" w:space="0" w:color="auto"/>
              <w:right w:val="nil" w:sz="6" w:space="0" w:color="auto"/>
            </w:tcBorders>
          </w:tcPr>
          <w:p>
            <w:pPr/>
          </w:p>
        </w:tc>
        <w:tc>
          <w:tcPr>
            <w:tcW w:w="3046" w:type="dxa"/>
            <w:tcBorders>
              <w:top w:val="nil" w:sz="6" w:space="0" w:color="auto"/>
              <w:left w:val="nil" w:sz="6" w:space="0" w:color="auto"/>
              <w:bottom w:val="nil" w:sz="6" w:space="0" w:color="auto"/>
              <w:right w:val="nil" w:sz="6" w:space="0" w:color="auto"/>
            </w:tcBorders>
          </w:tcPr>
          <w:p>
            <w:pPr>
              <w:pStyle w:val="TableParagraph"/>
              <w:spacing w:line="222" w:lineRule="exact"/>
              <w:ind w:left="39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．股份支付计入股东权益的金额</w:t>
            </w:r>
          </w:p>
        </w:tc>
        <w:tc>
          <w:tcPr>
            <w:tcW w:w="2598" w:type="dxa"/>
            <w:tcBorders>
              <w:top w:val="nil" w:sz="6" w:space="0" w:color="auto"/>
              <w:left w:val="nil" w:sz="6" w:space="0" w:color="auto"/>
              <w:bottom w:val="nil" w:sz="6" w:space="0" w:color="auto"/>
              <w:right w:val="nil" w:sz="6" w:space="0" w:color="auto"/>
            </w:tcBorders>
          </w:tcPr>
          <w:p>
            <w:pPr>
              <w:pStyle w:val="TableParagraph"/>
              <w:spacing w:line="215" w:lineRule="exact"/>
              <w:ind w:right="137"/>
              <w:jc w:val="right"/>
              <w:rPr>
                <w:rFonts w:ascii="宋体" w:hAnsi="宋体" w:cs="宋体" w:eastAsia="宋体" w:hint="default"/>
                <w:sz w:val="18"/>
                <w:szCs w:val="18"/>
              </w:rPr>
            </w:pPr>
            <w:r>
              <w:rPr>
                <w:rFonts w:ascii="宋体"/>
                <w:sz w:val="18"/>
              </w:rPr>
              <w:t>-</w:t>
            </w:r>
          </w:p>
        </w:tc>
        <w:tc>
          <w:tcPr>
            <w:tcW w:w="1745" w:type="dxa"/>
            <w:tcBorders>
              <w:top w:val="nil" w:sz="6" w:space="0" w:color="auto"/>
              <w:left w:val="nil" w:sz="6" w:space="0" w:color="auto"/>
              <w:bottom w:val="nil" w:sz="6" w:space="0" w:color="auto"/>
              <w:right w:val="nil" w:sz="6" w:space="0" w:color="auto"/>
            </w:tcBorders>
          </w:tcPr>
          <w:p>
            <w:pPr>
              <w:pStyle w:val="TableParagraph"/>
              <w:spacing w:line="215" w:lineRule="exact"/>
              <w:ind w:right="77"/>
              <w:jc w:val="right"/>
              <w:rPr>
                <w:rFonts w:ascii="宋体" w:hAnsi="宋体" w:cs="宋体" w:eastAsia="宋体" w:hint="default"/>
                <w:sz w:val="18"/>
                <w:szCs w:val="18"/>
              </w:rPr>
            </w:pPr>
            <w:r>
              <w:rPr>
                <w:rFonts w:ascii="宋体"/>
                <w:sz w:val="18"/>
              </w:rPr>
              <w:t>-</w:t>
            </w:r>
          </w:p>
        </w:tc>
        <w:tc>
          <w:tcPr>
            <w:tcW w:w="1038" w:type="dxa"/>
            <w:tcBorders>
              <w:top w:val="nil" w:sz="6" w:space="0" w:color="auto"/>
              <w:left w:val="nil" w:sz="6" w:space="0" w:color="auto"/>
              <w:bottom w:val="nil" w:sz="6" w:space="0" w:color="auto"/>
              <w:right w:val="nil" w:sz="6" w:space="0" w:color="auto"/>
            </w:tcBorders>
          </w:tcPr>
          <w:p>
            <w:pPr>
              <w:pStyle w:val="TableParagraph"/>
              <w:spacing w:line="215" w:lineRule="exact"/>
              <w:ind w:right="25"/>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852" w:type="dxa"/>
            <w:tcBorders>
              <w:top w:val="nil" w:sz="6" w:space="0" w:color="auto"/>
              <w:left w:val="nil" w:sz="6" w:space="0" w:color="auto"/>
              <w:bottom w:val="nil" w:sz="6" w:space="0" w:color="auto"/>
              <w:right w:val="nil" w:sz="6" w:space="0" w:color="auto"/>
            </w:tcBorders>
          </w:tcPr>
          <w:p>
            <w:pPr>
              <w:pStyle w:val="TableParagraph"/>
              <w:spacing w:line="215" w:lineRule="exact"/>
              <w:ind w:right="29"/>
              <w:jc w:val="right"/>
              <w:rPr>
                <w:rFonts w:ascii="宋体" w:hAnsi="宋体" w:cs="宋体" w:eastAsia="宋体" w:hint="default"/>
                <w:sz w:val="18"/>
                <w:szCs w:val="18"/>
              </w:rPr>
            </w:pPr>
            <w:r>
              <w:rPr>
                <w:rFonts w:ascii="宋体"/>
                <w:sz w:val="18"/>
              </w:rPr>
              <w:t>-</w:t>
            </w:r>
          </w:p>
        </w:tc>
        <w:tc>
          <w:tcPr>
            <w:tcW w:w="139"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15" w:lineRule="exact"/>
              <w:ind w:right="25"/>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15" w:lineRule="exact"/>
              <w:ind w:right="29"/>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15" w:lineRule="exact"/>
              <w:ind w:right="25"/>
              <w:jc w:val="right"/>
              <w:rPr>
                <w:rFonts w:ascii="宋体" w:hAnsi="宋体" w:cs="宋体" w:eastAsia="宋体" w:hint="default"/>
                <w:sz w:val="18"/>
                <w:szCs w:val="18"/>
              </w:rPr>
            </w:pPr>
            <w:r>
              <w:rPr>
                <w:rFonts w:ascii="宋体"/>
                <w:sz w:val="18"/>
              </w:rPr>
              <w:t>-</w:t>
            </w:r>
          </w:p>
        </w:tc>
        <w:tc>
          <w:tcPr>
            <w:tcW w:w="144"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Style w:val="TableParagraph"/>
              <w:spacing w:line="215" w:lineRule="exact"/>
              <w:ind w:right="25"/>
              <w:jc w:val="right"/>
              <w:rPr>
                <w:rFonts w:ascii="宋体" w:hAnsi="宋体" w:cs="宋体" w:eastAsia="宋体" w:hint="default"/>
                <w:sz w:val="18"/>
                <w:szCs w:val="18"/>
              </w:rPr>
            </w:pPr>
            <w:r>
              <w:rPr>
                <w:rFonts w:ascii="宋体"/>
                <w:sz w:val="18"/>
              </w:rPr>
              <w:t>-</w:t>
            </w:r>
          </w:p>
        </w:tc>
      </w:tr>
      <w:tr>
        <w:trPr>
          <w:trHeight w:val="252" w:hRule="exact"/>
        </w:trPr>
        <w:tc>
          <w:tcPr>
            <w:tcW w:w="108" w:type="dxa"/>
            <w:tcBorders>
              <w:top w:val="nil" w:sz="6" w:space="0" w:color="auto"/>
              <w:left w:val="nil" w:sz="6" w:space="0" w:color="auto"/>
              <w:bottom w:val="nil" w:sz="6" w:space="0" w:color="auto"/>
              <w:right w:val="nil" w:sz="6" w:space="0" w:color="auto"/>
            </w:tcBorders>
          </w:tcPr>
          <w:p>
            <w:pPr/>
          </w:p>
        </w:tc>
        <w:tc>
          <w:tcPr>
            <w:tcW w:w="3046" w:type="dxa"/>
            <w:tcBorders>
              <w:top w:val="nil" w:sz="6" w:space="0" w:color="auto"/>
              <w:left w:val="nil" w:sz="6" w:space="0" w:color="auto"/>
              <w:bottom w:val="nil" w:sz="6" w:space="0" w:color="auto"/>
              <w:right w:val="nil" w:sz="6" w:space="0" w:color="auto"/>
            </w:tcBorders>
          </w:tcPr>
          <w:p>
            <w:pPr>
              <w:pStyle w:val="TableParagraph"/>
              <w:spacing w:line="224" w:lineRule="exact"/>
              <w:ind w:left="39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2598" w:type="dxa"/>
            <w:tcBorders>
              <w:top w:val="nil" w:sz="6" w:space="0" w:color="auto"/>
              <w:left w:val="nil" w:sz="6" w:space="0" w:color="auto"/>
              <w:bottom w:val="nil" w:sz="6" w:space="0" w:color="auto"/>
              <w:right w:val="nil" w:sz="6" w:space="0" w:color="auto"/>
            </w:tcBorders>
          </w:tcPr>
          <w:p>
            <w:pPr>
              <w:pStyle w:val="TableParagraph"/>
              <w:spacing w:line="215" w:lineRule="exact"/>
              <w:ind w:right="137"/>
              <w:jc w:val="right"/>
              <w:rPr>
                <w:rFonts w:ascii="宋体" w:hAnsi="宋体" w:cs="宋体" w:eastAsia="宋体" w:hint="default"/>
                <w:sz w:val="18"/>
                <w:szCs w:val="18"/>
              </w:rPr>
            </w:pPr>
            <w:r>
              <w:rPr>
                <w:rFonts w:ascii="宋体"/>
                <w:sz w:val="18"/>
              </w:rPr>
              <w:t>-</w:t>
            </w:r>
          </w:p>
        </w:tc>
        <w:tc>
          <w:tcPr>
            <w:tcW w:w="1745" w:type="dxa"/>
            <w:tcBorders>
              <w:top w:val="nil" w:sz="6" w:space="0" w:color="auto"/>
              <w:left w:val="nil" w:sz="6" w:space="0" w:color="auto"/>
              <w:bottom w:val="nil" w:sz="6" w:space="0" w:color="auto"/>
              <w:right w:val="nil" w:sz="6" w:space="0" w:color="auto"/>
            </w:tcBorders>
          </w:tcPr>
          <w:p>
            <w:pPr>
              <w:pStyle w:val="TableParagraph"/>
              <w:spacing w:line="215" w:lineRule="exact"/>
              <w:ind w:right="77"/>
              <w:jc w:val="right"/>
              <w:rPr>
                <w:rFonts w:ascii="宋体" w:hAnsi="宋体" w:cs="宋体" w:eastAsia="宋体" w:hint="default"/>
                <w:sz w:val="18"/>
                <w:szCs w:val="18"/>
              </w:rPr>
            </w:pPr>
            <w:r>
              <w:rPr>
                <w:rFonts w:ascii="宋体"/>
                <w:sz w:val="18"/>
              </w:rPr>
              <w:t>-</w:t>
            </w:r>
          </w:p>
        </w:tc>
        <w:tc>
          <w:tcPr>
            <w:tcW w:w="1038" w:type="dxa"/>
            <w:tcBorders>
              <w:top w:val="nil" w:sz="6" w:space="0" w:color="auto"/>
              <w:left w:val="nil" w:sz="6" w:space="0" w:color="auto"/>
              <w:bottom w:val="nil" w:sz="6" w:space="0" w:color="auto"/>
              <w:right w:val="nil" w:sz="6" w:space="0" w:color="auto"/>
            </w:tcBorders>
          </w:tcPr>
          <w:p>
            <w:pPr>
              <w:pStyle w:val="TableParagraph"/>
              <w:spacing w:line="215" w:lineRule="exact"/>
              <w:ind w:right="25"/>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852" w:type="dxa"/>
            <w:tcBorders>
              <w:top w:val="nil" w:sz="6" w:space="0" w:color="auto"/>
              <w:left w:val="nil" w:sz="6" w:space="0" w:color="auto"/>
              <w:bottom w:val="nil" w:sz="6" w:space="0" w:color="auto"/>
              <w:right w:val="nil" w:sz="6" w:space="0" w:color="auto"/>
            </w:tcBorders>
          </w:tcPr>
          <w:p>
            <w:pPr>
              <w:pStyle w:val="TableParagraph"/>
              <w:spacing w:line="215" w:lineRule="exact"/>
              <w:ind w:right="29"/>
              <w:jc w:val="right"/>
              <w:rPr>
                <w:rFonts w:ascii="宋体" w:hAnsi="宋体" w:cs="宋体" w:eastAsia="宋体" w:hint="default"/>
                <w:sz w:val="18"/>
                <w:szCs w:val="18"/>
              </w:rPr>
            </w:pPr>
            <w:r>
              <w:rPr>
                <w:rFonts w:ascii="宋体"/>
                <w:sz w:val="18"/>
              </w:rPr>
              <w:t>-</w:t>
            </w:r>
          </w:p>
        </w:tc>
        <w:tc>
          <w:tcPr>
            <w:tcW w:w="139"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15" w:lineRule="exact"/>
              <w:ind w:right="25"/>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15" w:lineRule="exact"/>
              <w:ind w:right="29"/>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15" w:lineRule="exact"/>
              <w:ind w:right="25"/>
              <w:jc w:val="right"/>
              <w:rPr>
                <w:rFonts w:ascii="宋体" w:hAnsi="宋体" w:cs="宋体" w:eastAsia="宋体" w:hint="default"/>
                <w:sz w:val="18"/>
                <w:szCs w:val="18"/>
              </w:rPr>
            </w:pPr>
            <w:r>
              <w:rPr>
                <w:rFonts w:ascii="宋体"/>
                <w:sz w:val="18"/>
              </w:rPr>
              <w:t>-</w:t>
            </w:r>
          </w:p>
        </w:tc>
        <w:tc>
          <w:tcPr>
            <w:tcW w:w="144"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Style w:val="TableParagraph"/>
              <w:spacing w:line="215" w:lineRule="exact"/>
              <w:ind w:right="25"/>
              <w:jc w:val="right"/>
              <w:rPr>
                <w:rFonts w:ascii="宋体" w:hAnsi="宋体" w:cs="宋体" w:eastAsia="宋体" w:hint="default"/>
                <w:sz w:val="18"/>
                <w:szCs w:val="18"/>
              </w:rPr>
            </w:pPr>
            <w:r>
              <w:rPr>
                <w:rFonts w:ascii="宋体"/>
                <w:sz w:val="18"/>
              </w:rPr>
              <w:t>-</w:t>
            </w:r>
          </w:p>
        </w:tc>
      </w:tr>
      <w:tr>
        <w:trPr>
          <w:trHeight w:val="263" w:hRule="exact"/>
        </w:trPr>
        <w:tc>
          <w:tcPr>
            <w:tcW w:w="108" w:type="dxa"/>
            <w:tcBorders>
              <w:top w:val="nil" w:sz="6" w:space="0" w:color="auto"/>
              <w:left w:val="nil" w:sz="6" w:space="0" w:color="auto"/>
              <w:bottom w:val="nil" w:sz="6" w:space="0" w:color="auto"/>
              <w:right w:val="nil" w:sz="6" w:space="0" w:color="auto"/>
            </w:tcBorders>
          </w:tcPr>
          <w:p>
            <w:pPr/>
          </w:p>
        </w:tc>
        <w:tc>
          <w:tcPr>
            <w:tcW w:w="3046" w:type="dxa"/>
            <w:tcBorders>
              <w:top w:val="nil" w:sz="6" w:space="0" w:color="auto"/>
              <w:left w:val="nil" w:sz="6" w:space="0" w:color="auto"/>
              <w:bottom w:val="nil" w:sz="6" w:space="0" w:color="auto"/>
              <w:right w:val="nil" w:sz="6" w:space="0" w:color="auto"/>
            </w:tcBorders>
          </w:tcPr>
          <w:p>
            <w:pPr>
              <w:pStyle w:val="TableParagraph"/>
              <w:spacing w:line="229" w:lineRule="exact"/>
              <w:ind w:left="28"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2598" w:type="dxa"/>
            <w:tcBorders>
              <w:top w:val="nil" w:sz="6" w:space="0" w:color="auto"/>
              <w:left w:val="nil" w:sz="6" w:space="0" w:color="auto"/>
              <w:bottom w:val="nil" w:sz="6" w:space="0" w:color="auto"/>
              <w:right w:val="nil" w:sz="6" w:space="0" w:color="auto"/>
            </w:tcBorders>
          </w:tcPr>
          <w:p>
            <w:pPr>
              <w:pStyle w:val="TableParagraph"/>
              <w:spacing w:line="220" w:lineRule="exact"/>
              <w:ind w:right="137"/>
              <w:jc w:val="right"/>
              <w:rPr>
                <w:rFonts w:ascii="宋体" w:hAnsi="宋体" w:cs="宋体" w:eastAsia="宋体" w:hint="default"/>
                <w:sz w:val="18"/>
                <w:szCs w:val="18"/>
              </w:rPr>
            </w:pPr>
            <w:r>
              <w:rPr>
                <w:rFonts w:ascii="宋体"/>
                <w:sz w:val="18"/>
              </w:rPr>
              <w:t>-</w:t>
            </w:r>
          </w:p>
        </w:tc>
        <w:tc>
          <w:tcPr>
            <w:tcW w:w="1745" w:type="dxa"/>
            <w:tcBorders>
              <w:top w:val="nil" w:sz="6" w:space="0" w:color="auto"/>
              <w:left w:val="nil" w:sz="6" w:space="0" w:color="auto"/>
              <w:bottom w:val="nil" w:sz="6" w:space="0" w:color="auto"/>
              <w:right w:val="nil" w:sz="6" w:space="0" w:color="auto"/>
            </w:tcBorders>
          </w:tcPr>
          <w:p>
            <w:pPr>
              <w:pStyle w:val="TableParagraph"/>
              <w:spacing w:line="220" w:lineRule="exact"/>
              <w:ind w:right="77"/>
              <w:jc w:val="right"/>
              <w:rPr>
                <w:rFonts w:ascii="宋体" w:hAnsi="宋体" w:cs="宋体" w:eastAsia="宋体" w:hint="default"/>
                <w:sz w:val="18"/>
                <w:szCs w:val="18"/>
              </w:rPr>
            </w:pPr>
            <w:r>
              <w:rPr>
                <w:rFonts w:ascii="宋体"/>
                <w:sz w:val="18"/>
              </w:rPr>
              <w:t>-</w:t>
            </w:r>
          </w:p>
        </w:tc>
        <w:tc>
          <w:tcPr>
            <w:tcW w:w="1038" w:type="dxa"/>
            <w:tcBorders>
              <w:top w:val="nil" w:sz="6" w:space="0" w:color="auto"/>
              <w:left w:val="nil" w:sz="6" w:space="0" w:color="auto"/>
              <w:bottom w:val="nil" w:sz="6" w:space="0" w:color="auto"/>
              <w:right w:val="nil" w:sz="6" w:space="0" w:color="auto"/>
            </w:tcBorders>
          </w:tcPr>
          <w:p>
            <w:pPr>
              <w:pStyle w:val="TableParagraph"/>
              <w:spacing w:line="220" w:lineRule="exact"/>
              <w:ind w:right="25"/>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852" w:type="dxa"/>
            <w:tcBorders>
              <w:top w:val="nil" w:sz="6" w:space="0" w:color="auto"/>
              <w:left w:val="nil" w:sz="6" w:space="0" w:color="auto"/>
              <w:bottom w:val="nil" w:sz="6" w:space="0" w:color="auto"/>
              <w:right w:val="nil" w:sz="6" w:space="0" w:color="auto"/>
            </w:tcBorders>
          </w:tcPr>
          <w:p>
            <w:pPr>
              <w:pStyle w:val="TableParagraph"/>
              <w:spacing w:line="220" w:lineRule="exact"/>
              <w:ind w:right="29"/>
              <w:jc w:val="right"/>
              <w:rPr>
                <w:rFonts w:ascii="宋体" w:hAnsi="宋体" w:cs="宋体" w:eastAsia="宋体" w:hint="default"/>
                <w:sz w:val="18"/>
                <w:szCs w:val="18"/>
              </w:rPr>
            </w:pPr>
            <w:r>
              <w:rPr>
                <w:rFonts w:ascii="宋体"/>
                <w:sz w:val="18"/>
              </w:rPr>
              <w:t>-</w:t>
            </w:r>
          </w:p>
        </w:tc>
        <w:tc>
          <w:tcPr>
            <w:tcW w:w="139"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20" w:lineRule="exact"/>
              <w:ind w:right="23"/>
              <w:jc w:val="right"/>
              <w:rPr>
                <w:rFonts w:ascii="宋体" w:hAnsi="宋体" w:cs="宋体" w:eastAsia="宋体" w:hint="default"/>
                <w:sz w:val="18"/>
                <w:szCs w:val="18"/>
              </w:rPr>
            </w:pPr>
            <w:r>
              <w:rPr>
                <w:rFonts w:ascii="宋体"/>
                <w:spacing w:val="-1"/>
                <w:sz w:val="18"/>
              </w:rPr>
              <w:t>2,290,759.50</w:t>
            </w:r>
          </w:p>
        </w:tc>
        <w:tc>
          <w:tcPr>
            <w:tcW w:w="142"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20" w:lineRule="exact"/>
              <w:ind w:right="29"/>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20" w:lineRule="exact"/>
              <w:ind w:right="23"/>
              <w:jc w:val="right"/>
              <w:rPr>
                <w:rFonts w:ascii="宋体" w:hAnsi="宋体" w:cs="宋体" w:eastAsia="宋体" w:hint="default"/>
                <w:sz w:val="18"/>
                <w:szCs w:val="18"/>
              </w:rPr>
            </w:pPr>
            <w:r>
              <w:rPr>
                <w:rFonts w:ascii="宋体"/>
                <w:spacing w:val="-1"/>
                <w:sz w:val="18"/>
              </w:rPr>
              <w:t>(7,570,759.50)</w:t>
            </w:r>
          </w:p>
        </w:tc>
        <w:tc>
          <w:tcPr>
            <w:tcW w:w="144"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Style w:val="TableParagraph"/>
              <w:spacing w:line="208" w:lineRule="exact"/>
              <w:ind w:left="28" w:right="0"/>
              <w:jc w:val="left"/>
              <w:rPr>
                <w:rFonts w:ascii="宋体" w:hAnsi="宋体" w:cs="宋体" w:eastAsia="宋体" w:hint="default"/>
                <w:sz w:val="18"/>
                <w:szCs w:val="18"/>
              </w:rPr>
            </w:pPr>
            <w:r>
              <w:rPr>
                <w:rFonts w:ascii="宋体"/>
                <w:sz w:val="18"/>
              </w:rPr>
              <w:t>(5,280,000.00)</w:t>
            </w:r>
          </w:p>
        </w:tc>
      </w:tr>
      <w:tr>
        <w:trPr>
          <w:trHeight w:val="257" w:hRule="exact"/>
        </w:trPr>
        <w:tc>
          <w:tcPr>
            <w:tcW w:w="108" w:type="dxa"/>
            <w:tcBorders>
              <w:top w:val="nil" w:sz="6" w:space="0" w:color="auto"/>
              <w:left w:val="nil" w:sz="6" w:space="0" w:color="auto"/>
              <w:bottom w:val="nil" w:sz="6" w:space="0" w:color="auto"/>
              <w:right w:val="nil" w:sz="6" w:space="0" w:color="auto"/>
            </w:tcBorders>
          </w:tcPr>
          <w:p>
            <w:pPr/>
          </w:p>
        </w:tc>
        <w:tc>
          <w:tcPr>
            <w:tcW w:w="3046" w:type="dxa"/>
            <w:tcBorders>
              <w:top w:val="nil" w:sz="6" w:space="0" w:color="auto"/>
              <w:left w:val="nil" w:sz="6" w:space="0" w:color="auto"/>
              <w:bottom w:val="nil" w:sz="6" w:space="0" w:color="auto"/>
              <w:right w:val="nil" w:sz="6" w:space="0" w:color="auto"/>
            </w:tcBorders>
          </w:tcPr>
          <w:p>
            <w:pPr>
              <w:pStyle w:val="TableParagraph"/>
              <w:spacing w:line="223" w:lineRule="exact"/>
              <w:ind w:left="39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2598" w:type="dxa"/>
            <w:tcBorders>
              <w:top w:val="nil" w:sz="6" w:space="0" w:color="auto"/>
              <w:left w:val="nil" w:sz="6" w:space="0" w:color="auto"/>
              <w:bottom w:val="nil" w:sz="6" w:space="0" w:color="auto"/>
              <w:right w:val="nil" w:sz="6" w:space="0" w:color="auto"/>
            </w:tcBorders>
          </w:tcPr>
          <w:p>
            <w:pPr>
              <w:pStyle w:val="TableParagraph"/>
              <w:spacing w:line="214" w:lineRule="exact"/>
              <w:ind w:right="137"/>
              <w:jc w:val="right"/>
              <w:rPr>
                <w:rFonts w:ascii="宋体" w:hAnsi="宋体" w:cs="宋体" w:eastAsia="宋体" w:hint="default"/>
                <w:sz w:val="18"/>
                <w:szCs w:val="18"/>
              </w:rPr>
            </w:pPr>
            <w:r>
              <w:rPr>
                <w:rFonts w:ascii="宋体"/>
                <w:sz w:val="18"/>
              </w:rPr>
              <w:t>-</w:t>
            </w:r>
          </w:p>
        </w:tc>
        <w:tc>
          <w:tcPr>
            <w:tcW w:w="1745" w:type="dxa"/>
            <w:tcBorders>
              <w:top w:val="nil" w:sz="6" w:space="0" w:color="auto"/>
              <w:left w:val="nil" w:sz="6" w:space="0" w:color="auto"/>
              <w:bottom w:val="nil" w:sz="6" w:space="0" w:color="auto"/>
              <w:right w:val="nil" w:sz="6" w:space="0" w:color="auto"/>
            </w:tcBorders>
          </w:tcPr>
          <w:p>
            <w:pPr>
              <w:pStyle w:val="TableParagraph"/>
              <w:spacing w:line="214" w:lineRule="exact"/>
              <w:ind w:right="77"/>
              <w:jc w:val="right"/>
              <w:rPr>
                <w:rFonts w:ascii="宋体" w:hAnsi="宋体" w:cs="宋体" w:eastAsia="宋体" w:hint="default"/>
                <w:sz w:val="18"/>
                <w:szCs w:val="18"/>
              </w:rPr>
            </w:pPr>
            <w:r>
              <w:rPr>
                <w:rFonts w:ascii="宋体"/>
                <w:sz w:val="18"/>
              </w:rPr>
              <w:t>-</w:t>
            </w:r>
          </w:p>
        </w:tc>
        <w:tc>
          <w:tcPr>
            <w:tcW w:w="1038" w:type="dxa"/>
            <w:tcBorders>
              <w:top w:val="nil" w:sz="6" w:space="0" w:color="auto"/>
              <w:left w:val="nil" w:sz="6" w:space="0" w:color="auto"/>
              <w:bottom w:val="nil" w:sz="6" w:space="0" w:color="auto"/>
              <w:right w:val="nil" w:sz="6" w:space="0" w:color="auto"/>
            </w:tcBorders>
          </w:tcPr>
          <w:p>
            <w:pPr>
              <w:pStyle w:val="TableParagraph"/>
              <w:spacing w:line="214" w:lineRule="exact"/>
              <w:ind w:right="25"/>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852" w:type="dxa"/>
            <w:tcBorders>
              <w:top w:val="nil" w:sz="6" w:space="0" w:color="auto"/>
              <w:left w:val="nil" w:sz="6" w:space="0" w:color="auto"/>
              <w:bottom w:val="nil" w:sz="6" w:space="0" w:color="auto"/>
              <w:right w:val="nil" w:sz="6" w:space="0" w:color="auto"/>
            </w:tcBorders>
          </w:tcPr>
          <w:p>
            <w:pPr>
              <w:pStyle w:val="TableParagraph"/>
              <w:spacing w:line="214" w:lineRule="exact"/>
              <w:ind w:right="29"/>
              <w:jc w:val="right"/>
              <w:rPr>
                <w:rFonts w:ascii="宋体" w:hAnsi="宋体" w:cs="宋体" w:eastAsia="宋体" w:hint="default"/>
                <w:sz w:val="18"/>
                <w:szCs w:val="18"/>
              </w:rPr>
            </w:pPr>
            <w:r>
              <w:rPr>
                <w:rFonts w:ascii="宋体"/>
                <w:sz w:val="18"/>
              </w:rPr>
              <w:t>-</w:t>
            </w:r>
          </w:p>
        </w:tc>
        <w:tc>
          <w:tcPr>
            <w:tcW w:w="139"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14" w:lineRule="exact"/>
              <w:ind w:right="23"/>
              <w:jc w:val="right"/>
              <w:rPr>
                <w:rFonts w:ascii="宋体" w:hAnsi="宋体" w:cs="宋体" w:eastAsia="宋体" w:hint="default"/>
                <w:sz w:val="18"/>
                <w:szCs w:val="18"/>
              </w:rPr>
            </w:pPr>
            <w:r>
              <w:rPr>
                <w:rFonts w:ascii="宋体"/>
                <w:spacing w:val="-1"/>
                <w:sz w:val="18"/>
              </w:rPr>
              <w:t>2,290,759.50</w:t>
            </w:r>
          </w:p>
        </w:tc>
        <w:tc>
          <w:tcPr>
            <w:tcW w:w="142"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14" w:lineRule="exact"/>
              <w:ind w:right="29"/>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14" w:lineRule="exact"/>
              <w:ind w:right="23"/>
              <w:jc w:val="right"/>
              <w:rPr>
                <w:rFonts w:ascii="宋体" w:hAnsi="宋体" w:cs="宋体" w:eastAsia="宋体" w:hint="default"/>
                <w:sz w:val="18"/>
                <w:szCs w:val="18"/>
              </w:rPr>
            </w:pPr>
            <w:r>
              <w:rPr>
                <w:rFonts w:ascii="宋体"/>
                <w:spacing w:val="-1"/>
                <w:sz w:val="18"/>
              </w:rPr>
              <w:t>(2,290,759.50)</w:t>
            </w:r>
          </w:p>
        </w:tc>
        <w:tc>
          <w:tcPr>
            <w:tcW w:w="144"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Style w:val="TableParagraph"/>
              <w:spacing w:line="214" w:lineRule="exact"/>
              <w:ind w:right="25"/>
              <w:jc w:val="right"/>
              <w:rPr>
                <w:rFonts w:ascii="宋体" w:hAnsi="宋体" w:cs="宋体" w:eastAsia="宋体" w:hint="default"/>
                <w:sz w:val="18"/>
                <w:szCs w:val="18"/>
              </w:rPr>
            </w:pPr>
            <w:r>
              <w:rPr>
                <w:rFonts w:ascii="宋体"/>
                <w:sz w:val="18"/>
              </w:rPr>
              <w:t>-</w:t>
            </w:r>
          </w:p>
        </w:tc>
      </w:tr>
      <w:tr>
        <w:trPr>
          <w:trHeight w:val="257" w:hRule="exact"/>
        </w:trPr>
        <w:tc>
          <w:tcPr>
            <w:tcW w:w="108" w:type="dxa"/>
            <w:tcBorders>
              <w:top w:val="nil" w:sz="6" w:space="0" w:color="auto"/>
              <w:left w:val="nil" w:sz="6" w:space="0" w:color="auto"/>
              <w:bottom w:val="nil" w:sz="6" w:space="0" w:color="auto"/>
              <w:right w:val="nil" w:sz="6" w:space="0" w:color="auto"/>
            </w:tcBorders>
          </w:tcPr>
          <w:p>
            <w:pPr/>
          </w:p>
        </w:tc>
        <w:tc>
          <w:tcPr>
            <w:tcW w:w="3046" w:type="dxa"/>
            <w:tcBorders>
              <w:top w:val="nil" w:sz="6" w:space="0" w:color="auto"/>
              <w:left w:val="nil" w:sz="6" w:space="0" w:color="auto"/>
              <w:bottom w:val="nil" w:sz="6" w:space="0" w:color="auto"/>
              <w:right w:val="nil" w:sz="6" w:space="0" w:color="auto"/>
            </w:tcBorders>
          </w:tcPr>
          <w:p>
            <w:pPr>
              <w:pStyle w:val="TableParagraph"/>
              <w:spacing w:line="223" w:lineRule="exact"/>
              <w:ind w:left="39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．对股东的分配</w:t>
            </w:r>
          </w:p>
        </w:tc>
        <w:tc>
          <w:tcPr>
            <w:tcW w:w="2598" w:type="dxa"/>
            <w:tcBorders>
              <w:top w:val="nil" w:sz="6" w:space="0" w:color="auto"/>
              <w:left w:val="nil" w:sz="6" w:space="0" w:color="auto"/>
              <w:bottom w:val="nil" w:sz="6" w:space="0" w:color="auto"/>
              <w:right w:val="nil" w:sz="6" w:space="0" w:color="auto"/>
            </w:tcBorders>
          </w:tcPr>
          <w:p>
            <w:pPr/>
          </w:p>
        </w:tc>
        <w:tc>
          <w:tcPr>
            <w:tcW w:w="1745" w:type="dxa"/>
            <w:tcBorders>
              <w:top w:val="nil" w:sz="6" w:space="0" w:color="auto"/>
              <w:left w:val="nil" w:sz="6" w:space="0" w:color="auto"/>
              <w:bottom w:val="nil" w:sz="6" w:space="0" w:color="auto"/>
              <w:right w:val="nil" w:sz="6" w:space="0" w:color="auto"/>
            </w:tcBorders>
          </w:tcPr>
          <w:p>
            <w:pPr/>
          </w:p>
        </w:tc>
        <w:tc>
          <w:tcPr>
            <w:tcW w:w="1038"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852"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14" w:lineRule="exact"/>
              <w:ind w:right="23"/>
              <w:jc w:val="right"/>
              <w:rPr>
                <w:rFonts w:ascii="宋体" w:hAnsi="宋体" w:cs="宋体" w:eastAsia="宋体" w:hint="default"/>
                <w:sz w:val="18"/>
                <w:szCs w:val="18"/>
              </w:rPr>
            </w:pPr>
            <w:r>
              <w:rPr>
                <w:rFonts w:ascii="宋体"/>
                <w:spacing w:val="-1"/>
                <w:sz w:val="18"/>
              </w:rPr>
              <w:t>(5,280,000.00)</w:t>
            </w:r>
          </w:p>
        </w:tc>
        <w:tc>
          <w:tcPr>
            <w:tcW w:w="144"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Style w:val="TableParagraph"/>
              <w:spacing w:line="214" w:lineRule="exact"/>
              <w:ind w:right="23"/>
              <w:jc w:val="right"/>
              <w:rPr>
                <w:rFonts w:ascii="宋体" w:hAnsi="宋体" w:cs="宋体" w:eastAsia="宋体" w:hint="default"/>
                <w:sz w:val="18"/>
                <w:szCs w:val="18"/>
              </w:rPr>
            </w:pPr>
            <w:r>
              <w:rPr>
                <w:rFonts w:ascii="宋体"/>
                <w:spacing w:val="-1"/>
                <w:sz w:val="18"/>
              </w:rPr>
              <w:t>(5,280,000.00)</w:t>
            </w:r>
          </w:p>
        </w:tc>
      </w:tr>
      <w:tr>
        <w:trPr>
          <w:trHeight w:val="257" w:hRule="exact"/>
        </w:trPr>
        <w:tc>
          <w:tcPr>
            <w:tcW w:w="108" w:type="dxa"/>
            <w:tcBorders>
              <w:top w:val="nil" w:sz="6" w:space="0" w:color="auto"/>
              <w:left w:val="nil" w:sz="6" w:space="0" w:color="auto"/>
              <w:bottom w:val="nil" w:sz="6" w:space="0" w:color="auto"/>
              <w:right w:val="nil" w:sz="6" w:space="0" w:color="auto"/>
            </w:tcBorders>
          </w:tcPr>
          <w:p>
            <w:pPr/>
          </w:p>
        </w:tc>
        <w:tc>
          <w:tcPr>
            <w:tcW w:w="3046" w:type="dxa"/>
            <w:tcBorders>
              <w:top w:val="nil" w:sz="6" w:space="0" w:color="auto"/>
              <w:left w:val="nil" w:sz="6" w:space="0" w:color="auto"/>
              <w:bottom w:val="nil" w:sz="6" w:space="0" w:color="auto"/>
              <w:right w:val="nil" w:sz="6" w:space="0" w:color="auto"/>
            </w:tcBorders>
          </w:tcPr>
          <w:p>
            <w:pPr>
              <w:pStyle w:val="TableParagraph"/>
              <w:spacing w:line="223" w:lineRule="exact"/>
              <w:ind w:left="39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2598" w:type="dxa"/>
            <w:tcBorders>
              <w:top w:val="nil" w:sz="6" w:space="0" w:color="auto"/>
              <w:left w:val="nil" w:sz="6" w:space="0" w:color="auto"/>
              <w:bottom w:val="nil" w:sz="6" w:space="0" w:color="auto"/>
              <w:right w:val="nil" w:sz="6" w:space="0" w:color="auto"/>
            </w:tcBorders>
          </w:tcPr>
          <w:p>
            <w:pPr>
              <w:pStyle w:val="TableParagraph"/>
              <w:spacing w:line="214" w:lineRule="exact"/>
              <w:ind w:right="137"/>
              <w:jc w:val="right"/>
              <w:rPr>
                <w:rFonts w:ascii="宋体" w:hAnsi="宋体" w:cs="宋体" w:eastAsia="宋体" w:hint="default"/>
                <w:sz w:val="18"/>
                <w:szCs w:val="18"/>
              </w:rPr>
            </w:pPr>
            <w:r>
              <w:rPr>
                <w:rFonts w:ascii="宋体"/>
                <w:sz w:val="18"/>
              </w:rPr>
              <w:t>-</w:t>
            </w:r>
          </w:p>
        </w:tc>
        <w:tc>
          <w:tcPr>
            <w:tcW w:w="1745" w:type="dxa"/>
            <w:tcBorders>
              <w:top w:val="nil" w:sz="6" w:space="0" w:color="auto"/>
              <w:left w:val="nil" w:sz="6" w:space="0" w:color="auto"/>
              <w:bottom w:val="nil" w:sz="6" w:space="0" w:color="auto"/>
              <w:right w:val="nil" w:sz="6" w:space="0" w:color="auto"/>
            </w:tcBorders>
          </w:tcPr>
          <w:p>
            <w:pPr>
              <w:pStyle w:val="TableParagraph"/>
              <w:spacing w:line="214" w:lineRule="exact"/>
              <w:ind w:right="77"/>
              <w:jc w:val="right"/>
              <w:rPr>
                <w:rFonts w:ascii="宋体" w:hAnsi="宋体" w:cs="宋体" w:eastAsia="宋体" w:hint="default"/>
                <w:sz w:val="18"/>
                <w:szCs w:val="18"/>
              </w:rPr>
            </w:pPr>
            <w:r>
              <w:rPr>
                <w:rFonts w:ascii="宋体"/>
                <w:sz w:val="18"/>
              </w:rPr>
              <w:t>-</w:t>
            </w:r>
          </w:p>
        </w:tc>
        <w:tc>
          <w:tcPr>
            <w:tcW w:w="1038" w:type="dxa"/>
            <w:tcBorders>
              <w:top w:val="nil" w:sz="6" w:space="0" w:color="auto"/>
              <w:left w:val="nil" w:sz="6" w:space="0" w:color="auto"/>
              <w:bottom w:val="nil" w:sz="6" w:space="0" w:color="auto"/>
              <w:right w:val="nil" w:sz="6" w:space="0" w:color="auto"/>
            </w:tcBorders>
          </w:tcPr>
          <w:p>
            <w:pPr>
              <w:pStyle w:val="TableParagraph"/>
              <w:spacing w:line="214" w:lineRule="exact"/>
              <w:ind w:right="25"/>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852" w:type="dxa"/>
            <w:tcBorders>
              <w:top w:val="nil" w:sz="6" w:space="0" w:color="auto"/>
              <w:left w:val="nil" w:sz="6" w:space="0" w:color="auto"/>
              <w:bottom w:val="nil" w:sz="6" w:space="0" w:color="auto"/>
              <w:right w:val="nil" w:sz="6" w:space="0" w:color="auto"/>
            </w:tcBorders>
          </w:tcPr>
          <w:p>
            <w:pPr>
              <w:pStyle w:val="TableParagraph"/>
              <w:spacing w:line="214" w:lineRule="exact"/>
              <w:ind w:right="29"/>
              <w:jc w:val="right"/>
              <w:rPr>
                <w:rFonts w:ascii="宋体" w:hAnsi="宋体" w:cs="宋体" w:eastAsia="宋体" w:hint="default"/>
                <w:sz w:val="18"/>
                <w:szCs w:val="18"/>
              </w:rPr>
            </w:pPr>
            <w:r>
              <w:rPr>
                <w:rFonts w:ascii="宋体"/>
                <w:sz w:val="18"/>
              </w:rPr>
              <w:t>-</w:t>
            </w:r>
          </w:p>
        </w:tc>
        <w:tc>
          <w:tcPr>
            <w:tcW w:w="139"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14" w:lineRule="exact"/>
              <w:ind w:right="25"/>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14" w:lineRule="exact"/>
              <w:ind w:right="29"/>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14" w:lineRule="exact"/>
              <w:ind w:right="25"/>
              <w:jc w:val="right"/>
              <w:rPr>
                <w:rFonts w:ascii="宋体" w:hAnsi="宋体" w:cs="宋体" w:eastAsia="宋体" w:hint="default"/>
                <w:sz w:val="18"/>
                <w:szCs w:val="18"/>
              </w:rPr>
            </w:pPr>
            <w:r>
              <w:rPr>
                <w:rFonts w:ascii="宋体"/>
                <w:sz w:val="18"/>
              </w:rPr>
              <w:t>-</w:t>
            </w:r>
          </w:p>
        </w:tc>
        <w:tc>
          <w:tcPr>
            <w:tcW w:w="144"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Style w:val="TableParagraph"/>
              <w:spacing w:line="214" w:lineRule="exact"/>
              <w:ind w:right="25"/>
              <w:jc w:val="right"/>
              <w:rPr>
                <w:rFonts w:ascii="宋体" w:hAnsi="宋体" w:cs="宋体" w:eastAsia="宋体" w:hint="default"/>
                <w:sz w:val="18"/>
                <w:szCs w:val="18"/>
              </w:rPr>
            </w:pPr>
            <w:r>
              <w:rPr>
                <w:rFonts w:ascii="宋体"/>
                <w:sz w:val="18"/>
              </w:rPr>
              <w:t>-</w:t>
            </w:r>
          </w:p>
        </w:tc>
      </w:tr>
      <w:tr>
        <w:trPr>
          <w:trHeight w:val="257" w:hRule="exact"/>
        </w:trPr>
        <w:tc>
          <w:tcPr>
            <w:tcW w:w="108" w:type="dxa"/>
            <w:tcBorders>
              <w:top w:val="nil" w:sz="6" w:space="0" w:color="auto"/>
              <w:left w:val="nil" w:sz="6" w:space="0" w:color="auto"/>
              <w:bottom w:val="nil" w:sz="6" w:space="0" w:color="auto"/>
              <w:right w:val="nil" w:sz="6" w:space="0" w:color="auto"/>
            </w:tcBorders>
          </w:tcPr>
          <w:p>
            <w:pPr/>
          </w:p>
        </w:tc>
        <w:tc>
          <w:tcPr>
            <w:tcW w:w="3046" w:type="dxa"/>
            <w:tcBorders>
              <w:top w:val="nil" w:sz="6" w:space="0" w:color="auto"/>
              <w:left w:val="nil" w:sz="6" w:space="0" w:color="auto"/>
              <w:bottom w:val="nil" w:sz="6" w:space="0" w:color="auto"/>
              <w:right w:val="nil" w:sz="6" w:space="0" w:color="auto"/>
            </w:tcBorders>
          </w:tcPr>
          <w:p>
            <w:pPr>
              <w:pStyle w:val="TableParagraph"/>
              <w:spacing w:line="223" w:lineRule="exact"/>
              <w:ind w:left="28" w:right="0"/>
              <w:jc w:val="left"/>
              <w:rPr>
                <w:rFonts w:ascii="宋体" w:hAnsi="宋体" w:cs="宋体" w:eastAsia="宋体" w:hint="default"/>
                <w:sz w:val="18"/>
                <w:szCs w:val="18"/>
              </w:rPr>
            </w:pPr>
            <w:r>
              <w:rPr>
                <w:rFonts w:ascii="宋体" w:hAnsi="宋体" w:cs="宋体" w:eastAsia="宋体" w:hint="default"/>
                <w:sz w:val="18"/>
                <w:szCs w:val="18"/>
              </w:rPr>
              <w:t>（五）股东权益内部结转</w:t>
            </w:r>
          </w:p>
        </w:tc>
        <w:tc>
          <w:tcPr>
            <w:tcW w:w="2598" w:type="dxa"/>
            <w:tcBorders>
              <w:top w:val="nil" w:sz="6" w:space="0" w:color="auto"/>
              <w:left w:val="nil" w:sz="6" w:space="0" w:color="auto"/>
              <w:bottom w:val="nil" w:sz="6" w:space="0" w:color="auto"/>
              <w:right w:val="nil" w:sz="6" w:space="0" w:color="auto"/>
            </w:tcBorders>
          </w:tcPr>
          <w:p>
            <w:pPr>
              <w:pStyle w:val="TableParagraph"/>
              <w:spacing w:line="214" w:lineRule="exact"/>
              <w:ind w:right="133"/>
              <w:jc w:val="right"/>
              <w:rPr>
                <w:rFonts w:ascii="宋体" w:hAnsi="宋体" w:cs="宋体" w:eastAsia="宋体" w:hint="default"/>
                <w:sz w:val="18"/>
                <w:szCs w:val="18"/>
              </w:rPr>
            </w:pPr>
            <w:r>
              <w:rPr>
                <w:rFonts w:ascii="宋体"/>
                <w:spacing w:val="-1"/>
                <w:sz w:val="18"/>
              </w:rPr>
              <w:t>70,400,000.00</w:t>
            </w:r>
            <w:r>
              <w:rPr>
                <w:rFonts w:ascii="宋体"/>
                <w:sz w:val="18"/>
              </w:rPr>
            </w:r>
          </w:p>
        </w:tc>
        <w:tc>
          <w:tcPr>
            <w:tcW w:w="1745" w:type="dxa"/>
            <w:tcBorders>
              <w:top w:val="nil" w:sz="6" w:space="0" w:color="auto"/>
              <w:left w:val="nil" w:sz="6" w:space="0" w:color="auto"/>
              <w:bottom w:val="nil" w:sz="6" w:space="0" w:color="auto"/>
              <w:right w:val="nil" w:sz="6" w:space="0" w:color="auto"/>
            </w:tcBorders>
          </w:tcPr>
          <w:p>
            <w:pPr>
              <w:pStyle w:val="TableParagraph"/>
              <w:spacing w:line="214" w:lineRule="exact"/>
              <w:ind w:right="73"/>
              <w:jc w:val="right"/>
              <w:rPr>
                <w:rFonts w:ascii="宋体" w:hAnsi="宋体" w:cs="宋体" w:eastAsia="宋体" w:hint="default"/>
                <w:sz w:val="18"/>
                <w:szCs w:val="18"/>
              </w:rPr>
            </w:pPr>
            <w:r>
              <w:rPr>
                <w:rFonts w:ascii="宋体" w:hAnsi="宋体" w:cs="宋体" w:eastAsia="宋体" w:hint="default"/>
                <w:spacing w:val="-1"/>
                <w:sz w:val="18"/>
                <w:szCs w:val="18"/>
              </w:rPr>
              <w:t>（</w:t>
            </w:r>
            <w:r>
              <w:rPr>
                <w:rFonts w:ascii="宋体" w:hAnsi="宋体" w:cs="宋体" w:eastAsia="宋体" w:hint="default"/>
                <w:spacing w:val="-1"/>
                <w:sz w:val="18"/>
                <w:szCs w:val="18"/>
              </w:rPr>
              <w:t>70,400,000.00</w:t>
            </w:r>
            <w:r>
              <w:rPr>
                <w:rFonts w:ascii="宋体" w:hAnsi="宋体" w:cs="宋体" w:eastAsia="宋体" w:hint="default"/>
                <w:spacing w:val="-1"/>
                <w:sz w:val="18"/>
                <w:szCs w:val="18"/>
              </w:rPr>
              <w:t>）</w:t>
            </w:r>
          </w:p>
        </w:tc>
        <w:tc>
          <w:tcPr>
            <w:tcW w:w="1038" w:type="dxa"/>
            <w:tcBorders>
              <w:top w:val="nil" w:sz="6" w:space="0" w:color="auto"/>
              <w:left w:val="nil" w:sz="6" w:space="0" w:color="auto"/>
              <w:bottom w:val="nil" w:sz="6" w:space="0" w:color="auto"/>
              <w:right w:val="nil" w:sz="6" w:space="0" w:color="auto"/>
            </w:tcBorders>
          </w:tcPr>
          <w:p>
            <w:pPr>
              <w:pStyle w:val="TableParagraph"/>
              <w:spacing w:line="214" w:lineRule="exact"/>
              <w:ind w:right="25"/>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852" w:type="dxa"/>
            <w:tcBorders>
              <w:top w:val="nil" w:sz="6" w:space="0" w:color="auto"/>
              <w:left w:val="nil" w:sz="6" w:space="0" w:color="auto"/>
              <w:bottom w:val="nil" w:sz="6" w:space="0" w:color="auto"/>
              <w:right w:val="nil" w:sz="6" w:space="0" w:color="auto"/>
            </w:tcBorders>
          </w:tcPr>
          <w:p>
            <w:pPr>
              <w:pStyle w:val="TableParagraph"/>
              <w:spacing w:line="214" w:lineRule="exact"/>
              <w:ind w:right="29"/>
              <w:jc w:val="right"/>
              <w:rPr>
                <w:rFonts w:ascii="宋体" w:hAnsi="宋体" w:cs="宋体" w:eastAsia="宋体" w:hint="default"/>
                <w:sz w:val="18"/>
                <w:szCs w:val="18"/>
              </w:rPr>
            </w:pPr>
            <w:r>
              <w:rPr>
                <w:rFonts w:ascii="宋体"/>
                <w:sz w:val="18"/>
              </w:rPr>
              <w:t>-</w:t>
            </w:r>
          </w:p>
        </w:tc>
        <w:tc>
          <w:tcPr>
            <w:tcW w:w="139"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14" w:lineRule="exact"/>
              <w:ind w:right="25"/>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14" w:lineRule="exact"/>
              <w:ind w:right="29"/>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14" w:lineRule="exact"/>
              <w:ind w:right="25"/>
              <w:jc w:val="right"/>
              <w:rPr>
                <w:rFonts w:ascii="宋体" w:hAnsi="宋体" w:cs="宋体" w:eastAsia="宋体" w:hint="default"/>
                <w:sz w:val="18"/>
                <w:szCs w:val="18"/>
              </w:rPr>
            </w:pPr>
            <w:r>
              <w:rPr>
                <w:rFonts w:ascii="宋体"/>
                <w:sz w:val="18"/>
              </w:rPr>
              <w:t>-</w:t>
            </w:r>
          </w:p>
        </w:tc>
        <w:tc>
          <w:tcPr>
            <w:tcW w:w="144"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Style w:val="TableParagraph"/>
              <w:spacing w:line="214" w:lineRule="exact"/>
              <w:ind w:right="25"/>
              <w:jc w:val="right"/>
              <w:rPr>
                <w:rFonts w:ascii="宋体" w:hAnsi="宋体" w:cs="宋体" w:eastAsia="宋体" w:hint="default"/>
                <w:sz w:val="18"/>
                <w:szCs w:val="18"/>
              </w:rPr>
            </w:pPr>
            <w:r>
              <w:rPr>
                <w:rFonts w:ascii="宋体"/>
                <w:sz w:val="18"/>
              </w:rPr>
              <w:t>-</w:t>
            </w:r>
          </w:p>
        </w:tc>
      </w:tr>
      <w:tr>
        <w:trPr>
          <w:trHeight w:val="257" w:hRule="exact"/>
        </w:trPr>
        <w:tc>
          <w:tcPr>
            <w:tcW w:w="108" w:type="dxa"/>
            <w:tcBorders>
              <w:top w:val="nil" w:sz="6" w:space="0" w:color="auto"/>
              <w:left w:val="nil" w:sz="6" w:space="0" w:color="auto"/>
              <w:bottom w:val="nil" w:sz="6" w:space="0" w:color="auto"/>
              <w:right w:val="nil" w:sz="6" w:space="0" w:color="auto"/>
            </w:tcBorders>
          </w:tcPr>
          <w:p>
            <w:pPr/>
          </w:p>
        </w:tc>
        <w:tc>
          <w:tcPr>
            <w:tcW w:w="3046" w:type="dxa"/>
            <w:tcBorders>
              <w:top w:val="nil" w:sz="6" w:space="0" w:color="auto"/>
              <w:left w:val="nil" w:sz="6" w:space="0" w:color="auto"/>
              <w:bottom w:val="nil" w:sz="6" w:space="0" w:color="auto"/>
              <w:right w:val="nil" w:sz="6" w:space="0" w:color="auto"/>
            </w:tcBorders>
          </w:tcPr>
          <w:p>
            <w:pPr>
              <w:pStyle w:val="TableParagraph"/>
              <w:spacing w:line="223" w:lineRule="exact"/>
              <w:ind w:left="39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．资本公积转增股本</w:t>
            </w:r>
          </w:p>
        </w:tc>
        <w:tc>
          <w:tcPr>
            <w:tcW w:w="2598" w:type="dxa"/>
            <w:tcBorders>
              <w:top w:val="nil" w:sz="6" w:space="0" w:color="auto"/>
              <w:left w:val="nil" w:sz="6" w:space="0" w:color="auto"/>
              <w:bottom w:val="nil" w:sz="6" w:space="0" w:color="auto"/>
              <w:right w:val="nil" w:sz="6" w:space="0" w:color="auto"/>
            </w:tcBorders>
          </w:tcPr>
          <w:p>
            <w:pPr>
              <w:pStyle w:val="TableParagraph"/>
              <w:spacing w:line="214" w:lineRule="exact"/>
              <w:ind w:right="133"/>
              <w:jc w:val="right"/>
              <w:rPr>
                <w:rFonts w:ascii="宋体" w:hAnsi="宋体" w:cs="宋体" w:eastAsia="宋体" w:hint="default"/>
                <w:sz w:val="18"/>
                <w:szCs w:val="18"/>
              </w:rPr>
            </w:pPr>
            <w:r>
              <w:rPr>
                <w:rFonts w:ascii="宋体"/>
                <w:spacing w:val="-1"/>
                <w:sz w:val="18"/>
              </w:rPr>
              <w:t>70,400,000.00</w:t>
            </w:r>
            <w:r>
              <w:rPr>
                <w:rFonts w:ascii="宋体"/>
                <w:sz w:val="18"/>
              </w:rPr>
            </w:r>
          </w:p>
        </w:tc>
        <w:tc>
          <w:tcPr>
            <w:tcW w:w="1745" w:type="dxa"/>
            <w:tcBorders>
              <w:top w:val="nil" w:sz="6" w:space="0" w:color="auto"/>
              <w:left w:val="nil" w:sz="6" w:space="0" w:color="auto"/>
              <w:bottom w:val="nil" w:sz="6" w:space="0" w:color="auto"/>
              <w:right w:val="nil" w:sz="6" w:space="0" w:color="auto"/>
            </w:tcBorders>
          </w:tcPr>
          <w:p>
            <w:pPr>
              <w:pStyle w:val="TableParagraph"/>
              <w:spacing w:line="214" w:lineRule="exact"/>
              <w:ind w:right="73"/>
              <w:jc w:val="right"/>
              <w:rPr>
                <w:rFonts w:ascii="宋体" w:hAnsi="宋体" w:cs="宋体" w:eastAsia="宋体" w:hint="default"/>
                <w:sz w:val="18"/>
                <w:szCs w:val="18"/>
              </w:rPr>
            </w:pPr>
            <w:r>
              <w:rPr>
                <w:rFonts w:ascii="宋体" w:hAnsi="宋体" w:cs="宋体" w:eastAsia="宋体" w:hint="default"/>
                <w:spacing w:val="-1"/>
                <w:sz w:val="18"/>
                <w:szCs w:val="18"/>
              </w:rPr>
              <w:t>（</w:t>
            </w:r>
            <w:r>
              <w:rPr>
                <w:rFonts w:ascii="宋体" w:hAnsi="宋体" w:cs="宋体" w:eastAsia="宋体" w:hint="default"/>
                <w:spacing w:val="-1"/>
                <w:sz w:val="18"/>
                <w:szCs w:val="18"/>
              </w:rPr>
              <w:t>70,400,000.00</w:t>
            </w:r>
            <w:r>
              <w:rPr>
                <w:rFonts w:ascii="宋体" w:hAnsi="宋体" w:cs="宋体" w:eastAsia="宋体" w:hint="default"/>
                <w:spacing w:val="-1"/>
                <w:sz w:val="18"/>
                <w:szCs w:val="18"/>
              </w:rPr>
              <w:t>）</w:t>
            </w:r>
          </w:p>
        </w:tc>
        <w:tc>
          <w:tcPr>
            <w:tcW w:w="1038" w:type="dxa"/>
            <w:tcBorders>
              <w:top w:val="nil" w:sz="6" w:space="0" w:color="auto"/>
              <w:left w:val="nil" w:sz="6" w:space="0" w:color="auto"/>
              <w:bottom w:val="nil" w:sz="6" w:space="0" w:color="auto"/>
              <w:right w:val="nil" w:sz="6" w:space="0" w:color="auto"/>
            </w:tcBorders>
          </w:tcPr>
          <w:p>
            <w:pPr>
              <w:pStyle w:val="TableParagraph"/>
              <w:spacing w:line="214" w:lineRule="exact"/>
              <w:ind w:right="25"/>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852" w:type="dxa"/>
            <w:tcBorders>
              <w:top w:val="nil" w:sz="6" w:space="0" w:color="auto"/>
              <w:left w:val="nil" w:sz="6" w:space="0" w:color="auto"/>
              <w:bottom w:val="nil" w:sz="6" w:space="0" w:color="auto"/>
              <w:right w:val="nil" w:sz="6" w:space="0" w:color="auto"/>
            </w:tcBorders>
          </w:tcPr>
          <w:p>
            <w:pPr>
              <w:pStyle w:val="TableParagraph"/>
              <w:spacing w:line="214" w:lineRule="exact"/>
              <w:ind w:right="29"/>
              <w:jc w:val="right"/>
              <w:rPr>
                <w:rFonts w:ascii="宋体" w:hAnsi="宋体" w:cs="宋体" w:eastAsia="宋体" w:hint="default"/>
                <w:sz w:val="18"/>
                <w:szCs w:val="18"/>
              </w:rPr>
            </w:pPr>
            <w:r>
              <w:rPr>
                <w:rFonts w:ascii="宋体"/>
                <w:sz w:val="18"/>
              </w:rPr>
              <w:t>-</w:t>
            </w:r>
          </w:p>
        </w:tc>
        <w:tc>
          <w:tcPr>
            <w:tcW w:w="139"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14" w:lineRule="exact"/>
              <w:ind w:right="25"/>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14" w:lineRule="exact"/>
              <w:ind w:right="29"/>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14" w:lineRule="exact"/>
              <w:ind w:right="25"/>
              <w:jc w:val="right"/>
              <w:rPr>
                <w:rFonts w:ascii="宋体" w:hAnsi="宋体" w:cs="宋体" w:eastAsia="宋体" w:hint="default"/>
                <w:sz w:val="18"/>
                <w:szCs w:val="18"/>
              </w:rPr>
            </w:pPr>
            <w:r>
              <w:rPr>
                <w:rFonts w:ascii="宋体"/>
                <w:sz w:val="18"/>
              </w:rPr>
              <w:t>-</w:t>
            </w:r>
          </w:p>
        </w:tc>
        <w:tc>
          <w:tcPr>
            <w:tcW w:w="144"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Style w:val="TableParagraph"/>
              <w:spacing w:line="214" w:lineRule="exact"/>
              <w:ind w:right="25"/>
              <w:jc w:val="right"/>
              <w:rPr>
                <w:rFonts w:ascii="宋体" w:hAnsi="宋体" w:cs="宋体" w:eastAsia="宋体" w:hint="default"/>
                <w:sz w:val="18"/>
                <w:szCs w:val="18"/>
              </w:rPr>
            </w:pPr>
            <w:r>
              <w:rPr>
                <w:rFonts w:ascii="宋体"/>
                <w:sz w:val="18"/>
              </w:rPr>
              <w:t>-</w:t>
            </w:r>
          </w:p>
        </w:tc>
      </w:tr>
      <w:tr>
        <w:trPr>
          <w:trHeight w:val="257" w:hRule="exact"/>
        </w:trPr>
        <w:tc>
          <w:tcPr>
            <w:tcW w:w="108" w:type="dxa"/>
            <w:tcBorders>
              <w:top w:val="nil" w:sz="6" w:space="0" w:color="auto"/>
              <w:left w:val="nil" w:sz="6" w:space="0" w:color="auto"/>
              <w:bottom w:val="nil" w:sz="6" w:space="0" w:color="auto"/>
              <w:right w:val="nil" w:sz="6" w:space="0" w:color="auto"/>
            </w:tcBorders>
          </w:tcPr>
          <w:p>
            <w:pPr/>
          </w:p>
        </w:tc>
        <w:tc>
          <w:tcPr>
            <w:tcW w:w="3046" w:type="dxa"/>
            <w:tcBorders>
              <w:top w:val="nil" w:sz="6" w:space="0" w:color="auto"/>
              <w:left w:val="nil" w:sz="6" w:space="0" w:color="auto"/>
              <w:bottom w:val="nil" w:sz="6" w:space="0" w:color="auto"/>
              <w:right w:val="nil" w:sz="6" w:space="0" w:color="auto"/>
            </w:tcBorders>
          </w:tcPr>
          <w:p>
            <w:pPr>
              <w:pStyle w:val="TableParagraph"/>
              <w:spacing w:line="223" w:lineRule="exact"/>
              <w:ind w:left="39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．盈余公积转增股本</w:t>
            </w:r>
          </w:p>
        </w:tc>
        <w:tc>
          <w:tcPr>
            <w:tcW w:w="2598" w:type="dxa"/>
            <w:tcBorders>
              <w:top w:val="nil" w:sz="6" w:space="0" w:color="auto"/>
              <w:left w:val="nil" w:sz="6" w:space="0" w:color="auto"/>
              <w:bottom w:val="nil" w:sz="6" w:space="0" w:color="auto"/>
              <w:right w:val="nil" w:sz="6" w:space="0" w:color="auto"/>
            </w:tcBorders>
          </w:tcPr>
          <w:p>
            <w:pPr>
              <w:pStyle w:val="TableParagraph"/>
              <w:spacing w:line="214" w:lineRule="exact"/>
              <w:ind w:right="137"/>
              <w:jc w:val="right"/>
              <w:rPr>
                <w:rFonts w:ascii="宋体" w:hAnsi="宋体" w:cs="宋体" w:eastAsia="宋体" w:hint="default"/>
                <w:sz w:val="18"/>
                <w:szCs w:val="18"/>
              </w:rPr>
            </w:pPr>
            <w:r>
              <w:rPr>
                <w:rFonts w:ascii="宋体"/>
                <w:sz w:val="18"/>
              </w:rPr>
              <w:t>-</w:t>
            </w:r>
          </w:p>
        </w:tc>
        <w:tc>
          <w:tcPr>
            <w:tcW w:w="1745" w:type="dxa"/>
            <w:tcBorders>
              <w:top w:val="nil" w:sz="6" w:space="0" w:color="auto"/>
              <w:left w:val="nil" w:sz="6" w:space="0" w:color="auto"/>
              <w:bottom w:val="nil" w:sz="6" w:space="0" w:color="auto"/>
              <w:right w:val="nil" w:sz="6" w:space="0" w:color="auto"/>
            </w:tcBorders>
          </w:tcPr>
          <w:p>
            <w:pPr>
              <w:pStyle w:val="TableParagraph"/>
              <w:spacing w:line="214" w:lineRule="exact"/>
              <w:ind w:right="77"/>
              <w:jc w:val="right"/>
              <w:rPr>
                <w:rFonts w:ascii="宋体" w:hAnsi="宋体" w:cs="宋体" w:eastAsia="宋体" w:hint="default"/>
                <w:sz w:val="18"/>
                <w:szCs w:val="18"/>
              </w:rPr>
            </w:pPr>
            <w:r>
              <w:rPr>
                <w:rFonts w:ascii="宋体"/>
                <w:sz w:val="18"/>
              </w:rPr>
              <w:t>-</w:t>
            </w:r>
          </w:p>
        </w:tc>
        <w:tc>
          <w:tcPr>
            <w:tcW w:w="1038" w:type="dxa"/>
            <w:tcBorders>
              <w:top w:val="nil" w:sz="6" w:space="0" w:color="auto"/>
              <w:left w:val="nil" w:sz="6" w:space="0" w:color="auto"/>
              <w:bottom w:val="nil" w:sz="6" w:space="0" w:color="auto"/>
              <w:right w:val="nil" w:sz="6" w:space="0" w:color="auto"/>
            </w:tcBorders>
          </w:tcPr>
          <w:p>
            <w:pPr>
              <w:pStyle w:val="TableParagraph"/>
              <w:spacing w:line="214" w:lineRule="exact"/>
              <w:ind w:right="25"/>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852" w:type="dxa"/>
            <w:tcBorders>
              <w:top w:val="nil" w:sz="6" w:space="0" w:color="auto"/>
              <w:left w:val="nil" w:sz="6" w:space="0" w:color="auto"/>
              <w:bottom w:val="nil" w:sz="6" w:space="0" w:color="auto"/>
              <w:right w:val="nil" w:sz="6" w:space="0" w:color="auto"/>
            </w:tcBorders>
          </w:tcPr>
          <w:p>
            <w:pPr>
              <w:pStyle w:val="TableParagraph"/>
              <w:spacing w:line="214" w:lineRule="exact"/>
              <w:ind w:right="29"/>
              <w:jc w:val="right"/>
              <w:rPr>
                <w:rFonts w:ascii="宋体" w:hAnsi="宋体" w:cs="宋体" w:eastAsia="宋体" w:hint="default"/>
                <w:sz w:val="18"/>
                <w:szCs w:val="18"/>
              </w:rPr>
            </w:pPr>
            <w:r>
              <w:rPr>
                <w:rFonts w:ascii="宋体"/>
                <w:sz w:val="18"/>
              </w:rPr>
              <w:t>-</w:t>
            </w:r>
          </w:p>
        </w:tc>
        <w:tc>
          <w:tcPr>
            <w:tcW w:w="139"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14" w:lineRule="exact"/>
              <w:ind w:right="25"/>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14" w:lineRule="exact"/>
              <w:ind w:right="29"/>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14" w:lineRule="exact"/>
              <w:ind w:right="25"/>
              <w:jc w:val="right"/>
              <w:rPr>
                <w:rFonts w:ascii="宋体" w:hAnsi="宋体" w:cs="宋体" w:eastAsia="宋体" w:hint="default"/>
                <w:sz w:val="18"/>
                <w:szCs w:val="18"/>
              </w:rPr>
            </w:pPr>
            <w:r>
              <w:rPr>
                <w:rFonts w:ascii="宋体"/>
                <w:sz w:val="18"/>
              </w:rPr>
              <w:t>-</w:t>
            </w:r>
          </w:p>
        </w:tc>
        <w:tc>
          <w:tcPr>
            <w:tcW w:w="144"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Style w:val="TableParagraph"/>
              <w:spacing w:line="214" w:lineRule="exact"/>
              <w:ind w:right="25"/>
              <w:jc w:val="right"/>
              <w:rPr>
                <w:rFonts w:ascii="宋体" w:hAnsi="宋体" w:cs="宋体" w:eastAsia="宋体" w:hint="default"/>
                <w:sz w:val="18"/>
                <w:szCs w:val="18"/>
              </w:rPr>
            </w:pPr>
            <w:r>
              <w:rPr>
                <w:rFonts w:ascii="宋体"/>
                <w:sz w:val="18"/>
              </w:rPr>
              <w:t>-</w:t>
            </w:r>
          </w:p>
        </w:tc>
      </w:tr>
      <w:tr>
        <w:trPr>
          <w:trHeight w:val="258" w:hRule="exact"/>
        </w:trPr>
        <w:tc>
          <w:tcPr>
            <w:tcW w:w="108" w:type="dxa"/>
            <w:tcBorders>
              <w:top w:val="nil" w:sz="6" w:space="0" w:color="auto"/>
              <w:left w:val="nil" w:sz="6" w:space="0" w:color="auto"/>
              <w:bottom w:val="nil" w:sz="6" w:space="0" w:color="auto"/>
              <w:right w:val="nil" w:sz="6" w:space="0" w:color="auto"/>
            </w:tcBorders>
          </w:tcPr>
          <w:p>
            <w:pPr/>
          </w:p>
        </w:tc>
        <w:tc>
          <w:tcPr>
            <w:tcW w:w="3046" w:type="dxa"/>
            <w:tcBorders>
              <w:top w:val="nil" w:sz="6" w:space="0" w:color="auto"/>
              <w:left w:val="nil" w:sz="6" w:space="0" w:color="auto"/>
              <w:bottom w:val="nil" w:sz="6" w:space="0" w:color="auto"/>
              <w:right w:val="nil" w:sz="6" w:space="0" w:color="auto"/>
            </w:tcBorders>
          </w:tcPr>
          <w:p>
            <w:pPr>
              <w:pStyle w:val="TableParagraph"/>
              <w:spacing w:line="223" w:lineRule="exact"/>
              <w:ind w:left="39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2598" w:type="dxa"/>
            <w:tcBorders>
              <w:top w:val="nil" w:sz="6" w:space="0" w:color="auto"/>
              <w:left w:val="nil" w:sz="6" w:space="0" w:color="auto"/>
              <w:bottom w:val="nil" w:sz="6" w:space="0" w:color="auto"/>
              <w:right w:val="nil" w:sz="6" w:space="0" w:color="auto"/>
            </w:tcBorders>
          </w:tcPr>
          <w:p>
            <w:pPr>
              <w:pStyle w:val="TableParagraph"/>
              <w:spacing w:line="214" w:lineRule="exact"/>
              <w:ind w:right="137"/>
              <w:jc w:val="right"/>
              <w:rPr>
                <w:rFonts w:ascii="宋体" w:hAnsi="宋体" w:cs="宋体" w:eastAsia="宋体" w:hint="default"/>
                <w:sz w:val="18"/>
                <w:szCs w:val="18"/>
              </w:rPr>
            </w:pPr>
            <w:r>
              <w:rPr>
                <w:rFonts w:ascii="宋体"/>
                <w:sz w:val="18"/>
              </w:rPr>
              <w:t>-</w:t>
            </w:r>
          </w:p>
        </w:tc>
        <w:tc>
          <w:tcPr>
            <w:tcW w:w="1745" w:type="dxa"/>
            <w:tcBorders>
              <w:top w:val="nil" w:sz="6" w:space="0" w:color="auto"/>
              <w:left w:val="nil" w:sz="6" w:space="0" w:color="auto"/>
              <w:bottom w:val="nil" w:sz="6" w:space="0" w:color="auto"/>
              <w:right w:val="nil" w:sz="6" w:space="0" w:color="auto"/>
            </w:tcBorders>
          </w:tcPr>
          <w:p>
            <w:pPr>
              <w:pStyle w:val="TableParagraph"/>
              <w:spacing w:line="214" w:lineRule="exact"/>
              <w:ind w:right="77"/>
              <w:jc w:val="right"/>
              <w:rPr>
                <w:rFonts w:ascii="宋体" w:hAnsi="宋体" w:cs="宋体" w:eastAsia="宋体" w:hint="default"/>
                <w:sz w:val="18"/>
                <w:szCs w:val="18"/>
              </w:rPr>
            </w:pPr>
            <w:r>
              <w:rPr>
                <w:rFonts w:ascii="宋体"/>
                <w:sz w:val="18"/>
              </w:rPr>
              <w:t>-</w:t>
            </w:r>
          </w:p>
        </w:tc>
        <w:tc>
          <w:tcPr>
            <w:tcW w:w="1038" w:type="dxa"/>
            <w:tcBorders>
              <w:top w:val="nil" w:sz="6" w:space="0" w:color="auto"/>
              <w:left w:val="nil" w:sz="6" w:space="0" w:color="auto"/>
              <w:bottom w:val="nil" w:sz="6" w:space="0" w:color="auto"/>
              <w:right w:val="nil" w:sz="6" w:space="0" w:color="auto"/>
            </w:tcBorders>
          </w:tcPr>
          <w:p>
            <w:pPr>
              <w:pStyle w:val="TableParagraph"/>
              <w:spacing w:line="214" w:lineRule="exact"/>
              <w:ind w:right="25"/>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852" w:type="dxa"/>
            <w:tcBorders>
              <w:top w:val="nil" w:sz="6" w:space="0" w:color="auto"/>
              <w:left w:val="nil" w:sz="6" w:space="0" w:color="auto"/>
              <w:bottom w:val="nil" w:sz="6" w:space="0" w:color="auto"/>
              <w:right w:val="nil" w:sz="6" w:space="0" w:color="auto"/>
            </w:tcBorders>
          </w:tcPr>
          <w:p>
            <w:pPr>
              <w:pStyle w:val="TableParagraph"/>
              <w:spacing w:line="214" w:lineRule="exact"/>
              <w:ind w:right="29"/>
              <w:jc w:val="right"/>
              <w:rPr>
                <w:rFonts w:ascii="宋体" w:hAnsi="宋体" w:cs="宋体" w:eastAsia="宋体" w:hint="default"/>
                <w:sz w:val="18"/>
                <w:szCs w:val="18"/>
              </w:rPr>
            </w:pPr>
            <w:r>
              <w:rPr>
                <w:rFonts w:ascii="宋体"/>
                <w:sz w:val="18"/>
              </w:rPr>
              <w:t>-</w:t>
            </w:r>
          </w:p>
        </w:tc>
        <w:tc>
          <w:tcPr>
            <w:tcW w:w="139"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14" w:lineRule="exact"/>
              <w:ind w:right="25"/>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14" w:lineRule="exact"/>
              <w:ind w:right="29"/>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14" w:lineRule="exact"/>
              <w:ind w:right="25"/>
              <w:jc w:val="right"/>
              <w:rPr>
                <w:rFonts w:ascii="宋体" w:hAnsi="宋体" w:cs="宋体" w:eastAsia="宋体" w:hint="default"/>
                <w:sz w:val="18"/>
                <w:szCs w:val="18"/>
              </w:rPr>
            </w:pPr>
            <w:r>
              <w:rPr>
                <w:rFonts w:ascii="宋体"/>
                <w:sz w:val="18"/>
              </w:rPr>
              <w:t>-</w:t>
            </w:r>
          </w:p>
        </w:tc>
        <w:tc>
          <w:tcPr>
            <w:tcW w:w="144"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Style w:val="TableParagraph"/>
              <w:spacing w:line="214" w:lineRule="exact"/>
              <w:ind w:right="25"/>
              <w:jc w:val="right"/>
              <w:rPr>
                <w:rFonts w:ascii="宋体" w:hAnsi="宋体" w:cs="宋体" w:eastAsia="宋体" w:hint="default"/>
                <w:sz w:val="18"/>
                <w:szCs w:val="18"/>
              </w:rPr>
            </w:pPr>
            <w:r>
              <w:rPr>
                <w:rFonts w:ascii="宋体"/>
                <w:sz w:val="18"/>
              </w:rPr>
              <w:t>-</w:t>
            </w:r>
          </w:p>
        </w:tc>
      </w:tr>
      <w:tr>
        <w:trPr>
          <w:trHeight w:val="257" w:hRule="exact"/>
        </w:trPr>
        <w:tc>
          <w:tcPr>
            <w:tcW w:w="108" w:type="dxa"/>
            <w:tcBorders>
              <w:top w:val="nil" w:sz="6" w:space="0" w:color="auto"/>
              <w:left w:val="nil" w:sz="6" w:space="0" w:color="auto"/>
              <w:bottom w:val="nil" w:sz="6" w:space="0" w:color="auto"/>
              <w:right w:val="nil" w:sz="6" w:space="0" w:color="auto"/>
            </w:tcBorders>
          </w:tcPr>
          <w:p>
            <w:pPr/>
          </w:p>
        </w:tc>
        <w:tc>
          <w:tcPr>
            <w:tcW w:w="3046" w:type="dxa"/>
            <w:tcBorders>
              <w:top w:val="nil" w:sz="6" w:space="0" w:color="auto"/>
              <w:left w:val="nil" w:sz="6" w:space="0" w:color="auto"/>
              <w:bottom w:val="nil" w:sz="6" w:space="0" w:color="auto"/>
              <w:right w:val="nil" w:sz="6" w:space="0" w:color="auto"/>
            </w:tcBorders>
          </w:tcPr>
          <w:p>
            <w:pPr>
              <w:pStyle w:val="TableParagraph"/>
              <w:spacing w:line="222" w:lineRule="exact"/>
              <w:ind w:left="39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2598" w:type="dxa"/>
            <w:tcBorders>
              <w:top w:val="nil" w:sz="6" w:space="0" w:color="auto"/>
              <w:left w:val="nil" w:sz="6" w:space="0" w:color="auto"/>
              <w:bottom w:val="nil" w:sz="6" w:space="0" w:color="auto"/>
              <w:right w:val="nil" w:sz="6" w:space="0" w:color="auto"/>
            </w:tcBorders>
          </w:tcPr>
          <w:p>
            <w:pPr>
              <w:pStyle w:val="TableParagraph"/>
              <w:spacing w:line="215" w:lineRule="exact"/>
              <w:ind w:right="137"/>
              <w:jc w:val="right"/>
              <w:rPr>
                <w:rFonts w:ascii="宋体" w:hAnsi="宋体" w:cs="宋体" w:eastAsia="宋体" w:hint="default"/>
                <w:sz w:val="18"/>
                <w:szCs w:val="18"/>
              </w:rPr>
            </w:pPr>
            <w:r>
              <w:rPr>
                <w:rFonts w:ascii="宋体"/>
                <w:sz w:val="18"/>
              </w:rPr>
              <w:t>-</w:t>
            </w:r>
          </w:p>
        </w:tc>
        <w:tc>
          <w:tcPr>
            <w:tcW w:w="1745" w:type="dxa"/>
            <w:tcBorders>
              <w:top w:val="nil" w:sz="6" w:space="0" w:color="auto"/>
              <w:left w:val="nil" w:sz="6" w:space="0" w:color="auto"/>
              <w:bottom w:val="nil" w:sz="6" w:space="0" w:color="auto"/>
              <w:right w:val="nil" w:sz="6" w:space="0" w:color="auto"/>
            </w:tcBorders>
          </w:tcPr>
          <w:p>
            <w:pPr>
              <w:pStyle w:val="TableParagraph"/>
              <w:spacing w:line="215" w:lineRule="exact"/>
              <w:ind w:right="77"/>
              <w:jc w:val="right"/>
              <w:rPr>
                <w:rFonts w:ascii="宋体" w:hAnsi="宋体" w:cs="宋体" w:eastAsia="宋体" w:hint="default"/>
                <w:sz w:val="18"/>
                <w:szCs w:val="18"/>
              </w:rPr>
            </w:pPr>
            <w:r>
              <w:rPr>
                <w:rFonts w:ascii="宋体"/>
                <w:sz w:val="18"/>
              </w:rPr>
              <w:t>-</w:t>
            </w:r>
          </w:p>
        </w:tc>
        <w:tc>
          <w:tcPr>
            <w:tcW w:w="1038" w:type="dxa"/>
            <w:tcBorders>
              <w:top w:val="nil" w:sz="6" w:space="0" w:color="auto"/>
              <w:left w:val="nil" w:sz="6" w:space="0" w:color="auto"/>
              <w:bottom w:val="nil" w:sz="6" w:space="0" w:color="auto"/>
              <w:right w:val="nil" w:sz="6" w:space="0" w:color="auto"/>
            </w:tcBorders>
          </w:tcPr>
          <w:p>
            <w:pPr>
              <w:pStyle w:val="TableParagraph"/>
              <w:spacing w:line="215" w:lineRule="exact"/>
              <w:ind w:right="25"/>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852" w:type="dxa"/>
            <w:tcBorders>
              <w:top w:val="nil" w:sz="6" w:space="0" w:color="auto"/>
              <w:left w:val="nil" w:sz="6" w:space="0" w:color="auto"/>
              <w:bottom w:val="nil" w:sz="6" w:space="0" w:color="auto"/>
              <w:right w:val="nil" w:sz="6" w:space="0" w:color="auto"/>
            </w:tcBorders>
          </w:tcPr>
          <w:p>
            <w:pPr>
              <w:pStyle w:val="TableParagraph"/>
              <w:spacing w:line="215" w:lineRule="exact"/>
              <w:ind w:right="29"/>
              <w:jc w:val="right"/>
              <w:rPr>
                <w:rFonts w:ascii="宋体" w:hAnsi="宋体" w:cs="宋体" w:eastAsia="宋体" w:hint="default"/>
                <w:sz w:val="18"/>
                <w:szCs w:val="18"/>
              </w:rPr>
            </w:pPr>
            <w:r>
              <w:rPr>
                <w:rFonts w:ascii="宋体"/>
                <w:sz w:val="18"/>
              </w:rPr>
              <w:t>-</w:t>
            </w:r>
          </w:p>
        </w:tc>
        <w:tc>
          <w:tcPr>
            <w:tcW w:w="139"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15" w:lineRule="exact"/>
              <w:ind w:right="25"/>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15" w:lineRule="exact"/>
              <w:ind w:right="29"/>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15" w:lineRule="exact"/>
              <w:ind w:right="25"/>
              <w:jc w:val="right"/>
              <w:rPr>
                <w:rFonts w:ascii="宋体" w:hAnsi="宋体" w:cs="宋体" w:eastAsia="宋体" w:hint="default"/>
                <w:sz w:val="18"/>
                <w:szCs w:val="18"/>
              </w:rPr>
            </w:pPr>
            <w:r>
              <w:rPr>
                <w:rFonts w:ascii="宋体"/>
                <w:sz w:val="18"/>
              </w:rPr>
              <w:t>-</w:t>
            </w:r>
          </w:p>
        </w:tc>
        <w:tc>
          <w:tcPr>
            <w:tcW w:w="144"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Style w:val="TableParagraph"/>
              <w:spacing w:line="215" w:lineRule="exact"/>
              <w:ind w:right="25"/>
              <w:jc w:val="right"/>
              <w:rPr>
                <w:rFonts w:ascii="宋体" w:hAnsi="宋体" w:cs="宋体" w:eastAsia="宋体" w:hint="default"/>
                <w:sz w:val="18"/>
                <w:szCs w:val="18"/>
              </w:rPr>
            </w:pPr>
            <w:r>
              <w:rPr>
                <w:rFonts w:ascii="宋体"/>
                <w:sz w:val="18"/>
              </w:rPr>
              <w:t>-</w:t>
            </w:r>
          </w:p>
        </w:tc>
      </w:tr>
      <w:tr>
        <w:trPr>
          <w:trHeight w:val="257" w:hRule="exact"/>
        </w:trPr>
        <w:tc>
          <w:tcPr>
            <w:tcW w:w="108" w:type="dxa"/>
            <w:tcBorders>
              <w:top w:val="nil" w:sz="6" w:space="0" w:color="auto"/>
              <w:left w:val="nil" w:sz="6" w:space="0" w:color="auto"/>
              <w:bottom w:val="nil" w:sz="6" w:space="0" w:color="auto"/>
              <w:right w:val="nil" w:sz="6" w:space="0" w:color="auto"/>
            </w:tcBorders>
          </w:tcPr>
          <w:p>
            <w:pPr/>
          </w:p>
        </w:tc>
        <w:tc>
          <w:tcPr>
            <w:tcW w:w="3046" w:type="dxa"/>
            <w:tcBorders>
              <w:top w:val="nil" w:sz="6" w:space="0" w:color="auto"/>
              <w:left w:val="nil" w:sz="6" w:space="0" w:color="auto"/>
              <w:bottom w:val="nil" w:sz="6" w:space="0" w:color="auto"/>
              <w:right w:val="nil" w:sz="6" w:space="0" w:color="auto"/>
            </w:tcBorders>
          </w:tcPr>
          <w:p>
            <w:pPr>
              <w:pStyle w:val="TableParagraph"/>
              <w:spacing w:line="222" w:lineRule="exact"/>
              <w:ind w:left="28"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2598" w:type="dxa"/>
            <w:tcBorders>
              <w:top w:val="nil" w:sz="6" w:space="0" w:color="auto"/>
              <w:left w:val="nil" w:sz="6" w:space="0" w:color="auto"/>
              <w:bottom w:val="nil" w:sz="6" w:space="0" w:color="auto"/>
              <w:right w:val="nil" w:sz="6" w:space="0" w:color="auto"/>
            </w:tcBorders>
          </w:tcPr>
          <w:p>
            <w:pPr>
              <w:pStyle w:val="TableParagraph"/>
              <w:spacing w:line="215" w:lineRule="exact"/>
              <w:ind w:right="137"/>
              <w:jc w:val="right"/>
              <w:rPr>
                <w:rFonts w:ascii="宋体" w:hAnsi="宋体" w:cs="宋体" w:eastAsia="宋体" w:hint="default"/>
                <w:sz w:val="18"/>
                <w:szCs w:val="18"/>
              </w:rPr>
            </w:pPr>
            <w:r>
              <w:rPr>
                <w:rFonts w:ascii="宋体"/>
                <w:sz w:val="18"/>
              </w:rPr>
              <w:t>-</w:t>
            </w:r>
          </w:p>
        </w:tc>
        <w:tc>
          <w:tcPr>
            <w:tcW w:w="1745" w:type="dxa"/>
            <w:tcBorders>
              <w:top w:val="nil" w:sz="6" w:space="0" w:color="auto"/>
              <w:left w:val="nil" w:sz="6" w:space="0" w:color="auto"/>
              <w:bottom w:val="nil" w:sz="6" w:space="0" w:color="auto"/>
              <w:right w:val="nil" w:sz="6" w:space="0" w:color="auto"/>
            </w:tcBorders>
          </w:tcPr>
          <w:p>
            <w:pPr>
              <w:pStyle w:val="TableParagraph"/>
              <w:spacing w:line="215" w:lineRule="exact"/>
              <w:ind w:right="77"/>
              <w:jc w:val="right"/>
              <w:rPr>
                <w:rFonts w:ascii="宋体" w:hAnsi="宋体" w:cs="宋体" w:eastAsia="宋体" w:hint="default"/>
                <w:sz w:val="18"/>
                <w:szCs w:val="18"/>
              </w:rPr>
            </w:pPr>
            <w:r>
              <w:rPr>
                <w:rFonts w:ascii="宋体"/>
                <w:sz w:val="18"/>
              </w:rPr>
              <w:t>-</w:t>
            </w:r>
          </w:p>
        </w:tc>
        <w:tc>
          <w:tcPr>
            <w:tcW w:w="1038" w:type="dxa"/>
            <w:tcBorders>
              <w:top w:val="nil" w:sz="6" w:space="0" w:color="auto"/>
              <w:left w:val="nil" w:sz="6" w:space="0" w:color="auto"/>
              <w:bottom w:val="nil" w:sz="6" w:space="0" w:color="auto"/>
              <w:right w:val="nil" w:sz="6" w:space="0" w:color="auto"/>
            </w:tcBorders>
          </w:tcPr>
          <w:p>
            <w:pPr>
              <w:pStyle w:val="TableParagraph"/>
              <w:spacing w:line="215" w:lineRule="exact"/>
              <w:ind w:right="25"/>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852" w:type="dxa"/>
            <w:tcBorders>
              <w:top w:val="nil" w:sz="6" w:space="0" w:color="auto"/>
              <w:left w:val="nil" w:sz="6" w:space="0" w:color="auto"/>
              <w:bottom w:val="nil" w:sz="6" w:space="0" w:color="auto"/>
              <w:right w:val="nil" w:sz="6" w:space="0" w:color="auto"/>
            </w:tcBorders>
          </w:tcPr>
          <w:p>
            <w:pPr>
              <w:pStyle w:val="TableParagraph"/>
              <w:spacing w:line="215" w:lineRule="exact"/>
              <w:ind w:right="29"/>
              <w:jc w:val="right"/>
              <w:rPr>
                <w:rFonts w:ascii="宋体" w:hAnsi="宋体" w:cs="宋体" w:eastAsia="宋体" w:hint="default"/>
                <w:sz w:val="18"/>
                <w:szCs w:val="18"/>
              </w:rPr>
            </w:pPr>
            <w:r>
              <w:rPr>
                <w:rFonts w:ascii="宋体"/>
                <w:sz w:val="18"/>
              </w:rPr>
              <w:t>-</w:t>
            </w:r>
          </w:p>
        </w:tc>
        <w:tc>
          <w:tcPr>
            <w:tcW w:w="139"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15" w:lineRule="exact"/>
              <w:ind w:right="25"/>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15" w:lineRule="exact"/>
              <w:ind w:right="29"/>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15" w:lineRule="exact"/>
              <w:ind w:right="25"/>
              <w:jc w:val="right"/>
              <w:rPr>
                <w:rFonts w:ascii="宋体" w:hAnsi="宋体" w:cs="宋体" w:eastAsia="宋体" w:hint="default"/>
                <w:sz w:val="18"/>
                <w:szCs w:val="18"/>
              </w:rPr>
            </w:pPr>
            <w:r>
              <w:rPr>
                <w:rFonts w:ascii="宋体"/>
                <w:sz w:val="18"/>
              </w:rPr>
              <w:t>-</w:t>
            </w:r>
          </w:p>
        </w:tc>
        <w:tc>
          <w:tcPr>
            <w:tcW w:w="144"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Style w:val="TableParagraph"/>
              <w:spacing w:line="215" w:lineRule="exact"/>
              <w:ind w:right="25"/>
              <w:jc w:val="right"/>
              <w:rPr>
                <w:rFonts w:ascii="宋体" w:hAnsi="宋体" w:cs="宋体" w:eastAsia="宋体" w:hint="default"/>
                <w:sz w:val="18"/>
                <w:szCs w:val="18"/>
              </w:rPr>
            </w:pPr>
            <w:r>
              <w:rPr>
                <w:rFonts w:ascii="宋体"/>
                <w:sz w:val="18"/>
              </w:rPr>
              <w:t>-</w:t>
            </w:r>
          </w:p>
        </w:tc>
      </w:tr>
      <w:tr>
        <w:trPr>
          <w:trHeight w:val="257" w:hRule="exact"/>
        </w:trPr>
        <w:tc>
          <w:tcPr>
            <w:tcW w:w="108" w:type="dxa"/>
            <w:tcBorders>
              <w:top w:val="nil" w:sz="6" w:space="0" w:color="auto"/>
              <w:left w:val="nil" w:sz="6" w:space="0" w:color="auto"/>
              <w:bottom w:val="nil" w:sz="6" w:space="0" w:color="auto"/>
              <w:right w:val="nil" w:sz="6" w:space="0" w:color="auto"/>
            </w:tcBorders>
          </w:tcPr>
          <w:p>
            <w:pPr/>
          </w:p>
        </w:tc>
        <w:tc>
          <w:tcPr>
            <w:tcW w:w="3046" w:type="dxa"/>
            <w:tcBorders>
              <w:top w:val="nil" w:sz="6" w:space="0" w:color="auto"/>
              <w:left w:val="nil" w:sz="6" w:space="0" w:color="auto"/>
              <w:bottom w:val="nil" w:sz="6" w:space="0" w:color="auto"/>
              <w:right w:val="nil" w:sz="6" w:space="0" w:color="auto"/>
            </w:tcBorders>
          </w:tcPr>
          <w:p>
            <w:pPr>
              <w:pStyle w:val="TableParagraph"/>
              <w:spacing w:line="222" w:lineRule="exact"/>
              <w:ind w:left="39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．提取专项储备</w:t>
            </w:r>
          </w:p>
        </w:tc>
        <w:tc>
          <w:tcPr>
            <w:tcW w:w="2598" w:type="dxa"/>
            <w:tcBorders>
              <w:top w:val="nil" w:sz="6" w:space="0" w:color="auto"/>
              <w:left w:val="nil" w:sz="6" w:space="0" w:color="auto"/>
              <w:bottom w:val="nil" w:sz="6" w:space="0" w:color="auto"/>
              <w:right w:val="nil" w:sz="6" w:space="0" w:color="auto"/>
            </w:tcBorders>
          </w:tcPr>
          <w:p>
            <w:pPr>
              <w:pStyle w:val="TableParagraph"/>
              <w:spacing w:line="215" w:lineRule="exact"/>
              <w:ind w:right="137"/>
              <w:jc w:val="right"/>
              <w:rPr>
                <w:rFonts w:ascii="宋体" w:hAnsi="宋体" w:cs="宋体" w:eastAsia="宋体" w:hint="default"/>
                <w:sz w:val="18"/>
                <w:szCs w:val="18"/>
              </w:rPr>
            </w:pPr>
            <w:r>
              <w:rPr>
                <w:rFonts w:ascii="宋体"/>
                <w:sz w:val="18"/>
              </w:rPr>
              <w:t>-</w:t>
            </w:r>
          </w:p>
        </w:tc>
        <w:tc>
          <w:tcPr>
            <w:tcW w:w="1745" w:type="dxa"/>
            <w:tcBorders>
              <w:top w:val="nil" w:sz="6" w:space="0" w:color="auto"/>
              <w:left w:val="nil" w:sz="6" w:space="0" w:color="auto"/>
              <w:bottom w:val="nil" w:sz="6" w:space="0" w:color="auto"/>
              <w:right w:val="nil" w:sz="6" w:space="0" w:color="auto"/>
            </w:tcBorders>
          </w:tcPr>
          <w:p>
            <w:pPr>
              <w:pStyle w:val="TableParagraph"/>
              <w:spacing w:line="215" w:lineRule="exact"/>
              <w:ind w:right="77"/>
              <w:jc w:val="right"/>
              <w:rPr>
                <w:rFonts w:ascii="宋体" w:hAnsi="宋体" w:cs="宋体" w:eastAsia="宋体" w:hint="default"/>
                <w:sz w:val="18"/>
                <w:szCs w:val="18"/>
              </w:rPr>
            </w:pPr>
            <w:r>
              <w:rPr>
                <w:rFonts w:ascii="宋体"/>
                <w:sz w:val="18"/>
              </w:rPr>
              <w:t>-</w:t>
            </w:r>
          </w:p>
        </w:tc>
        <w:tc>
          <w:tcPr>
            <w:tcW w:w="1038" w:type="dxa"/>
            <w:tcBorders>
              <w:top w:val="nil" w:sz="6" w:space="0" w:color="auto"/>
              <w:left w:val="nil" w:sz="6" w:space="0" w:color="auto"/>
              <w:bottom w:val="nil" w:sz="6" w:space="0" w:color="auto"/>
              <w:right w:val="nil" w:sz="6" w:space="0" w:color="auto"/>
            </w:tcBorders>
          </w:tcPr>
          <w:p>
            <w:pPr>
              <w:pStyle w:val="TableParagraph"/>
              <w:spacing w:line="215" w:lineRule="exact"/>
              <w:ind w:right="25"/>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852" w:type="dxa"/>
            <w:tcBorders>
              <w:top w:val="nil" w:sz="6" w:space="0" w:color="auto"/>
              <w:left w:val="nil" w:sz="6" w:space="0" w:color="auto"/>
              <w:bottom w:val="nil" w:sz="6" w:space="0" w:color="auto"/>
              <w:right w:val="nil" w:sz="6" w:space="0" w:color="auto"/>
            </w:tcBorders>
          </w:tcPr>
          <w:p>
            <w:pPr>
              <w:pStyle w:val="TableParagraph"/>
              <w:spacing w:line="215" w:lineRule="exact"/>
              <w:ind w:right="29"/>
              <w:jc w:val="right"/>
              <w:rPr>
                <w:rFonts w:ascii="宋体" w:hAnsi="宋体" w:cs="宋体" w:eastAsia="宋体" w:hint="default"/>
                <w:sz w:val="18"/>
                <w:szCs w:val="18"/>
              </w:rPr>
            </w:pPr>
            <w:r>
              <w:rPr>
                <w:rFonts w:ascii="宋体"/>
                <w:sz w:val="18"/>
              </w:rPr>
              <w:t>-</w:t>
            </w:r>
          </w:p>
        </w:tc>
        <w:tc>
          <w:tcPr>
            <w:tcW w:w="139"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15" w:lineRule="exact"/>
              <w:ind w:right="25"/>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15" w:lineRule="exact"/>
              <w:ind w:right="29"/>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15" w:lineRule="exact"/>
              <w:ind w:right="25"/>
              <w:jc w:val="right"/>
              <w:rPr>
                <w:rFonts w:ascii="宋体" w:hAnsi="宋体" w:cs="宋体" w:eastAsia="宋体" w:hint="default"/>
                <w:sz w:val="18"/>
                <w:szCs w:val="18"/>
              </w:rPr>
            </w:pPr>
            <w:r>
              <w:rPr>
                <w:rFonts w:ascii="宋体"/>
                <w:sz w:val="18"/>
              </w:rPr>
              <w:t>-</w:t>
            </w:r>
          </w:p>
        </w:tc>
        <w:tc>
          <w:tcPr>
            <w:tcW w:w="144"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Style w:val="TableParagraph"/>
              <w:spacing w:line="215" w:lineRule="exact"/>
              <w:ind w:right="25"/>
              <w:jc w:val="right"/>
              <w:rPr>
                <w:rFonts w:ascii="宋体" w:hAnsi="宋体" w:cs="宋体" w:eastAsia="宋体" w:hint="default"/>
                <w:sz w:val="18"/>
                <w:szCs w:val="18"/>
              </w:rPr>
            </w:pPr>
            <w:r>
              <w:rPr>
                <w:rFonts w:ascii="宋体"/>
                <w:sz w:val="18"/>
              </w:rPr>
              <w:t>-</w:t>
            </w:r>
          </w:p>
        </w:tc>
      </w:tr>
      <w:tr>
        <w:trPr>
          <w:trHeight w:val="258" w:hRule="exact"/>
        </w:trPr>
        <w:tc>
          <w:tcPr>
            <w:tcW w:w="108" w:type="dxa"/>
            <w:tcBorders>
              <w:top w:val="nil" w:sz="6" w:space="0" w:color="auto"/>
              <w:left w:val="nil" w:sz="6" w:space="0" w:color="auto"/>
              <w:bottom w:val="nil" w:sz="6" w:space="0" w:color="auto"/>
              <w:right w:val="nil" w:sz="6" w:space="0" w:color="auto"/>
            </w:tcBorders>
          </w:tcPr>
          <w:p>
            <w:pPr/>
          </w:p>
        </w:tc>
        <w:tc>
          <w:tcPr>
            <w:tcW w:w="3046" w:type="dxa"/>
            <w:tcBorders>
              <w:top w:val="nil" w:sz="6" w:space="0" w:color="auto"/>
              <w:left w:val="nil" w:sz="6" w:space="0" w:color="auto"/>
              <w:bottom w:val="nil" w:sz="6" w:space="0" w:color="auto"/>
              <w:right w:val="nil" w:sz="6" w:space="0" w:color="auto"/>
            </w:tcBorders>
          </w:tcPr>
          <w:p>
            <w:pPr>
              <w:pStyle w:val="TableParagraph"/>
              <w:spacing w:line="224" w:lineRule="exact"/>
              <w:ind w:left="39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．使用专项储备</w:t>
            </w:r>
          </w:p>
        </w:tc>
        <w:tc>
          <w:tcPr>
            <w:tcW w:w="2598" w:type="dxa"/>
            <w:tcBorders>
              <w:top w:val="nil" w:sz="6" w:space="0" w:color="auto"/>
              <w:left w:val="nil" w:sz="6" w:space="0" w:color="auto"/>
              <w:bottom w:val="nil" w:sz="6" w:space="0" w:color="auto"/>
              <w:right w:val="nil" w:sz="6" w:space="0" w:color="auto"/>
            </w:tcBorders>
          </w:tcPr>
          <w:p>
            <w:pPr>
              <w:pStyle w:val="TableParagraph"/>
              <w:spacing w:line="215" w:lineRule="exact"/>
              <w:ind w:right="137"/>
              <w:jc w:val="right"/>
              <w:rPr>
                <w:rFonts w:ascii="宋体" w:hAnsi="宋体" w:cs="宋体" w:eastAsia="宋体" w:hint="default"/>
                <w:sz w:val="18"/>
                <w:szCs w:val="18"/>
              </w:rPr>
            </w:pPr>
            <w:r>
              <w:rPr>
                <w:rFonts w:ascii="宋体"/>
                <w:sz w:val="18"/>
              </w:rPr>
              <w:t>-</w:t>
            </w:r>
          </w:p>
        </w:tc>
        <w:tc>
          <w:tcPr>
            <w:tcW w:w="1745" w:type="dxa"/>
            <w:tcBorders>
              <w:top w:val="nil" w:sz="6" w:space="0" w:color="auto"/>
              <w:left w:val="nil" w:sz="6" w:space="0" w:color="auto"/>
              <w:bottom w:val="nil" w:sz="6" w:space="0" w:color="auto"/>
              <w:right w:val="nil" w:sz="6" w:space="0" w:color="auto"/>
            </w:tcBorders>
          </w:tcPr>
          <w:p>
            <w:pPr>
              <w:pStyle w:val="TableParagraph"/>
              <w:spacing w:line="215" w:lineRule="exact"/>
              <w:ind w:right="77"/>
              <w:jc w:val="right"/>
              <w:rPr>
                <w:rFonts w:ascii="宋体" w:hAnsi="宋体" w:cs="宋体" w:eastAsia="宋体" w:hint="default"/>
                <w:sz w:val="18"/>
                <w:szCs w:val="18"/>
              </w:rPr>
            </w:pPr>
            <w:r>
              <w:rPr>
                <w:rFonts w:ascii="宋体"/>
                <w:sz w:val="18"/>
              </w:rPr>
              <w:t>-</w:t>
            </w:r>
          </w:p>
        </w:tc>
        <w:tc>
          <w:tcPr>
            <w:tcW w:w="1038" w:type="dxa"/>
            <w:tcBorders>
              <w:top w:val="nil" w:sz="6" w:space="0" w:color="auto"/>
              <w:left w:val="nil" w:sz="6" w:space="0" w:color="auto"/>
              <w:bottom w:val="nil" w:sz="6" w:space="0" w:color="auto"/>
              <w:right w:val="nil" w:sz="6" w:space="0" w:color="auto"/>
            </w:tcBorders>
          </w:tcPr>
          <w:p>
            <w:pPr>
              <w:pStyle w:val="TableParagraph"/>
              <w:spacing w:line="215" w:lineRule="exact"/>
              <w:ind w:right="25"/>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852" w:type="dxa"/>
            <w:tcBorders>
              <w:top w:val="nil" w:sz="6" w:space="0" w:color="auto"/>
              <w:left w:val="nil" w:sz="6" w:space="0" w:color="auto"/>
              <w:bottom w:val="nil" w:sz="6" w:space="0" w:color="auto"/>
              <w:right w:val="nil" w:sz="6" w:space="0" w:color="auto"/>
            </w:tcBorders>
          </w:tcPr>
          <w:p>
            <w:pPr>
              <w:pStyle w:val="TableParagraph"/>
              <w:spacing w:line="215" w:lineRule="exact"/>
              <w:ind w:right="29"/>
              <w:jc w:val="right"/>
              <w:rPr>
                <w:rFonts w:ascii="宋体" w:hAnsi="宋体" w:cs="宋体" w:eastAsia="宋体" w:hint="default"/>
                <w:sz w:val="18"/>
                <w:szCs w:val="18"/>
              </w:rPr>
            </w:pPr>
            <w:r>
              <w:rPr>
                <w:rFonts w:ascii="宋体"/>
                <w:sz w:val="18"/>
              </w:rPr>
              <w:t>-</w:t>
            </w:r>
          </w:p>
        </w:tc>
        <w:tc>
          <w:tcPr>
            <w:tcW w:w="139"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15" w:lineRule="exact"/>
              <w:ind w:right="25"/>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15" w:lineRule="exact"/>
              <w:ind w:right="29"/>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15" w:lineRule="exact"/>
              <w:ind w:right="25"/>
              <w:jc w:val="right"/>
              <w:rPr>
                <w:rFonts w:ascii="宋体" w:hAnsi="宋体" w:cs="宋体" w:eastAsia="宋体" w:hint="default"/>
                <w:sz w:val="18"/>
                <w:szCs w:val="18"/>
              </w:rPr>
            </w:pPr>
            <w:r>
              <w:rPr>
                <w:rFonts w:ascii="宋体"/>
                <w:sz w:val="18"/>
              </w:rPr>
              <w:t>-</w:t>
            </w:r>
          </w:p>
        </w:tc>
        <w:tc>
          <w:tcPr>
            <w:tcW w:w="144"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Style w:val="TableParagraph"/>
              <w:spacing w:line="215" w:lineRule="exact"/>
              <w:ind w:right="25"/>
              <w:jc w:val="right"/>
              <w:rPr>
                <w:rFonts w:ascii="宋体" w:hAnsi="宋体" w:cs="宋体" w:eastAsia="宋体" w:hint="default"/>
                <w:sz w:val="18"/>
                <w:szCs w:val="18"/>
              </w:rPr>
            </w:pPr>
            <w:r>
              <w:rPr>
                <w:rFonts w:ascii="宋体"/>
                <w:sz w:val="18"/>
              </w:rPr>
              <w:t>-</w:t>
            </w:r>
          </w:p>
        </w:tc>
      </w:tr>
      <w:tr>
        <w:trPr>
          <w:trHeight w:val="258" w:hRule="exact"/>
        </w:trPr>
        <w:tc>
          <w:tcPr>
            <w:tcW w:w="108" w:type="dxa"/>
            <w:tcBorders>
              <w:top w:val="nil" w:sz="6" w:space="0" w:color="auto"/>
              <w:left w:val="nil" w:sz="6" w:space="0" w:color="auto"/>
              <w:bottom w:val="nil" w:sz="6" w:space="0" w:color="auto"/>
              <w:right w:val="nil" w:sz="6" w:space="0" w:color="auto"/>
            </w:tcBorders>
          </w:tcPr>
          <w:p>
            <w:pPr/>
          </w:p>
        </w:tc>
        <w:tc>
          <w:tcPr>
            <w:tcW w:w="3046" w:type="dxa"/>
            <w:tcBorders>
              <w:top w:val="nil" w:sz="6" w:space="0" w:color="auto"/>
              <w:left w:val="nil" w:sz="6" w:space="0" w:color="auto"/>
              <w:bottom w:val="nil" w:sz="6" w:space="0" w:color="auto"/>
              <w:right w:val="nil" w:sz="6" w:space="0" w:color="auto"/>
            </w:tcBorders>
          </w:tcPr>
          <w:p>
            <w:pPr>
              <w:pStyle w:val="TableParagraph"/>
              <w:spacing w:line="223" w:lineRule="exact"/>
              <w:ind w:left="39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2598" w:type="dxa"/>
            <w:tcBorders>
              <w:top w:val="nil" w:sz="6" w:space="0" w:color="auto"/>
              <w:left w:val="nil" w:sz="6" w:space="0" w:color="auto"/>
              <w:bottom w:val="single" w:sz="4" w:space="0" w:color="000000"/>
              <w:right w:val="nil" w:sz="6" w:space="0" w:color="auto"/>
            </w:tcBorders>
          </w:tcPr>
          <w:p>
            <w:pPr>
              <w:pStyle w:val="TableParagraph"/>
              <w:spacing w:line="214" w:lineRule="exact"/>
              <w:ind w:right="137"/>
              <w:jc w:val="right"/>
              <w:rPr>
                <w:rFonts w:ascii="宋体" w:hAnsi="宋体" w:cs="宋体" w:eastAsia="宋体" w:hint="default"/>
                <w:sz w:val="18"/>
                <w:szCs w:val="18"/>
              </w:rPr>
            </w:pPr>
            <w:r>
              <w:rPr>
                <w:rFonts w:ascii="宋体"/>
                <w:sz w:val="18"/>
              </w:rPr>
              <w:t>-</w:t>
            </w:r>
          </w:p>
        </w:tc>
        <w:tc>
          <w:tcPr>
            <w:tcW w:w="1745" w:type="dxa"/>
            <w:tcBorders>
              <w:top w:val="nil" w:sz="6" w:space="0" w:color="auto"/>
              <w:left w:val="nil" w:sz="6" w:space="0" w:color="auto"/>
              <w:bottom w:val="single" w:sz="4" w:space="0" w:color="000000"/>
              <w:right w:val="nil" w:sz="6" w:space="0" w:color="auto"/>
            </w:tcBorders>
          </w:tcPr>
          <w:p>
            <w:pPr>
              <w:pStyle w:val="TableParagraph"/>
              <w:spacing w:line="214" w:lineRule="exact"/>
              <w:ind w:right="77"/>
              <w:jc w:val="right"/>
              <w:rPr>
                <w:rFonts w:ascii="宋体" w:hAnsi="宋体" w:cs="宋体" w:eastAsia="宋体" w:hint="default"/>
                <w:sz w:val="18"/>
                <w:szCs w:val="18"/>
              </w:rPr>
            </w:pPr>
            <w:r>
              <w:rPr>
                <w:rFonts w:ascii="宋体"/>
                <w:sz w:val="18"/>
              </w:rPr>
              <w:t>-</w:t>
            </w:r>
          </w:p>
        </w:tc>
        <w:tc>
          <w:tcPr>
            <w:tcW w:w="1038" w:type="dxa"/>
            <w:tcBorders>
              <w:top w:val="nil" w:sz="6" w:space="0" w:color="auto"/>
              <w:left w:val="nil" w:sz="6" w:space="0" w:color="auto"/>
              <w:bottom w:val="single" w:sz="4" w:space="0" w:color="000000"/>
              <w:right w:val="nil" w:sz="6" w:space="0" w:color="auto"/>
            </w:tcBorders>
          </w:tcPr>
          <w:p>
            <w:pPr>
              <w:pStyle w:val="TableParagraph"/>
              <w:spacing w:line="214" w:lineRule="exact"/>
              <w:ind w:right="25"/>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852" w:type="dxa"/>
            <w:tcBorders>
              <w:top w:val="nil" w:sz="6" w:space="0" w:color="auto"/>
              <w:left w:val="nil" w:sz="6" w:space="0" w:color="auto"/>
              <w:bottom w:val="single" w:sz="4" w:space="0" w:color="000000"/>
              <w:right w:val="nil" w:sz="6" w:space="0" w:color="auto"/>
            </w:tcBorders>
          </w:tcPr>
          <w:p>
            <w:pPr>
              <w:pStyle w:val="TableParagraph"/>
              <w:spacing w:line="214" w:lineRule="exact"/>
              <w:ind w:right="29"/>
              <w:jc w:val="right"/>
              <w:rPr>
                <w:rFonts w:ascii="宋体" w:hAnsi="宋体" w:cs="宋体" w:eastAsia="宋体" w:hint="default"/>
                <w:sz w:val="18"/>
                <w:szCs w:val="18"/>
              </w:rPr>
            </w:pPr>
            <w:r>
              <w:rPr>
                <w:rFonts w:ascii="宋体"/>
                <w:sz w:val="18"/>
              </w:rPr>
              <w:t>-</w:t>
            </w:r>
          </w:p>
        </w:tc>
        <w:tc>
          <w:tcPr>
            <w:tcW w:w="139"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single" w:sz="4" w:space="0" w:color="000000"/>
              <w:right w:val="nil" w:sz="6" w:space="0" w:color="auto"/>
            </w:tcBorders>
          </w:tcPr>
          <w:p>
            <w:pPr>
              <w:pStyle w:val="TableParagraph"/>
              <w:spacing w:line="214" w:lineRule="exact"/>
              <w:ind w:right="25"/>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single" w:sz="4" w:space="0" w:color="000000"/>
              <w:right w:val="nil" w:sz="6" w:space="0" w:color="auto"/>
            </w:tcBorders>
          </w:tcPr>
          <w:p>
            <w:pPr>
              <w:pStyle w:val="TableParagraph"/>
              <w:spacing w:line="214" w:lineRule="exact"/>
              <w:ind w:right="29"/>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single" w:sz="4" w:space="0" w:color="000000"/>
              <w:right w:val="nil" w:sz="6" w:space="0" w:color="auto"/>
            </w:tcBorders>
          </w:tcPr>
          <w:p>
            <w:pPr>
              <w:pStyle w:val="TableParagraph"/>
              <w:spacing w:line="214" w:lineRule="exact"/>
              <w:ind w:right="25"/>
              <w:jc w:val="right"/>
              <w:rPr>
                <w:rFonts w:ascii="宋体" w:hAnsi="宋体" w:cs="宋体" w:eastAsia="宋体" w:hint="default"/>
                <w:sz w:val="18"/>
                <w:szCs w:val="18"/>
              </w:rPr>
            </w:pPr>
            <w:r>
              <w:rPr>
                <w:rFonts w:ascii="宋体"/>
                <w:sz w:val="18"/>
              </w:rPr>
              <w:t>-</w:t>
            </w:r>
          </w:p>
        </w:tc>
        <w:tc>
          <w:tcPr>
            <w:tcW w:w="144"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single" w:sz="4" w:space="0" w:color="000000"/>
              <w:right w:val="nil" w:sz="6" w:space="0" w:color="auto"/>
            </w:tcBorders>
          </w:tcPr>
          <w:p>
            <w:pPr>
              <w:pStyle w:val="TableParagraph"/>
              <w:spacing w:line="214" w:lineRule="exact"/>
              <w:ind w:right="25"/>
              <w:jc w:val="right"/>
              <w:rPr>
                <w:rFonts w:ascii="宋体" w:hAnsi="宋体" w:cs="宋体" w:eastAsia="宋体" w:hint="default"/>
                <w:sz w:val="18"/>
                <w:szCs w:val="18"/>
              </w:rPr>
            </w:pPr>
            <w:r>
              <w:rPr>
                <w:rFonts w:ascii="宋体"/>
                <w:sz w:val="18"/>
              </w:rPr>
              <w:t>-</w:t>
            </w:r>
          </w:p>
        </w:tc>
      </w:tr>
      <w:tr>
        <w:trPr>
          <w:trHeight w:val="283" w:hRule="exact"/>
        </w:trPr>
        <w:tc>
          <w:tcPr>
            <w:tcW w:w="108" w:type="dxa"/>
            <w:tcBorders>
              <w:top w:val="nil" w:sz="6" w:space="0" w:color="auto"/>
              <w:left w:val="nil" w:sz="6" w:space="0" w:color="auto"/>
              <w:bottom w:val="nil" w:sz="6" w:space="0" w:color="auto"/>
              <w:right w:val="nil" w:sz="6" w:space="0" w:color="auto"/>
            </w:tcBorders>
          </w:tcPr>
          <w:p>
            <w:pPr/>
          </w:p>
        </w:tc>
        <w:tc>
          <w:tcPr>
            <w:tcW w:w="3046" w:type="dxa"/>
            <w:tcBorders>
              <w:top w:val="nil" w:sz="6" w:space="0" w:color="auto"/>
              <w:left w:val="nil" w:sz="6" w:space="0" w:color="auto"/>
              <w:bottom w:val="nil" w:sz="6" w:space="0" w:color="auto"/>
              <w:right w:val="nil" w:sz="6" w:space="0" w:color="auto"/>
            </w:tcBorders>
          </w:tcPr>
          <w:p>
            <w:pPr>
              <w:pStyle w:val="TableParagraph"/>
              <w:spacing w:line="232" w:lineRule="exact"/>
              <w:ind w:left="28" w:right="0"/>
              <w:jc w:val="left"/>
              <w:rPr>
                <w:rFonts w:ascii="宋体" w:hAnsi="宋体" w:cs="宋体" w:eastAsia="宋体" w:hint="default"/>
                <w:sz w:val="18"/>
                <w:szCs w:val="18"/>
              </w:rPr>
            </w:pPr>
            <w:r>
              <w:rPr>
                <w:rFonts w:ascii="宋体" w:hAnsi="宋体" w:cs="宋体" w:eastAsia="宋体" w:hint="default"/>
                <w:b/>
                <w:bCs/>
                <w:sz w:val="18"/>
                <w:szCs w:val="18"/>
              </w:rPr>
              <w:t>四、本年年末余额</w:t>
            </w:r>
            <w:r>
              <w:rPr>
                <w:rFonts w:ascii="宋体" w:hAnsi="宋体" w:cs="宋体" w:eastAsia="宋体" w:hint="default"/>
                <w:sz w:val="18"/>
                <w:szCs w:val="18"/>
              </w:rPr>
            </w:r>
          </w:p>
        </w:tc>
        <w:tc>
          <w:tcPr>
            <w:tcW w:w="2598" w:type="dxa"/>
            <w:tcBorders>
              <w:top w:val="single" w:sz="4" w:space="0" w:color="000000"/>
              <w:left w:val="nil" w:sz="6" w:space="0" w:color="auto"/>
              <w:bottom w:val="nil" w:sz="6" w:space="0" w:color="auto"/>
              <w:right w:val="nil" w:sz="6" w:space="0" w:color="auto"/>
            </w:tcBorders>
          </w:tcPr>
          <w:p>
            <w:pPr>
              <w:pStyle w:val="TableParagraph"/>
              <w:spacing w:line="217" w:lineRule="exact"/>
              <w:ind w:right="134"/>
              <w:jc w:val="right"/>
              <w:rPr>
                <w:rFonts w:ascii="宋体" w:hAnsi="宋体" w:cs="宋体" w:eastAsia="宋体" w:hint="default"/>
                <w:sz w:val="18"/>
                <w:szCs w:val="18"/>
              </w:rPr>
            </w:pPr>
            <w:r>
              <w:rPr>
                <w:rFonts w:ascii="宋体"/>
                <w:spacing w:val="-1"/>
                <w:sz w:val="18"/>
              </w:rPr>
              <w:t>158,400,000.00</w:t>
            </w:r>
          </w:p>
        </w:tc>
        <w:tc>
          <w:tcPr>
            <w:tcW w:w="1745" w:type="dxa"/>
            <w:tcBorders>
              <w:top w:val="single" w:sz="4" w:space="0" w:color="000000"/>
              <w:left w:val="nil" w:sz="6" w:space="0" w:color="auto"/>
              <w:bottom w:val="nil" w:sz="6" w:space="0" w:color="auto"/>
              <w:right w:val="nil" w:sz="6" w:space="0" w:color="auto"/>
            </w:tcBorders>
          </w:tcPr>
          <w:p>
            <w:pPr>
              <w:pStyle w:val="TableParagraph"/>
              <w:spacing w:line="217" w:lineRule="exact"/>
              <w:ind w:right="73"/>
              <w:jc w:val="right"/>
              <w:rPr>
                <w:rFonts w:ascii="宋体" w:hAnsi="宋体" w:cs="宋体" w:eastAsia="宋体" w:hint="default"/>
                <w:sz w:val="18"/>
                <w:szCs w:val="18"/>
              </w:rPr>
            </w:pPr>
            <w:r>
              <w:rPr>
                <w:rFonts w:ascii="宋体"/>
                <w:spacing w:val="-1"/>
                <w:sz w:val="18"/>
              </w:rPr>
              <w:t>62,580,990.76</w:t>
            </w:r>
            <w:r>
              <w:rPr>
                <w:rFonts w:ascii="宋体"/>
                <w:sz w:val="18"/>
              </w:rPr>
            </w:r>
          </w:p>
        </w:tc>
        <w:tc>
          <w:tcPr>
            <w:tcW w:w="1038" w:type="dxa"/>
            <w:tcBorders>
              <w:top w:val="single" w:sz="4" w:space="0" w:color="000000"/>
              <w:left w:val="nil" w:sz="6" w:space="0" w:color="auto"/>
              <w:bottom w:val="nil" w:sz="6" w:space="0" w:color="auto"/>
              <w:right w:val="nil" w:sz="6" w:space="0" w:color="auto"/>
            </w:tcBorders>
          </w:tcPr>
          <w:p>
            <w:pPr>
              <w:pStyle w:val="TableParagraph"/>
              <w:spacing w:line="217" w:lineRule="exact"/>
              <w:ind w:right="25"/>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852" w:type="dxa"/>
            <w:tcBorders>
              <w:top w:val="single" w:sz="4" w:space="0" w:color="000000"/>
              <w:left w:val="nil" w:sz="6" w:space="0" w:color="auto"/>
              <w:bottom w:val="nil" w:sz="6" w:space="0" w:color="auto"/>
              <w:right w:val="nil" w:sz="6" w:space="0" w:color="auto"/>
            </w:tcBorders>
          </w:tcPr>
          <w:p>
            <w:pPr>
              <w:pStyle w:val="TableParagraph"/>
              <w:spacing w:line="217" w:lineRule="exact"/>
              <w:ind w:right="29"/>
              <w:jc w:val="right"/>
              <w:rPr>
                <w:rFonts w:ascii="宋体" w:hAnsi="宋体" w:cs="宋体" w:eastAsia="宋体" w:hint="default"/>
                <w:sz w:val="18"/>
                <w:szCs w:val="18"/>
              </w:rPr>
            </w:pPr>
            <w:r>
              <w:rPr>
                <w:rFonts w:ascii="宋体"/>
                <w:sz w:val="18"/>
              </w:rPr>
              <w:t>-</w:t>
            </w:r>
          </w:p>
        </w:tc>
        <w:tc>
          <w:tcPr>
            <w:tcW w:w="139" w:type="dxa"/>
            <w:tcBorders>
              <w:top w:val="nil" w:sz="6" w:space="0" w:color="auto"/>
              <w:left w:val="nil" w:sz="6" w:space="0" w:color="auto"/>
              <w:bottom w:val="nil" w:sz="6" w:space="0" w:color="auto"/>
              <w:right w:val="nil" w:sz="6" w:space="0" w:color="auto"/>
            </w:tcBorders>
          </w:tcPr>
          <w:p>
            <w:pPr/>
          </w:p>
        </w:tc>
        <w:tc>
          <w:tcPr>
            <w:tcW w:w="1418" w:type="dxa"/>
            <w:tcBorders>
              <w:top w:val="single" w:sz="4" w:space="0" w:color="000000"/>
              <w:left w:val="nil" w:sz="6" w:space="0" w:color="auto"/>
              <w:bottom w:val="nil" w:sz="6" w:space="0" w:color="auto"/>
              <w:right w:val="nil" w:sz="6" w:space="0" w:color="auto"/>
            </w:tcBorders>
          </w:tcPr>
          <w:p>
            <w:pPr>
              <w:pStyle w:val="TableParagraph"/>
              <w:spacing w:line="217" w:lineRule="exact"/>
              <w:ind w:right="21"/>
              <w:jc w:val="right"/>
              <w:rPr>
                <w:rFonts w:ascii="宋体" w:hAnsi="宋体" w:cs="宋体" w:eastAsia="宋体" w:hint="default"/>
                <w:sz w:val="18"/>
                <w:szCs w:val="18"/>
              </w:rPr>
            </w:pPr>
            <w:r>
              <w:rPr>
                <w:rFonts w:ascii="宋体"/>
                <w:spacing w:val="-1"/>
                <w:sz w:val="18"/>
              </w:rPr>
              <w:t>14,026,838.97</w:t>
            </w:r>
            <w:r>
              <w:rPr>
                <w:rFonts w:ascii="宋体"/>
                <w:sz w:val="18"/>
              </w:rPr>
            </w:r>
          </w:p>
        </w:tc>
        <w:tc>
          <w:tcPr>
            <w:tcW w:w="142" w:type="dxa"/>
            <w:tcBorders>
              <w:top w:val="nil" w:sz="6" w:space="0" w:color="auto"/>
              <w:left w:val="nil" w:sz="6" w:space="0" w:color="auto"/>
              <w:bottom w:val="nil" w:sz="6" w:space="0" w:color="auto"/>
              <w:right w:val="nil" w:sz="6" w:space="0" w:color="auto"/>
            </w:tcBorders>
          </w:tcPr>
          <w:p>
            <w:pPr/>
          </w:p>
        </w:tc>
        <w:tc>
          <w:tcPr>
            <w:tcW w:w="1277" w:type="dxa"/>
            <w:tcBorders>
              <w:top w:val="single" w:sz="4" w:space="0" w:color="000000"/>
              <w:left w:val="nil" w:sz="6" w:space="0" w:color="auto"/>
              <w:bottom w:val="nil" w:sz="6" w:space="0" w:color="auto"/>
              <w:right w:val="nil" w:sz="6" w:space="0" w:color="auto"/>
            </w:tcBorders>
          </w:tcPr>
          <w:p>
            <w:pPr>
              <w:pStyle w:val="TableParagraph"/>
              <w:spacing w:line="217" w:lineRule="exact"/>
              <w:ind w:right="29"/>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1418" w:type="dxa"/>
            <w:tcBorders>
              <w:top w:val="single" w:sz="4" w:space="0" w:color="000000"/>
              <w:left w:val="nil" w:sz="6" w:space="0" w:color="auto"/>
              <w:bottom w:val="nil" w:sz="6" w:space="0" w:color="auto"/>
              <w:right w:val="nil" w:sz="6" w:space="0" w:color="auto"/>
            </w:tcBorders>
          </w:tcPr>
          <w:p>
            <w:pPr>
              <w:pStyle w:val="TableParagraph"/>
              <w:spacing w:line="217" w:lineRule="exact"/>
              <w:ind w:right="23"/>
              <w:jc w:val="right"/>
              <w:rPr>
                <w:rFonts w:ascii="宋体" w:hAnsi="宋体" w:cs="宋体" w:eastAsia="宋体" w:hint="default"/>
                <w:sz w:val="18"/>
                <w:szCs w:val="18"/>
              </w:rPr>
            </w:pPr>
            <w:r>
              <w:rPr>
                <w:rFonts w:ascii="宋体"/>
                <w:spacing w:val="-1"/>
                <w:sz w:val="18"/>
              </w:rPr>
              <w:t>96,361,550.74</w:t>
            </w:r>
          </w:p>
        </w:tc>
        <w:tc>
          <w:tcPr>
            <w:tcW w:w="144" w:type="dxa"/>
            <w:tcBorders>
              <w:top w:val="nil" w:sz="6" w:space="0" w:color="auto"/>
              <w:left w:val="nil" w:sz="6" w:space="0" w:color="auto"/>
              <w:bottom w:val="nil" w:sz="6" w:space="0" w:color="auto"/>
              <w:right w:val="nil" w:sz="6" w:space="0" w:color="auto"/>
            </w:tcBorders>
          </w:tcPr>
          <w:p>
            <w:pPr/>
          </w:p>
        </w:tc>
        <w:tc>
          <w:tcPr>
            <w:tcW w:w="1555" w:type="dxa"/>
            <w:tcBorders>
              <w:top w:val="single" w:sz="4" w:space="0" w:color="000000"/>
              <w:left w:val="nil" w:sz="6" w:space="0" w:color="auto"/>
              <w:bottom w:val="single" w:sz="17" w:space="0" w:color="000000"/>
              <w:right w:val="nil" w:sz="6" w:space="0" w:color="auto"/>
            </w:tcBorders>
          </w:tcPr>
          <w:p>
            <w:pPr>
              <w:pStyle w:val="TableParagraph"/>
              <w:spacing w:line="217" w:lineRule="exact"/>
              <w:ind w:right="23"/>
              <w:jc w:val="right"/>
              <w:rPr>
                <w:rFonts w:ascii="宋体" w:hAnsi="宋体" w:cs="宋体" w:eastAsia="宋体" w:hint="default"/>
                <w:sz w:val="18"/>
                <w:szCs w:val="18"/>
              </w:rPr>
            </w:pPr>
            <w:r>
              <w:rPr>
                <w:rFonts w:ascii="宋体"/>
                <w:spacing w:val="-1"/>
                <w:sz w:val="18"/>
              </w:rPr>
              <w:t>331,369,380.47</w:t>
            </w:r>
          </w:p>
        </w:tc>
      </w:tr>
      <w:tr>
        <w:trPr>
          <w:trHeight w:val="286" w:hRule="exact"/>
        </w:trPr>
        <w:tc>
          <w:tcPr>
            <w:tcW w:w="108" w:type="dxa"/>
            <w:tcBorders>
              <w:top w:val="nil" w:sz="6" w:space="0" w:color="auto"/>
              <w:left w:val="nil" w:sz="6" w:space="0" w:color="auto"/>
              <w:bottom w:val="nil" w:sz="6" w:space="0" w:color="auto"/>
              <w:right w:val="nil" w:sz="6" w:space="0" w:color="auto"/>
            </w:tcBorders>
          </w:tcPr>
          <w:p>
            <w:pPr/>
          </w:p>
        </w:tc>
        <w:tc>
          <w:tcPr>
            <w:tcW w:w="3046" w:type="dxa"/>
            <w:tcBorders>
              <w:top w:val="nil" w:sz="6" w:space="0" w:color="auto"/>
              <w:left w:val="nil" w:sz="6" w:space="0" w:color="auto"/>
              <w:bottom w:val="single" w:sz="4" w:space="0" w:color="000000"/>
              <w:right w:val="nil" w:sz="6" w:space="0" w:color="auto"/>
            </w:tcBorders>
          </w:tcPr>
          <w:p>
            <w:pPr/>
          </w:p>
        </w:tc>
        <w:tc>
          <w:tcPr>
            <w:tcW w:w="2598" w:type="dxa"/>
            <w:tcBorders>
              <w:top w:val="nil" w:sz="6" w:space="0" w:color="auto"/>
              <w:left w:val="nil" w:sz="6" w:space="0" w:color="auto"/>
              <w:bottom w:val="single" w:sz="4" w:space="0" w:color="000000"/>
              <w:right w:val="nil" w:sz="6" w:space="0" w:color="auto"/>
            </w:tcBorders>
          </w:tcPr>
          <w:p>
            <w:pPr/>
          </w:p>
        </w:tc>
        <w:tc>
          <w:tcPr>
            <w:tcW w:w="1745" w:type="dxa"/>
            <w:tcBorders>
              <w:top w:val="nil" w:sz="6" w:space="0" w:color="auto"/>
              <w:left w:val="nil" w:sz="6" w:space="0" w:color="auto"/>
              <w:bottom w:val="single" w:sz="4" w:space="0" w:color="000000"/>
              <w:right w:val="nil" w:sz="6" w:space="0" w:color="auto"/>
            </w:tcBorders>
          </w:tcPr>
          <w:p>
            <w:pPr/>
          </w:p>
        </w:tc>
        <w:tc>
          <w:tcPr>
            <w:tcW w:w="1038" w:type="dxa"/>
            <w:tcBorders>
              <w:top w:val="nil" w:sz="6" w:space="0" w:color="auto"/>
              <w:left w:val="nil" w:sz="6" w:space="0" w:color="auto"/>
              <w:bottom w:val="single" w:sz="4" w:space="0" w:color="000000"/>
              <w:right w:val="nil" w:sz="6" w:space="0" w:color="auto"/>
            </w:tcBorders>
          </w:tcPr>
          <w:p>
            <w:pPr/>
          </w:p>
        </w:tc>
        <w:tc>
          <w:tcPr>
            <w:tcW w:w="142" w:type="dxa"/>
            <w:tcBorders>
              <w:top w:val="nil" w:sz="6" w:space="0" w:color="auto"/>
              <w:left w:val="nil" w:sz="6" w:space="0" w:color="auto"/>
              <w:bottom w:val="single" w:sz="4" w:space="0" w:color="000000"/>
              <w:right w:val="nil" w:sz="6" w:space="0" w:color="auto"/>
            </w:tcBorders>
          </w:tcPr>
          <w:p>
            <w:pPr/>
          </w:p>
        </w:tc>
        <w:tc>
          <w:tcPr>
            <w:tcW w:w="852" w:type="dxa"/>
            <w:tcBorders>
              <w:top w:val="nil" w:sz="6" w:space="0" w:color="auto"/>
              <w:left w:val="nil" w:sz="6" w:space="0" w:color="auto"/>
              <w:bottom w:val="single" w:sz="4" w:space="0" w:color="000000"/>
              <w:right w:val="nil" w:sz="6" w:space="0" w:color="auto"/>
            </w:tcBorders>
          </w:tcPr>
          <w:p>
            <w:pPr/>
          </w:p>
        </w:tc>
        <w:tc>
          <w:tcPr>
            <w:tcW w:w="139" w:type="dxa"/>
            <w:tcBorders>
              <w:top w:val="nil" w:sz="6" w:space="0" w:color="auto"/>
              <w:left w:val="nil" w:sz="6" w:space="0" w:color="auto"/>
              <w:bottom w:val="single" w:sz="4" w:space="0" w:color="000000"/>
              <w:right w:val="nil" w:sz="6" w:space="0" w:color="auto"/>
            </w:tcBorders>
          </w:tcPr>
          <w:p>
            <w:pPr/>
          </w:p>
        </w:tc>
        <w:tc>
          <w:tcPr>
            <w:tcW w:w="1418" w:type="dxa"/>
            <w:tcBorders>
              <w:top w:val="nil" w:sz="6" w:space="0" w:color="auto"/>
              <w:left w:val="nil" w:sz="6" w:space="0" w:color="auto"/>
              <w:bottom w:val="single" w:sz="4" w:space="0" w:color="000000"/>
              <w:right w:val="nil" w:sz="6" w:space="0" w:color="auto"/>
            </w:tcBorders>
          </w:tcPr>
          <w:p>
            <w:pPr/>
          </w:p>
        </w:tc>
        <w:tc>
          <w:tcPr>
            <w:tcW w:w="142" w:type="dxa"/>
            <w:tcBorders>
              <w:top w:val="nil" w:sz="6" w:space="0" w:color="auto"/>
              <w:left w:val="nil" w:sz="6" w:space="0" w:color="auto"/>
              <w:bottom w:val="single" w:sz="4" w:space="0" w:color="000000"/>
              <w:right w:val="nil" w:sz="6" w:space="0" w:color="auto"/>
            </w:tcBorders>
          </w:tcPr>
          <w:p>
            <w:pPr/>
          </w:p>
        </w:tc>
        <w:tc>
          <w:tcPr>
            <w:tcW w:w="1277" w:type="dxa"/>
            <w:tcBorders>
              <w:top w:val="nil" w:sz="6" w:space="0" w:color="auto"/>
              <w:left w:val="nil" w:sz="6" w:space="0" w:color="auto"/>
              <w:bottom w:val="single" w:sz="4" w:space="0" w:color="000000"/>
              <w:right w:val="nil" w:sz="6" w:space="0" w:color="auto"/>
            </w:tcBorders>
          </w:tcPr>
          <w:p>
            <w:pPr/>
          </w:p>
        </w:tc>
        <w:tc>
          <w:tcPr>
            <w:tcW w:w="142" w:type="dxa"/>
            <w:tcBorders>
              <w:top w:val="nil" w:sz="6" w:space="0" w:color="auto"/>
              <w:left w:val="nil" w:sz="6" w:space="0" w:color="auto"/>
              <w:bottom w:val="single" w:sz="4" w:space="0" w:color="000000"/>
              <w:right w:val="nil" w:sz="6" w:space="0" w:color="auto"/>
            </w:tcBorders>
          </w:tcPr>
          <w:p>
            <w:pPr/>
          </w:p>
        </w:tc>
        <w:tc>
          <w:tcPr>
            <w:tcW w:w="1418" w:type="dxa"/>
            <w:tcBorders>
              <w:top w:val="nil" w:sz="6" w:space="0" w:color="auto"/>
              <w:left w:val="nil" w:sz="6" w:space="0" w:color="auto"/>
              <w:bottom w:val="single" w:sz="4" w:space="0" w:color="000000"/>
              <w:right w:val="nil" w:sz="6" w:space="0" w:color="auto"/>
            </w:tcBorders>
          </w:tcPr>
          <w:p>
            <w:pPr/>
          </w:p>
        </w:tc>
        <w:tc>
          <w:tcPr>
            <w:tcW w:w="144" w:type="dxa"/>
            <w:tcBorders>
              <w:top w:val="nil" w:sz="6" w:space="0" w:color="auto"/>
              <w:left w:val="nil" w:sz="6" w:space="0" w:color="auto"/>
              <w:bottom w:val="single" w:sz="4" w:space="0" w:color="000000"/>
              <w:right w:val="nil" w:sz="6" w:space="0" w:color="auto"/>
            </w:tcBorders>
          </w:tcPr>
          <w:p>
            <w:pPr/>
          </w:p>
        </w:tc>
        <w:tc>
          <w:tcPr>
            <w:tcW w:w="1555" w:type="dxa"/>
            <w:tcBorders>
              <w:top w:val="single" w:sz="17" w:space="0" w:color="000000"/>
              <w:left w:val="nil" w:sz="6" w:space="0" w:color="auto"/>
              <w:bottom w:val="single" w:sz="4" w:space="0" w:color="000000"/>
              <w:right w:val="nil" w:sz="6" w:space="0" w:color="auto"/>
            </w:tcBorders>
          </w:tcPr>
          <w:p>
            <w:pPr/>
          </w:p>
        </w:tc>
      </w:tr>
      <w:tr>
        <w:trPr>
          <w:trHeight w:val="489" w:hRule="exact"/>
        </w:trPr>
        <w:tc>
          <w:tcPr>
            <w:tcW w:w="14064" w:type="dxa"/>
            <w:gridSpan w:val="13"/>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tabs>
                <w:tab w:pos="6353" w:val="left" w:leader="none"/>
                <w:tab w:pos="12024" w:val="left" w:leader="none"/>
              </w:tabs>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公司负责人：</w:t>
            </w:r>
            <w:r>
              <w:rPr>
                <w:rFonts w:ascii="宋体" w:hAnsi="宋体" w:cs="宋体" w:eastAsia="宋体" w:hint="default"/>
                <w:spacing w:val="1"/>
                <w:sz w:val="18"/>
                <w:szCs w:val="18"/>
              </w:rPr>
              <w:t> </w:t>
            </w:r>
            <w:r>
              <w:rPr>
                <w:rFonts w:ascii="宋体" w:hAnsi="宋体" w:cs="宋体" w:eastAsia="宋体" w:hint="default"/>
                <w:sz w:val="18"/>
                <w:szCs w:val="18"/>
              </w:rPr>
              <w:t>黄元忠</w:t>
              <w:tab/>
              <w:t>主管会计工作负责人：</w:t>
            </w:r>
            <w:r>
              <w:rPr>
                <w:rFonts w:ascii="宋体" w:hAnsi="宋体" w:cs="宋体" w:eastAsia="宋体" w:hint="default"/>
                <w:spacing w:val="-3"/>
                <w:sz w:val="18"/>
                <w:szCs w:val="18"/>
              </w:rPr>
              <w:t> </w:t>
            </w:r>
            <w:r>
              <w:rPr>
                <w:rFonts w:ascii="宋体" w:hAnsi="宋体" w:cs="宋体" w:eastAsia="宋体" w:hint="default"/>
                <w:sz w:val="18"/>
                <w:szCs w:val="18"/>
              </w:rPr>
              <w:t>孙晓玲</w:t>
              <w:tab/>
              <w:t>会计机构负责人：全丽</w:t>
            </w:r>
          </w:p>
        </w:tc>
        <w:tc>
          <w:tcPr>
            <w:tcW w:w="144" w:type="dxa"/>
            <w:tcBorders>
              <w:top w:val="single" w:sz="4" w:space="0" w:color="000000"/>
              <w:left w:val="nil" w:sz="6" w:space="0" w:color="auto"/>
              <w:bottom w:val="nil" w:sz="6" w:space="0" w:color="auto"/>
              <w:right w:val="nil" w:sz="6" w:space="0" w:color="auto"/>
            </w:tcBorders>
          </w:tcPr>
          <w:p>
            <w:pPr/>
          </w:p>
        </w:tc>
        <w:tc>
          <w:tcPr>
            <w:tcW w:w="1555" w:type="dxa"/>
            <w:tcBorders>
              <w:top w:val="single" w:sz="4" w:space="0" w:color="000000"/>
              <w:left w:val="nil" w:sz="6" w:space="0" w:color="auto"/>
              <w:bottom w:val="nil" w:sz="6" w:space="0" w:color="auto"/>
              <w:right w:val="nil" w:sz="6" w:space="0" w:color="auto"/>
            </w:tcBorders>
          </w:tcPr>
          <w:p>
            <w:pPr/>
          </w:p>
        </w:tc>
      </w:tr>
    </w:tbl>
    <w:p>
      <w:pPr>
        <w:spacing w:after="0"/>
        <w:sectPr>
          <w:headerReference w:type="default" r:id="rId64"/>
          <w:footerReference w:type="default" r:id="rId65"/>
          <w:pgSz w:w="16840" w:h="11910" w:orient="landscape"/>
          <w:pgMar w:header="870" w:footer="979" w:top="1060" w:bottom="1160" w:left="420" w:right="420"/>
          <w:pgNumType w:start="68"/>
        </w:sectPr>
      </w:pPr>
    </w:p>
    <w:p>
      <w:pPr>
        <w:spacing w:line="240" w:lineRule="auto" w:before="2"/>
        <w:rPr>
          <w:rFonts w:ascii="Times New Roman" w:hAnsi="Times New Roman" w:cs="Times New Roman" w:eastAsia="Times New Roman" w:hint="default"/>
          <w:sz w:val="3"/>
          <w:szCs w:val="3"/>
        </w:rPr>
      </w:pPr>
      <w:r>
        <w:rPr/>
        <w:pict>
          <v:group style="position:absolute;margin-left:188.160004pt;margin-top:144.239502pt;width:38.3pt;height:.1pt;mso-position-horizontal-relative:page;mso-position-vertical-relative:page;z-index:-1159000" coordorigin="3763,2885" coordsize="766,2">
            <v:shape style="position:absolute;left:3763;top:2885;width:766;height:2" coordorigin="3763,2885" coordsize="766,0" path="m3763,2885l4529,2885e" filled="false" stroked="true" strokeweight=".481pt" strokecolor="#000000">
              <v:path arrowok="t"/>
            </v:shape>
            <w10:wrap type="none"/>
          </v:group>
        </w:pict>
      </w:r>
      <w:r>
        <w:rPr/>
        <w:pict>
          <v:group style="position:absolute;margin-left:233.880005pt;margin-top:498pt;width:218.4pt;height:2.2pt;mso-position-horizontal-relative:page;mso-position-vertical-relative:page;z-index:-1158976" coordorigin="4678,9960" coordsize="4368,44">
            <v:group style="position:absolute;left:4685;top:9967;width:1440;height:2" coordorigin="4685,9967" coordsize="1440,2">
              <v:shape style="position:absolute;left:4685;top:9967;width:1440;height:2" coordorigin="4685,9967" coordsize="1440,0" path="m4685,9967l6125,9967e" filled="false" stroked="true" strokeweight=".72pt" strokecolor="#000000">
                <v:path arrowok="t"/>
              </v:shape>
            </v:group>
            <v:group style="position:absolute;left:4685;top:9996;width:1440;height:2" coordorigin="4685,9996" coordsize="1440,2">
              <v:shape style="position:absolute;left:4685;top:9996;width:1440;height:2" coordorigin="4685,9996" coordsize="1440,0" path="m4685,9996l6125,9996e" filled="false" stroked="true" strokeweight=".72pt" strokecolor="#000000">
                <v:path arrowok="t"/>
              </v:shape>
            </v:group>
            <v:group style="position:absolute;left:6187;top:9967;width:1728;height:2" coordorigin="6187,9967" coordsize="1728,2">
              <v:shape style="position:absolute;left:6187;top:9967;width:1728;height:2" coordorigin="6187,9967" coordsize="1728,0" path="m6187,9967l7915,9967e" filled="false" stroked="true" strokeweight=".72pt" strokecolor="#000000">
                <v:path arrowok="t"/>
              </v:shape>
            </v:group>
            <v:group style="position:absolute;left:6187;top:9996;width:1728;height:2" coordorigin="6187,9996" coordsize="1728,2">
              <v:shape style="position:absolute;left:6187;top:9996;width:1728;height:2" coordorigin="6187,9996" coordsize="1728,0" path="m6187,9996l7915,9996e" filled="false" stroked="true" strokeweight=".72pt" strokecolor="#000000">
                <v:path arrowok="t"/>
              </v:shape>
            </v:group>
            <v:group style="position:absolute;left:7978;top:9967;width:1061;height:2" coordorigin="7978,9967" coordsize="1061,2">
              <v:shape style="position:absolute;left:7978;top:9967;width:1061;height:2" coordorigin="7978,9967" coordsize="1061,0" path="m7978,9967l9038,9967e" filled="false" stroked="true" strokeweight=".72pt" strokecolor="#000000">
                <v:path arrowok="t"/>
              </v:shape>
            </v:group>
            <v:group style="position:absolute;left:7978;top:9996;width:1061;height:2" coordorigin="7978,9996" coordsize="1061,2">
              <v:shape style="position:absolute;left:7978;top:9996;width:1061;height:2" coordorigin="7978,9996" coordsize="1061,0" path="m7978,9996l9038,9996e" filled="false" stroked="true" strokeweight=".72pt" strokecolor="#000000">
                <v:path arrowok="t"/>
              </v:shape>
            </v:group>
            <w10:wrap type="none"/>
          </v:group>
        </w:pict>
      </w:r>
      <w:r>
        <w:rPr/>
        <w:pict>
          <v:group style="position:absolute;margin-left:458.640015pt;margin-top:498pt;width:71.650pt;height:2.2pt;mso-position-horizontal-relative:page;mso-position-vertical-relative:page;z-index:-1158952" coordorigin="9173,9960" coordsize="1433,44">
            <v:group style="position:absolute;left:9180;top:9967;width:1419;height:2" coordorigin="9180,9967" coordsize="1419,2">
              <v:shape style="position:absolute;left:9180;top:9967;width:1419;height:2" coordorigin="9180,9967" coordsize="1419,0" path="m9180,9967l10598,9967e" filled="false" stroked="true" strokeweight=".72pt" strokecolor="#000000">
                <v:path arrowok="t"/>
              </v:shape>
            </v:group>
            <v:group style="position:absolute;left:9180;top:9996;width:1419;height:2" coordorigin="9180,9996" coordsize="1419,2">
              <v:shape style="position:absolute;left:9180;top:9996;width:1419;height:2" coordorigin="9180,9996" coordsize="1419,0" path="m9180,9996l10598,9996e" filled="false" stroked="true" strokeweight=".72pt" strokecolor="#000000">
                <v:path arrowok="t"/>
              </v:shape>
            </v:group>
            <w10:wrap type="none"/>
          </v:group>
        </w:pict>
      </w:r>
      <w:r>
        <w:rPr/>
        <w:pict>
          <v:group style="position:absolute;margin-left:536.280029pt;margin-top:498pt;width:62.05pt;height:2.2pt;mso-position-horizontal-relative:page;mso-position-vertical-relative:page;z-index:-1158928" coordorigin="10726,9960" coordsize="1241,44">
            <v:group style="position:absolute;left:10733;top:9967;width:1227;height:2" coordorigin="10733,9967" coordsize="1227,2">
              <v:shape style="position:absolute;left:10733;top:9967;width:1227;height:2" coordorigin="10733,9967" coordsize="1227,0" path="m10733,9967l11959,9967e" filled="false" stroked="true" strokeweight=".72pt" strokecolor="#000000">
                <v:path arrowok="t"/>
              </v:shape>
            </v:group>
            <v:group style="position:absolute;left:10733;top:9996;width:1227;height:2" coordorigin="10733,9996" coordsize="1227,2">
              <v:shape style="position:absolute;left:10733;top:9996;width:1227;height:2" coordorigin="10733,9996" coordsize="1227,0" path="m10733,9996l11959,9996e" filled="false" stroked="true" strokeweight=".72pt" strokecolor="#000000">
                <v:path arrowok="t"/>
              </v:shape>
            </v:group>
            <w10:wrap type="none"/>
          </v:group>
        </w:pict>
      </w:r>
      <w:r>
        <w:rPr/>
        <w:pict>
          <v:group style="position:absolute;margin-left:604.679993pt;margin-top:498pt;width:64.2pt;height:2.2pt;mso-position-horizontal-relative:page;mso-position-vertical-relative:page;z-index:-1158904" coordorigin="12094,9960" coordsize="1284,44">
            <v:group style="position:absolute;left:12101;top:9967;width:1270;height:2" coordorigin="12101,9967" coordsize="1270,2">
              <v:shape style="position:absolute;left:12101;top:9967;width:1270;height:2" coordorigin="12101,9967" coordsize="1270,0" path="m12101,9967l13370,9967e" filled="false" stroked="true" strokeweight=".72pt" strokecolor="#000000">
                <v:path arrowok="t"/>
              </v:shape>
            </v:group>
            <v:group style="position:absolute;left:12101;top:9996;width:1270;height:2" coordorigin="12101,9996" coordsize="1270,2">
              <v:shape style="position:absolute;left:12101;top:9996;width:1270;height:2" coordorigin="12101,9996" coordsize="1270,0" path="m12101,9996l13370,9996e" filled="false" stroked="true" strokeweight=".72pt" strokecolor="#000000">
                <v:path arrowok="t"/>
              </v:shape>
            </v:group>
            <w10:wrap type="none"/>
          </v:group>
        </w:pict>
      </w:r>
      <w:r>
        <w:rPr/>
        <w:pict>
          <v:group style="position:absolute;margin-left:675.23999pt;margin-top:498pt;width:71.3pt;height:2.2pt;mso-position-horizontal-relative:page;mso-position-vertical-relative:page;z-index:-1158880" coordorigin="13505,9960" coordsize="1426,44">
            <v:group style="position:absolute;left:13512;top:9967;width:1412;height:2" coordorigin="13512,9967" coordsize="1412,2">
              <v:shape style="position:absolute;left:13512;top:9967;width:1412;height:2" coordorigin="13512,9967" coordsize="1412,0" path="m13512,9967l14923,9967e" filled="false" stroked="true" strokeweight=".72pt" strokecolor="#000000">
                <v:path arrowok="t"/>
              </v:shape>
            </v:group>
            <v:group style="position:absolute;left:13512;top:9996;width:1412;height:2" coordorigin="13512,9996" coordsize="1412,2">
              <v:shape style="position:absolute;left:13512;top:9996;width:1412;height:2" coordorigin="13512,9996" coordsize="1412,0" path="m13512,9996l14923,9996e" filled="false" stroked="true" strokeweight=".72pt" strokecolor="#000000">
                <v:path arrowok="t"/>
              </v:shape>
            </v:group>
            <w10:wrap type="none"/>
          </v:group>
        </w:pict>
      </w:r>
    </w:p>
    <w:tbl>
      <w:tblPr>
        <w:tblW w:w="0" w:type="auto"/>
        <w:jc w:val="left"/>
        <w:tblInd w:w="117" w:type="dxa"/>
        <w:tblLayout w:type="fixed"/>
        <w:tblCellMar>
          <w:top w:w="0" w:type="dxa"/>
          <w:left w:w="0" w:type="dxa"/>
          <w:bottom w:w="0" w:type="dxa"/>
          <w:right w:w="0" w:type="dxa"/>
        </w:tblCellMar>
        <w:tblLook w:val="01E0"/>
      </w:tblPr>
      <w:tblGrid>
        <w:gridCol w:w="108"/>
        <w:gridCol w:w="3036"/>
        <w:gridCol w:w="2683"/>
        <w:gridCol w:w="1609"/>
        <w:gridCol w:w="1144"/>
        <w:gridCol w:w="62"/>
        <w:gridCol w:w="1418"/>
        <w:gridCol w:w="134"/>
        <w:gridCol w:w="1226"/>
        <w:gridCol w:w="142"/>
        <w:gridCol w:w="1270"/>
        <w:gridCol w:w="142"/>
        <w:gridCol w:w="1411"/>
        <w:gridCol w:w="146"/>
        <w:gridCol w:w="1558"/>
      </w:tblGrid>
      <w:tr>
        <w:trPr>
          <w:trHeight w:val="639" w:hRule="exact"/>
        </w:trPr>
        <w:tc>
          <w:tcPr>
            <w:tcW w:w="16090" w:type="dxa"/>
            <w:gridSpan w:val="15"/>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48" w:right="0"/>
              <w:jc w:val="center"/>
              <w:rPr>
                <w:rFonts w:ascii="宋体" w:hAnsi="宋体" w:cs="宋体" w:eastAsia="宋体" w:hint="default"/>
                <w:sz w:val="24"/>
                <w:szCs w:val="24"/>
              </w:rPr>
            </w:pPr>
            <w:r>
              <w:rPr>
                <w:rFonts w:ascii="宋体" w:hAnsi="宋体" w:cs="宋体" w:eastAsia="宋体" w:hint="default"/>
                <w:sz w:val="24"/>
                <w:szCs w:val="24"/>
              </w:rPr>
              <w:t>深圳市方直科技股份有限公司</w:t>
            </w:r>
          </w:p>
        </w:tc>
      </w:tr>
      <w:tr>
        <w:trPr>
          <w:trHeight w:val="425" w:hRule="exact"/>
        </w:trPr>
        <w:tc>
          <w:tcPr>
            <w:tcW w:w="16090" w:type="dxa"/>
            <w:gridSpan w:val="15"/>
            <w:tcBorders>
              <w:top w:val="nil" w:sz="6" w:space="0" w:color="auto"/>
              <w:left w:val="nil" w:sz="6" w:space="0" w:color="auto"/>
              <w:bottom w:val="nil" w:sz="6" w:space="0" w:color="auto"/>
              <w:right w:val="nil" w:sz="6" w:space="0" w:color="auto"/>
            </w:tcBorders>
          </w:tcPr>
          <w:p>
            <w:pPr>
              <w:pStyle w:val="TableParagraph"/>
              <w:spacing w:line="240" w:lineRule="auto" w:before="19"/>
              <w:ind w:left="48" w:right="0"/>
              <w:jc w:val="center"/>
              <w:rPr>
                <w:rFonts w:ascii="宋体" w:hAnsi="宋体" w:cs="宋体" w:eastAsia="宋体" w:hint="default"/>
                <w:sz w:val="24"/>
                <w:szCs w:val="24"/>
              </w:rPr>
            </w:pPr>
            <w:r>
              <w:rPr>
                <w:rFonts w:ascii="宋体" w:hAnsi="宋体" w:cs="宋体" w:eastAsia="宋体" w:hint="default"/>
                <w:sz w:val="24"/>
                <w:szCs w:val="24"/>
              </w:rPr>
              <w:t>股东权益变动表</w:t>
            </w:r>
          </w:p>
        </w:tc>
      </w:tr>
      <w:tr>
        <w:trPr>
          <w:trHeight w:val="411" w:hRule="exact"/>
        </w:trPr>
        <w:tc>
          <w:tcPr>
            <w:tcW w:w="108" w:type="dxa"/>
            <w:tcBorders>
              <w:top w:val="nil" w:sz="6" w:space="0" w:color="auto"/>
              <w:left w:val="nil" w:sz="6" w:space="0" w:color="auto"/>
              <w:bottom w:val="nil" w:sz="6" w:space="0" w:color="auto"/>
              <w:right w:val="nil" w:sz="6" w:space="0" w:color="auto"/>
            </w:tcBorders>
          </w:tcPr>
          <w:p>
            <w:pPr/>
          </w:p>
        </w:tc>
        <w:tc>
          <w:tcPr>
            <w:tcW w:w="3036" w:type="dxa"/>
            <w:tcBorders>
              <w:top w:val="nil" w:sz="6" w:space="0" w:color="auto"/>
              <w:left w:val="nil" w:sz="6" w:space="0" w:color="auto"/>
              <w:bottom w:val="nil" w:sz="6" w:space="0" w:color="auto"/>
              <w:right w:val="nil" w:sz="6" w:space="0" w:color="auto"/>
            </w:tcBorders>
          </w:tcPr>
          <w:p>
            <w:pPr/>
          </w:p>
        </w:tc>
        <w:tc>
          <w:tcPr>
            <w:tcW w:w="2683" w:type="dxa"/>
            <w:tcBorders>
              <w:top w:val="nil" w:sz="6" w:space="0" w:color="auto"/>
              <w:left w:val="nil" w:sz="6" w:space="0" w:color="auto"/>
              <w:bottom w:val="nil" w:sz="6" w:space="0" w:color="auto"/>
              <w:right w:val="nil" w:sz="6" w:space="0" w:color="auto"/>
            </w:tcBorders>
          </w:tcPr>
          <w:p>
            <w:pPr/>
          </w:p>
        </w:tc>
        <w:tc>
          <w:tcPr>
            <w:tcW w:w="1609" w:type="dxa"/>
            <w:tcBorders>
              <w:top w:val="nil" w:sz="6" w:space="0" w:color="auto"/>
              <w:left w:val="nil" w:sz="6" w:space="0" w:color="auto"/>
              <w:bottom w:val="nil" w:sz="6" w:space="0" w:color="auto"/>
              <w:right w:val="nil" w:sz="6" w:space="0" w:color="auto"/>
            </w:tcBorders>
          </w:tcPr>
          <w:p>
            <w:pPr/>
          </w:p>
        </w:tc>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0"/>
              <w:jc w:val="right"/>
              <w:rPr>
                <w:rFonts w:ascii="宋体" w:hAnsi="宋体" w:cs="宋体" w:eastAsia="宋体" w:hint="default"/>
                <w:sz w:val="24"/>
                <w:szCs w:val="24"/>
              </w:rPr>
            </w:pPr>
            <w:r>
              <w:rPr>
                <w:rFonts w:ascii="宋体" w:hAnsi="宋体" w:cs="宋体" w:eastAsia="宋体" w:hint="default"/>
                <w:sz w:val="24"/>
                <w:szCs w:val="24"/>
              </w:rPr>
              <w:t>2013</w:t>
            </w:r>
            <w:r>
              <w:rPr>
                <w:rFonts w:ascii="宋体" w:hAnsi="宋体" w:cs="宋体" w:eastAsia="宋体" w:hint="default"/>
                <w:spacing w:val="-60"/>
                <w:sz w:val="24"/>
                <w:szCs w:val="24"/>
              </w:rPr>
              <w:t> </w:t>
            </w:r>
            <w:r>
              <w:rPr>
                <w:rFonts w:ascii="宋体" w:hAnsi="宋体" w:cs="宋体" w:eastAsia="宋体" w:hint="default"/>
                <w:sz w:val="24"/>
                <w:szCs w:val="24"/>
              </w:rPr>
              <w:t>年度</w:t>
            </w:r>
          </w:p>
        </w:tc>
        <w:tc>
          <w:tcPr>
            <w:tcW w:w="62"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226"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411" w:type="dxa"/>
            <w:tcBorders>
              <w:top w:val="nil" w:sz="6" w:space="0" w:color="auto"/>
              <w:left w:val="nil" w:sz="6" w:space="0" w:color="auto"/>
              <w:bottom w:val="nil" w:sz="6" w:space="0" w:color="auto"/>
              <w:right w:val="nil" w:sz="6" w:space="0" w:color="auto"/>
            </w:tcBorders>
          </w:tcPr>
          <w:p>
            <w:pPr/>
          </w:p>
        </w:tc>
        <w:tc>
          <w:tcPr>
            <w:tcW w:w="146"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4"/>
              <w:jc w:val="right"/>
              <w:rPr>
                <w:rFonts w:ascii="宋体" w:hAnsi="宋体" w:cs="宋体" w:eastAsia="宋体" w:hint="default"/>
                <w:sz w:val="18"/>
                <w:szCs w:val="18"/>
              </w:rPr>
            </w:pPr>
            <w:r>
              <w:rPr>
                <w:rFonts w:ascii="宋体" w:hAnsi="宋体" w:cs="宋体" w:eastAsia="宋体" w:hint="default"/>
                <w:sz w:val="18"/>
                <w:szCs w:val="18"/>
              </w:rPr>
              <w:t>单位：人民币元</w:t>
            </w:r>
          </w:p>
        </w:tc>
      </w:tr>
      <w:tr>
        <w:trPr>
          <w:trHeight w:val="297" w:hRule="exact"/>
        </w:trPr>
        <w:tc>
          <w:tcPr>
            <w:tcW w:w="108" w:type="dxa"/>
            <w:tcBorders>
              <w:top w:val="nil" w:sz="6" w:space="0" w:color="auto"/>
              <w:left w:val="nil" w:sz="6" w:space="0" w:color="auto"/>
              <w:bottom w:val="nil" w:sz="6" w:space="0" w:color="auto"/>
              <w:right w:val="nil" w:sz="6" w:space="0" w:color="auto"/>
            </w:tcBorders>
          </w:tcPr>
          <w:p>
            <w:pPr/>
          </w:p>
        </w:tc>
        <w:tc>
          <w:tcPr>
            <w:tcW w:w="3036" w:type="dxa"/>
            <w:tcBorders>
              <w:top w:val="nil" w:sz="6" w:space="0" w:color="auto"/>
              <w:left w:val="nil" w:sz="6" w:space="0" w:color="auto"/>
              <w:bottom w:val="single" w:sz="4" w:space="0" w:color="000000"/>
              <w:right w:val="nil" w:sz="6" w:space="0" w:color="auto"/>
            </w:tcBorders>
          </w:tcPr>
          <w:p>
            <w:pPr>
              <w:pStyle w:val="TableParagraph"/>
              <w:spacing w:line="240" w:lineRule="auto" w:before="24"/>
              <w:ind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2683"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left="144" w:right="0"/>
              <w:jc w:val="left"/>
              <w:rPr>
                <w:rFonts w:ascii="宋体" w:hAnsi="宋体" w:cs="宋体" w:eastAsia="宋体" w:hint="default"/>
                <w:sz w:val="16"/>
                <w:szCs w:val="16"/>
              </w:rPr>
            </w:pPr>
            <w:r>
              <w:rPr>
                <w:rFonts w:ascii="宋体" w:hAnsi="宋体" w:cs="宋体" w:eastAsia="宋体" w:hint="default"/>
                <w:sz w:val="16"/>
                <w:szCs w:val="16"/>
              </w:rPr>
              <w:t>附注十五</w:t>
            </w:r>
          </w:p>
        </w:tc>
        <w:tc>
          <w:tcPr>
            <w:tcW w:w="1609" w:type="dxa"/>
            <w:tcBorders>
              <w:top w:val="nil" w:sz="6" w:space="0" w:color="auto"/>
              <w:left w:val="nil" w:sz="6" w:space="0" w:color="auto"/>
              <w:bottom w:val="single" w:sz="4" w:space="0" w:color="000000"/>
              <w:right w:val="nil" w:sz="6" w:space="0" w:color="auto"/>
            </w:tcBorders>
          </w:tcPr>
          <w:p>
            <w:pPr/>
          </w:p>
        </w:tc>
        <w:tc>
          <w:tcPr>
            <w:tcW w:w="1144" w:type="dxa"/>
            <w:tcBorders>
              <w:top w:val="nil" w:sz="6" w:space="0" w:color="auto"/>
              <w:left w:val="nil" w:sz="6" w:space="0" w:color="auto"/>
              <w:bottom w:val="single" w:sz="4" w:space="0" w:color="000000"/>
              <w:right w:val="nil" w:sz="6" w:space="0" w:color="auto"/>
            </w:tcBorders>
          </w:tcPr>
          <w:p>
            <w:pPr/>
          </w:p>
        </w:tc>
        <w:tc>
          <w:tcPr>
            <w:tcW w:w="62"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single" w:sz="4" w:space="0" w:color="000000"/>
              <w:right w:val="nil" w:sz="6" w:space="0" w:color="auto"/>
            </w:tcBorders>
          </w:tcPr>
          <w:p>
            <w:pPr/>
          </w:p>
        </w:tc>
        <w:tc>
          <w:tcPr>
            <w:tcW w:w="134" w:type="dxa"/>
            <w:tcBorders>
              <w:top w:val="nil" w:sz="6" w:space="0" w:color="auto"/>
              <w:left w:val="nil" w:sz="6" w:space="0" w:color="auto"/>
              <w:bottom w:val="single" w:sz="4" w:space="0" w:color="000000"/>
              <w:right w:val="nil" w:sz="6" w:space="0" w:color="auto"/>
            </w:tcBorders>
          </w:tcPr>
          <w:p>
            <w:pPr/>
          </w:p>
        </w:tc>
        <w:tc>
          <w:tcPr>
            <w:tcW w:w="1226" w:type="dxa"/>
            <w:tcBorders>
              <w:top w:val="nil" w:sz="6" w:space="0" w:color="auto"/>
              <w:left w:val="nil" w:sz="6" w:space="0" w:color="auto"/>
              <w:bottom w:val="single" w:sz="4" w:space="0" w:color="000000"/>
              <w:right w:val="nil" w:sz="6" w:space="0" w:color="auto"/>
            </w:tcBorders>
          </w:tcPr>
          <w:p>
            <w:pPr/>
          </w:p>
        </w:tc>
        <w:tc>
          <w:tcPr>
            <w:tcW w:w="142" w:type="dxa"/>
            <w:tcBorders>
              <w:top w:val="nil" w:sz="6" w:space="0" w:color="auto"/>
              <w:left w:val="nil" w:sz="6" w:space="0" w:color="auto"/>
              <w:bottom w:val="single" w:sz="4" w:space="0" w:color="000000"/>
              <w:right w:val="nil" w:sz="6" w:space="0" w:color="auto"/>
            </w:tcBorders>
          </w:tcPr>
          <w:p>
            <w:pPr/>
          </w:p>
        </w:tc>
        <w:tc>
          <w:tcPr>
            <w:tcW w:w="1270" w:type="dxa"/>
            <w:tcBorders>
              <w:top w:val="nil" w:sz="6" w:space="0" w:color="auto"/>
              <w:left w:val="nil" w:sz="6" w:space="0" w:color="auto"/>
              <w:bottom w:val="single" w:sz="4" w:space="0" w:color="000000"/>
              <w:right w:val="nil" w:sz="6" w:space="0" w:color="auto"/>
            </w:tcBorders>
          </w:tcPr>
          <w:p>
            <w:pPr/>
          </w:p>
        </w:tc>
        <w:tc>
          <w:tcPr>
            <w:tcW w:w="142" w:type="dxa"/>
            <w:tcBorders>
              <w:top w:val="nil" w:sz="6" w:space="0" w:color="auto"/>
              <w:left w:val="nil" w:sz="6" w:space="0" w:color="auto"/>
              <w:bottom w:val="single" w:sz="4" w:space="0" w:color="000000"/>
              <w:right w:val="nil" w:sz="6" w:space="0" w:color="auto"/>
            </w:tcBorders>
          </w:tcPr>
          <w:p>
            <w:pPr/>
          </w:p>
        </w:tc>
        <w:tc>
          <w:tcPr>
            <w:tcW w:w="1411" w:type="dxa"/>
            <w:tcBorders>
              <w:top w:val="nil" w:sz="6" w:space="0" w:color="auto"/>
              <w:left w:val="nil" w:sz="6" w:space="0" w:color="auto"/>
              <w:bottom w:val="single" w:sz="4" w:space="0" w:color="000000"/>
              <w:right w:val="nil" w:sz="6" w:space="0" w:color="auto"/>
            </w:tcBorders>
          </w:tcPr>
          <w:p>
            <w:pPr/>
          </w:p>
        </w:tc>
        <w:tc>
          <w:tcPr>
            <w:tcW w:w="146" w:type="dxa"/>
            <w:tcBorders>
              <w:top w:val="nil" w:sz="6" w:space="0" w:color="auto"/>
              <w:left w:val="nil" w:sz="6" w:space="0" w:color="auto"/>
              <w:bottom w:val="single" w:sz="4" w:space="0" w:color="000000"/>
              <w:right w:val="nil" w:sz="6" w:space="0" w:color="auto"/>
            </w:tcBorders>
          </w:tcPr>
          <w:p>
            <w:pPr/>
          </w:p>
        </w:tc>
        <w:tc>
          <w:tcPr>
            <w:tcW w:w="1558" w:type="dxa"/>
            <w:tcBorders>
              <w:top w:val="nil" w:sz="6" w:space="0" w:color="auto"/>
              <w:left w:val="nil" w:sz="6" w:space="0" w:color="auto"/>
              <w:bottom w:val="single" w:sz="4" w:space="0" w:color="000000"/>
              <w:right w:val="nil" w:sz="6" w:space="0" w:color="auto"/>
            </w:tcBorders>
          </w:tcPr>
          <w:p>
            <w:pPr/>
          </w:p>
        </w:tc>
      </w:tr>
      <w:tr>
        <w:trPr>
          <w:trHeight w:val="269" w:hRule="exact"/>
        </w:trPr>
        <w:tc>
          <w:tcPr>
            <w:tcW w:w="108" w:type="dxa"/>
            <w:tcBorders>
              <w:top w:val="nil" w:sz="6" w:space="0" w:color="auto"/>
              <w:left w:val="nil" w:sz="6" w:space="0" w:color="auto"/>
              <w:bottom w:val="nil" w:sz="6" w:space="0" w:color="auto"/>
              <w:right w:val="nil" w:sz="6" w:space="0" w:color="auto"/>
            </w:tcBorders>
          </w:tcPr>
          <w:p>
            <w:pPr/>
          </w:p>
        </w:tc>
        <w:tc>
          <w:tcPr>
            <w:tcW w:w="3036" w:type="dxa"/>
            <w:tcBorders>
              <w:top w:val="single" w:sz="4" w:space="0" w:color="000000"/>
              <w:left w:val="nil" w:sz="6" w:space="0" w:color="auto"/>
              <w:bottom w:val="nil" w:sz="6" w:space="0" w:color="auto"/>
              <w:right w:val="nil" w:sz="6" w:space="0" w:color="auto"/>
            </w:tcBorders>
          </w:tcPr>
          <w:p>
            <w:pPr/>
          </w:p>
        </w:tc>
        <w:tc>
          <w:tcPr>
            <w:tcW w:w="2683" w:type="dxa"/>
            <w:tcBorders>
              <w:top w:val="single" w:sz="4" w:space="0" w:color="000000"/>
              <w:left w:val="nil" w:sz="6" w:space="0" w:color="auto"/>
              <w:bottom w:val="single" w:sz="4" w:space="0" w:color="000000"/>
              <w:right w:val="nil" w:sz="6" w:space="0" w:color="auto"/>
            </w:tcBorders>
          </w:tcPr>
          <w:p>
            <w:pPr>
              <w:pStyle w:val="TableParagraph"/>
              <w:spacing w:line="227" w:lineRule="exact"/>
              <w:ind w:left="154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609" w:type="dxa"/>
            <w:tcBorders>
              <w:top w:val="single" w:sz="4" w:space="0" w:color="000000"/>
              <w:left w:val="nil" w:sz="6" w:space="0" w:color="auto"/>
              <w:bottom w:val="single" w:sz="4" w:space="0" w:color="000000"/>
              <w:right w:val="nil" w:sz="6" w:space="0" w:color="auto"/>
            </w:tcBorders>
          </w:tcPr>
          <w:p>
            <w:pPr>
              <w:pStyle w:val="TableParagraph"/>
              <w:spacing w:line="227" w:lineRule="exact"/>
              <w:ind w:left="326"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44" w:type="dxa"/>
            <w:tcBorders>
              <w:top w:val="single" w:sz="4" w:space="0" w:color="000000"/>
              <w:left w:val="nil" w:sz="6" w:space="0" w:color="auto"/>
              <w:bottom w:val="single" w:sz="4" w:space="0" w:color="000000"/>
              <w:right w:val="nil" w:sz="6" w:space="0" w:color="auto"/>
            </w:tcBorders>
          </w:tcPr>
          <w:p>
            <w:pPr>
              <w:pStyle w:val="TableParagraph"/>
              <w:spacing w:line="227" w:lineRule="exact"/>
              <w:ind w:left="8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62" w:type="dxa"/>
            <w:tcBorders>
              <w:top w:val="nil" w:sz="6" w:space="0" w:color="auto"/>
              <w:left w:val="nil" w:sz="6" w:space="0" w:color="auto"/>
              <w:bottom w:val="nil" w:sz="6" w:space="0" w:color="auto"/>
              <w:right w:val="nil" w:sz="6" w:space="0" w:color="auto"/>
            </w:tcBorders>
          </w:tcPr>
          <w:p>
            <w:pPr/>
          </w:p>
        </w:tc>
        <w:tc>
          <w:tcPr>
            <w:tcW w:w="1418" w:type="dxa"/>
            <w:tcBorders>
              <w:top w:val="single" w:sz="4" w:space="0" w:color="000000"/>
              <w:left w:val="nil" w:sz="6" w:space="0" w:color="auto"/>
              <w:bottom w:val="single" w:sz="4" w:space="0" w:color="000000"/>
              <w:right w:val="nil" w:sz="6" w:space="0" w:color="auto"/>
            </w:tcBorders>
          </w:tcPr>
          <w:p>
            <w:pPr>
              <w:pStyle w:val="TableParagraph"/>
              <w:spacing w:line="227" w:lineRule="exact"/>
              <w:ind w:left="170"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34" w:type="dxa"/>
            <w:tcBorders>
              <w:top w:val="single" w:sz="4" w:space="0" w:color="000000"/>
              <w:left w:val="nil" w:sz="6" w:space="0" w:color="auto"/>
              <w:bottom w:val="nil" w:sz="6" w:space="0" w:color="auto"/>
              <w:right w:val="nil" w:sz="6" w:space="0" w:color="auto"/>
            </w:tcBorders>
          </w:tcPr>
          <w:p>
            <w:pPr/>
          </w:p>
        </w:tc>
        <w:tc>
          <w:tcPr>
            <w:tcW w:w="1226" w:type="dxa"/>
            <w:tcBorders>
              <w:top w:val="single" w:sz="4" w:space="0" w:color="000000"/>
              <w:left w:val="nil" w:sz="6" w:space="0" w:color="auto"/>
              <w:bottom w:val="single" w:sz="4" w:space="0" w:color="000000"/>
              <w:right w:val="nil" w:sz="6" w:space="0" w:color="auto"/>
            </w:tcBorders>
          </w:tcPr>
          <w:p>
            <w:pPr>
              <w:pStyle w:val="TableParagraph"/>
              <w:spacing w:line="227" w:lineRule="exact"/>
              <w:ind w:left="25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42" w:type="dxa"/>
            <w:tcBorders>
              <w:top w:val="single" w:sz="4" w:space="0" w:color="000000"/>
              <w:left w:val="nil" w:sz="6" w:space="0" w:color="auto"/>
              <w:bottom w:val="nil" w:sz="6" w:space="0" w:color="auto"/>
              <w:right w:val="nil" w:sz="6" w:space="0" w:color="auto"/>
            </w:tcBorders>
          </w:tcPr>
          <w:p>
            <w:pPr/>
          </w:p>
        </w:tc>
        <w:tc>
          <w:tcPr>
            <w:tcW w:w="1270" w:type="dxa"/>
            <w:tcBorders>
              <w:top w:val="single" w:sz="4" w:space="0" w:color="000000"/>
              <w:left w:val="nil" w:sz="6" w:space="0" w:color="auto"/>
              <w:bottom w:val="single" w:sz="4" w:space="0" w:color="000000"/>
              <w:right w:val="nil" w:sz="6" w:space="0" w:color="auto"/>
            </w:tcBorders>
          </w:tcPr>
          <w:p>
            <w:pPr>
              <w:pStyle w:val="TableParagraph"/>
              <w:spacing w:line="227" w:lineRule="exact"/>
              <w:ind w:left="96"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42" w:type="dxa"/>
            <w:tcBorders>
              <w:top w:val="single" w:sz="4" w:space="0" w:color="000000"/>
              <w:left w:val="nil" w:sz="6" w:space="0" w:color="auto"/>
              <w:bottom w:val="nil" w:sz="6" w:space="0" w:color="auto"/>
              <w:right w:val="nil" w:sz="6" w:space="0" w:color="auto"/>
            </w:tcBorders>
          </w:tcPr>
          <w:p>
            <w:pPr/>
          </w:p>
        </w:tc>
        <w:tc>
          <w:tcPr>
            <w:tcW w:w="1411" w:type="dxa"/>
            <w:tcBorders>
              <w:top w:val="single" w:sz="4" w:space="0" w:color="000000"/>
              <w:left w:val="nil" w:sz="6" w:space="0" w:color="auto"/>
              <w:bottom w:val="single" w:sz="4" w:space="0" w:color="000000"/>
              <w:right w:val="nil" w:sz="6" w:space="0" w:color="auto"/>
            </w:tcBorders>
          </w:tcPr>
          <w:p>
            <w:pPr>
              <w:pStyle w:val="TableParagraph"/>
              <w:spacing w:line="227" w:lineRule="exact"/>
              <w:ind w:left="25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6" w:type="dxa"/>
            <w:tcBorders>
              <w:top w:val="single" w:sz="4" w:space="0" w:color="000000"/>
              <w:left w:val="nil" w:sz="6" w:space="0" w:color="auto"/>
              <w:bottom w:val="nil" w:sz="6" w:space="0" w:color="auto"/>
              <w:right w:val="nil" w:sz="6" w:space="0" w:color="auto"/>
            </w:tcBorders>
          </w:tcPr>
          <w:p>
            <w:pPr/>
          </w:p>
        </w:tc>
        <w:tc>
          <w:tcPr>
            <w:tcW w:w="1558" w:type="dxa"/>
            <w:tcBorders>
              <w:top w:val="single" w:sz="4" w:space="0" w:color="000000"/>
              <w:left w:val="nil" w:sz="6" w:space="0" w:color="auto"/>
              <w:bottom w:val="single" w:sz="4" w:space="0" w:color="000000"/>
              <w:right w:val="nil" w:sz="6" w:space="0" w:color="auto"/>
            </w:tcBorders>
          </w:tcPr>
          <w:p>
            <w:pPr>
              <w:pStyle w:val="TableParagraph"/>
              <w:spacing w:line="227" w:lineRule="exact"/>
              <w:ind w:left="240" w:right="0"/>
              <w:jc w:val="left"/>
              <w:rPr>
                <w:rFonts w:ascii="宋体" w:hAnsi="宋体" w:cs="宋体" w:eastAsia="宋体" w:hint="default"/>
                <w:sz w:val="18"/>
                <w:szCs w:val="18"/>
              </w:rPr>
            </w:pPr>
            <w:r>
              <w:rPr>
                <w:rFonts w:ascii="宋体" w:hAnsi="宋体" w:cs="宋体" w:eastAsia="宋体" w:hint="default"/>
                <w:sz w:val="18"/>
                <w:szCs w:val="18"/>
              </w:rPr>
              <w:t>股东权益合计</w:t>
            </w:r>
          </w:p>
        </w:tc>
      </w:tr>
      <w:tr>
        <w:trPr>
          <w:trHeight w:val="271" w:hRule="exact"/>
        </w:trPr>
        <w:tc>
          <w:tcPr>
            <w:tcW w:w="108" w:type="dxa"/>
            <w:tcBorders>
              <w:top w:val="nil" w:sz="6" w:space="0" w:color="auto"/>
              <w:left w:val="nil" w:sz="6" w:space="0" w:color="auto"/>
              <w:bottom w:val="nil" w:sz="6" w:space="0" w:color="auto"/>
              <w:right w:val="nil" w:sz="6" w:space="0" w:color="auto"/>
            </w:tcBorders>
          </w:tcPr>
          <w:p>
            <w:pPr/>
          </w:p>
        </w:tc>
        <w:tc>
          <w:tcPr>
            <w:tcW w:w="3036" w:type="dxa"/>
            <w:tcBorders>
              <w:top w:val="nil" w:sz="6" w:space="0" w:color="auto"/>
              <w:left w:val="nil" w:sz="6" w:space="0" w:color="auto"/>
              <w:bottom w:val="nil" w:sz="6" w:space="0" w:color="auto"/>
              <w:right w:val="nil" w:sz="6" w:space="0" w:color="auto"/>
            </w:tcBorders>
          </w:tcPr>
          <w:p>
            <w:pPr>
              <w:pStyle w:val="TableParagraph"/>
              <w:spacing w:line="234" w:lineRule="exact"/>
              <w:ind w:left="28" w:right="0"/>
              <w:jc w:val="left"/>
              <w:rPr>
                <w:rFonts w:ascii="宋体" w:hAnsi="宋体" w:cs="宋体" w:eastAsia="宋体" w:hint="default"/>
                <w:sz w:val="18"/>
                <w:szCs w:val="18"/>
              </w:rPr>
            </w:pPr>
            <w:r>
              <w:rPr>
                <w:rFonts w:ascii="宋体" w:hAnsi="宋体" w:cs="宋体" w:eastAsia="宋体" w:hint="default"/>
                <w:b/>
                <w:bCs/>
                <w:sz w:val="18"/>
                <w:szCs w:val="18"/>
              </w:rPr>
              <w:t>一、上年年末余额</w:t>
            </w:r>
            <w:r>
              <w:rPr>
                <w:rFonts w:ascii="宋体" w:hAnsi="宋体" w:cs="宋体" w:eastAsia="宋体" w:hint="default"/>
                <w:sz w:val="18"/>
                <w:szCs w:val="18"/>
              </w:rPr>
            </w:r>
          </w:p>
        </w:tc>
        <w:tc>
          <w:tcPr>
            <w:tcW w:w="2683" w:type="dxa"/>
            <w:tcBorders>
              <w:top w:val="single" w:sz="4" w:space="0" w:color="000000"/>
              <w:left w:val="nil" w:sz="6" w:space="0" w:color="auto"/>
              <w:bottom w:val="single" w:sz="4" w:space="0" w:color="000000"/>
              <w:right w:val="nil" w:sz="6" w:space="0" w:color="auto"/>
            </w:tcBorders>
          </w:tcPr>
          <w:p>
            <w:pPr>
              <w:pStyle w:val="TableParagraph"/>
              <w:spacing w:line="220" w:lineRule="exact"/>
              <w:ind w:right="261"/>
              <w:jc w:val="right"/>
              <w:rPr>
                <w:rFonts w:ascii="宋体" w:hAnsi="宋体" w:cs="宋体" w:eastAsia="宋体" w:hint="default"/>
                <w:sz w:val="18"/>
                <w:szCs w:val="18"/>
              </w:rPr>
            </w:pPr>
            <w:r>
              <w:rPr>
                <w:rFonts w:ascii="宋体"/>
                <w:spacing w:val="-1"/>
                <w:sz w:val="18"/>
              </w:rPr>
              <w:t>88,000,000.00</w:t>
            </w:r>
            <w:r>
              <w:rPr>
                <w:rFonts w:ascii="宋体"/>
                <w:sz w:val="18"/>
              </w:rPr>
            </w:r>
          </w:p>
        </w:tc>
        <w:tc>
          <w:tcPr>
            <w:tcW w:w="1609" w:type="dxa"/>
            <w:tcBorders>
              <w:top w:val="single" w:sz="4" w:space="0" w:color="000000"/>
              <w:left w:val="nil" w:sz="6" w:space="0" w:color="auto"/>
              <w:bottom w:val="single" w:sz="4" w:space="0" w:color="000000"/>
              <w:right w:val="nil" w:sz="6" w:space="0" w:color="auto"/>
            </w:tcBorders>
          </w:tcPr>
          <w:p>
            <w:pPr>
              <w:pStyle w:val="TableParagraph"/>
              <w:spacing w:line="220" w:lineRule="exact"/>
              <w:ind w:right="81"/>
              <w:jc w:val="right"/>
              <w:rPr>
                <w:rFonts w:ascii="宋体" w:hAnsi="宋体" w:cs="宋体" w:eastAsia="宋体" w:hint="default"/>
                <w:sz w:val="18"/>
                <w:szCs w:val="18"/>
              </w:rPr>
            </w:pPr>
            <w:r>
              <w:rPr>
                <w:rFonts w:ascii="宋体"/>
                <w:spacing w:val="-1"/>
                <w:sz w:val="18"/>
              </w:rPr>
              <w:t>132,980,990.76</w:t>
            </w:r>
          </w:p>
        </w:tc>
        <w:tc>
          <w:tcPr>
            <w:tcW w:w="1144" w:type="dxa"/>
            <w:tcBorders>
              <w:top w:val="single" w:sz="4" w:space="0" w:color="000000"/>
              <w:left w:val="nil" w:sz="6" w:space="0" w:color="auto"/>
              <w:bottom w:val="single" w:sz="4" w:space="0" w:color="000000"/>
              <w:right w:val="nil" w:sz="6" w:space="0" w:color="auto"/>
            </w:tcBorders>
          </w:tcPr>
          <w:p>
            <w:pPr>
              <w:pStyle w:val="TableParagraph"/>
              <w:spacing w:line="220" w:lineRule="exact"/>
              <w:ind w:right="104"/>
              <w:jc w:val="right"/>
              <w:rPr>
                <w:rFonts w:ascii="宋体" w:hAnsi="宋体" w:cs="宋体" w:eastAsia="宋体" w:hint="default"/>
                <w:sz w:val="18"/>
                <w:szCs w:val="18"/>
              </w:rPr>
            </w:pPr>
            <w:r>
              <w:rPr>
                <w:rFonts w:ascii="宋体"/>
                <w:sz w:val="18"/>
              </w:rPr>
              <w:t>-</w:t>
            </w:r>
          </w:p>
        </w:tc>
        <w:tc>
          <w:tcPr>
            <w:tcW w:w="62" w:type="dxa"/>
            <w:tcBorders>
              <w:top w:val="nil" w:sz="6" w:space="0" w:color="auto"/>
              <w:left w:val="nil" w:sz="6" w:space="0" w:color="auto"/>
              <w:bottom w:val="nil" w:sz="6" w:space="0" w:color="auto"/>
              <w:right w:val="nil" w:sz="6" w:space="0" w:color="auto"/>
            </w:tcBorders>
          </w:tcPr>
          <w:p>
            <w:pPr/>
          </w:p>
        </w:tc>
        <w:tc>
          <w:tcPr>
            <w:tcW w:w="1418" w:type="dxa"/>
            <w:tcBorders>
              <w:top w:val="single" w:sz="4" w:space="0" w:color="000000"/>
              <w:left w:val="nil" w:sz="6" w:space="0" w:color="auto"/>
              <w:bottom w:val="single" w:sz="4" w:space="0" w:color="000000"/>
              <w:right w:val="nil" w:sz="6" w:space="0" w:color="auto"/>
            </w:tcBorders>
          </w:tcPr>
          <w:p>
            <w:pPr>
              <w:pStyle w:val="TableParagraph"/>
              <w:spacing w:line="220" w:lineRule="exact"/>
              <w:ind w:right="25"/>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1226" w:type="dxa"/>
            <w:tcBorders>
              <w:top w:val="single" w:sz="4" w:space="0" w:color="000000"/>
              <w:left w:val="nil" w:sz="6" w:space="0" w:color="auto"/>
              <w:bottom w:val="single" w:sz="4" w:space="0" w:color="000000"/>
              <w:right w:val="nil" w:sz="6" w:space="0" w:color="auto"/>
            </w:tcBorders>
          </w:tcPr>
          <w:p>
            <w:pPr>
              <w:pStyle w:val="TableParagraph"/>
              <w:spacing w:line="220" w:lineRule="exact"/>
              <w:ind w:right="23"/>
              <w:jc w:val="right"/>
              <w:rPr>
                <w:rFonts w:ascii="宋体" w:hAnsi="宋体" w:cs="宋体" w:eastAsia="宋体" w:hint="default"/>
                <w:sz w:val="18"/>
                <w:szCs w:val="18"/>
              </w:rPr>
            </w:pPr>
            <w:r>
              <w:rPr>
                <w:rFonts w:ascii="宋体"/>
                <w:spacing w:val="-1"/>
                <w:sz w:val="18"/>
              </w:rPr>
              <w:t>9,498,391.39</w:t>
            </w:r>
          </w:p>
        </w:tc>
        <w:tc>
          <w:tcPr>
            <w:tcW w:w="142" w:type="dxa"/>
            <w:tcBorders>
              <w:top w:val="nil" w:sz="6" w:space="0" w:color="auto"/>
              <w:left w:val="nil" w:sz="6" w:space="0" w:color="auto"/>
              <w:bottom w:val="nil" w:sz="6" w:space="0" w:color="auto"/>
              <w:right w:val="nil" w:sz="6" w:space="0" w:color="auto"/>
            </w:tcBorders>
          </w:tcPr>
          <w:p>
            <w:pPr/>
          </w:p>
        </w:tc>
        <w:tc>
          <w:tcPr>
            <w:tcW w:w="1270" w:type="dxa"/>
            <w:tcBorders>
              <w:top w:val="single" w:sz="4" w:space="0" w:color="000000"/>
              <w:left w:val="nil" w:sz="6" w:space="0" w:color="auto"/>
              <w:bottom w:val="single" w:sz="4" w:space="0" w:color="000000"/>
              <w:right w:val="nil" w:sz="6" w:space="0" w:color="auto"/>
            </w:tcBorders>
          </w:tcPr>
          <w:p>
            <w:pPr>
              <w:pStyle w:val="TableParagraph"/>
              <w:spacing w:line="220" w:lineRule="exact"/>
              <w:ind w:right="25"/>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1411" w:type="dxa"/>
            <w:tcBorders>
              <w:top w:val="single" w:sz="4" w:space="0" w:color="000000"/>
              <w:left w:val="nil" w:sz="6" w:space="0" w:color="auto"/>
              <w:bottom w:val="single" w:sz="4" w:space="0" w:color="000000"/>
              <w:right w:val="nil" w:sz="6" w:space="0" w:color="auto"/>
            </w:tcBorders>
          </w:tcPr>
          <w:p>
            <w:pPr>
              <w:pStyle w:val="TableParagraph"/>
              <w:spacing w:line="220" w:lineRule="exact"/>
              <w:ind w:right="21"/>
              <w:jc w:val="right"/>
              <w:rPr>
                <w:rFonts w:ascii="宋体" w:hAnsi="宋体" w:cs="宋体" w:eastAsia="宋体" w:hint="default"/>
                <w:sz w:val="18"/>
                <w:szCs w:val="18"/>
              </w:rPr>
            </w:pPr>
            <w:r>
              <w:rPr>
                <w:rFonts w:ascii="宋体"/>
                <w:spacing w:val="-1"/>
                <w:sz w:val="18"/>
              </w:rPr>
              <w:t>60,885,522.51</w:t>
            </w:r>
            <w:r>
              <w:rPr>
                <w:rFonts w:ascii="宋体"/>
                <w:sz w:val="18"/>
              </w:rPr>
            </w:r>
          </w:p>
        </w:tc>
        <w:tc>
          <w:tcPr>
            <w:tcW w:w="146" w:type="dxa"/>
            <w:tcBorders>
              <w:top w:val="nil" w:sz="6" w:space="0" w:color="auto"/>
              <w:left w:val="nil" w:sz="6" w:space="0" w:color="auto"/>
              <w:bottom w:val="nil" w:sz="6" w:space="0" w:color="auto"/>
              <w:right w:val="nil" w:sz="6" w:space="0" w:color="auto"/>
            </w:tcBorders>
          </w:tcPr>
          <w:p>
            <w:pPr/>
          </w:p>
        </w:tc>
        <w:tc>
          <w:tcPr>
            <w:tcW w:w="1558" w:type="dxa"/>
            <w:tcBorders>
              <w:top w:val="single" w:sz="4" w:space="0" w:color="000000"/>
              <w:left w:val="nil" w:sz="6" w:space="0" w:color="auto"/>
              <w:bottom w:val="single" w:sz="4" w:space="0" w:color="000000"/>
              <w:right w:val="nil" w:sz="6" w:space="0" w:color="auto"/>
            </w:tcBorders>
          </w:tcPr>
          <w:p>
            <w:pPr>
              <w:pStyle w:val="TableParagraph"/>
              <w:spacing w:line="220" w:lineRule="exact"/>
              <w:ind w:right="23"/>
              <w:jc w:val="right"/>
              <w:rPr>
                <w:rFonts w:ascii="宋体" w:hAnsi="宋体" w:cs="宋体" w:eastAsia="宋体" w:hint="default"/>
                <w:sz w:val="18"/>
                <w:szCs w:val="18"/>
              </w:rPr>
            </w:pPr>
            <w:r>
              <w:rPr>
                <w:rFonts w:ascii="宋体"/>
                <w:spacing w:val="-1"/>
                <w:sz w:val="18"/>
              </w:rPr>
              <w:t>291,364,904.66</w:t>
            </w:r>
          </w:p>
        </w:tc>
      </w:tr>
      <w:tr>
        <w:trPr>
          <w:trHeight w:val="268" w:hRule="exact"/>
        </w:trPr>
        <w:tc>
          <w:tcPr>
            <w:tcW w:w="108" w:type="dxa"/>
            <w:tcBorders>
              <w:top w:val="nil" w:sz="6" w:space="0" w:color="auto"/>
              <w:left w:val="nil" w:sz="6" w:space="0" w:color="auto"/>
              <w:bottom w:val="nil" w:sz="6" w:space="0" w:color="auto"/>
              <w:right w:val="nil" w:sz="6" w:space="0" w:color="auto"/>
            </w:tcBorders>
          </w:tcPr>
          <w:p>
            <w:pPr/>
          </w:p>
        </w:tc>
        <w:tc>
          <w:tcPr>
            <w:tcW w:w="3036" w:type="dxa"/>
            <w:tcBorders>
              <w:top w:val="nil" w:sz="6" w:space="0" w:color="auto"/>
              <w:left w:val="nil" w:sz="6" w:space="0" w:color="auto"/>
              <w:bottom w:val="nil" w:sz="6" w:space="0" w:color="auto"/>
              <w:right w:val="nil" w:sz="6" w:space="0" w:color="auto"/>
            </w:tcBorders>
          </w:tcPr>
          <w:p>
            <w:pPr>
              <w:pStyle w:val="TableParagraph"/>
              <w:spacing w:line="232" w:lineRule="exact"/>
              <w:ind w:left="28"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2683" w:type="dxa"/>
            <w:tcBorders>
              <w:top w:val="single" w:sz="4" w:space="0" w:color="000000"/>
              <w:left w:val="nil" w:sz="6" w:space="0" w:color="auto"/>
              <w:bottom w:val="nil" w:sz="6" w:space="0" w:color="auto"/>
              <w:right w:val="nil" w:sz="6" w:space="0" w:color="auto"/>
            </w:tcBorders>
          </w:tcPr>
          <w:p>
            <w:pPr>
              <w:pStyle w:val="TableParagraph"/>
              <w:spacing w:line="220" w:lineRule="exact"/>
              <w:ind w:right="265"/>
              <w:jc w:val="right"/>
              <w:rPr>
                <w:rFonts w:ascii="宋体" w:hAnsi="宋体" w:cs="宋体" w:eastAsia="宋体" w:hint="default"/>
                <w:sz w:val="18"/>
                <w:szCs w:val="18"/>
              </w:rPr>
            </w:pPr>
            <w:r>
              <w:rPr>
                <w:rFonts w:ascii="宋体"/>
                <w:sz w:val="18"/>
              </w:rPr>
              <w:t>-</w:t>
            </w:r>
          </w:p>
        </w:tc>
        <w:tc>
          <w:tcPr>
            <w:tcW w:w="1609" w:type="dxa"/>
            <w:tcBorders>
              <w:top w:val="single" w:sz="4" w:space="0" w:color="000000"/>
              <w:left w:val="nil" w:sz="6" w:space="0" w:color="auto"/>
              <w:bottom w:val="nil" w:sz="6" w:space="0" w:color="auto"/>
              <w:right w:val="nil" w:sz="6" w:space="0" w:color="auto"/>
            </w:tcBorders>
          </w:tcPr>
          <w:p>
            <w:pPr>
              <w:pStyle w:val="TableParagraph"/>
              <w:spacing w:line="220" w:lineRule="exact"/>
              <w:ind w:right="83"/>
              <w:jc w:val="right"/>
              <w:rPr>
                <w:rFonts w:ascii="宋体" w:hAnsi="宋体" w:cs="宋体" w:eastAsia="宋体" w:hint="default"/>
                <w:sz w:val="18"/>
                <w:szCs w:val="18"/>
              </w:rPr>
            </w:pPr>
            <w:r>
              <w:rPr>
                <w:rFonts w:ascii="宋体"/>
                <w:sz w:val="18"/>
              </w:rPr>
              <w:t>-</w:t>
            </w:r>
          </w:p>
        </w:tc>
        <w:tc>
          <w:tcPr>
            <w:tcW w:w="1144" w:type="dxa"/>
            <w:tcBorders>
              <w:top w:val="single" w:sz="4" w:space="0" w:color="000000"/>
              <w:left w:val="nil" w:sz="6" w:space="0" w:color="auto"/>
              <w:bottom w:val="nil" w:sz="6" w:space="0" w:color="auto"/>
              <w:right w:val="nil" w:sz="6" w:space="0" w:color="auto"/>
            </w:tcBorders>
          </w:tcPr>
          <w:p>
            <w:pPr>
              <w:pStyle w:val="TableParagraph"/>
              <w:spacing w:line="220" w:lineRule="exact"/>
              <w:ind w:right="104"/>
              <w:jc w:val="right"/>
              <w:rPr>
                <w:rFonts w:ascii="宋体" w:hAnsi="宋体" w:cs="宋体" w:eastAsia="宋体" w:hint="default"/>
                <w:sz w:val="18"/>
                <w:szCs w:val="18"/>
              </w:rPr>
            </w:pPr>
            <w:r>
              <w:rPr>
                <w:rFonts w:ascii="宋体"/>
                <w:sz w:val="18"/>
              </w:rPr>
              <w:t>-</w:t>
            </w:r>
          </w:p>
        </w:tc>
        <w:tc>
          <w:tcPr>
            <w:tcW w:w="62" w:type="dxa"/>
            <w:tcBorders>
              <w:top w:val="nil" w:sz="6" w:space="0" w:color="auto"/>
              <w:left w:val="nil" w:sz="6" w:space="0" w:color="auto"/>
              <w:bottom w:val="nil" w:sz="6" w:space="0" w:color="auto"/>
              <w:right w:val="nil" w:sz="6" w:space="0" w:color="auto"/>
            </w:tcBorders>
          </w:tcPr>
          <w:p>
            <w:pPr/>
          </w:p>
        </w:tc>
        <w:tc>
          <w:tcPr>
            <w:tcW w:w="1418" w:type="dxa"/>
            <w:tcBorders>
              <w:top w:val="single" w:sz="4" w:space="0" w:color="000000"/>
              <w:left w:val="nil" w:sz="6" w:space="0" w:color="auto"/>
              <w:bottom w:val="nil" w:sz="6" w:space="0" w:color="auto"/>
              <w:right w:val="nil" w:sz="6" w:space="0" w:color="auto"/>
            </w:tcBorders>
          </w:tcPr>
          <w:p>
            <w:pPr>
              <w:pStyle w:val="TableParagraph"/>
              <w:spacing w:line="220" w:lineRule="exact"/>
              <w:ind w:right="25"/>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1226" w:type="dxa"/>
            <w:tcBorders>
              <w:top w:val="single" w:sz="4" w:space="0" w:color="000000"/>
              <w:left w:val="nil" w:sz="6" w:space="0" w:color="auto"/>
              <w:bottom w:val="nil" w:sz="6" w:space="0" w:color="auto"/>
              <w:right w:val="nil" w:sz="6" w:space="0" w:color="auto"/>
            </w:tcBorders>
          </w:tcPr>
          <w:p>
            <w:pPr>
              <w:pStyle w:val="TableParagraph"/>
              <w:spacing w:line="220" w:lineRule="exact"/>
              <w:ind w:right="25"/>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1270" w:type="dxa"/>
            <w:tcBorders>
              <w:top w:val="single" w:sz="4" w:space="0" w:color="000000"/>
              <w:left w:val="nil" w:sz="6" w:space="0" w:color="auto"/>
              <w:bottom w:val="nil" w:sz="6" w:space="0" w:color="auto"/>
              <w:right w:val="nil" w:sz="6" w:space="0" w:color="auto"/>
            </w:tcBorders>
          </w:tcPr>
          <w:p>
            <w:pPr>
              <w:pStyle w:val="TableParagraph"/>
              <w:spacing w:line="220" w:lineRule="exact"/>
              <w:ind w:right="25"/>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1411" w:type="dxa"/>
            <w:tcBorders>
              <w:top w:val="single" w:sz="4" w:space="0" w:color="000000"/>
              <w:left w:val="nil" w:sz="6" w:space="0" w:color="auto"/>
              <w:bottom w:val="nil" w:sz="6" w:space="0" w:color="auto"/>
              <w:right w:val="nil" w:sz="6" w:space="0" w:color="auto"/>
            </w:tcBorders>
          </w:tcPr>
          <w:p>
            <w:pPr>
              <w:pStyle w:val="TableParagraph"/>
              <w:spacing w:line="220" w:lineRule="exact"/>
              <w:ind w:right="25"/>
              <w:jc w:val="right"/>
              <w:rPr>
                <w:rFonts w:ascii="宋体" w:hAnsi="宋体" w:cs="宋体" w:eastAsia="宋体" w:hint="default"/>
                <w:sz w:val="18"/>
                <w:szCs w:val="18"/>
              </w:rPr>
            </w:pPr>
            <w:r>
              <w:rPr>
                <w:rFonts w:ascii="宋体"/>
                <w:sz w:val="18"/>
              </w:rPr>
              <w:t>-</w:t>
            </w:r>
          </w:p>
        </w:tc>
        <w:tc>
          <w:tcPr>
            <w:tcW w:w="146" w:type="dxa"/>
            <w:tcBorders>
              <w:top w:val="nil" w:sz="6" w:space="0" w:color="auto"/>
              <w:left w:val="nil" w:sz="6" w:space="0" w:color="auto"/>
              <w:bottom w:val="nil" w:sz="6" w:space="0" w:color="auto"/>
              <w:right w:val="nil" w:sz="6" w:space="0" w:color="auto"/>
            </w:tcBorders>
          </w:tcPr>
          <w:p>
            <w:pPr/>
          </w:p>
        </w:tc>
        <w:tc>
          <w:tcPr>
            <w:tcW w:w="1558" w:type="dxa"/>
            <w:tcBorders>
              <w:top w:val="single" w:sz="4" w:space="0" w:color="000000"/>
              <w:left w:val="nil" w:sz="6" w:space="0" w:color="auto"/>
              <w:bottom w:val="nil" w:sz="6" w:space="0" w:color="auto"/>
              <w:right w:val="nil" w:sz="6" w:space="0" w:color="auto"/>
            </w:tcBorders>
          </w:tcPr>
          <w:p>
            <w:pPr>
              <w:pStyle w:val="TableParagraph"/>
              <w:spacing w:line="220" w:lineRule="exact"/>
              <w:ind w:right="25"/>
              <w:jc w:val="right"/>
              <w:rPr>
                <w:rFonts w:ascii="宋体" w:hAnsi="宋体" w:cs="宋体" w:eastAsia="宋体" w:hint="default"/>
                <w:sz w:val="18"/>
                <w:szCs w:val="18"/>
              </w:rPr>
            </w:pPr>
            <w:r>
              <w:rPr>
                <w:rFonts w:ascii="宋体"/>
                <w:sz w:val="18"/>
              </w:rPr>
              <w:t>-</w:t>
            </w:r>
          </w:p>
        </w:tc>
      </w:tr>
      <w:tr>
        <w:trPr>
          <w:trHeight w:val="260" w:hRule="exact"/>
        </w:trPr>
        <w:tc>
          <w:tcPr>
            <w:tcW w:w="108" w:type="dxa"/>
            <w:tcBorders>
              <w:top w:val="nil" w:sz="6" w:space="0" w:color="auto"/>
              <w:left w:val="nil" w:sz="6" w:space="0" w:color="auto"/>
              <w:bottom w:val="nil" w:sz="6" w:space="0" w:color="auto"/>
              <w:right w:val="nil" w:sz="6" w:space="0" w:color="auto"/>
            </w:tcBorders>
          </w:tcPr>
          <w:p>
            <w:pPr/>
          </w:p>
        </w:tc>
        <w:tc>
          <w:tcPr>
            <w:tcW w:w="3036" w:type="dxa"/>
            <w:tcBorders>
              <w:top w:val="nil" w:sz="6" w:space="0" w:color="auto"/>
              <w:left w:val="nil" w:sz="6" w:space="0" w:color="auto"/>
              <w:bottom w:val="nil" w:sz="6" w:space="0" w:color="auto"/>
              <w:right w:val="nil" w:sz="6" w:space="0" w:color="auto"/>
            </w:tcBorders>
          </w:tcPr>
          <w:p>
            <w:pPr>
              <w:pStyle w:val="TableParagraph"/>
              <w:spacing w:line="226" w:lineRule="exact"/>
              <w:ind w:left="39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2683" w:type="dxa"/>
            <w:tcBorders>
              <w:top w:val="nil" w:sz="6" w:space="0" w:color="auto"/>
              <w:left w:val="nil" w:sz="6" w:space="0" w:color="auto"/>
              <w:bottom w:val="nil" w:sz="6" w:space="0" w:color="auto"/>
              <w:right w:val="nil" w:sz="6" w:space="0" w:color="auto"/>
            </w:tcBorders>
          </w:tcPr>
          <w:p>
            <w:pPr>
              <w:pStyle w:val="TableParagraph"/>
              <w:spacing w:line="216" w:lineRule="exact"/>
              <w:ind w:right="265"/>
              <w:jc w:val="right"/>
              <w:rPr>
                <w:rFonts w:ascii="宋体" w:hAnsi="宋体" w:cs="宋体" w:eastAsia="宋体" w:hint="default"/>
                <w:sz w:val="18"/>
                <w:szCs w:val="18"/>
              </w:rPr>
            </w:pPr>
            <w:r>
              <w:rPr>
                <w:rFonts w:ascii="宋体"/>
                <w:sz w:val="18"/>
              </w:rPr>
              <w:t>-</w:t>
            </w:r>
          </w:p>
        </w:tc>
        <w:tc>
          <w:tcPr>
            <w:tcW w:w="1609" w:type="dxa"/>
            <w:tcBorders>
              <w:top w:val="nil" w:sz="6" w:space="0" w:color="auto"/>
              <w:left w:val="nil" w:sz="6" w:space="0" w:color="auto"/>
              <w:bottom w:val="nil" w:sz="6" w:space="0" w:color="auto"/>
              <w:right w:val="nil" w:sz="6" w:space="0" w:color="auto"/>
            </w:tcBorders>
          </w:tcPr>
          <w:p>
            <w:pPr>
              <w:pStyle w:val="TableParagraph"/>
              <w:spacing w:line="216" w:lineRule="exact"/>
              <w:ind w:right="83"/>
              <w:jc w:val="right"/>
              <w:rPr>
                <w:rFonts w:ascii="宋体" w:hAnsi="宋体" w:cs="宋体" w:eastAsia="宋体" w:hint="default"/>
                <w:sz w:val="18"/>
                <w:szCs w:val="18"/>
              </w:rPr>
            </w:pPr>
            <w:r>
              <w:rPr>
                <w:rFonts w:ascii="宋体"/>
                <w:sz w:val="18"/>
              </w:rPr>
              <w:t>-</w:t>
            </w:r>
          </w:p>
        </w:tc>
        <w:tc>
          <w:tcPr>
            <w:tcW w:w="1144" w:type="dxa"/>
            <w:tcBorders>
              <w:top w:val="nil" w:sz="6" w:space="0" w:color="auto"/>
              <w:left w:val="nil" w:sz="6" w:space="0" w:color="auto"/>
              <w:bottom w:val="nil" w:sz="6" w:space="0" w:color="auto"/>
              <w:right w:val="nil" w:sz="6" w:space="0" w:color="auto"/>
            </w:tcBorders>
          </w:tcPr>
          <w:p>
            <w:pPr>
              <w:pStyle w:val="TableParagraph"/>
              <w:spacing w:line="216" w:lineRule="exact"/>
              <w:ind w:right="104"/>
              <w:jc w:val="right"/>
              <w:rPr>
                <w:rFonts w:ascii="宋体" w:hAnsi="宋体" w:cs="宋体" w:eastAsia="宋体" w:hint="default"/>
                <w:sz w:val="18"/>
                <w:szCs w:val="18"/>
              </w:rPr>
            </w:pPr>
            <w:r>
              <w:rPr>
                <w:rFonts w:ascii="宋体"/>
                <w:sz w:val="18"/>
              </w:rPr>
              <w:t>-</w:t>
            </w:r>
          </w:p>
        </w:tc>
        <w:tc>
          <w:tcPr>
            <w:tcW w:w="62"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16" w:lineRule="exact"/>
              <w:ind w:right="25"/>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1226" w:type="dxa"/>
            <w:tcBorders>
              <w:top w:val="nil" w:sz="6" w:space="0" w:color="auto"/>
              <w:left w:val="nil" w:sz="6" w:space="0" w:color="auto"/>
              <w:bottom w:val="nil" w:sz="6" w:space="0" w:color="auto"/>
              <w:right w:val="nil" w:sz="6" w:space="0" w:color="auto"/>
            </w:tcBorders>
          </w:tcPr>
          <w:p>
            <w:pPr>
              <w:pStyle w:val="TableParagraph"/>
              <w:spacing w:line="216" w:lineRule="exact"/>
              <w:ind w:right="25"/>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nil" w:sz="6" w:space="0" w:color="auto"/>
              <w:right w:val="nil" w:sz="6" w:space="0" w:color="auto"/>
            </w:tcBorders>
          </w:tcPr>
          <w:p>
            <w:pPr>
              <w:pStyle w:val="TableParagraph"/>
              <w:spacing w:line="216" w:lineRule="exact"/>
              <w:ind w:right="25"/>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1411" w:type="dxa"/>
            <w:tcBorders>
              <w:top w:val="nil" w:sz="6" w:space="0" w:color="auto"/>
              <w:left w:val="nil" w:sz="6" w:space="0" w:color="auto"/>
              <w:bottom w:val="nil" w:sz="6" w:space="0" w:color="auto"/>
              <w:right w:val="nil" w:sz="6" w:space="0" w:color="auto"/>
            </w:tcBorders>
          </w:tcPr>
          <w:p>
            <w:pPr>
              <w:pStyle w:val="TableParagraph"/>
              <w:spacing w:line="216" w:lineRule="exact"/>
              <w:ind w:right="25"/>
              <w:jc w:val="right"/>
              <w:rPr>
                <w:rFonts w:ascii="宋体" w:hAnsi="宋体" w:cs="宋体" w:eastAsia="宋体" w:hint="default"/>
                <w:sz w:val="18"/>
                <w:szCs w:val="18"/>
              </w:rPr>
            </w:pPr>
            <w:r>
              <w:rPr>
                <w:rFonts w:ascii="宋体"/>
                <w:sz w:val="18"/>
              </w:rPr>
              <w:t>-</w:t>
            </w:r>
          </w:p>
        </w:tc>
        <w:tc>
          <w:tcPr>
            <w:tcW w:w="146"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Style w:val="TableParagraph"/>
              <w:spacing w:line="216" w:lineRule="exact"/>
              <w:ind w:right="25"/>
              <w:jc w:val="right"/>
              <w:rPr>
                <w:rFonts w:ascii="宋体" w:hAnsi="宋体" w:cs="宋体" w:eastAsia="宋体" w:hint="default"/>
                <w:sz w:val="18"/>
                <w:szCs w:val="18"/>
              </w:rPr>
            </w:pPr>
            <w:r>
              <w:rPr>
                <w:rFonts w:ascii="宋体"/>
                <w:sz w:val="18"/>
              </w:rPr>
              <w:t>-</w:t>
            </w:r>
          </w:p>
        </w:tc>
      </w:tr>
      <w:tr>
        <w:trPr>
          <w:trHeight w:val="261" w:hRule="exact"/>
        </w:trPr>
        <w:tc>
          <w:tcPr>
            <w:tcW w:w="108" w:type="dxa"/>
            <w:tcBorders>
              <w:top w:val="nil" w:sz="6" w:space="0" w:color="auto"/>
              <w:left w:val="nil" w:sz="6" w:space="0" w:color="auto"/>
              <w:bottom w:val="nil" w:sz="6" w:space="0" w:color="auto"/>
              <w:right w:val="nil" w:sz="6" w:space="0" w:color="auto"/>
            </w:tcBorders>
          </w:tcPr>
          <w:p>
            <w:pPr/>
          </w:p>
        </w:tc>
        <w:tc>
          <w:tcPr>
            <w:tcW w:w="3036" w:type="dxa"/>
            <w:tcBorders>
              <w:top w:val="nil" w:sz="6" w:space="0" w:color="auto"/>
              <w:left w:val="nil" w:sz="6" w:space="0" w:color="auto"/>
              <w:bottom w:val="nil" w:sz="6" w:space="0" w:color="auto"/>
              <w:right w:val="nil" w:sz="6" w:space="0" w:color="auto"/>
            </w:tcBorders>
          </w:tcPr>
          <w:p>
            <w:pPr>
              <w:pStyle w:val="TableParagraph"/>
              <w:spacing w:line="224" w:lineRule="exact"/>
              <w:ind w:left="28" w:right="0"/>
              <w:jc w:val="left"/>
              <w:rPr>
                <w:rFonts w:ascii="宋体" w:hAnsi="宋体" w:cs="宋体" w:eastAsia="宋体" w:hint="default"/>
                <w:sz w:val="18"/>
                <w:szCs w:val="18"/>
              </w:rPr>
            </w:pPr>
            <w:r>
              <w:rPr>
                <w:rFonts w:ascii="宋体" w:hAnsi="宋体" w:cs="宋体" w:eastAsia="宋体" w:hint="default"/>
                <w:b/>
                <w:bCs/>
                <w:sz w:val="18"/>
                <w:szCs w:val="18"/>
              </w:rPr>
              <w:t>二、本年年初余额</w:t>
            </w:r>
            <w:r>
              <w:rPr>
                <w:rFonts w:ascii="宋体" w:hAnsi="宋体" w:cs="宋体" w:eastAsia="宋体" w:hint="default"/>
                <w:sz w:val="18"/>
                <w:szCs w:val="18"/>
              </w:rPr>
            </w:r>
          </w:p>
        </w:tc>
        <w:tc>
          <w:tcPr>
            <w:tcW w:w="2683" w:type="dxa"/>
            <w:tcBorders>
              <w:top w:val="nil" w:sz="6" w:space="0" w:color="auto"/>
              <w:left w:val="nil" w:sz="6" w:space="0" w:color="auto"/>
              <w:bottom w:val="single" w:sz="4" w:space="0" w:color="000000"/>
              <w:right w:val="nil" w:sz="6" w:space="0" w:color="auto"/>
            </w:tcBorders>
          </w:tcPr>
          <w:p>
            <w:pPr>
              <w:pStyle w:val="TableParagraph"/>
              <w:spacing w:line="215" w:lineRule="exact"/>
              <w:ind w:right="261"/>
              <w:jc w:val="right"/>
              <w:rPr>
                <w:rFonts w:ascii="宋体" w:hAnsi="宋体" w:cs="宋体" w:eastAsia="宋体" w:hint="default"/>
                <w:sz w:val="18"/>
                <w:szCs w:val="18"/>
              </w:rPr>
            </w:pPr>
            <w:r>
              <w:rPr>
                <w:rFonts w:ascii="宋体"/>
                <w:spacing w:val="-1"/>
                <w:sz w:val="18"/>
              </w:rPr>
              <w:t>88,000,000.00</w:t>
            </w:r>
            <w:r>
              <w:rPr>
                <w:rFonts w:ascii="宋体"/>
                <w:sz w:val="18"/>
              </w:rPr>
            </w:r>
          </w:p>
        </w:tc>
        <w:tc>
          <w:tcPr>
            <w:tcW w:w="1609" w:type="dxa"/>
            <w:tcBorders>
              <w:top w:val="nil" w:sz="6" w:space="0" w:color="auto"/>
              <w:left w:val="nil" w:sz="6" w:space="0" w:color="auto"/>
              <w:bottom w:val="single" w:sz="4" w:space="0" w:color="000000"/>
              <w:right w:val="nil" w:sz="6" w:space="0" w:color="auto"/>
            </w:tcBorders>
          </w:tcPr>
          <w:p>
            <w:pPr>
              <w:pStyle w:val="TableParagraph"/>
              <w:spacing w:line="215" w:lineRule="exact"/>
              <w:ind w:right="82"/>
              <w:jc w:val="right"/>
              <w:rPr>
                <w:rFonts w:ascii="宋体" w:hAnsi="宋体" w:cs="宋体" w:eastAsia="宋体" w:hint="default"/>
                <w:sz w:val="18"/>
                <w:szCs w:val="18"/>
              </w:rPr>
            </w:pPr>
            <w:r>
              <w:rPr>
                <w:rFonts w:ascii="宋体"/>
                <w:spacing w:val="-1"/>
                <w:sz w:val="18"/>
              </w:rPr>
              <w:t>132,980,990.76</w:t>
            </w:r>
            <w:r>
              <w:rPr>
                <w:rFonts w:ascii="宋体"/>
                <w:sz w:val="18"/>
              </w:rPr>
            </w:r>
          </w:p>
        </w:tc>
        <w:tc>
          <w:tcPr>
            <w:tcW w:w="1144" w:type="dxa"/>
            <w:tcBorders>
              <w:top w:val="nil" w:sz="6" w:space="0" w:color="auto"/>
              <w:left w:val="nil" w:sz="6" w:space="0" w:color="auto"/>
              <w:bottom w:val="single" w:sz="4" w:space="0" w:color="000000"/>
              <w:right w:val="nil" w:sz="6" w:space="0" w:color="auto"/>
            </w:tcBorders>
          </w:tcPr>
          <w:p>
            <w:pPr>
              <w:pStyle w:val="TableParagraph"/>
              <w:spacing w:line="215" w:lineRule="exact"/>
              <w:ind w:right="104"/>
              <w:jc w:val="right"/>
              <w:rPr>
                <w:rFonts w:ascii="宋体" w:hAnsi="宋体" w:cs="宋体" w:eastAsia="宋体" w:hint="default"/>
                <w:sz w:val="18"/>
                <w:szCs w:val="18"/>
              </w:rPr>
            </w:pPr>
            <w:r>
              <w:rPr>
                <w:rFonts w:ascii="宋体"/>
                <w:sz w:val="18"/>
              </w:rPr>
              <w:t>-</w:t>
            </w:r>
          </w:p>
        </w:tc>
        <w:tc>
          <w:tcPr>
            <w:tcW w:w="62"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single" w:sz="4" w:space="0" w:color="000000"/>
              <w:right w:val="nil" w:sz="6" w:space="0" w:color="auto"/>
            </w:tcBorders>
          </w:tcPr>
          <w:p>
            <w:pPr>
              <w:pStyle w:val="TableParagraph"/>
              <w:spacing w:line="215" w:lineRule="exact"/>
              <w:ind w:right="25"/>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1226" w:type="dxa"/>
            <w:tcBorders>
              <w:top w:val="nil" w:sz="6" w:space="0" w:color="auto"/>
              <w:left w:val="nil" w:sz="6" w:space="0" w:color="auto"/>
              <w:bottom w:val="single" w:sz="4" w:space="0" w:color="000000"/>
              <w:right w:val="nil" w:sz="6" w:space="0" w:color="auto"/>
            </w:tcBorders>
          </w:tcPr>
          <w:p>
            <w:pPr>
              <w:pStyle w:val="TableParagraph"/>
              <w:spacing w:line="215" w:lineRule="exact"/>
              <w:ind w:right="23"/>
              <w:jc w:val="right"/>
              <w:rPr>
                <w:rFonts w:ascii="宋体" w:hAnsi="宋体" w:cs="宋体" w:eastAsia="宋体" w:hint="default"/>
                <w:sz w:val="18"/>
                <w:szCs w:val="18"/>
              </w:rPr>
            </w:pPr>
            <w:r>
              <w:rPr>
                <w:rFonts w:ascii="宋体"/>
                <w:spacing w:val="-1"/>
                <w:sz w:val="18"/>
              </w:rPr>
              <w:t>9,498,391.39</w:t>
            </w:r>
          </w:p>
        </w:tc>
        <w:tc>
          <w:tcPr>
            <w:tcW w:w="142"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single" w:sz="4" w:space="0" w:color="000000"/>
              <w:right w:val="nil" w:sz="6" w:space="0" w:color="auto"/>
            </w:tcBorders>
          </w:tcPr>
          <w:p>
            <w:pPr>
              <w:pStyle w:val="TableParagraph"/>
              <w:spacing w:line="215" w:lineRule="exact"/>
              <w:ind w:right="25"/>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1411" w:type="dxa"/>
            <w:tcBorders>
              <w:top w:val="nil" w:sz="6" w:space="0" w:color="auto"/>
              <w:left w:val="nil" w:sz="6" w:space="0" w:color="auto"/>
              <w:bottom w:val="single" w:sz="4" w:space="0" w:color="000000"/>
              <w:right w:val="nil" w:sz="6" w:space="0" w:color="auto"/>
            </w:tcBorders>
          </w:tcPr>
          <w:p>
            <w:pPr>
              <w:pStyle w:val="TableParagraph"/>
              <w:spacing w:line="215" w:lineRule="exact"/>
              <w:ind w:right="21"/>
              <w:jc w:val="right"/>
              <w:rPr>
                <w:rFonts w:ascii="宋体" w:hAnsi="宋体" w:cs="宋体" w:eastAsia="宋体" w:hint="default"/>
                <w:sz w:val="18"/>
                <w:szCs w:val="18"/>
              </w:rPr>
            </w:pPr>
            <w:r>
              <w:rPr>
                <w:rFonts w:ascii="宋体"/>
                <w:spacing w:val="-1"/>
                <w:sz w:val="18"/>
              </w:rPr>
              <w:t>60,885,522.51</w:t>
            </w:r>
            <w:r>
              <w:rPr>
                <w:rFonts w:ascii="宋体"/>
                <w:sz w:val="18"/>
              </w:rPr>
            </w:r>
          </w:p>
        </w:tc>
        <w:tc>
          <w:tcPr>
            <w:tcW w:w="146"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single" w:sz="4" w:space="0" w:color="000000"/>
              <w:right w:val="nil" w:sz="6" w:space="0" w:color="auto"/>
            </w:tcBorders>
          </w:tcPr>
          <w:p>
            <w:pPr>
              <w:pStyle w:val="TableParagraph"/>
              <w:spacing w:line="215" w:lineRule="exact"/>
              <w:ind w:right="23"/>
              <w:jc w:val="right"/>
              <w:rPr>
                <w:rFonts w:ascii="宋体" w:hAnsi="宋体" w:cs="宋体" w:eastAsia="宋体" w:hint="default"/>
                <w:sz w:val="18"/>
                <w:szCs w:val="18"/>
              </w:rPr>
            </w:pPr>
            <w:r>
              <w:rPr>
                <w:rFonts w:ascii="宋体"/>
                <w:spacing w:val="-1"/>
                <w:sz w:val="18"/>
              </w:rPr>
              <w:t>291,364,904.66</w:t>
            </w:r>
          </w:p>
        </w:tc>
      </w:tr>
      <w:tr>
        <w:trPr>
          <w:trHeight w:val="271" w:hRule="exact"/>
        </w:trPr>
        <w:tc>
          <w:tcPr>
            <w:tcW w:w="108" w:type="dxa"/>
            <w:tcBorders>
              <w:top w:val="nil" w:sz="6" w:space="0" w:color="auto"/>
              <w:left w:val="nil" w:sz="6" w:space="0" w:color="auto"/>
              <w:bottom w:val="nil" w:sz="6" w:space="0" w:color="auto"/>
              <w:right w:val="nil" w:sz="6" w:space="0" w:color="auto"/>
            </w:tcBorders>
          </w:tcPr>
          <w:p>
            <w:pPr/>
          </w:p>
        </w:tc>
        <w:tc>
          <w:tcPr>
            <w:tcW w:w="3036" w:type="dxa"/>
            <w:tcBorders>
              <w:top w:val="nil" w:sz="6" w:space="0" w:color="auto"/>
              <w:left w:val="nil" w:sz="6" w:space="0" w:color="auto"/>
              <w:bottom w:val="nil" w:sz="6" w:space="0" w:color="auto"/>
              <w:right w:val="nil" w:sz="6" w:space="0" w:color="auto"/>
            </w:tcBorders>
          </w:tcPr>
          <w:p>
            <w:pPr>
              <w:pStyle w:val="TableParagraph"/>
              <w:spacing w:line="232" w:lineRule="exact"/>
              <w:ind w:left="28" w:right="0"/>
              <w:jc w:val="left"/>
              <w:rPr>
                <w:rFonts w:ascii="宋体" w:hAnsi="宋体" w:cs="宋体" w:eastAsia="宋体" w:hint="default"/>
                <w:sz w:val="18"/>
                <w:szCs w:val="18"/>
              </w:rPr>
            </w:pPr>
            <w:r>
              <w:rPr>
                <w:rFonts w:ascii="宋体" w:hAnsi="宋体" w:cs="宋体" w:eastAsia="宋体" w:hint="default"/>
                <w:b/>
                <w:bCs/>
                <w:sz w:val="18"/>
                <w:szCs w:val="18"/>
              </w:rPr>
              <w:t>三、本年增减变动金额</w:t>
            </w:r>
            <w:r>
              <w:rPr>
                <w:rFonts w:ascii="宋体" w:hAnsi="宋体" w:cs="宋体" w:eastAsia="宋体" w:hint="default"/>
                <w:sz w:val="18"/>
                <w:szCs w:val="18"/>
              </w:rPr>
            </w:r>
          </w:p>
        </w:tc>
        <w:tc>
          <w:tcPr>
            <w:tcW w:w="2683" w:type="dxa"/>
            <w:tcBorders>
              <w:top w:val="single" w:sz="4" w:space="0" w:color="000000"/>
              <w:left w:val="nil" w:sz="6" w:space="0" w:color="auto"/>
              <w:bottom w:val="single" w:sz="4" w:space="0" w:color="000000"/>
              <w:right w:val="nil" w:sz="6" w:space="0" w:color="auto"/>
            </w:tcBorders>
          </w:tcPr>
          <w:p>
            <w:pPr>
              <w:pStyle w:val="TableParagraph"/>
              <w:spacing w:line="220" w:lineRule="exact"/>
              <w:ind w:right="265"/>
              <w:jc w:val="right"/>
              <w:rPr>
                <w:rFonts w:ascii="宋体" w:hAnsi="宋体" w:cs="宋体" w:eastAsia="宋体" w:hint="default"/>
                <w:sz w:val="18"/>
                <w:szCs w:val="18"/>
              </w:rPr>
            </w:pPr>
            <w:r>
              <w:rPr>
                <w:rFonts w:ascii="宋体"/>
                <w:sz w:val="18"/>
              </w:rPr>
              <w:t>-</w:t>
            </w:r>
          </w:p>
        </w:tc>
        <w:tc>
          <w:tcPr>
            <w:tcW w:w="1609" w:type="dxa"/>
            <w:tcBorders>
              <w:top w:val="single" w:sz="4" w:space="0" w:color="000000"/>
              <w:left w:val="nil" w:sz="6" w:space="0" w:color="auto"/>
              <w:bottom w:val="single" w:sz="4" w:space="0" w:color="000000"/>
              <w:right w:val="nil" w:sz="6" w:space="0" w:color="auto"/>
            </w:tcBorders>
          </w:tcPr>
          <w:p>
            <w:pPr>
              <w:pStyle w:val="TableParagraph"/>
              <w:spacing w:line="220" w:lineRule="exact"/>
              <w:ind w:right="83"/>
              <w:jc w:val="right"/>
              <w:rPr>
                <w:rFonts w:ascii="宋体" w:hAnsi="宋体" w:cs="宋体" w:eastAsia="宋体" w:hint="default"/>
                <w:sz w:val="18"/>
                <w:szCs w:val="18"/>
              </w:rPr>
            </w:pPr>
            <w:r>
              <w:rPr>
                <w:rFonts w:ascii="宋体"/>
                <w:sz w:val="18"/>
              </w:rPr>
              <w:t>-</w:t>
            </w:r>
          </w:p>
        </w:tc>
        <w:tc>
          <w:tcPr>
            <w:tcW w:w="1144" w:type="dxa"/>
            <w:tcBorders>
              <w:top w:val="single" w:sz="4" w:space="0" w:color="000000"/>
              <w:left w:val="nil" w:sz="6" w:space="0" w:color="auto"/>
              <w:bottom w:val="single" w:sz="4" w:space="0" w:color="000000"/>
              <w:right w:val="nil" w:sz="6" w:space="0" w:color="auto"/>
            </w:tcBorders>
          </w:tcPr>
          <w:p>
            <w:pPr>
              <w:pStyle w:val="TableParagraph"/>
              <w:spacing w:line="220" w:lineRule="exact"/>
              <w:ind w:right="104"/>
              <w:jc w:val="right"/>
              <w:rPr>
                <w:rFonts w:ascii="宋体" w:hAnsi="宋体" w:cs="宋体" w:eastAsia="宋体" w:hint="default"/>
                <w:sz w:val="18"/>
                <w:szCs w:val="18"/>
              </w:rPr>
            </w:pPr>
            <w:r>
              <w:rPr>
                <w:rFonts w:ascii="宋体"/>
                <w:sz w:val="18"/>
              </w:rPr>
              <w:t>-</w:t>
            </w:r>
          </w:p>
        </w:tc>
        <w:tc>
          <w:tcPr>
            <w:tcW w:w="62" w:type="dxa"/>
            <w:tcBorders>
              <w:top w:val="nil" w:sz="6" w:space="0" w:color="auto"/>
              <w:left w:val="nil" w:sz="6" w:space="0" w:color="auto"/>
              <w:bottom w:val="nil" w:sz="6" w:space="0" w:color="auto"/>
              <w:right w:val="nil" w:sz="6" w:space="0" w:color="auto"/>
            </w:tcBorders>
          </w:tcPr>
          <w:p>
            <w:pPr/>
          </w:p>
        </w:tc>
        <w:tc>
          <w:tcPr>
            <w:tcW w:w="1418" w:type="dxa"/>
            <w:tcBorders>
              <w:top w:val="single" w:sz="4" w:space="0" w:color="000000"/>
              <w:left w:val="nil" w:sz="6" w:space="0" w:color="auto"/>
              <w:bottom w:val="single" w:sz="4" w:space="0" w:color="000000"/>
              <w:right w:val="nil" w:sz="6" w:space="0" w:color="auto"/>
            </w:tcBorders>
          </w:tcPr>
          <w:p>
            <w:pPr>
              <w:pStyle w:val="TableParagraph"/>
              <w:spacing w:line="220" w:lineRule="exact"/>
              <w:ind w:right="25"/>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1226" w:type="dxa"/>
            <w:tcBorders>
              <w:top w:val="single" w:sz="4" w:space="0" w:color="000000"/>
              <w:left w:val="nil" w:sz="6" w:space="0" w:color="auto"/>
              <w:bottom w:val="single" w:sz="4" w:space="0" w:color="000000"/>
              <w:right w:val="nil" w:sz="6" w:space="0" w:color="auto"/>
            </w:tcBorders>
          </w:tcPr>
          <w:p>
            <w:pPr>
              <w:pStyle w:val="TableParagraph"/>
              <w:spacing w:line="220" w:lineRule="exact"/>
              <w:ind w:right="23"/>
              <w:jc w:val="right"/>
              <w:rPr>
                <w:rFonts w:ascii="宋体" w:hAnsi="宋体" w:cs="宋体" w:eastAsia="宋体" w:hint="default"/>
                <w:sz w:val="18"/>
                <w:szCs w:val="18"/>
              </w:rPr>
            </w:pPr>
            <w:r>
              <w:rPr>
                <w:rFonts w:ascii="宋体"/>
                <w:spacing w:val="-1"/>
                <w:sz w:val="18"/>
              </w:rPr>
              <w:t>2,237,688.08</w:t>
            </w:r>
          </w:p>
        </w:tc>
        <w:tc>
          <w:tcPr>
            <w:tcW w:w="142" w:type="dxa"/>
            <w:tcBorders>
              <w:top w:val="nil" w:sz="6" w:space="0" w:color="auto"/>
              <w:left w:val="nil" w:sz="6" w:space="0" w:color="auto"/>
              <w:bottom w:val="nil" w:sz="6" w:space="0" w:color="auto"/>
              <w:right w:val="nil" w:sz="6" w:space="0" w:color="auto"/>
            </w:tcBorders>
          </w:tcPr>
          <w:p>
            <w:pPr/>
          </w:p>
        </w:tc>
        <w:tc>
          <w:tcPr>
            <w:tcW w:w="1270" w:type="dxa"/>
            <w:tcBorders>
              <w:top w:val="single" w:sz="4" w:space="0" w:color="000000"/>
              <w:left w:val="nil" w:sz="6" w:space="0" w:color="auto"/>
              <w:bottom w:val="single" w:sz="4" w:space="0" w:color="000000"/>
              <w:right w:val="nil" w:sz="6" w:space="0" w:color="auto"/>
            </w:tcBorders>
          </w:tcPr>
          <w:p>
            <w:pPr>
              <w:pStyle w:val="TableParagraph"/>
              <w:spacing w:line="220" w:lineRule="exact"/>
              <w:ind w:right="25"/>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1411" w:type="dxa"/>
            <w:tcBorders>
              <w:top w:val="single" w:sz="4" w:space="0" w:color="000000"/>
              <w:left w:val="nil" w:sz="6" w:space="0" w:color="auto"/>
              <w:bottom w:val="single" w:sz="4" w:space="0" w:color="000000"/>
              <w:right w:val="nil" w:sz="6" w:space="0" w:color="auto"/>
            </w:tcBorders>
          </w:tcPr>
          <w:p>
            <w:pPr>
              <w:pStyle w:val="TableParagraph"/>
              <w:spacing w:line="220" w:lineRule="exact"/>
              <w:ind w:right="21"/>
              <w:jc w:val="right"/>
              <w:rPr>
                <w:rFonts w:ascii="宋体" w:hAnsi="宋体" w:cs="宋体" w:eastAsia="宋体" w:hint="default"/>
                <w:sz w:val="18"/>
                <w:szCs w:val="18"/>
              </w:rPr>
            </w:pPr>
            <w:r>
              <w:rPr>
                <w:rFonts w:ascii="宋体"/>
                <w:spacing w:val="-1"/>
                <w:sz w:val="18"/>
              </w:rPr>
              <w:t>20,139,192.76</w:t>
            </w:r>
            <w:r>
              <w:rPr>
                <w:rFonts w:ascii="宋体"/>
                <w:sz w:val="18"/>
              </w:rPr>
            </w:r>
          </w:p>
        </w:tc>
        <w:tc>
          <w:tcPr>
            <w:tcW w:w="146" w:type="dxa"/>
            <w:tcBorders>
              <w:top w:val="nil" w:sz="6" w:space="0" w:color="auto"/>
              <w:left w:val="nil" w:sz="6" w:space="0" w:color="auto"/>
              <w:bottom w:val="nil" w:sz="6" w:space="0" w:color="auto"/>
              <w:right w:val="nil" w:sz="6" w:space="0" w:color="auto"/>
            </w:tcBorders>
          </w:tcPr>
          <w:p>
            <w:pPr/>
          </w:p>
        </w:tc>
        <w:tc>
          <w:tcPr>
            <w:tcW w:w="1558" w:type="dxa"/>
            <w:tcBorders>
              <w:top w:val="single" w:sz="4" w:space="0" w:color="000000"/>
              <w:left w:val="nil" w:sz="6" w:space="0" w:color="auto"/>
              <w:bottom w:val="single" w:sz="4" w:space="0" w:color="000000"/>
              <w:right w:val="nil" w:sz="6" w:space="0" w:color="auto"/>
            </w:tcBorders>
          </w:tcPr>
          <w:p>
            <w:pPr>
              <w:pStyle w:val="TableParagraph"/>
              <w:spacing w:line="220" w:lineRule="exact"/>
              <w:ind w:right="21"/>
              <w:jc w:val="right"/>
              <w:rPr>
                <w:rFonts w:ascii="宋体" w:hAnsi="宋体" w:cs="宋体" w:eastAsia="宋体" w:hint="default"/>
                <w:sz w:val="18"/>
                <w:szCs w:val="18"/>
              </w:rPr>
            </w:pPr>
            <w:r>
              <w:rPr>
                <w:rFonts w:ascii="宋体"/>
                <w:spacing w:val="-1"/>
                <w:sz w:val="18"/>
              </w:rPr>
              <w:t>22,376,880.84</w:t>
            </w:r>
            <w:r>
              <w:rPr>
                <w:rFonts w:ascii="宋体"/>
                <w:sz w:val="18"/>
              </w:rPr>
            </w:r>
          </w:p>
        </w:tc>
      </w:tr>
      <w:tr>
        <w:trPr>
          <w:trHeight w:val="268" w:hRule="exact"/>
        </w:trPr>
        <w:tc>
          <w:tcPr>
            <w:tcW w:w="108" w:type="dxa"/>
            <w:tcBorders>
              <w:top w:val="nil" w:sz="6" w:space="0" w:color="auto"/>
              <w:left w:val="nil" w:sz="6" w:space="0" w:color="auto"/>
              <w:bottom w:val="nil" w:sz="6" w:space="0" w:color="auto"/>
              <w:right w:val="nil" w:sz="6" w:space="0" w:color="auto"/>
            </w:tcBorders>
          </w:tcPr>
          <w:p>
            <w:pPr/>
          </w:p>
        </w:tc>
        <w:tc>
          <w:tcPr>
            <w:tcW w:w="3036" w:type="dxa"/>
            <w:tcBorders>
              <w:top w:val="nil" w:sz="6" w:space="0" w:color="auto"/>
              <w:left w:val="nil" w:sz="6" w:space="0" w:color="auto"/>
              <w:bottom w:val="nil" w:sz="6" w:space="0" w:color="auto"/>
              <w:right w:val="nil" w:sz="6" w:space="0" w:color="auto"/>
            </w:tcBorders>
          </w:tcPr>
          <w:p>
            <w:pPr>
              <w:pStyle w:val="TableParagraph"/>
              <w:spacing w:line="232" w:lineRule="exact"/>
              <w:ind w:left="28"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2683" w:type="dxa"/>
            <w:tcBorders>
              <w:top w:val="single" w:sz="4" w:space="0" w:color="000000"/>
              <w:left w:val="nil" w:sz="6" w:space="0" w:color="auto"/>
              <w:bottom w:val="nil" w:sz="6" w:space="0" w:color="auto"/>
              <w:right w:val="nil" w:sz="6" w:space="0" w:color="auto"/>
            </w:tcBorders>
          </w:tcPr>
          <w:p>
            <w:pPr>
              <w:pStyle w:val="TableParagraph"/>
              <w:spacing w:line="217" w:lineRule="exact"/>
              <w:ind w:right="265"/>
              <w:jc w:val="right"/>
              <w:rPr>
                <w:rFonts w:ascii="宋体" w:hAnsi="宋体" w:cs="宋体" w:eastAsia="宋体" w:hint="default"/>
                <w:sz w:val="18"/>
                <w:szCs w:val="18"/>
              </w:rPr>
            </w:pPr>
            <w:r>
              <w:rPr>
                <w:rFonts w:ascii="宋体"/>
                <w:sz w:val="18"/>
              </w:rPr>
              <w:t>-</w:t>
            </w:r>
          </w:p>
        </w:tc>
        <w:tc>
          <w:tcPr>
            <w:tcW w:w="1609" w:type="dxa"/>
            <w:tcBorders>
              <w:top w:val="single" w:sz="4" w:space="0" w:color="000000"/>
              <w:left w:val="nil" w:sz="6" w:space="0" w:color="auto"/>
              <w:bottom w:val="nil" w:sz="6" w:space="0" w:color="auto"/>
              <w:right w:val="nil" w:sz="6" w:space="0" w:color="auto"/>
            </w:tcBorders>
          </w:tcPr>
          <w:p>
            <w:pPr>
              <w:pStyle w:val="TableParagraph"/>
              <w:spacing w:line="217" w:lineRule="exact"/>
              <w:ind w:right="83"/>
              <w:jc w:val="right"/>
              <w:rPr>
                <w:rFonts w:ascii="宋体" w:hAnsi="宋体" w:cs="宋体" w:eastAsia="宋体" w:hint="default"/>
                <w:sz w:val="18"/>
                <w:szCs w:val="18"/>
              </w:rPr>
            </w:pPr>
            <w:r>
              <w:rPr>
                <w:rFonts w:ascii="宋体"/>
                <w:sz w:val="18"/>
              </w:rPr>
              <w:t>-</w:t>
            </w:r>
          </w:p>
        </w:tc>
        <w:tc>
          <w:tcPr>
            <w:tcW w:w="1144" w:type="dxa"/>
            <w:tcBorders>
              <w:top w:val="single" w:sz="4" w:space="0" w:color="000000"/>
              <w:left w:val="nil" w:sz="6" w:space="0" w:color="auto"/>
              <w:bottom w:val="nil" w:sz="6" w:space="0" w:color="auto"/>
              <w:right w:val="nil" w:sz="6" w:space="0" w:color="auto"/>
            </w:tcBorders>
          </w:tcPr>
          <w:p>
            <w:pPr>
              <w:pStyle w:val="TableParagraph"/>
              <w:spacing w:line="217" w:lineRule="exact"/>
              <w:ind w:right="104"/>
              <w:jc w:val="right"/>
              <w:rPr>
                <w:rFonts w:ascii="宋体" w:hAnsi="宋体" w:cs="宋体" w:eastAsia="宋体" w:hint="default"/>
                <w:sz w:val="18"/>
                <w:szCs w:val="18"/>
              </w:rPr>
            </w:pPr>
            <w:r>
              <w:rPr>
                <w:rFonts w:ascii="宋体"/>
                <w:sz w:val="18"/>
              </w:rPr>
              <w:t>-</w:t>
            </w:r>
          </w:p>
        </w:tc>
        <w:tc>
          <w:tcPr>
            <w:tcW w:w="62" w:type="dxa"/>
            <w:tcBorders>
              <w:top w:val="nil" w:sz="6" w:space="0" w:color="auto"/>
              <w:left w:val="nil" w:sz="6" w:space="0" w:color="auto"/>
              <w:bottom w:val="nil" w:sz="6" w:space="0" w:color="auto"/>
              <w:right w:val="nil" w:sz="6" w:space="0" w:color="auto"/>
            </w:tcBorders>
          </w:tcPr>
          <w:p>
            <w:pPr/>
          </w:p>
        </w:tc>
        <w:tc>
          <w:tcPr>
            <w:tcW w:w="1418" w:type="dxa"/>
            <w:tcBorders>
              <w:top w:val="single" w:sz="4" w:space="0" w:color="000000"/>
              <w:left w:val="nil" w:sz="6" w:space="0" w:color="auto"/>
              <w:bottom w:val="nil" w:sz="6" w:space="0" w:color="auto"/>
              <w:right w:val="nil" w:sz="6" w:space="0" w:color="auto"/>
            </w:tcBorders>
          </w:tcPr>
          <w:p>
            <w:pPr>
              <w:pStyle w:val="TableParagraph"/>
              <w:spacing w:line="217" w:lineRule="exact"/>
              <w:ind w:right="25"/>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1226" w:type="dxa"/>
            <w:tcBorders>
              <w:top w:val="single" w:sz="4" w:space="0" w:color="000000"/>
              <w:left w:val="nil" w:sz="6" w:space="0" w:color="auto"/>
              <w:bottom w:val="nil" w:sz="6" w:space="0" w:color="auto"/>
              <w:right w:val="nil" w:sz="6" w:space="0" w:color="auto"/>
            </w:tcBorders>
          </w:tcPr>
          <w:p>
            <w:pPr>
              <w:pStyle w:val="TableParagraph"/>
              <w:spacing w:line="217" w:lineRule="exact"/>
              <w:ind w:right="25"/>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1270" w:type="dxa"/>
            <w:tcBorders>
              <w:top w:val="single" w:sz="4" w:space="0" w:color="000000"/>
              <w:left w:val="nil" w:sz="6" w:space="0" w:color="auto"/>
              <w:bottom w:val="nil" w:sz="6" w:space="0" w:color="auto"/>
              <w:right w:val="nil" w:sz="6" w:space="0" w:color="auto"/>
            </w:tcBorders>
          </w:tcPr>
          <w:p>
            <w:pPr>
              <w:pStyle w:val="TableParagraph"/>
              <w:spacing w:line="217" w:lineRule="exact"/>
              <w:ind w:right="25"/>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1411" w:type="dxa"/>
            <w:tcBorders>
              <w:top w:val="single" w:sz="4" w:space="0" w:color="000000"/>
              <w:left w:val="nil" w:sz="6" w:space="0" w:color="auto"/>
              <w:bottom w:val="nil" w:sz="6" w:space="0" w:color="auto"/>
              <w:right w:val="nil" w:sz="6" w:space="0" w:color="auto"/>
            </w:tcBorders>
          </w:tcPr>
          <w:p>
            <w:pPr>
              <w:pStyle w:val="TableParagraph"/>
              <w:spacing w:line="217" w:lineRule="exact"/>
              <w:ind w:right="21"/>
              <w:jc w:val="right"/>
              <w:rPr>
                <w:rFonts w:ascii="宋体" w:hAnsi="宋体" w:cs="宋体" w:eastAsia="宋体" w:hint="default"/>
                <w:sz w:val="18"/>
                <w:szCs w:val="18"/>
              </w:rPr>
            </w:pPr>
            <w:r>
              <w:rPr>
                <w:rFonts w:ascii="宋体"/>
                <w:spacing w:val="-1"/>
                <w:sz w:val="18"/>
              </w:rPr>
              <w:t>22,376,880.84</w:t>
            </w:r>
            <w:r>
              <w:rPr>
                <w:rFonts w:ascii="宋体"/>
                <w:sz w:val="18"/>
              </w:rPr>
            </w:r>
          </w:p>
        </w:tc>
        <w:tc>
          <w:tcPr>
            <w:tcW w:w="146" w:type="dxa"/>
            <w:tcBorders>
              <w:top w:val="nil" w:sz="6" w:space="0" w:color="auto"/>
              <w:left w:val="nil" w:sz="6" w:space="0" w:color="auto"/>
              <w:bottom w:val="nil" w:sz="6" w:space="0" w:color="auto"/>
              <w:right w:val="nil" w:sz="6" w:space="0" w:color="auto"/>
            </w:tcBorders>
          </w:tcPr>
          <w:p>
            <w:pPr>
              <w:pStyle w:val="TableParagraph"/>
              <w:spacing w:line="222" w:lineRule="exact"/>
              <w:ind w:left="1" w:right="0"/>
              <w:jc w:val="center"/>
              <w:rPr>
                <w:rFonts w:ascii="宋体" w:hAnsi="宋体" w:cs="宋体" w:eastAsia="宋体" w:hint="default"/>
                <w:sz w:val="18"/>
                <w:szCs w:val="18"/>
              </w:rPr>
            </w:pPr>
            <w:r>
              <w:rPr>
                <w:rFonts w:ascii="宋体"/>
                <w:sz w:val="18"/>
              </w:rPr>
              <w:t>-</w:t>
            </w:r>
          </w:p>
        </w:tc>
        <w:tc>
          <w:tcPr>
            <w:tcW w:w="1558" w:type="dxa"/>
            <w:tcBorders>
              <w:top w:val="single" w:sz="4" w:space="0" w:color="000000"/>
              <w:left w:val="nil" w:sz="6" w:space="0" w:color="auto"/>
              <w:bottom w:val="nil" w:sz="6" w:space="0" w:color="auto"/>
              <w:right w:val="nil" w:sz="6" w:space="0" w:color="auto"/>
            </w:tcBorders>
          </w:tcPr>
          <w:p>
            <w:pPr>
              <w:pStyle w:val="TableParagraph"/>
              <w:spacing w:line="217" w:lineRule="exact"/>
              <w:ind w:right="21"/>
              <w:jc w:val="right"/>
              <w:rPr>
                <w:rFonts w:ascii="宋体" w:hAnsi="宋体" w:cs="宋体" w:eastAsia="宋体" w:hint="default"/>
                <w:sz w:val="18"/>
                <w:szCs w:val="18"/>
              </w:rPr>
            </w:pPr>
            <w:r>
              <w:rPr>
                <w:rFonts w:ascii="宋体"/>
                <w:spacing w:val="-1"/>
                <w:sz w:val="18"/>
              </w:rPr>
              <w:t>22,376,880.84</w:t>
            </w:r>
            <w:r>
              <w:rPr>
                <w:rFonts w:ascii="宋体"/>
                <w:sz w:val="18"/>
              </w:rPr>
            </w:r>
          </w:p>
        </w:tc>
      </w:tr>
      <w:tr>
        <w:trPr>
          <w:trHeight w:val="259" w:hRule="exact"/>
        </w:trPr>
        <w:tc>
          <w:tcPr>
            <w:tcW w:w="108" w:type="dxa"/>
            <w:tcBorders>
              <w:top w:val="nil" w:sz="6" w:space="0" w:color="auto"/>
              <w:left w:val="nil" w:sz="6" w:space="0" w:color="auto"/>
              <w:bottom w:val="nil" w:sz="6" w:space="0" w:color="auto"/>
              <w:right w:val="nil" w:sz="6" w:space="0" w:color="auto"/>
            </w:tcBorders>
          </w:tcPr>
          <w:p>
            <w:pPr/>
          </w:p>
        </w:tc>
        <w:tc>
          <w:tcPr>
            <w:tcW w:w="3036" w:type="dxa"/>
            <w:tcBorders>
              <w:top w:val="nil" w:sz="6" w:space="0" w:color="auto"/>
              <w:left w:val="nil" w:sz="6" w:space="0" w:color="auto"/>
              <w:bottom w:val="nil" w:sz="6" w:space="0" w:color="auto"/>
              <w:right w:val="nil" w:sz="6" w:space="0" w:color="auto"/>
            </w:tcBorders>
          </w:tcPr>
          <w:p>
            <w:pPr>
              <w:pStyle w:val="TableParagraph"/>
              <w:spacing w:line="223" w:lineRule="exact"/>
              <w:ind w:left="28"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2683" w:type="dxa"/>
            <w:tcBorders>
              <w:top w:val="nil" w:sz="6" w:space="0" w:color="auto"/>
              <w:left w:val="nil" w:sz="6" w:space="0" w:color="auto"/>
              <w:bottom w:val="nil" w:sz="6" w:space="0" w:color="auto"/>
              <w:right w:val="nil" w:sz="6" w:space="0" w:color="auto"/>
            </w:tcBorders>
          </w:tcPr>
          <w:p>
            <w:pPr>
              <w:pStyle w:val="TableParagraph"/>
              <w:spacing w:line="216" w:lineRule="exact"/>
              <w:ind w:right="265"/>
              <w:jc w:val="right"/>
              <w:rPr>
                <w:rFonts w:ascii="宋体" w:hAnsi="宋体" w:cs="宋体" w:eastAsia="宋体" w:hint="default"/>
                <w:sz w:val="18"/>
                <w:szCs w:val="18"/>
              </w:rPr>
            </w:pPr>
            <w:r>
              <w:rPr>
                <w:rFonts w:ascii="宋体"/>
                <w:sz w:val="18"/>
              </w:rPr>
              <w:t>-</w:t>
            </w:r>
          </w:p>
        </w:tc>
        <w:tc>
          <w:tcPr>
            <w:tcW w:w="1609" w:type="dxa"/>
            <w:tcBorders>
              <w:top w:val="nil" w:sz="6" w:space="0" w:color="auto"/>
              <w:left w:val="nil" w:sz="6" w:space="0" w:color="auto"/>
              <w:bottom w:val="nil" w:sz="6" w:space="0" w:color="auto"/>
              <w:right w:val="nil" w:sz="6" w:space="0" w:color="auto"/>
            </w:tcBorders>
          </w:tcPr>
          <w:p>
            <w:pPr>
              <w:pStyle w:val="TableParagraph"/>
              <w:spacing w:line="216" w:lineRule="exact"/>
              <w:ind w:right="83"/>
              <w:jc w:val="right"/>
              <w:rPr>
                <w:rFonts w:ascii="宋体" w:hAnsi="宋体" w:cs="宋体" w:eastAsia="宋体" w:hint="default"/>
                <w:sz w:val="18"/>
                <w:szCs w:val="18"/>
              </w:rPr>
            </w:pPr>
            <w:r>
              <w:rPr>
                <w:rFonts w:ascii="宋体"/>
                <w:sz w:val="18"/>
              </w:rPr>
              <w:t>-</w:t>
            </w:r>
          </w:p>
        </w:tc>
        <w:tc>
          <w:tcPr>
            <w:tcW w:w="1144" w:type="dxa"/>
            <w:tcBorders>
              <w:top w:val="nil" w:sz="6" w:space="0" w:color="auto"/>
              <w:left w:val="nil" w:sz="6" w:space="0" w:color="auto"/>
              <w:bottom w:val="nil" w:sz="6" w:space="0" w:color="auto"/>
              <w:right w:val="nil" w:sz="6" w:space="0" w:color="auto"/>
            </w:tcBorders>
          </w:tcPr>
          <w:p>
            <w:pPr>
              <w:pStyle w:val="TableParagraph"/>
              <w:spacing w:line="216" w:lineRule="exact"/>
              <w:ind w:right="104"/>
              <w:jc w:val="right"/>
              <w:rPr>
                <w:rFonts w:ascii="宋体" w:hAnsi="宋体" w:cs="宋体" w:eastAsia="宋体" w:hint="default"/>
                <w:sz w:val="18"/>
                <w:szCs w:val="18"/>
              </w:rPr>
            </w:pPr>
            <w:r>
              <w:rPr>
                <w:rFonts w:ascii="宋体"/>
                <w:sz w:val="18"/>
              </w:rPr>
              <w:t>-</w:t>
            </w:r>
          </w:p>
        </w:tc>
        <w:tc>
          <w:tcPr>
            <w:tcW w:w="62"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16" w:lineRule="exact"/>
              <w:ind w:right="25"/>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1226" w:type="dxa"/>
            <w:tcBorders>
              <w:top w:val="nil" w:sz="6" w:space="0" w:color="auto"/>
              <w:left w:val="nil" w:sz="6" w:space="0" w:color="auto"/>
              <w:bottom w:val="nil" w:sz="6" w:space="0" w:color="auto"/>
              <w:right w:val="nil" w:sz="6" w:space="0" w:color="auto"/>
            </w:tcBorders>
          </w:tcPr>
          <w:p>
            <w:pPr>
              <w:pStyle w:val="TableParagraph"/>
              <w:spacing w:line="216" w:lineRule="exact"/>
              <w:ind w:right="25"/>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nil" w:sz="6" w:space="0" w:color="auto"/>
              <w:right w:val="nil" w:sz="6" w:space="0" w:color="auto"/>
            </w:tcBorders>
          </w:tcPr>
          <w:p>
            <w:pPr>
              <w:pStyle w:val="TableParagraph"/>
              <w:spacing w:line="216" w:lineRule="exact"/>
              <w:ind w:right="25"/>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1411" w:type="dxa"/>
            <w:tcBorders>
              <w:top w:val="nil" w:sz="6" w:space="0" w:color="auto"/>
              <w:left w:val="nil" w:sz="6" w:space="0" w:color="auto"/>
              <w:bottom w:val="nil" w:sz="6" w:space="0" w:color="auto"/>
              <w:right w:val="nil" w:sz="6" w:space="0" w:color="auto"/>
            </w:tcBorders>
          </w:tcPr>
          <w:p>
            <w:pPr>
              <w:pStyle w:val="TableParagraph"/>
              <w:spacing w:line="216" w:lineRule="exact"/>
              <w:ind w:right="25"/>
              <w:jc w:val="right"/>
              <w:rPr>
                <w:rFonts w:ascii="宋体" w:hAnsi="宋体" w:cs="宋体" w:eastAsia="宋体" w:hint="default"/>
                <w:sz w:val="18"/>
                <w:szCs w:val="18"/>
              </w:rPr>
            </w:pPr>
            <w:r>
              <w:rPr>
                <w:rFonts w:ascii="宋体"/>
                <w:sz w:val="18"/>
              </w:rPr>
              <w:t>-</w:t>
            </w:r>
          </w:p>
        </w:tc>
        <w:tc>
          <w:tcPr>
            <w:tcW w:w="146" w:type="dxa"/>
            <w:tcBorders>
              <w:top w:val="nil" w:sz="6" w:space="0" w:color="auto"/>
              <w:left w:val="nil" w:sz="6" w:space="0" w:color="auto"/>
              <w:bottom w:val="nil" w:sz="6" w:space="0" w:color="auto"/>
              <w:right w:val="nil" w:sz="6" w:space="0" w:color="auto"/>
            </w:tcBorders>
          </w:tcPr>
          <w:p>
            <w:pPr>
              <w:pStyle w:val="TableParagraph"/>
              <w:spacing w:line="216" w:lineRule="exact"/>
              <w:ind w:left="1" w:right="0"/>
              <w:jc w:val="center"/>
              <w:rPr>
                <w:rFonts w:ascii="宋体" w:hAnsi="宋体" w:cs="宋体" w:eastAsia="宋体" w:hint="default"/>
                <w:sz w:val="18"/>
                <w:szCs w:val="18"/>
              </w:rPr>
            </w:pPr>
            <w:r>
              <w:rPr>
                <w:rFonts w:ascii="宋体"/>
                <w:sz w:val="18"/>
              </w:rPr>
              <w:t>-</w:t>
            </w:r>
          </w:p>
        </w:tc>
        <w:tc>
          <w:tcPr>
            <w:tcW w:w="1558" w:type="dxa"/>
            <w:tcBorders>
              <w:top w:val="nil" w:sz="6" w:space="0" w:color="auto"/>
              <w:left w:val="nil" w:sz="6" w:space="0" w:color="auto"/>
              <w:bottom w:val="nil" w:sz="6" w:space="0" w:color="auto"/>
              <w:right w:val="nil" w:sz="6" w:space="0" w:color="auto"/>
            </w:tcBorders>
          </w:tcPr>
          <w:p>
            <w:pPr/>
          </w:p>
        </w:tc>
      </w:tr>
      <w:tr>
        <w:trPr>
          <w:trHeight w:val="260" w:hRule="exact"/>
        </w:trPr>
        <w:tc>
          <w:tcPr>
            <w:tcW w:w="108" w:type="dxa"/>
            <w:tcBorders>
              <w:top w:val="nil" w:sz="6" w:space="0" w:color="auto"/>
              <w:left w:val="nil" w:sz="6" w:space="0" w:color="auto"/>
              <w:bottom w:val="nil" w:sz="6" w:space="0" w:color="auto"/>
              <w:right w:val="nil" w:sz="6" w:space="0" w:color="auto"/>
            </w:tcBorders>
          </w:tcPr>
          <w:p>
            <w:pPr/>
          </w:p>
        </w:tc>
        <w:tc>
          <w:tcPr>
            <w:tcW w:w="3036" w:type="dxa"/>
            <w:tcBorders>
              <w:top w:val="nil" w:sz="6" w:space="0" w:color="auto"/>
              <w:left w:val="nil" w:sz="6" w:space="0" w:color="auto"/>
              <w:bottom w:val="nil" w:sz="6" w:space="0" w:color="auto"/>
              <w:right w:val="nil" w:sz="6" w:space="0" w:color="auto"/>
            </w:tcBorders>
          </w:tcPr>
          <w:p>
            <w:pPr>
              <w:pStyle w:val="TableParagraph"/>
              <w:spacing w:line="226" w:lineRule="exact"/>
              <w:ind w:left="28"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2683" w:type="dxa"/>
            <w:tcBorders>
              <w:top w:val="nil" w:sz="6" w:space="0" w:color="auto"/>
              <w:left w:val="nil" w:sz="6" w:space="0" w:color="auto"/>
              <w:bottom w:val="nil" w:sz="6" w:space="0" w:color="auto"/>
              <w:right w:val="nil" w:sz="6" w:space="0" w:color="auto"/>
            </w:tcBorders>
          </w:tcPr>
          <w:p>
            <w:pPr>
              <w:pStyle w:val="TableParagraph"/>
              <w:spacing w:line="216" w:lineRule="exact"/>
              <w:ind w:right="265"/>
              <w:jc w:val="right"/>
              <w:rPr>
                <w:rFonts w:ascii="宋体" w:hAnsi="宋体" w:cs="宋体" w:eastAsia="宋体" w:hint="default"/>
                <w:sz w:val="18"/>
                <w:szCs w:val="18"/>
              </w:rPr>
            </w:pPr>
            <w:r>
              <w:rPr>
                <w:rFonts w:ascii="宋体"/>
                <w:sz w:val="18"/>
              </w:rPr>
              <w:t>-</w:t>
            </w:r>
          </w:p>
        </w:tc>
        <w:tc>
          <w:tcPr>
            <w:tcW w:w="1609" w:type="dxa"/>
            <w:tcBorders>
              <w:top w:val="nil" w:sz="6" w:space="0" w:color="auto"/>
              <w:left w:val="nil" w:sz="6" w:space="0" w:color="auto"/>
              <w:bottom w:val="nil" w:sz="6" w:space="0" w:color="auto"/>
              <w:right w:val="nil" w:sz="6" w:space="0" w:color="auto"/>
            </w:tcBorders>
          </w:tcPr>
          <w:p>
            <w:pPr>
              <w:pStyle w:val="TableParagraph"/>
              <w:spacing w:line="216" w:lineRule="exact"/>
              <w:ind w:right="83"/>
              <w:jc w:val="right"/>
              <w:rPr>
                <w:rFonts w:ascii="宋体" w:hAnsi="宋体" w:cs="宋体" w:eastAsia="宋体" w:hint="default"/>
                <w:sz w:val="18"/>
                <w:szCs w:val="18"/>
              </w:rPr>
            </w:pPr>
            <w:r>
              <w:rPr>
                <w:rFonts w:ascii="宋体"/>
                <w:sz w:val="18"/>
              </w:rPr>
              <w:t>-</w:t>
            </w:r>
          </w:p>
        </w:tc>
        <w:tc>
          <w:tcPr>
            <w:tcW w:w="1144" w:type="dxa"/>
            <w:tcBorders>
              <w:top w:val="nil" w:sz="6" w:space="0" w:color="auto"/>
              <w:left w:val="nil" w:sz="6" w:space="0" w:color="auto"/>
              <w:bottom w:val="nil" w:sz="6" w:space="0" w:color="auto"/>
              <w:right w:val="nil" w:sz="6" w:space="0" w:color="auto"/>
            </w:tcBorders>
          </w:tcPr>
          <w:p>
            <w:pPr>
              <w:pStyle w:val="TableParagraph"/>
              <w:spacing w:line="216" w:lineRule="exact"/>
              <w:ind w:right="104"/>
              <w:jc w:val="right"/>
              <w:rPr>
                <w:rFonts w:ascii="宋体" w:hAnsi="宋体" w:cs="宋体" w:eastAsia="宋体" w:hint="default"/>
                <w:sz w:val="18"/>
                <w:szCs w:val="18"/>
              </w:rPr>
            </w:pPr>
            <w:r>
              <w:rPr>
                <w:rFonts w:ascii="宋体"/>
                <w:sz w:val="18"/>
              </w:rPr>
              <w:t>-</w:t>
            </w:r>
          </w:p>
        </w:tc>
        <w:tc>
          <w:tcPr>
            <w:tcW w:w="62"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16" w:lineRule="exact"/>
              <w:ind w:right="25"/>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1226" w:type="dxa"/>
            <w:tcBorders>
              <w:top w:val="nil" w:sz="6" w:space="0" w:color="auto"/>
              <w:left w:val="nil" w:sz="6" w:space="0" w:color="auto"/>
              <w:bottom w:val="nil" w:sz="6" w:space="0" w:color="auto"/>
              <w:right w:val="nil" w:sz="6" w:space="0" w:color="auto"/>
            </w:tcBorders>
          </w:tcPr>
          <w:p>
            <w:pPr>
              <w:pStyle w:val="TableParagraph"/>
              <w:spacing w:line="216" w:lineRule="exact"/>
              <w:ind w:right="25"/>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nil" w:sz="6" w:space="0" w:color="auto"/>
              <w:right w:val="nil" w:sz="6" w:space="0" w:color="auto"/>
            </w:tcBorders>
          </w:tcPr>
          <w:p>
            <w:pPr>
              <w:pStyle w:val="TableParagraph"/>
              <w:spacing w:line="216" w:lineRule="exact"/>
              <w:ind w:right="25"/>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1411" w:type="dxa"/>
            <w:tcBorders>
              <w:top w:val="nil" w:sz="6" w:space="0" w:color="auto"/>
              <w:left w:val="nil" w:sz="6" w:space="0" w:color="auto"/>
              <w:bottom w:val="nil" w:sz="6" w:space="0" w:color="auto"/>
              <w:right w:val="nil" w:sz="6" w:space="0" w:color="auto"/>
            </w:tcBorders>
          </w:tcPr>
          <w:p>
            <w:pPr>
              <w:pStyle w:val="TableParagraph"/>
              <w:spacing w:line="216" w:lineRule="exact"/>
              <w:ind w:right="21"/>
              <w:jc w:val="right"/>
              <w:rPr>
                <w:rFonts w:ascii="宋体" w:hAnsi="宋体" w:cs="宋体" w:eastAsia="宋体" w:hint="default"/>
                <w:sz w:val="18"/>
                <w:szCs w:val="18"/>
              </w:rPr>
            </w:pPr>
            <w:r>
              <w:rPr>
                <w:rFonts w:ascii="宋体"/>
                <w:spacing w:val="-1"/>
                <w:sz w:val="18"/>
              </w:rPr>
              <w:t>22,376,880.84</w:t>
            </w:r>
            <w:r>
              <w:rPr>
                <w:rFonts w:ascii="宋体"/>
                <w:sz w:val="18"/>
              </w:rPr>
            </w:r>
          </w:p>
        </w:tc>
        <w:tc>
          <w:tcPr>
            <w:tcW w:w="146" w:type="dxa"/>
            <w:tcBorders>
              <w:top w:val="nil" w:sz="6" w:space="0" w:color="auto"/>
              <w:left w:val="nil" w:sz="6" w:space="0" w:color="auto"/>
              <w:bottom w:val="nil" w:sz="6" w:space="0" w:color="auto"/>
              <w:right w:val="nil" w:sz="6" w:space="0" w:color="auto"/>
            </w:tcBorders>
          </w:tcPr>
          <w:p>
            <w:pPr>
              <w:pStyle w:val="TableParagraph"/>
              <w:spacing w:line="216" w:lineRule="exact"/>
              <w:ind w:left="1" w:right="0"/>
              <w:jc w:val="center"/>
              <w:rPr>
                <w:rFonts w:ascii="宋体" w:hAnsi="宋体" w:cs="宋体" w:eastAsia="宋体" w:hint="default"/>
                <w:sz w:val="18"/>
                <w:szCs w:val="18"/>
              </w:rPr>
            </w:pPr>
            <w:r>
              <w:rPr>
                <w:rFonts w:ascii="宋体"/>
                <w:sz w:val="18"/>
              </w:rPr>
              <w:t>-</w:t>
            </w:r>
          </w:p>
        </w:tc>
        <w:tc>
          <w:tcPr>
            <w:tcW w:w="1558" w:type="dxa"/>
            <w:tcBorders>
              <w:top w:val="nil" w:sz="6" w:space="0" w:color="auto"/>
              <w:left w:val="nil" w:sz="6" w:space="0" w:color="auto"/>
              <w:bottom w:val="nil" w:sz="6" w:space="0" w:color="auto"/>
              <w:right w:val="nil" w:sz="6" w:space="0" w:color="auto"/>
            </w:tcBorders>
          </w:tcPr>
          <w:p>
            <w:pPr>
              <w:pStyle w:val="TableParagraph"/>
              <w:spacing w:line="216" w:lineRule="exact"/>
              <w:ind w:right="21"/>
              <w:jc w:val="right"/>
              <w:rPr>
                <w:rFonts w:ascii="宋体" w:hAnsi="宋体" w:cs="宋体" w:eastAsia="宋体" w:hint="default"/>
                <w:sz w:val="18"/>
                <w:szCs w:val="18"/>
              </w:rPr>
            </w:pPr>
            <w:r>
              <w:rPr>
                <w:rFonts w:ascii="宋体"/>
                <w:spacing w:val="-1"/>
                <w:sz w:val="18"/>
              </w:rPr>
              <w:t>22,376,880.84</w:t>
            </w:r>
            <w:r>
              <w:rPr>
                <w:rFonts w:ascii="宋体"/>
                <w:sz w:val="18"/>
              </w:rPr>
            </w:r>
          </w:p>
        </w:tc>
      </w:tr>
      <w:tr>
        <w:trPr>
          <w:trHeight w:val="260" w:hRule="exact"/>
        </w:trPr>
        <w:tc>
          <w:tcPr>
            <w:tcW w:w="108" w:type="dxa"/>
            <w:tcBorders>
              <w:top w:val="nil" w:sz="6" w:space="0" w:color="auto"/>
              <w:left w:val="nil" w:sz="6" w:space="0" w:color="auto"/>
              <w:bottom w:val="nil" w:sz="6" w:space="0" w:color="auto"/>
              <w:right w:val="nil" w:sz="6" w:space="0" w:color="auto"/>
            </w:tcBorders>
          </w:tcPr>
          <w:p>
            <w:pPr/>
          </w:p>
        </w:tc>
        <w:tc>
          <w:tcPr>
            <w:tcW w:w="3036" w:type="dxa"/>
            <w:tcBorders>
              <w:top w:val="nil" w:sz="6" w:space="0" w:color="auto"/>
              <w:left w:val="nil" w:sz="6" w:space="0" w:color="auto"/>
              <w:bottom w:val="nil" w:sz="6" w:space="0" w:color="auto"/>
              <w:right w:val="nil" w:sz="6" w:space="0" w:color="auto"/>
            </w:tcBorders>
          </w:tcPr>
          <w:p>
            <w:pPr>
              <w:pStyle w:val="TableParagraph"/>
              <w:spacing w:line="224" w:lineRule="exact"/>
              <w:ind w:left="28" w:right="0"/>
              <w:jc w:val="left"/>
              <w:rPr>
                <w:rFonts w:ascii="宋体" w:hAnsi="宋体" w:cs="宋体" w:eastAsia="宋体" w:hint="default"/>
                <w:sz w:val="18"/>
                <w:szCs w:val="18"/>
              </w:rPr>
            </w:pPr>
            <w:r>
              <w:rPr>
                <w:rFonts w:ascii="宋体" w:hAnsi="宋体" w:cs="宋体" w:eastAsia="宋体" w:hint="default"/>
                <w:sz w:val="18"/>
                <w:szCs w:val="18"/>
              </w:rPr>
              <w:t>（三）股东投入和减少股本</w:t>
            </w:r>
          </w:p>
        </w:tc>
        <w:tc>
          <w:tcPr>
            <w:tcW w:w="2683" w:type="dxa"/>
            <w:tcBorders>
              <w:top w:val="nil" w:sz="6" w:space="0" w:color="auto"/>
              <w:left w:val="nil" w:sz="6" w:space="0" w:color="auto"/>
              <w:bottom w:val="nil" w:sz="6" w:space="0" w:color="auto"/>
              <w:right w:val="nil" w:sz="6" w:space="0" w:color="auto"/>
            </w:tcBorders>
          </w:tcPr>
          <w:p>
            <w:pPr>
              <w:pStyle w:val="TableParagraph"/>
              <w:spacing w:line="215" w:lineRule="exact"/>
              <w:ind w:right="265"/>
              <w:jc w:val="right"/>
              <w:rPr>
                <w:rFonts w:ascii="宋体" w:hAnsi="宋体" w:cs="宋体" w:eastAsia="宋体" w:hint="default"/>
                <w:sz w:val="18"/>
                <w:szCs w:val="18"/>
              </w:rPr>
            </w:pPr>
            <w:r>
              <w:rPr>
                <w:rFonts w:ascii="宋体"/>
                <w:sz w:val="18"/>
              </w:rPr>
              <w:t>-</w:t>
            </w:r>
          </w:p>
        </w:tc>
        <w:tc>
          <w:tcPr>
            <w:tcW w:w="1609" w:type="dxa"/>
            <w:tcBorders>
              <w:top w:val="nil" w:sz="6" w:space="0" w:color="auto"/>
              <w:left w:val="nil" w:sz="6" w:space="0" w:color="auto"/>
              <w:bottom w:val="nil" w:sz="6" w:space="0" w:color="auto"/>
              <w:right w:val="nil" w:sz="6" w:space="0" w:color="auto"/>
            </w:tcBorders>
          </w:tcPr>
          <w:p>
            <w:pPr>
              <w:pStyle w:val="TableParagraph"/>
              <w:spacing w:line="215" w:lineRule="exact"/>
              <w:ind w:right="83"/>
              <w:jc w:val="right"/>
              <w:rPr>
                <w:rFonts w:ascii="宋体" w:hAnsi="宋体" w:cs="宋体" w:eastAsia="宋体" w:hint="default"/>
                <w:sz w:val="18"/>
                <w:szCs w:val="18"/>
              </w:rPr>
            </w:pPr>
            <w:r>
              <w:rPr>
                <w:rFonts w:ascii="宋体"/>
                <w:sz w:val="18"/>
              </w:rPr>
              <w:t>-</w:t>
            </w:r>
          </w:p>
        </w:tc>
        <w:tc>
          <w:tcPr>
            <w:tcW w:w="1144" w:type="dxa"/>
            <w:tcBorders>
              <w:top w:val="nil" w:sz="6" w:space="0" w:color="auto"/>
              <w:left w:val="nil" w:sz="6" w:space="0" w:color="auto"/>
              <w:bottom w:val="nil" w:sz="6" w:space="0" w:color="auto"/>
              <w:right w:val="nil" w:sz="6" w:space="0" w:color="auto"/>
            </w:tcBorders>
          </w:tcPr>
          <w:p>
            <w:pPr>
              <w:pStyle w:val="TableParagraph"/>
              <w:spacing w:line="215" w:lineRule="exact"/>
              <w:ind w:right="104"/>
              <w:jc w:val="right"/>
              <w:rPr>
                <w:rFonts w:ascii="宋体" w:hAnsi="宋体" w:cs="宋体" w:eastAsia="宋体" w:hint="default"/>
                <w:sz w:val="18"/>
                <w:szCs w:val="18"/>
              </w:rPr>
            </w:pPr>
            <w:r>
              <w:rPr>
                <w:rFonts w:ascii="宋体"/>
                <w:sz w:val="18"/>
              </w:rPr>
              <w:t>-</w:t>
            </w:r>
          </w:p>
        </w:tc>
        <w:tc>
          <w:tcPr>
            <w:tcW w:w="62"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15" w:lineRule="exact"/>
              <w:ind w:right="25"/>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1226" w:type="dxa"/>
            <w:tcBorders>
              <w:top w:val="nil" w:sz="6" w:space="0" w:color="auto"/>
              <w:left w:val="nil" w:sz="6" w:space="0" w:color="auto"/>
              <w:bottom w:val="nil" w:sz="6" w:space="0" w:color="auto"/>
              <w:right w:val="nil" w:sz="6" w:space="0" w:color="auto"/>
            </w:tcBorders>
          </w:tcPr>
          <w:p>
            <w:pPr>
              <w:pStyle w:val="TableParagraph"/>
              <w:spacing w:line="215" w:lineRule="exact"/>
              <w:ind w:right="25"/>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nil" w:sz="6" w:space="0" w:color="auto"/>
              <w:right w:val="nil" w:sz="6" w:space="0" w:color="auto"/>
            </w:tcBorders>
          </w:tcPr>
          <w:p>
            <w:pPr>
              <w:pStyle w:val="TableParagraph"/>
              <w:spacing w:line="215" w:lineRule="exact"/>
              <w:ind w:right="25"/>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1411" w:type="dxa"/>
            <w:tcBorders>
              <w:top w:val="nil" w:sz="6" w:space="0" w:color="auto"/>
              <w:left w:val="nil" w:sz="6" w:space="0" w:color="auto"/>
              <w:bottom w:val="nil" w:sz="6" w:space="0" w:color="auto"/>
              <w:right w:val="nil" w:sz="6" w:space="0" w:color="auto"/>
            </w:tcBorders>
          </w:tcPr>
          <w:p>
            <w:pPr>
              <w:pStyle w:val="TableParagraph"/>
              <w:spacing w:line="215" w:lineRule="exact"/>
              <w:ind w:right="25"/>
              <w:jc w:val="right"/>
              <w:rPr>
                <w:rFonts w:ascii="宋体" w:hAnsi="宋体" w:cs="宋体" w:eastAsia="宋体" w:hint="default"/>
                <w:sz w:val="18"/>
                <w:szCs w:val="18"/>
              </w:rPr>
            </w:pPr>
            <w:r>
              <w:rPr>
                <w:rFonts w:ascii="宋体"/>
                <w:sz w:val="18"/>
              </w:rPr>
              <w:t>-</w:t>
            </w:r>
          </w:p>
        </w:tc>
        <w:tc>
          <w:tcPr>
            <w:tcW w:w="146" w:type="dxa"/>
            <w:tcBorders>
              <w:top w:val="nil" w:sz="6" w:space="0" w:color="auto"/>
              <w:left w:val="nil" w:sz="6" w:space="0" w:color="auto"/>
              <w:bottom w:val="nil" w:sz="6" w:space="0" w:color="auto"/>
              <w:right w:val="nil" w:sz="6" w:space="0" w:color="auto"/>
            </w:tcBorders>
          </w:tcPr>
          <w:p>
            <w:pPr>
              <w:pStyle w:val="TableParagraph"/>
              <w:spacing w:line="215" w:lineRule="exact"/>
              <w:ind w:left="1" w:right="0"/>
              <w:jc w:val="center"/>
              <w:rPr>
                <w:rFonts w:ascii="宋体" w:hAnsi="宋体" w:cs="宋体" w:eastAsia="宋体" w:hint="default"/>
                <w:sz w:val="18"/>
                <w:szCs w:val="18"/>
              </w:rPr>
            </w:pPr>
            <w:r>
              <w:rPr>
                <w:rFonts w:ascii="宋体"/>
                <w:sz w:val="18"/>
              </w:rPr>
              <w:t>-</w:t>
            </w:r>
          </w:p>
        </w:tc>
        <w:tc>
          <w:tcPr>
            <w:tcW w:w="1558" w:type="dxa"/>
            <w:tcBorders>
              <w:top w:val="nil" w:sz="6" w:space="0" w:color="auto"/>
              <w:left w:val="nil" w:sz="6" w:space="0" w:color="auto"/>
              <w:bottom w:val="nil" w:sz="6" w:space="0" w:color="auto"/>
              <w:right w:val="nil" w:sz="6" w:space="0" w:color="auto"/>
            </w:tcBorders>
          </w:tcPr>
          <w:p>
            <w:pPr/>
          </w:p>
        </w:tc>
      </w:tr>
      <w:tr>
        <w:trPr>
          <w:trHeight w:val="259" w:hRule="exact"/>
        </w:trPr>
        <w:tc>
          <w:tcPr>
            <w:tcW w:w="108" w:type="dxa"/>
            <w:tcBorders>
              <w:top w:val="nil" w:sz="6" w:space="0" w:color="auto"/>
              <w:left w:val="nil" w:sz="6" w:space="0" w:color="auto"/>
              <w:bottom w:val="nil" w:sz="6" w:space="0" w:color="auto"/>
              <w:right w:val="nil" w:sz="6" w:space="0" w:color="auto"/>
            </w:tcBorders>
          </w:tcPr>
          <w:p>
            <w:pPr/>
          </w:p>
        </w:tc>
        <w:tc>
          <w:tcPr>
            <w:tcW w:w="3036" w:type="dxa"/>
            <w:tcBorders>
              <w:top w:val="nil" w:sz="6" w:space="0" w:color="auto"/>
              <w:left w:val="nil" w:sz="6" w:space="0" w:color="auto"/>
              <w:bottom w:val="nil" w:sz="6" w:space="0" w:color="auto"/>
              <w:right w:val="nil" w:sz="6" w:space="0" w:color="auto"/>
            </w:tcBorders>
          </w:tcPr>
          <w:p>
            <w:pPr>
              <w:pStyle w:val="TableParagraph"/>
              <w:spacing w:line="223" w:lineRule="exact"/>
              <w:ind w:left="391" w:right="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股东投入股本</w:t>
            </w:r>
          </w:p>
        </w:tc>
        <w:tc>
          <w:tcPr>
            <w:tcW w:w="2683" w:type="dxa"/>
            <w:tcBorders>
              <w:top w:val="nil" w:sz="6" w:space="0" w:color="auto"/>
              <w:left w:val="nil" w:sz="6" w:space="0" w:color="auto"/>
              <w:bottom w:val="nil" w:sz="6" w:space="0" w:color="auto"/>
              <w:right w:val="nil" w:sz="6" w:space="0" w:color="auto"/>
            </w:tcBorders>
          </w:tcPr>
          <w:p>
            <w:pPr>
              <w:pStyle w:val="TableParagraph"/>
              <w:spacing w:line="216" w:lineRule="exact"/>
              <w:ind w:right="265"/>
              <w:jc w:val="right"/>
              <w:rPr>
                <w:rFonts w:ascii="宋体" w:hAnsi="宋体" w:cs="宋体" w:eastAsia="宋体" w:hint="default"/>
                <w:sz w:val="18"/>
                <w:szCs w:val="18"/>
              </w:rPr>
            </w:pPr>
            <w:r>
              <w:rPr>
                <w:rFonts w:ascii="宋体"/>
                <w:sz w:val="18"/>
              </w:rPr>
              <w:t>-</w:t>
            </w:r>
          </w:p>
        </w:tc>
        <w:tc>
          <w:tcPr>
            <w:tcW w:w="1609" w:type="dxa"/>
            <w:tcBorders>
              <w:top w:val="nil" w:sz="6" w:space="0" w:color="auto"/>
              <w:left w:val="nil" w:sz="6" w:space="0" w:color="auto"/>
              <w:bottom w:val="nil" w:sz="6" w:space="0" w:color="auto"/>
              <w:right w:val="nil" w:sz="6" w:space="0" w:color="auto"/>
            </w:tcBorders>
          </w:tcPr>
          <w:p>
            <w:pPr>
              <w:pStyle w:val="TableParagraph"/>
              <w:spacing w:line="216" w:lineRule="exact"/>
              <w:ind w:right="83"/>
              <w:jc w:val="right"/>
              <w:rPr>
                <w:rFonts w:ascii="宋体" w:hAnsi="宋体" w:cs="宋体" w:eastAsia="宋体" w:hint="default"/>
                <w:sz w:val="18"/>
                <w:szCs w:val="18"/>
              </w:rPr>
            </w:pPr>
            <w:r>
              <w:rPr>
                <w:rFonts w:ascii="宋体"/>
                <w:sz w:val="18"/>
              </w:rPr>
              <w:t>-</w:t>
            </w:r>
          </w:p>
        </w:tc>
        <w:tc>
          <w:tcPr>
            <w:tcW w:w="1144" w:type="dxa"/>
            <w:tcBorders>
              <w:top w:val="nil" w:sz="6" w:space="0" w:color="auto"/>
              <w:left w:val="nil" w:sz="6" w:space="0" w:color="auto"/>
              <w:bottom w:val="nil" w:sz="6" w:space="0" w:color="auto"/>
              <w:right w:val="nil" w:sz="6" w:space="0" w:color="auto"/>
            </w:tcBorders>
          </w:tcPr>
          <w:p>
            <w:pPr>
              <w:pStyle w:val="TableParagraph"/>
              <w:spacing w:line="216" w:lineRule="exact"/>
              <w:ind w:right="104"/>
              <w:jc w:val="right"/>
              <w:rPr>
                <w:rFonts w:ascii="宋体" w:hAnsi="宋体" w:cs="宋体" w:eastAsia="宋体" w:hint="default"/>
                <w:sz w:val="18"/>
                <w:szCs w:val="18"/>
              </w:rPr>
            </w:pPr>
            <w:r>
              <w:rPr>
                <w:rFonts w:ascii="宋体"/>
                <w:sz w:val="18"/>
              </w:rPr>
              <w:t>-</w:t>
            </w:r>
          </w:p>
        </w:tc>
        <w:tc>
          <w:tcPr>
            <w:tcW w:w="62"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16" w:lineRule="exact"/>
              <w:ind w:right="25"/>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1226" w:type="dxa"/>
            <w:tcBorders>
              <w:top w:val="nil" w:sz="6" w:space="0" w:color="auto"/>
              <w:left w:val="nil" w:sz="6" w:space="0" w:color="auto"/>
              <w:bottom w:val="nil" w:sz="6" w:space="0" w:color="auto"/>
              <w:right w:val="nil" w:sz="6" w:space="0" w:color="auto"/>
            </w:tcBorders>
          </w:tcPr>
          <w:p>
            <w:pPr>
              <w:pStyle w:val="TableParagraph"/>
              <w:spacing w:line="216" w:lineRule="exact"/>
              <w:ind w:right="25"/>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nil" w:sz="6" w:space="0" w:color="auto"/>
              <w:right w:val="nil" w:sz="6" w:space="0" w:color="auto"/>
            </w:tcBorders>
          </w:tcPr>
          <w:p>
            <w:pPr>
              <w:pStyle w:val="TableParagraph"/>
              <w:spacing w:line="216" w:lineRule="exact"/>
              <w:ind w:right="25"/>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1411" w:type="dxa"/>
            <w:tcBorders>
              <w:top w:val="nil" w:sz="6" w:space="0" w:color="auto"/>
              <w:left w:val="nil" w:sz="6" w:space="0" w:color="auto"/>
              <w:bottom w:val="nil" w:sz="6" w:space="0" w:color="auto"/>
              <w:right w:val="nil" w:sz="6" w:space="0" w:color="auto"/>
            </w:tcBorders>
          </w:tcPr>
          <w:p>
            <w:pPr>
              <w:pStyle w:val="TableParagraph"/>
              <w:spacing w:line="216" w:lineRule="exact"/>
              <w:ind w:right="25"/>
              <w:jc w:val="right"/>
              <w:rPr>
                <w:rFonts w:ascii="宋体" w:hAnsi="宋体" w:cs="宋体" w:eastAsia="宋体" w:hint="default"/>
                <w:sz w:val="18"/>
                <w:szCs w:val="18"/>
              </w:rPr>
            </w:pPr>
            <w:r>
              <w:rPr>
                <w:rFonts w:ascii="宋体"/>
                <w:sz w:val="18"/>
              </w:rPr>
              <w:t>-</w:t>
            </w:r>
          </w:p>
        </w:tc>
        <w:tc>
          <w:tcPr>
            <w:tcW w:w="146" w:type="dxa"/>
            <w:tcBorders>
              <w:top w:val="nil" w:sz="6" w:space="0" w:color="auto"/>
              <w:left w:val="nil" w:sz="6" w:space="0" w:color="auto"/>
              <w:bottom w:val="nil" w:sz="6" w:space="0" w:color="auto"/>
              <w:right w:val="nil" w:sz="6" w:space="0" w:color="auto"/>
            </w:tcBorders>
          </w:tcPr>
          <w:p>
            <w:pPr>
              <w:pStyle w:val="TableParagraph"/>
              <w:spacing w:line="216" w:lineRule="exact"/>
              <w:ind w:left="1" w:right="0"/>
              <w:jc w:val="center"/>
              <w:rPr>
                <w:rFonts w:ascii="宋体" w:hAnsi="宋体" w:cs="宋体" w:eastAsia="宋体" w:hint="default"/>
                <w:sz w:val="18"/>
                <w:szCs w:val="18"/>
              </w:rPr>
            </w:pPr>
            <w:r>
              <w:rPr>
                <w:rFonts w:ascii="宋体"/>
                <w:sz w:val="18"/>
              </w:rPr>
              <w:t>-</w:t>
            </w:r>
          </w:p>
        </w:tc>
        <w:tc>
          <w:tcPr>
            <w:tcW w:w="1558" w:type="dxa"/>
            <w:tcBorders>
              <w:top w:val="nil" w:sz="6" w:space="0" w:color="auto"/>
              <w:left w:val="nil" w:sz="6" w:space="0" w:color="auto"/>
              <w:bottom w:val="nil" w:sz="6" w:space="0" w:color="auto"/>
              <w:right w:val="nil" w:sz="6" w:space="0" w:color="auto"/>
            </w:tcBorders>
          </w:tcPr>
          <w:p>
            <w:pPr/>
          </w:p>
        </w:tc>
      </w:tr>
      <w:tr>
        <w:trPr>
          <w:trHeight w:val="260" w:hRule="exact"/>
        </w:trPr>
        <w:tc>
          <w:tcPr>
            <w:tcW w:w="108" w:type="dxa"/>
            <w:tcBorders>
              <w:top w:val="nil" w:sz="6" w:space="0" w:color="auto"/>
              <w:left w:val="nil" w:sz="6" w:space="0" w:color="auto"/>
              <w:bottom w:val="nil" w:sz="6" w:space="0" w:color="auto"/>
              <w:right w:val="nil" w:sz="6" w:space="0" w:color="auto"/>
            </w:tcBorders>
          </w:tcPr>
          <w:p>
            <w:pPr/>
          </w:p>
        </w:tc>
        <w:tc>
          <w:tcPr>
            <w:tcW w:w="3036" w:type="dxa"/>
            <w:tcBorders>
              <w:top w:val="nil" w:sz="6" w:space="0" w:color="auto"/>
              <w:left w:val="nil" w:sz="6" w:space="0" w:color="auto"/>
              <w:bottom w:val="nil" w:sz="6" w:space="0" w:color="auto"/>
              <w:right w:val="nil" w:sz="6" w:space="0" w:color="auto"/>
            </w:tcBorders>
          </w:tcPr>
          <w:p>
            <w:pPr>
              <w:pStyle w:val="TableParagraph"/>
              <w:spacing w:line="226" w:lineRule="exact"/>
              <w:ind w:left="39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．股份支付计入股东权益的金额</w:t>
            </w:r>
          </w:p>
        </w:tc>
        <w:tc>
          <w:tcPr>
            <w:tcW w:w="2683" w:type="dxa"/>
            <w:tcBorders>
              <w:top w:val="nil" w:sz="6" w:space="0" w:color="auto"/>
              <w:left w:val="nil" w:sz="6" w:space="0" w:color="auto"/>
              <w:bottom w:val="nil" w:sz="6" w:space="0" w:color="auto"/>
              <w:right w:val="nil" w:sz="6" w:space="0" w:color="auto"/>
            </w:tcBorders>
          </w:tcPr>
          <w:p>
            <w:pPr>
              <w:pStyle w:val="TableParagraph"/>
              <w:spacing w:line="216" w:lineRule="exact"/>
              <w:ind w:right="265"/>
              <w:jc w:val="right"/>
              <w:rPr>
                <w:rFonts w:ascii="宋体" w:hAnsi="宋体" w:cs="宋体" w:eastAsia="宋体" w:hint="default"/>
                <w:sz w:val="18"/>
                <w:szCs w:val="18"/>
              </w:rPr>
            </w:pPr>
            <w:r>
              <w:rPr>
                <w:rFonts w:ascii="宋体"/>
                <w:sz w:val="18"/>
              </w:rPr>
              <w:t>-</w:t>
            </w:r>
          </w:p>
        </w:tc>
        <w:tc>
          <w:tcPr>
            <w:tcW w:w="1609" w:type="dxa"/>
            <w:tcBorders>
              <w:top w:val="nil" w:sz="6" w:space="0" w:color="auto"/>
              <w:left w:val="nil" w:sz="6" w:space="0" w:color="auto"/>
              <w:bottom w:val="nil" w:sz="6" w:space="0" w:color="auto"/>
              <w:right w:val="nil" w:sz="6" w:space="0" w:color="auto"/>
            </w:tcBorders>
          </w:tcPr>
          <w:p>
            <w:pPr>
              <w:pStyle w:val="TableParagraph"/>
              <w:spacing w:line="216" w:lineRule="exact"/>
              <w:ind w:right="83"/>
              <w:jc w:val="right"/>
              <w:rPr>
                <w:rFonts w:ascii="宋体" w:hAnsi="宋体" w:cs="宋体" w:eastAsia="宋体" w:hint="default"/>
                <w:sz w:val="18"/>
                <w:szCs w:val="18"/>
              </w:rPr>
            </w:pPr>
            <w:r>
              <w:rPr>
                <w:rFonts w:ascii="宋体"/>
                <w:sz w:val="18"/>
              </w:rPr>
              <w:t>-</w:t>
            </w:r>
          </w:p>
        </w:tc>
        <w:tc>
          <w:tcPr>
            <w:tcW w:w="1144" w:type="dxa"/>
            <w:tcBorders>
              <w:top w:val="nil" w:sz="6" w:space="0" w:color="auto"/>
              <w:left w:val="nil" w:sz="6" w:space="0" w:color="auto"/>
              <w:bottom w:val="nil" w:sz="6" w:space="0" w:color="auto"/>
              <w:right w:val="nil" w:sz="6" w:space="0" w:color="auto"/>
            </w:tcBorders>
          </w:tcPr>
          <w:p>
            <w:pPr>
              <w:pStyle w:val="TableParagraph"/>
              <w:spacing w:line="216" w:lineRule="exact"/>
              <w:ind w:right="104"/>
              <w:jc w:val="right"/>
              <w:rPr>
                <w:rFonts w:ascii="宋体" w:hAnsi="宋体" w:cs="宋体" w:eastAsia="宋体" w:hint="default"/>
                <w:sz w:val="18"/>
                <w:szCs w:val="18"/>
              </w:rPr>
            </w:pPr>
            <w:r>
              <w:rPr>
                <w:rFonts w:ascii="宋体"/>
                <w:sz w:val="18"/>
              </w:rPr>
              <w:t>-</w:t>
            </w:r>
          </w:p>
        </w:tc>
        <w:tc>
          <w:tcPr>
            <w:tcW w:w="62"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16" w:lineRule="exact"/>
              <w:ind w:right="25"/>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1226" w:type="dxa"/>
            <w:tcBorders>
              <w:top w:val="nil" w:sz="6" w:space="0" w:color="auto"/>
              <w:left w:val="nil" w:sz="6" w:space="0" w:color="auto"/>
              <w:bottom w:val="nil" w:sz="6" w:space="0" w:color="auto"/>
              <w:right w:val="nil" w:sz="6" w:space="0" w:color="auto"/>
            </w:tcBorders>
          </w:tcPr>
          <w:p>
            <w:pPr>
              <w:pStyle w:val="TableParagraph"/>
              <w:spacing w:line="216" w:lineRule="exact"/>
              <w:ind w:right="25"/>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nil" w:sz="6" w:space="0" w:color="auto"/>
              <w:right w:val="nil" w:sz="6" w:space="0" w:color="auto"/>
            </w:tcBorders>
          </w:tcPr>
          <w:p>
            <w:pPr>
              <w:pStyle w:val="TableParagraph"/>
              <w:spacing w:line="216" w:lineRule="exact"/>
              <w:ind w:right="25"/>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1411" w:type="dxa"/>
            <w:tcBorders>
              <w:top w:val="nil" w:sz="6" w:space="0" w:color="auto"/>
              <w:left w:val="nil" w:sz="6" w:space="0" w:color="auto"/>
              <w:bottom w:val="nil" w:sz="6" w:space="0" w:color="auto"/>
              <w:right w:val="nil" w:sz="6" w:space="0" w:color="auto"/>
            </w:tcBorders>
          </w:tcPr>
          <w:p>
            <w:pPr>
              <w:pStyle w:val="TableParagraph"/>
              <w:spacing w:line="216" w:lineRule="exact"/>
              <w:ind w:right="25"/>
              <w:jc w:val="right"/>
              <w:rPr>
                <w:rFonts w:ascii="宋体" w:hAnsi="宋体" w:cs="宋体" w:eastAsia="宋体" w:hint="default"/>
                <w:sz w:val="18"/>
                <w:szCs w:val="18"/>
              </w:rPr>
            </w:pPr>
            <w:r>
              <w:rPr>
                <w:rFonts w:ascii="宋体"/>
                <w:sz w:val="18"/>
              </w:rPr>
              <w:t>-</w:t>
            </w:r>
          </w:p>
        </w:tc>
        <w:tc>
          <w:tcPr>
            <w:tcW w:w="146" w:type="dxa"/>
            <w:tcBorders>
              <w:top w:val="nil" w:sz="6" w:space="0" w:color="auto"/>
              <w:left w:val="nil" w:sz="6" w:space="0" w:color="auto"/>
              <w:bottom w:val="nil" w:sz="6" w:space="0" w:color="auto"/>
              <w:right w:val="nil" w:sz="6" w:space="0" w:color="auto"/>
            </w:tcBorders>
          </w:tcPr>
          <w:p>
            <w:pPr>
              <w:pStyle w:val="TableParagraph"/>
              <w:spacing w:line="216" w:lineRule="exact"/>
              <w:ind w:left="1" w:right="0"/>
              <w:jc w:val="center"/>
              <w:rPr>
                <w:rFonts w:ascii="宋体" w:hAnsi="宋体" w:cs="宋体" w:eastAsia="宋体" w:hint="default"/>
                <w:sz w:val="18"/>
                <w:szCs w:val="18"/>
              </w:rPr>
            </w:pPr>
            <w:r>
              <w:rPr>
                <w:rFonts w:ascii="宋体"/>
                <w:sz w:val="18"/>
              </w:rPr>
              <w:t>-</w:t>
            </w:r>
          </w:p>
        </w:tc>
        <w:tc>
          <w:tcPr>
            <w:tcW w:w="1558" w:type="dxa"/>
            <w:tcBorders>
              <w:top w:val="nil" w:sz="6" w:space="0" w:color="auto"/>
              <w:left w:val="nil" w:sz="6" w:space="0" w:color="auto"/>
              <w:bottom w:val="nil" w:sz="6" w:space="0" w:color="auto"/>
              <w:right w:val="nil" w:sz="6" w:space="0" w:color="auto"/>
            </w:tcBorders>
          </w:tcPr>
          <w:p>
            <w:pPr/>
          </w:p>
        </w:tc>
      </w:tr>
      <w:tr>
        <w:trPr>
          <w:trHeight w:val="260" w:hRule="exact"/>
        </w:trPr>
        <w:tc>
          <w:tcPr>
            <w:tcW w:w="108" w:type="dxa"/>
            <w:tcBorders>
              <w:top w:val="nil" w:sz="6" w:space="0" w:color="auto"/>
              <w:left w:val="nil" w:sz="6" w:space="0" w:color="auto"/>
              <w:bottom w:val="nil" w:sz="6" w:space="0" w:color="auto"/>
              <w:right w:val="nil" w:sz="6" w:space="0" w:color="auto"/>
            </w:tcBorders>
          </w:tcPr>
          <w:p>
            <w:pPr/>
          </w:p>
        </w:tc>
        <w:tc>
          <w:tcPr>
            <w:tcW w:w="3036" w:type="dxa"/>
            <w:tcBorders>
              <w:top w:val="nil" w:sz="6" w:space="0" w:color="auto"/>
              <w:left w:val="nil" w:sz="6" w:space="0" w:color="auto"/>
              <w:bottom w:val="nil" w:sz="6" w:space="0" w:color="auto"/>
              <w:right w:val="nil" w:sz="6" w:space="0" w:color="auto"/>
            </w:tcBorders>
          </w:tcPr>
          <w:p>
            <w:pPr>
              <w:pStyle w:val="TableParagraph"/>
              <w:spacing w:line="224" w:lineRule="exact"/>
              <w:ind w:left="39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2683" w:type="dxa"/>
            <w:tcBorders>
              <w:top w:val="nil" w:sz="6" w:space="0" w:color="auto"/>
              <w:left w:val="nil" w:sz="6" w:space="0" w:color="auto"/>
              <w:bottom w:val="nil" w:sz="6" w:space="0" w:color="auto"/>
              <w:right w:val="nil" w:sz="6" w:space="0" w:color="auto"/>
            </w:tcBorders>
          </w:tcPr>
          <w:p>
            <w:pPr>
              <w:pStyle w:val="TableParagraph"/>
              <w:spacing w:line="215" w:lineRule="exact"/>
              <w:ind w:right="265"/>
              <w:jc w:val="right"/>
              <w:rPr>
                <w:rFonts w:ascii="宋体" w:hAnsi="宋体" w:cs="宋体" w:eastAsia="宋体" w:hint="default"/>
                <w:sz w:val="18"/>
                <w:szCs w:val="18"/>
              </w:rPr>
            </w:pPr>
            <w:r>
              <w:rPr>
                <w:rFonts w:ascii="宋体"/>
                <w:sz w:val="18"/>
              </w:rPr>
              <w:t>-</w:t>
            </w:r>
          </w:p>
        </w:tc>
        <w:tc>
          <w:tcPr>
            <w:tcW w:w="1609" w:type="dxa"/>
            <w:tcBorders>
              <w:top w:val="nil" w:sz="6" w:space="0" w:color="auto"/>
              <w:left w:val="nil" w:sz="6" w:space="0" w:color="auto"/>
              <w:bottom w:val="nil" w:sz="6" w:space="0" w:color="auto"/>
              <w:right w:val="nil" w:sz="6" w:space="0" w:color="auto"/>
            </w:tcBorders>
          </w:tcPr>
          <w:p>
            <w:pPr>
              <w:pStyle w:val="TableParagraph"/>
              <w:spacing w:line="215" w:lineRule="exact"/>
              <w:ind w:right="83"/>
              <w:jc w:val="right"/>
              <w:rPr>
                <w:rFonts w:ascii="宋体" w:hAnsi="宋体" w:cs="宋体" w:eastAsia="宋体" w:hint="default"/>
                <w:sz w:val="18"/>
                <w:szCs w:val="18"/>
              </w:rPr>
            </w:pPr>
            <w:r>
              <w:rPr>
                <w:rFonts w:ascii="宋体"/>
                <w:sz w:val="18"/>
              </w:rPr>
              <w:t>-</w:t>
            </w:r>
          </w:p>
        </w:tc>
        <w:tc>
          <w:tcPr>
            <w:tcW w:w="1144" w:type="dxa"/>
            <w:tcBorders>
              <w:top w:val="nil" w:sz="6" w:space="0" w:color="auto"/>
              <w:left w:val="nil" w:sz="6" w:space="0" w:color="auto"/>
              <w:bottom w:val="nil" w:sz="6" w:space="0" w:color="auto"/>
              <w:right w:val="nil" w:sz="6" w:space="0" w:color="auto"/>
            </w:tcBorders>
          </w:tcPr>
          <w:p>
            <w:pPr>
              <w:pStyle w:val="TableParagraph"/>
              <w:spacing w:line="215" w:lineRule="exact"/>
              <w:ind w:right="104"/>
              <w:jc w:val="right"/>
              <w:rPr>
                <w:rFonts w:ascii="宋体" w:hAnsi="宋体" w:cs="宋体" w:eastAsia="宋体" w:hint="default"/>
                <w:sz w:val="18"/>
                <w:szCs w:val="18"/>
              </w:rPr>
            </w:pPr>
            <w:r>
              <w:rPr>
                <w:rFonts w:ascii="宋体"/>
                <w:sz w:val="18"/>
              </w:rPr>
              <w:t>-</w:t>
            </w:r>
          </w:p>
        </w:tc>
        <w:tc>
          <w:tcPr>
            <w:tcW w:w="62"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15" w:lineRule="exact"/>
              <w:ind w:right="25"/>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1226" w:type="dxa"/>
            <w:tcBorders>
              <w:top w:val="nil" w:sz="6" w:space="0" w:color="auto"/>
              <w:left w:val="nil" w:sz="6" w:space="0" w:color="auto"/>
              <w:bottom w:val="nil" w:sz="6" w:space="0" w:color="auto"/>
              <w:right w:val="nil" w:sz="6" w:space="0" w:color="auto"/>
            </w:tcBorders>
          </w:tcPr>
          <w:p>
            <w:pPr>
              <w:pStyle w:val="TableParagraph"/>
              <w:spacing w:line="215" w:lineRule="exact"/>
              <w:ind w:right="25"/>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nil" w:sz="6" w:space="0" w:color="auto"/>
              <w:right w:val="nil" w:sz="6" w:space="0" w:color="auto"/>
            </w:tcBorders>
          </w:tcPr>
          <w:p>
            <w:pPr>
              <w:pStyle w:val="TableParagraph"/>
              <w:spacing w:line="215" w:lineRule="exact"/>
              <w:ind w:right="25"/>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1411" w:type="dxa"/>
            <w:tcBorders>
              <w:top w:val="nil" w:sz="6" w:space="0" w:color="auto"/>
              <w:left w:val="nil" w:sz="6" w:space="0" w:color="auto"/>
              <w:bottom w:val="nil" w:sz="6" w:space="0" w:color="auto"/>
              <w:right w:val="nil" w:sz="6" w:space="0" w:color="auto"/>
            </w:tcBorders>
          </w:tcPr>
          <w:p>
            <w:pPr>
              <w:pStyle w:val="TableParagraph"/>
              <w:spacing w:line="215" w:lineRule="exact"/>
              <w:ind w:right="25"/>
              <w:jc w:val="right"/>
              <w:rPr>
                <w:rFonts w:ascii="宋体" w:hAnsi="宋体" w:cs="宋体" w:eastAsia="宋体" w:hint="default"/>
                <w:sz w:val="18"/>
                <w:szCs w:val="18"/>
              </w:rPr>
            </w:pPr>
            <w:r>
              <w:rPr>
                <w:rFonts w:ascii="宋体"/>
                <w:sz w:val="18"/>
              </w:rPr>
              <w:t>-</w:t>
            </w:r>
          </w:p>
        </w:tc>
        <w:tc>
          <w:tcPr>
            <w:tcW w:w="146" w:type="dxa"/>
            <w:tcBorders>
              <w:top w:val="nil" w:sz="6" w:space="0" w:color="auto"/>
              <w:left w:val="nil" w:sz="6" w:space="0" w:color="auto"/>
              <w:bottom w:val="nil" w:sz="6" w:space="0" w:color="auto"/>
              <w:right w:val="nil" w:sz="6" w:space="0" w:color="auto"/>
            </w:tcBorders>
          </w:tcPr>
          <w:p>
            <w:pPr>
              <w:pStyle w:val="TableParagraph"/>
              <w:spacing w:line="215" w:lineRule="exact"/>
              <w:ind w:left="1" w:right="0"/>
              <w:jc w:val="center"/>
              <w:rPr>
                <w:rFonts w:ascii="宋体" w:hAnsi="宋体" w:cs="宋体" w:eastAsia="宋体" w:hint="default"/>
                <w:sz w:val="18"/>
                <w:szCs w:val="18"/>
              </w:rPr>
            </w:pPr>
            <w:r>
              <w:rPr>
                <w:rFonts w:ascii="宋体"/>
                <w:sz w:val="18"/>
              </w:rPr>
              <w:t>-</w:t>
            </w:r>
          </w:p>
        </w:tc>
        <w:tc>
          <w:tcPr>
            <w:tcW w:w="1558" w:type="dxa"/>
            <w:tcBorders>
              <w:top w:val="nil" w:sz="6" w:space="0" w:color="auto"/>
              <w:left w:val="nil" w:sz="6" w:space="0" w:color="auto"/>
              <w:bottom w:val="nil" w:sz="6" w:space="0" w:color="auto"/>
              <w:right w:val="nil" w:sz="6" w:space="0" w:color="auto"/>
            </w:tcBorders>
          </w:tcPr>
          <w:p>
            <w:pPr/>
          </w:p>
        </w:tc>
      </w:tr>
      <w:tr>
        <w:trPr>
          <w:trHeight w:val="259" w:hRule="exact"/>
        </w:trPr>
        <w:tc>
          <w:tcPr>
            <w:tcW w:w="108" w:type="dxa"/>
            <w:tcBorders>
              <w:top w:val="nil" w:sz="6" w:space="0" w:color="auto"/>
              <w:left w:val="nil" w:sz="6" w:space="0" w:color="auto"/>
              <w:bottom w:val="nil" w:sz="6" w:space="0" w:color="auto"/>
              <w:right w:val="nil" w:sz="6" w:space="0" w:color="auto"/>
            </w:tcBorders>
          </w:tcPr>
          <w:p>
            <w:pPr/>
          </w:p>
        </w:tc>
        <w:tc>
          <w:tcPr>
            <w:tcW w:w="3036" w:type="dxa"/>
            <w:tcBorders>
              <w:top w:val="nil" w:sz="6" w:space="0" w:color="auto"/>
              <w:left w:val="nil" w:sz="6" w:space="0" w:color="auto"/>
              <w:bottom w:val="nil" w:sz="6" w:space="0" w:color="auto"/>
              <w:right w:val="nil" w:sz="6" w:space="0" w:color="auto"/>
            </w:tcBorders>
          </w:tcPr>
          <w:p>
            <w:pPr>
              <w:pStyle w:val="TableParagraph"/>
              <w:spacing w:line="223" w:lineRule="exact"/>
              <w:ind w:left="28"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2683" w:type="dxa"/>
            <w:tcBorders>
              <w:top w:val="nil" w:sz="6" w:space="0" w:color="auto"/>
              <w:left w:val="nil" w:sz="6" w:space="0" w:color="auto"/>
              <w:bottom w:val="nil" w:sz="6" w:space="0" w:color="auto"/>
              <w:right w:val="nil" w:sz="6" w:space="0" w:color="auto"/>
            </w:tcBorders>
          </w:tcPr>
          <w:p>
            <w:pPr>
              <w:pStyle w:val="TableParagraph"/>
              <w:spacing w:line="216" w:lineRule="exact"/>
              <w:ind w:right="265"/>
              <w:jc w:val="right"/>
              <w:rPr>
                <w:rFonts w:ascii="宋体" w:hAnsi="宋体" w:cs="宋体" w:eastAsia="宋体" w:hint="default"/>
                <w:sz w:val="18"/>
                <w:szCs w:val="18"/>
              </w:rPr>
            </w:pPr>
            <w:r>
              <w:rPr>
                <w:rFonts w:ascii="宋体"/>
                <w:sz w:val="18"/>
              </w:rPr>
              <w:t>-</w:t>
            </w:r>
          </w:p>
        </w:tc>
        <w:tc>
          <w:tcPr>
            <w:tcW w:w="1609" w:type="dxa"/>
            <w:tcBorders>
              <w:top w:val="nil" w:sz="6" w:space="0" w:color="auto"/>
              <w:left w:val="nil" w:sz="6" w:space="0" w:color="auto"/>
              <w:bottom w:val="nil" w:sz="6" w:space="0" w:color="auto"/>
              <w:right w:val="nil" w:sz="6" w:space="0" w:color="auto"/>
            </w:tcBorders>
          </w:tcPr>
          <w:p>
            <w:pPr>
              <w:pStyle w:val="TableParagraph"/>
              <w:spacing w:line="216" w:lineRule="exact"/>
              <w:ind w:right="83"/>
              <w:jc w:val="right"/>
              <w:rPr>
                <w:rFonts w:ascii="宋体" w:hAnsi="宋体" w:cs="宋体" w:eastAsia="宋体" w:hint="default"/>
                <w:sz w:val="18"/>
                <w:szCs w:val="18"/>
              </w:rPr>
            </w:pPr>
            <w:r>
              <w:rPr>
                <w:rFonts w:ascii="宋体"/>
                <w:sz w:val="18"/>
              </w:rPr>
              <w:t>-</w:t>
            </w:r>
          </w:p>
        </w:tc>
        <w:tc>
          <w:tcPr>
            <w:tcW w:w="1144" w:type="dxa"/>
            <w:tcBorders>
              <w:top w:val="nil" w:sz="6" w:space="0" w:color="auto"/>
              <w:left w:val="nil" w:sz="6" w:space="0" w:color="auto"/>
              <w:bottom w:val="nil" w:sz="6" w:space="0" w:color="auto"/>
              <w:right w:val="nil" w:sz="6" w:space="0" w:color="auto"/>
            </w:tcBorders>
          </w:tcPr>
          <w:p>
            <w:pPr>
              <w:pStyle w:val="TableParagraph"/>
              <w:spacing w:line="216" w:lineRule="exact"/>
              <w:ind w:right="104"/>
              <w:jc w:val="right"/>
              <w:rPr>
                <w:rFonts w:ascii="宋体" w:hAnsi="宋体" w:cs="宋体" w:eastAsia="宋体" w:hint="default"/>
                <w:sz w:val="18"/>
                <w:szCs w:val="18"/>
              </w:rPr>
            </w:pPr>
            <w:r>
              <w:rPr>
                <w:rFonts w:ascii="宋体"/>
                <w:sz w:val="18"/>
              </w:rPr>
              <w:t>-</w:t>
            </w:r>
          </w:p>
        </w:tc>
        <w:tc>
          <w:tcPr>
            <w:tcW w:w="62"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226" w:type="dxa"/>
            <w:tcBorders>
              <w:top w:val="nil" w:sz="6" w:space="0" w:color="auto"/>
              <w:left w:val="nil" w:sz="6" w:space="0" w:color="auto"/>
              <w:bottom w:val="nil" w:sz="6" w:space="0" w:color="auto"/>
              <w:right w:val="nil" w:sz="6" w:space="0" w:color="auto"/>
            </w:tcBorders>
          </w:tcPr>
          <w:p>
            <w:pPr>
              <w:pStyle w:val="TableParagraph"/>
              <w:spacing w:line="216" w:lineRule="exact"/>
              <w:ind w:right="23"/>
              <w:jc w:val="right"/>
              <w:rPr>
                <w:rFonts w:ascii="宋体" w:hAnsi="宋体" w:cs="宋体" w:eastAsia="宋体" w:hint="default"/>
                <w:sz w:val="18"/>
                <w:szCs w:val="18"/>
              </w:rPr>
            </w:pPr>
            <w:r>
              <w:rPr>
                <w:rFonts w:ascii="宋体"/>
                <w:spacing w:val="-1"/>
                <w:sz w:val="18"/>
              </w:rPr>
              <w:t>2,237,688.08</w:t>
            </w:r>
          </w:p>
        </w:tc>
        <w:tc>
          <w:tcPr>
            <w:tcW w:w="142"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411" w:type="dxa"/>
            <w:tcBorders>
              <w:top w:val="nil" w:sz="6" w:space="0" w:color="auto"/>
              <w:left w:val="nil" w:sz="6" w:space="0" w:color="auto"/>
              <w:bottom w:val="nil" w:sz="6" w:space="0" w:color="auto"/>
              <w:right w:val="nil" w:sz="6" w:space="0" w:color="auto"/>
            </w:tcBorders>
          </w:tcPr>
          <w:p>
            <w:pPr>
              <w:pStyle w:val="TableParagraph"/>
              <w:spacing w:line="216" w:lineRule="exact"/>
              <w:ind w:right="23"/>
              <w:jc w:val="right"/>
              <w:rPr>
                <w:rFonts w:ascii="宋体" w:hAnsi="宋体" w:cs="宋体" w:eastAsia="宋体" w:hint="default"/>
                <w:sz w:val="18"/>
                <w:szCs w:val="18"/>
              </w:rPr>
            </w:pPr>
            <w:r>
              <w:rPr>
                <w:rFonts w:ascii="宋体"/>
                <w:spacing w:val="-1"/>
                <w:sz w:val="18"/>
              </w:rPr>
              <w:t>(2,237,688.08)</w:t>
            </w:r>
          </w:p>
        </w:tc>
        <w:tc>
          <w:tcPr>
            <w:tcW w:w="146" w:type="dxa"/>
            <w:tcBorders>
              <w:top w:val="nil" w:sz="6" w:space="0" w:color="auto"/>
              <w:left w:val="nil" w:sz="6" w:space="0" w:color="auto"/>
              <w:bottom w:val="nil" w:sz="6" w:space="0" w:color="auto"/>
              <w:right w:val="nil" w:sz="6" w:space="0" w:color="auto"/>
            </w:tcBorders>
          </w:tcPr>
          <w:p>
            <w:pPr>
              <w:pStyle w:val="TableParagraph"/>
              <w:spacing w:line="216" w:lineRule="exact"/>
              <w:ind w:left="1" w:right="0"/>
              <w:jc w:val="center"/>
              <w:rPr>
                <w:rFonts w:ascii="宋体" w:hAnsi="宋体" w:cs="宋体" w:eastAsia="宋体" w:hint="default"/>
                <w:sz w:val="18"/>
                <w:szCs w:val="18"/>
              </w:rPr>
            </w:pPr>
            <w:r>
              <w:rPr>
                <w:rFonts w:ascii="宋体"/>
                <w:sz w:val="18"/>
              </w:rPr>
              <w:t>-</w:t>
            </w:r>
          </w:p>
        </w:tc>
        <w:tc>
          <w:tcPr>
            <w:tcW w:w="1558" w:type="dxa"/>
            <w:tcBorders>
              <w:top w:val="nil" w:sz="6" w:space="0" w:color="auto"/>
              <w:left w:val="nil" w:sz="6" w:space="0" w:color="auto"/>
              <w:bottom w:val="nil" w:sz="6" w:space="0" w:color="auto"/>
              <w:right w:val="nil" w:sz="6" w:space="0" w:color="auto"/>
            </w:tcBorders>
          </w:tcPr>
          <w:p>
            <w:pPr/>
          </w:p>
        </w:tc>
      </w:tr>
      <w:tr>
        <w:trPr>
          <w:trHeight w:val="260" w:hRule="exact"/>
        </w:trPr>
        <w:tc>
          <w:tcPr>
            <w:tcW w:w="108" w:type="dxa"/>
            <w:tcBorders>
              <w:top w:val="nil" w:sz="6" w:space="0" w:color="auto"/>
              <w:left w:val="nil" w:sz="6" w:space="0" w:color="auto"/>
              <w:bottom w:val="nil" w:sz="6" w:space="0" w:color="auto"/>
              <w:right w:val="nil" w:sz="6" w:space="0" w:color="auto"/>
            </w:tcBorders>
          </w:tcPr>
          <w:p>
            <w:pPr/>
          </w:p>
        </w:tc>
        <w:tc>
          <w:tcPr>
            <w:tcW w:w="3036" w:type="dxa"/>
            <w:tcBorders>
              <w:top w:val="nil" w:sz="6" w:space="0" w:color="auto"/>
              <w:left w:val="nil" w:sz="6" w:space="0" w:color="auto"/>
              <w:bottom w:val="nil" w:sz="6" w:space="0" w:color="auto"/>
              <w:right w:val="nil" w:sz="6" w:space="0" w:color="auto"/>
            </w:tcBorders>
          </w:tcPr>
          <w:p>
            <w:pPr>
              <w:pStyle w:val="TableParagraph"/>
              <w:spacing w:line="226" w:lineRule="exact"/>
              <w:ind w:left="39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2683" w:type="dxa"/>
            <w:tcBorders>
              <w:top w:val="nil" w:sz="6" w:space="0" w:color="auto"/>
              <w:left w:val="nil" w:sz="6" w:space="0" w:color="auto"/>
              <w:bottom w:val="nil" w:sz="6" w:space="0" w:color="auto"/>
              <w:right w:val="nil" w:sz="6" w:space="0" w:color="auto"/>
            </w:tcBorders>
          </w:tcPr>
          <w:p>
            <w:pPr>
              <w:pStyle w:val="TableParagraph"/>
              <w:spacing w:line="216" w:lineRule="exact"/>
              <w:ind w:right="265"/>
              <w:jc w:val="right"/>
              <w:rPr>
                <w:rFonts w:ascii="宋体" w:hAnsi="宋体" w:cs="宋体" w:eastAsia="宋体" w:hint="default"/>
                <w:sz w:val="18"/>
                <w:szCs w:val="18"/>
              </w:rPr>
            </w:pPr>
            <w:r>
              <w:rPr>
                <w:rFonts w:ascii="宋体"/>
                <w:sz w:val="18"/>
              </w:rPr>
              <w:t>-</w:t>
            </w:r>
          </w:p>
        </w:tc>
        <w:tc>
          <w:tcPr>
            <w:tcW w:w="1609" w:type="dxa"/>
            <w:tcBorders>
              <w:top w:val="nil" w:sz="6" w:space="0" w:color="auto"/>
              <w:left w:val="nil" w:sz="6" w:space="0" w:color="auto"/>
              <w:bottom w:val="nil" w:sz="6" w:space="0" w:color="auto"/>
              <w:right w:val="nil" w:sz="6" w:space="0" w:color="auto"/>
            </w:tcBorders>
          </w:tcPr>
          <w:p>
            <w:pPr>
              <w:pStyle w:val="TableParagraph"/>
              <w:spacing w:line="216" w:lineRule="exact"/>
              <w:ind w:right="83"/>
              <w:jc w:val="right"/>
              <w:rPr>
                <w:rFonts w:ascii="宋体" w:hAnsi="宋体" w:cs="宋体" w:eastAsia="宋体" w:hint="default"/>
                <w:sz w:val="18"/>
                <w:szCs w:val="18"/>
              </w:rPr>
            </w:pPr>
            <w:r>
              <w:rPr>
                <w:rFonts w:ascii="宋体"/>
                <w:sz w:val="18"/>
              </w:rPr>
              <w:t>-</w:t>
            </w:r>
          </w:p>
        </w:tc>
        <w:tc>
          <w:tcPr>
            <w:tcW w:w="1144" w:type="dxa"/>
            <w:tcBorders>
              <w:top w:val="nil" w:sz="6" w:space="0" w:color="auto"/>
              <w:left w:val="nil" w:sz="6" w:space="0" w:color="auto"/>
              <w:bottom w:val="nil" w:sz="6" w:space="0" w:color="auto"/>
              <w:right w:val="nil" w:sz="6" w:space="0" w:color="auto"/>
            </w:tcBorders>
          </w:tcPr>
          <w:p>
            <w:pPr>
              <w:pStyle w:val="TableParagraph"/>
              <w:spacing w:line="216" w:lineRule="exact"/>
              <w:ind w:right="104"/>
              <w:jc w:val="right"/>
              <w:rPr>
                <w:rFonts w:ascii="宋体" w:hAnsi="宋体" w:cs="宋体" w:eastAsia="宋体" w:hint="default"/>
                <w:sz w:val="18"/>
                <w:szCs w:val="18"/>
              </w:rPr>
            </w:pPr>
            <w:r>
              <w:rPr>
                <w:rFonts w:ascii="宋体"/>
                <w:sz w:val="18"/>
              </w:rPr>
              <w:t>-</w:t>
            </w:r>
          </w:p>
        </w:tc>
        <w:tc>
          <w:tcPr>
            <w:tcW w:w="62"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226" w:type="dxa"/>
            <w:tcBorders>
              <w:top w:val="nil" w:sz="6" w:space="0" w:color="auto"/>
              <w:left w:val="nil" w:sz="6" w:space="0" w:color="auto"/>
              <w:bottom w:val="nil" w:sz="6" w:space="0" w:color="auto"/>
              <w:right w:val="nil" w:sz="6" w:space="0" w:color="auto"/>
            </w:tcBorders>
          </w:tcPr>
          <w:p>
            <w:pPr>
              <w:pStyle w:val="TableParagraph"/>
              <w:spacing w:line="216" w:lineRule="exact"/>
              <w:ind w:right="23"/>
              <w:jc w:val="right"/>
              <w:rPr>
                <w:rFonts w:ascii="宋体" w:hAnsi="宋体" w:cs="宋体" w:eastAsia="宋体" w:hint="default"/>
                <w:sz w:val="18"/>
                <w:szCs w:val="18"/>
              </w:rPr>
            </w:pPr>
            <w:r>
              <w:rPr>
                <w:rFonts w:ascii="宋体"/>
                <w:spacing w:val="-1"/>
                <w:sz w:val="18"/>
              </w:rPr>
              <w:t>2,237,688.08</w:t>
            </w:r>
          </w:p>
        </w:tc>
        <w:tc>
          <w:tcPr>
            <w:tcW w:w="142"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411" w:type="dxa"/>
            <w:tcBorders>
              <w:top w:val="nil" w:sz="6" w:space="0" w:color="auto"/>
              <w:left w:val="nil" w:sz="6" w:space="0" w:color="auto"/>
              <w:bottom w:val="nil" w:sz="6" w:space="0" w:color="auto"/>
              <w:right w:val="nil" w:sz="6" w:space="0" w:color="auto"/>
            </w:tcBorders>
          </w:tcPr>
          <w:p>
            <w:pPr>
              <w:pStyle w:val="TableParagraph"/>
              <w:spacing w:line="216" w:lineRule="exact"/>
              <w:ind w:right="23"/>
              <w:jc w:val="right"/>
              <w:rPr>
                <w:rFonts w:ascii="宋体" w:hAnsi="宋体" w:cs="宋体" w:eastAsia="宋体" w:hint="default"/>
                <w:sz w:val="18"/>
                <w:szCs w:val="18"/>
              </w:rPr>
            </w:pPr>
            <w:r>
              <w:rPr>
                <w:rFonts w:ascii="宋体"/>
                <w:spacing w:val="-1"/>
                <w:sz w:val="18"/>
              </w:rPr>
              <w:t>(2,237,688.08)</w:t>
            </w:r>
          </w:p>
        </w:tc>
        <w:tc>
          <w:tcPr>
            <w:tcW w:w="146" w:type="dxa"/>
            <w:tcBorders>
              <w:top w:val="nil" w:sz="6" w:space="0" w:color="auto"/>
              <w:left w:val="nil" w:sz="6" w:space="0" w:color="auto"/>
              <w:bottom w:val="nil" w:sz="6" w:space="0" w:color="auto"/>
              <w:right w:val="nil" w:sz="6" w:space="0" w:color="auto"/>
            </w:tcBorders>
          </w:tcPr>
          <w:p>
            <w:pPr>
              <w:pStyle w:val="TableParagraph"/>
              <w:spacing w:line="216" w:lineRule="exact"/>
              <w:ind w:left="1" w:right="0"/>
              <w:jc w:val="center"/>
              <w:rPr>
                <w:rFonts w:ascii="宋体" w:hAnsi="宋体" w:cs="宋体" w:eastAsia="宋体" w:hint="default"/>
                <w:sz w:val="18"/>
                <w:szCs w:val="18"/>
              </w:rPr>
            </w:pPr>
            <w:r>
              <w:rPr>
                <w:rFonts w:ascii="宋体"/>
                <w:sz w:val="18"/>
              </w:rPr>
              <w:t>-</w:t>
            </w:r>
          </w:p>
        </w:tc>
        <w:tc>
          <w:tcPr>
            <w:tcW w:w="1558" w:type="dxa"/>
            <w:tcBorders>
              <w:top w:val="nil" w:sz="6" w:space="0" w:color="auto"/>
              <w:left w:val="nil" w:sz="6" w:space="0" w:color="auto"/>
              <w:bottom w:val="nil" w:sz="6" w:space="0" w:color="auto"/>
              <w:right w:val="nil" w:sz="6" w:space="0" w:color="auto"/>
            </w:tcBorders>
          </w:tcPr>
          <w:p>
            <w:pPr/>
          </w:p>
        </w:tc>
      </w:tr>
      <w:tr>
        <w:trPr>
          <w:trHeight w:val="260" w:hRule="exact"/>
        </w:trPr>
        <w:tc>
          <w:tcPr>
            <w:tcW w:w="108" w:type="dxa"/>
            <w:tcBorders>
              <w:top w:val="nil" w:sz="6" w:space="0" w:color="auto"/>
              <w:left w:val="nil" w:sz="6" w:space="0" w:color="auto"/>
              <w:bottom w:val="nil" w:sz="6" w:space="0" w:color="auto"/>
              <w:right w:val="nil" w:sz="6" w:space="0" w:color="auto"/>
            </w:tcBorders>
          </w:tcPr>
          <w:p>
            <w:pPr/>
          </w:p>
        </w:tc>
        <w:tc>
          <w:tcPr>
            <w:tcW w:w="3036" w:type="dxa"/>
            <w:tcBorders>
              <w:top w:val="nil" w:sz="6" w:space="0" w:color="auto"/>
              <w:left w:val="nil" w:sz="6" w:space="0" w:color="auto"/>
              <w:bottom w:val="nil" w:sz="6" w:space="0" w:color="auto"/>
              <w:right w:val="nil" w:sz="6" w:space="0" w:color="auto"/>
            </w:tcBorders>
          </w:tcPr>
          <w:p>
            <w:pPr>
              <w:pStyle w:val="TableParagraph"/>
              <w:spacing w:line="224" w:lineRule="exact"/>
              <w:ind w:left="39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．对股东的分配</w:t>
            </w:r>
          </w:p>
        </w:tc>
        <w:tc>
          <w:tcPr>
            <w:tcW w:w="2683" w:type="dxa"/>
            <w:tcBorders>
              <w:top w:val="nil" w:sz="6" w:space="0" w:color="auto"/>
              <w:left w:val="nil" w:sz="6" w:space="0" w:color="auto"/>
              <w:bottom w:val="nil" w:sz="6" w:space="0" w:color="auto"/>
              <w:right w:val="nil" w:sz="6" w:space="0" w:color="auto"/>
            </w:tcBorders>
          </w:tcPr>
          <w:p>
            <w:pPr>
              <w:pStyle w:val="TableParagraph"/>
              <w:spacing w:line="215" w:lineRule="exact"/>
              <w:ind w:right="265"/>
              <w:jc w:val="right"/>
              <w:rPr>
                <w:rFonts w:ascii="宋体" w:hAnsi="宋体" w:cs="宋体" w:eastAsia="宋体" w:hint="default"/>
                <w:sz w:val="18"/>
                <w:szCs w:val="18"/>
              </w:rPr>
            </w:pPr>
            <w:r>
              <w:rPr>
                <w:rFonts w:ascii="宋体"/>
                <w:sz w:val="18"/>
              </w:rPr>
              <w:t>-</w:t>
            </w:r>
          </w:p>
        </w:tc>
        <w:tc>
          <w:tcPr>
            <w:tcW w:w="1609" w:type="dxa"/>
            <w:tcBorders>
              <w:top w:val="nil" w:sz="6" w:space="0" w:color="auto"/>
              <w:left w:val="nil" w:sz="6" w:space="0" w:color="auto"/>
              <w:bottom w:val="nil" w:sz="6" w:space="0" w:color="auto"/>
              <w:right w:val="nil" w:sz="6" w:space="0" w:color="auto"/>
            </w:tcBorders>
          </w:tcPr>
          <w:p>
            <w:pPr>
              <w:pStyle w:val="TableParagraph"/>
              <w:spacing w:line="215" w:lineRule="exact"/>
              <w:ind w:right="83"/>
              <w:jc w:val="right"/>
              <w:rPr>
                <w:rFonts w:ascii="宋体" w:hAnsi="宋体" w:cs="宋体" w:eastAsia="宋体" w:hint="default"/>
                <w:sz w:val="18"/>
                <w:szCs w:val="18"/>
              </w:rPr>
            </w:pPr>
            <w:r>
              <w:rPr>
                <w:rFonts w:ascii="宋体"/>
                <w:sz w:val="18"/>
              </w:rPr>
              <w:t>-</w:t>
            </w:r>
          </w:p>
        </w:tc>
        <w:tc>
          <w:tcPr>
            <w:tcW w:w="1144" w:type="dxa"/>
            <w:tcBorders>
              <w:top w:val="nil" w:sz="6" w:space="0" w:color="auto"/>
              <w:left w:val="nil" w:sz="6" w:space="0" w:color="auto"/>
              <w:bottom w:val="nil" w:sz="6" w:space="0" w:color="auto"/>
              <w:right w:val="nil" w:sz="6" w:space="0" w:color="auto"/>
            </w:tcBorders>
          </w:tcPr>
          <w:p>
            <w:pPr>
              <w:pStyle w:val="TableParagraph"/>
              <w:spacing w:line="215" w:lineRule="exact"/>
              <w:ind w:right="104"/>
              <w:jc w:val="right"/>
              <w:rPr>
                <w:rFonts w:ascii="宋体" w:hAnsi="宋体" w:cs="宋体" w:eastAsia="宋体" w:hint="default"/>
                <w:sz w:val="18"/>
                <w:szCs w:val="18"/>
              </w:rPr>
            </w:pPr>
            <w:r>
              <w:rPr>
                <w:rFonts w:ascii="宋体"/>
                <w:sz w:val="18"/>
              </w:rPr>
              <w:t>-</w:t>
            </w:r>
          </w:p>
        </w:tc>
        <w:tc>
          <w:tcPr>
            <w:tcW w:w="62"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15" w:lineRule="exact"/>
              <w:ind w:right="25"/>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1226" w:type="dxa"/>
            <w:tcBorders>
              <w:top w:val="nil" w:sz="6" w:space="0" w:color="auto"/>
              <w:left w:val="nil" w:sz="6" w:space="0" w:color="auto"/>
              <w:bottom w:val="nil" w:sz="6" w:space="0" w:color="auto"/>
              <w:right w:val="nil" w:sz="6" w:space="0" w:color="auto"/>
            </w:tcBorders>
          </w:tcPr>
          <w:p>
            <w:pPr>
              <w:pStyle w:val="TableParagraph"/>
              <w:spacing w:line="215" w:lineRule="exact"/>
              <w:ind w:right="25"/>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nil" w:sz="6" w:space="0" w:color="auto"/>
              <w:right w:val="nil" w:sz="6" w:space="0" w:color="auto"/>
            </w:tcBorders>
          </w:tcPr>
          <w:p>
            <w:pPr>
              <w:pStyle w:val="TableParagraph"/>
              <w:spacing w:line="215" w:lineRule="exact"/>
              <w:ind w:right="25"/>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1411" w:type="dxa"/>
            <w:tcBorders>
              <w:top w:val="nil" w:sz="6" w:space="0" w:color="auto"/>
              <w:left w:val="nil" w:sz="6" w:space="0" w:color="auto"/>
              <w:bottom w:val="nil" w:sz="6" w:space="0" w:color="auto"/>
              <w:right w:val="nil" w:sz="6" w:space="0" w:color="auto"/>
            </w:tcBorders>
          </w:tcPr>
          <w:p>
            <w:pPr/>
          </w:p>
        </w:tc>
        <w:tc>
          <w:tcPr>
            <w:tcW w:w="146"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
        </w:tc>
      </w:tr>
      <w:tr>
        <w:trPr>
          <w:trHeight w:val="259" w:hRule="exact"/>
        </w:trPr>
        <w:tc>
          <w:tcPr>
            <w:tcW w:w="108" w:type="dxa"/>
            <w:tcBorders>
              <w:top w:val="nil" w:sz="6" w:space="0" w:color="auto"/>
              <w:left w:val="nil" w:sz="6" w:space="0" w:color="auto"/>
              <w:bottom w:val="nil" w:sz="6" w:space="0" w:color="auto"/>
              <w:right w:val="nil" w:sz="6" w:space="0" w:color="auto"/>
            </w:tcBorders>
          </w:tcPr>
          <w:p>
            <w:pPr/>
          </w:p>
        </w:tc>
        <w:tc>
          <w:tcPr>
            <w:tcW w:w="3036" w:type="dxa"/>
            <w:tcBorders>
              <w:top w:val="nil" w:sz="6" w:space="0" w:color="auto"/>
              <w:left w:val="nil" w:sz="6" w:space="0" w:color="auto"/>
              <w:bottom w:val="nil" w:sz="6" w:space="0" w:color="auto"/>
              <w:right w:val="nil" w:sz="6" w:space="0" w:color="auto"/>
            </w:tcBorders>
          </w:tcPr>
          <w:p>
            <w:pPr>
              <w:pStyle w:val="TableParagraph"/>
              <w:spacing w:line="223" w:lineRule="exact"/>
              <w:ind w:left="39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2683" w:type="dxa"/>
            <w:tcBorders>
              <w:top w:val="nil" w:sz="6" w:space="0" w:color="auto"/>
              <w:left w:val="nil" w:sz="6" w:space="0" w:color="auto"/>
              <w:bottom w:val="nil" w:sz="6" w:space="0" w:color="auto"/>
              <w:right w:val="nil" w:sz="6" w:space="0" w:color="auto"/>
            </w:tcBorders>
          </w:tcPr>
          <w:p>
            <w:pPr>
              <w:pStyle w:val="TableParagraph"/>
              <w:spacing w:line="216" w:lineRule="exact"/>
              <w:ind w:right="265"/>
              <w:jc w:val="right"/>
              <w:rPr>
                <w:rFonts w:ascii="宋体" w:hAnsi="宋体" w:cs="宋体" w:eastAsia="宋体" w:hint="default"/>
                <w:sz w:val="18"/>
                <w:szCs w:val="18"/>
              </w:rPr>
            </w:pPr>
            <w:r>
              <w:rPr>
                <w:rFonts w:ascii="宋体"/>
                <w:sz w:val="18"/>
              </w:rPr>
              <w:t>-</w:t>
            </w:r>
          </w:p>
        </w:tc>
        <w:tc>
          <w:tcPr>
            <w:tcW w:w="1609" w:type="dxa"/>
            <w:tcBorders>
              <w:top w:val="nil" w:sz="6" w:space="0" w:color="auto"/>
              <w:left w:val="nil" w:sz="6" w:space="0" w:color="auto"/>
              <w:bottom w:val="nil" w:sz="6" w:space="0" w:color="auto"/>
              <w:right w:val="nil" w:sz="6" w:space="0" w:color="auto"/>
            </w:tcBorders>
          </w:tcPr>
          <w:p>
            <w:pPr>
              <w:pStyle w:val="TableParagraph"/>
              <w:spacing w:line="216" w:lineRule="exact"/>
              <w:ind w:right="83"/>
              <w:jc w:val="right"/>
              <w:rPr>
                <w:rFonts w:ascii="宋体" w:hAnsi="宋体" w:cs="宋体" w:eastAsia="宋体" w:hint="default"/>
                <w:sz w:val="18"/>
                <w:szCs w:val="18"/>
              </w:rPr>
            </w:pPr>
            <w:r>
              <w:rPr>
                <w:rFonts w:ascii="宋体"/>
                <w:sz w:val="18"/>
              </w:rPr>
              <w:t>-</w:t>
            </w:r>
          </w:p>
        </w:tc>
        <w:tc>
          <w:tcPr>
            <w:tcW w:w="1144" w:type="dxa"/>
            <w:tcBorders>
              <w:top w:val="nil" w:sz="6" w:space="0" w:color="auto"/>
              <w:left w:val="nil" w:sz="6" w:space="0" w:color="auto"/>
              <w:bottom w:val="nil" w:sz="6" w:space="0" w:color="auto"/>
              <w:right w:val="nil" w:sz="6" w:space="0" w:color="auto"/>
            </w:tcBorders>
          </w:tcPr>
          <w:p>
            <w:pPr>
              <w:pStyle w:val="TableParagraph"/>
              <w:spacing w:line="216" w:lineRule="exact"/>
              <w:ind w:right="104"/>
              <w:jc w:val="right"/>
              <w:rPr>
                <w:rFonts w:ascii="宋体" w:hAnsi="宋体" w:cs="宋体" w:eastAsia="宋体" w:hint="default"/>
                <w:sz w:val="18"/>
                <w:szCs w:val="18"/>
              </w:rPr>
            </w:pPr>
            <w:r>
              <w:rPr>
                <w:rFonts w:ascii="宋体"/>
                <w:sz w:val="18"/>
              </w:rPr>
              <w:t>-</w:t>
            </w:r>
          </w:p>
        </w:tc>
        <w:tc>
          <w:tcPr>
            <w:tcW w:w="62"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16" w:lineRule="exact"/>
              <w:ind w:right="25"/>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1226" w:type="dxa"/>
            <w:tcBorders>
              <w:top w:val="nil" w:sz="6" w:space="0" w:color="auto"/>
              <w:left w:val="nil" w:sz="6" w:space="0" w:color="auto"/>
              <w:bottom w:val="nil" w:sz="6" w:space="0" w:color="auto"/>
              <w:right w:val="nil" w:sz="6" w:space="0" w:color="auto"/>
            </w:tcBorders>
          </w:tcPr>
          <w:p>
            <w:pPr>
              <w:pStyle w:val="TableParagraph"/>
              <w:spacing w:line="216" w:lineRule="exact"/>
              <w:ind w:right="25"/>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nil" w:sz="6" w:space="0" w:color="auto"/>
              <w:right w:val="nil" w:sz="6" w:space="0" w:color="auto"/>
            </w:tcBorders>
          </w:tcPr>
          <w:p>
            <w:pPr>
              <w:pStyle w:val="TableParagraph"/>
              <w:spacing w:line="216" w:lineRule="exact"/>
              <w:ind w:right="25"/>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1411" w:type="dxa"/>
            <w:tcBorders>
              <w:top w:val="nil" w:sz="6" w:space="0" w:color="auto"/>
              <w:left w:val="nil" w:sz="6" w:space="0" w:color="auto"/>
              <w:bottom w:val="nil" w:sz="6" w:space="0" w:color="auto"/>
              <w:right w:val="nil" w:sz="6" w:space="0" w:color="auto"/>
            </w:tcBorders>
          </w:tcPr>
          <w:p>
            <w:pPr>
              <w:pStyle w:val="TableParagraph"/>
              <w:spacing w:line="216" w:lineRule="exact"/>
              <w:ind w:right="25"/>
              <w:jc w:val="right"/>
              <w:rPr>
                <w:rFonts w:ascii="宋体" w:hAnsi="宋体" w:cs="宋体" w:eastAsia="宋体" w:hint="default"/>
                <w:sz w:val="18"/>
                <w:szCs w:val="18"/>
              </w:rPr>
            </w:pPr>
            <w:r>
              <w:rPr>
                <w:rFonts w:ascii="宋体"/>
                <w:sz w:val="18"/>
              </w:rPr>
              <w:t>-</w:t>
            </w:r>
          </w:p>
        </w:tc>
        <w:tc>
          <w:tcPr>
            <w:tcW w:w="146"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Style w:val="TableParagraph"/>
              <w:spacing w:line="216" w:lineRule="exact"/>
              <w:ind w:right="25"/>
              <w:jc w:val="right"/>
              <w:rPr>
                <w:rFonts w:ascii="宋体" w:hAnsi="宋体" w:cs="宋体" w:eastAsia="宋体" w:hint="default"/>
                <w:sz w:val="18"/>
                <w:szCs w:val="18"/>
              </w:rPr>
            </w:pPr>
            <w:r>
              <w:rPr>
                <w:rFonts w:ascii="宋体"/>
                <w:sz w:val="18"/>
              </w:rPr>
              <w:t>-</w:t>
            </w:r>
          </w:p>
        </w:tc>
      </w:tr>
      <w:tr>
        <w:trPr>
          <w:trHeight w:val="260" w:hRule="exact"/>
        </w:trPr>
        <w:tc>
          <w:tcPr>
            <w:tcW w:w="108" w:type="dxa"/>
            <w:tcBorders>
              <w:top w:val="nil" w:sz="6" w:space="0" w:color="auto"/>
              <w:left w:val="nil" w:sz="6" w:space="0" w:color="auto"/>
              <w:bottom w:val="nil" w:sz="6" w:space="0" w:color="auto"/>
              <w:right w:val="nil" w:sz="6" w:space="0" w:color="auto"/>
            </w:tcBorders>
          </w:tcPr>
          <w:p>
            <w:pPr/>
          </w:p>
        </w:tc>
        <w:tc>
          <w:tcPr>
            <w:tcW w:w="3036" w:type="dxa"/>
            <w:tcBorders>
              <w:top w:val="nil" w:sz="6" w:space="0" w:color="auto"/>
              <w:left w:val="nil" w:sz="6" w:space="0" w:color="auto"/>
              <w:bottom w:val="nil" w:sz="6" w:space="0" w:color="auto"/>
              <w:right w:val="nil" w:sz="6" w:space="0" w:color="auto"/>
            </w:tcBorders>
          </w:tcPr>
          <w:p>
            <w:pPr>
              <w:pStyle w:val="TableParagraph"/>
              <w:spacing w:line="226" w:lineRule="exact"/>
              <w:ind w:left="28" w:right="0"/>
              <w:jc w:val="left"/>
              <w:rPr>
                <w:rFonts w:ascii="宋体" w:hAnsi="宋体" w:cs="宋体" w:eastAsia="宋体" w:hint="default"/>
                <w:sz w:val="18"/>
                <w:szCs w:val="18"/>
              </w:rPr>
            </w:pPr>
            <w:r>
              <w:rPr>
                <w:rFonts w:ascii="宋体" w:hAnsi="宋体" w:cs="宋体" w:eastAsia="宋体" w:hint="default"/>
                <w:sz w:val="18"/>
                <w:szCs w:val="18"/>
              </w:rPr>
              <w:t>（五）股东权益内部结转</w:t>
            </w:r>
          </w:p>
        </w:tc>
        <w:tc>
          <w:tcPr>
            <w:tcW w:w="2683" w:type="dxa"/>
            <w:tcBorders>
              <w:top w:val="nil" w:sz="6" w:space="0" w:color="auto"/>
              <w:left w:val="nil" w:sz="6" w:space="0" w:color="auto"/>
              <w:bottom w:val="nil" w:sz="6" w:space="0" w:color="auto"/>
              <w:right w:val="nil" w:sz="6" w:space="0" w:color="auto"/>
            </w:tcBorders>
          </w:tcPr>
          <w:p>
            <w:pPr/>
          </w:p>
        </w:tc>
        <w:tc>
          <w:tcPr>
            <w:tcW w:w="1609" w:type="dxa"/>
            <w:tcBorders>
              <w:top w:val="nil" w:sz="6" w:space="0" w:color="auto"/>
              <w:left w:val="nil" w:sz="6" w:space="0" w:color="auto"/>
              <w:bottom w:val="nil" w:sz="6" w:space="0" w:color="auto"/>
              <w:right w:val="nil" w:sz="6" w:space="0" w:color="auto"/>
            </w:tcBorders>
          </w:tcPr>
          <w:p>
            <w:pPr/>
          </w:p>
        </w:tc>
        <w:tc>
          <w:tcPr>
            <w:tcW w:w="1144" w:type="dxa"/>
            <w:tcBorders>
              <w:top w:val="nil" w:sz="6" w:space="0" w:color="auto"/>
              <w:left w:val="nil" w:sz="6" w:space="0" w:color="auto"/>
              <w:bottom w:val="nil" w:sz="6" w:space="0" w:color="auto"/>
              <w:right w:val="nil" w:sz="6" w:space="0" w:color="auto"/>
            </w:tcBorders>
          </w:tcPr>
          <w:p>
            <w:pPr>
              <w:pStyle w:val="TableParagraph"/>
              <w:spacing w:line="216" w:lineRule="exact"/>
              <w:ind w:right="104"/>
              <w:jc w:val="right"/>
              <w:rPr>
                <w:rFonts w:ascii="宋体" w:hAnsi="宋体" w:cs="宋体" w:eastAsia="宋体" w:hint="default"/>
                <w:sz w:val="18"/>
                <w:szCs w:val="18"/>
              </w:rPr>
            </w:pPr>
            <w:r>
              <w:rPr>
                <w:rFonts w:ascii="宋体"/>
                <w:sz w:val="18"/>
              </w:rPr>
              <w:t>-</w:t>
            </w:r>
          </w:p>
        </w:tc>
        <w:tc>
          <w:tcPr>
            <w:tcW w:w="62"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16" w:lineRule="exact"/>
              <w:ind w:right="25"/>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1226" w:type="dxa"/>
            <w:tcBorders>
              <w:top w:val="nil" w:sz="6" w:space="0" w:color="auto"/>
              <w:left w:val="nil" w:sz="6" w:space="0" w:color="auto"/>
              <w:bottom w:val="nil" w:sz="6" w:space="0" w:color="auto"/>
              <w:right w:val="nil" w:sz="6" w:space="0" w:color="auto"/>
            </w:tcBorders>
          </w:tcPr>
          <w:p>
            <w:pPr>
              <w:pStyle w:val="TableParagraph"/>
              <w:spacing w:line="216" w:lineRule="exact"/>
              <w:ind w:right="25"/>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nil" w:sz="6" w:space="0" w:color="auto"/>
              <w:right w:val="nil" w:sz="6" w:space="0" w:color="auto"/>
            </w:tcBorders>
          </w:tcPr>
          <w:p>
            <w:pPr>
              <w:pStyle w:val="TableParagraph"/>
              <w:spacing w:line="216" w:lineRule="exact"/>
              <w:ind w:right="25"/>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1411" w:type="dxa"/>
            <w:tcBorders>
              <w:top w:val="nil" w:sz="6" w:space="0" w:color="auto"/>
              <w:left w:val="nil" w:sz="6" w:space="0" w:color="auto"/>
              <w:bottom w:val="nil" w:sz="6" w:space="0" w:color="auto"/>
              <w:right w:val="nil" w:sz="6" w:space="0" w:color="auto"/>
            </w:tcBorders>
          </w:tcPr>
          <w:p>
            <w:pPr>
              <w:pStyle w:val="TableParagraph"/>
              <w:spacing w:line="216" w:lineRule="exact"/>
              <w:ind w:right="25"/>
              <w:jc w:val="right"/>
              <w:rPr>
                <w:rFonts w:ascii="宋体" w:hAnsi="宋体" w:cs="宋体" w:eastAsia="宋体" w:hint="default"/>
                <w:sz w:val="18"/>
                <w:szCs w:val="18"/>
              </w:rPr>
            </w:pPr>
            <w:r>
              <w:rPr>
                <w:rFonts w:ascii="宋体"/>
                <w:sz w:val="18"/>
              </w:rPr>
              <w:t>-</w:t>
            </w:r>
          </w:p>
        </w:tc>
        <w:tc>
          <w:tcPr>
            <w:tcW w:w="146"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Style w:val="TableParagraph"/>
              <w:spacing w:line="216" w:lineRule="exact"/>
              <w:ind w:right="25"/>
              <w:jc w:val="right"/>
              <w:rPr>
                <w:rFonts w:ascii="宋体" w:hAnsi="宋体" w:cs="宋体" w:eastAsia="宋体" w:hint="default"/>
                <w:sz w:val="18"/>
                <w:szCs w:val="18"/>
              </w:rPr>
            </w:pPr>
            <w:r>
              <w:rPr>
                <w:rFonts w:ascii="宋体"/>
                <w:sz w:val="18"/>
              </w:rPr>
              <w:t>-</w:t>
            </w:r>
          </w:p>
        </w:tc>
      </w:tr>
      <w:tr>
        <w:trPr>
          <w:trHeight w:val="260" w:hRule="exact"/>
        </w:trPr>
        <w:tc>
          <w:tcPr>
            <w:tcW w:w="108" w:type="dxa"/>
            <w:tcBorders>
              <w:top w:val="nil" w:sz="6" w:space="0" w:color="auto"/>
              <w:left w:val="nil" w:sz="6" w:space="0" w:color="auto"/>
              <w:bottom w:val="nil" w:sz="6" w:space="0" w:color="auto"/>
              <w:right w:val="nil" w:sz="6" w:space="0" w:color="auto"/>
            </w:tcBorders>
          </w:tcPr>
          <w:p>
            <w:pPr/>
          </w:p>
        </w:tc>
        <w:tc>
          <w:tcPr>
            <w:tcW w:w="3036" w:type="dxa"/>
            <w:tcBorders>
              <w:top w:val="nil" w:sz="6" w:space="0" w:color="auto"/>
              <w:left w:val="nil" w:sz="6" w:space="0" w:color="auto"/>
              <w:bottom w:val="nil" w:sz="6" w:space="0" w:color="auto"/>
              <w:right w:val="nil" w:sz="6" w:space="0" w:color="auto"/>
            </w:tcBorders>
          </w:tcPr>
          <w:p>
            <w:pPr>
              <w:pStyle w:val="TableParagraph"/>
              <w:spacing w:line="224" w:lineRule="exact"/>
              <w:ind w:left="39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．资本公积转增股本</w:t>
            </w:r>
          </w:p>
        </w:tc>
        <w:tc>
          <w:tcPr>
            <w:tcW w:w="2683" w:type="dxa"/>
            <w:tcBorders>
              <w:top w:val="nil" w:sz="6" w:space="0" w:color="auto"/>
              <w:left w:val="nil" w:sz="6" w:space="0" w:color="auto"/>
              <w:bottom w:val="nil" w:sz="6" w:space="0" w:color="auto"/>
              <w:right w:val="nil" w:sz="6" w:space="0" w:color="auto"/>
            </w:tcBorders>
          </w:tcPr>
          <w:p>
            <w:pPr/>
          </w:p>
        </w:tc>
        <w:tc>
          <w:tcPr>
            <w:tcW w:w="1609" w:type="dxa"/>
            <w:tcBorders>
              <w:top w:val="nil" w:sz="6" w:space="0" w:color="auto"/>
              <w:left w:val="nil" w:sz="6" w:space="0" w:color="auto"/>
              <w:bottom w:val="nil" w:sz="6" w:space="0" w:color="auto"/>
              <w:right w:val="nil" w:sz="6" w:space="0" w:color="auto"/>
            </w:tcBorders>
          </w:tcPr>
          <w:p>
            <w:pPr/>
          </w:p>
        </w:tc>
        <w:tc>
          <w:tcPr>
            <w:tcW w:w="1144" w:type="dxa"/>
            <w:tcBorders>
              <w:top w:val="nil" w:sz="6" w:space="0" w:color="auto"/>
              <w:left w:val="nil" w:sz="6" w:space="0" w:color="auto"/>
              <w:bottom w:val="nil" w:sz="6" w:space="0" w:color="auto"/>
              <w:right w:val="nil" w:sz="6" w:space="0" w:color="auto"/>
            </w:tcBorders>
          </w:tcPr>
          <w:p>
            <w:pPr>
              <w:pStyle w:val="TableParagraph"/>
              <w:spacing w:line="215" w:lineRule="exact"/>
              <w:ind w:right="104"/>
              <w:jc w:val="right"/>
              <w:rPr>
                <w:rFonts w:ascii="宋体" w:hAnsi="宋体" w:cs="宋体" w:eastAsia="宋体" w:hint="default"/>
                <w:sz w:val="18"/>
                <w:szCs w:val="18"/>
              </w:rPr>
            </w:pPr>
            <w:r>
              <w:rPr>
                <w:rFonts w:ascii="宋体"/>
                <w:sz w:val="18"/>
              </w:rPr>
              <w:t>-</w:t>
            </w:r>
          </w:p>
        </w:tc>
        <w:tc>
          <w:tcPr>
            <w:tcW w:w="62"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15" w:lineRule="exact"/>
              <w:ind w:right="25"/>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1226" w:type="dxa"/>
            <w:tcBorders>
              <w:top w:val="nil" w:sz="6" w:space="0" w:color="auto"/>
              <w:left w:val="nil" w:sz="6" w:space="0" w:color="auto"/>
              <w:bottom w:val="nil" w:sz="6" w:space="0" w:color="auto"/>
              <w:right w:val="nil" w:sz="6" w:space="0" w:color="auto"/>
            </w:tcBorders>
          </w:tcPr>
          <w:p>
            <w:pPr>
              <w:pStyle w:val="TableParagraph"/>
              <w:spacing w:line="215" w:lineRule="exact"/>
              <w:ind w:right="25"/>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nil" w:sz="6" w:space="0" w:color="auto"/>
              <w:right w:val="nil" w:sz="6" w:space="0" w:color="auto"/>
            </w:tcBorders>
          </w:tcPr>
          <w:p>
            <w:pPr>
              <w:pStyle w:val="TableParagraph"/>
              <w:spacing w:line="215" w:lineRule="exact"/>
              <w:ind w:right="25"/>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1411" w:type="dxa"/>
            <w:tcBorders>
              <w:top w:val="nil" w:sz="6" w:space="0" w:color="auto"/>
              <w:left w:val="nil" w:sz="6" w:space="0" w:color="auto"/>
              <w:bottom w:val="nil" w:sz="6" w:space="0" w:color="auto"/>
              <w:right w:val="nil" w:sz="6" w:space="0" w:color="auto"/>
            </w:tcBorders>
          </w:tcPr>
          <w:p>
            <w:pPr>
              <w:pStyle w:val="TableParagraph"/>
              <w:spacing w:line="215" w:lineRule="exact"/>
              <w:ind w:right="25"/>
              <w:jc w:val="right"/>
              <w:rPr>
                <w:rFonts w:ascii="宋体" w:hAnsi="宋体" w:cs="宋体" w:eastAsia="宋体" w:hint="default"/>
                <w:sz w:val="18"/>
                <w:szCs w:val="18"/>
              </w:rPr>
            </w:pPr>
            <w:r>
              <w:rPr>
                <w:rFonts w:ascii="宋体"/>
                <w:sz w:val="18"/>
              </w:rPr>
              <w:t>-</w:t>
            </w:r>
          </w:p>
        </w:tc>
        <w:tc>
          <w:tcPr>
            <w:tcW w:w="146"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Style w:val="TableParagraph"/>
              <w:spacing w:line="215" w:lineRule="exact"/>
              <w:ind w:right="25"/>
              <w:jc w:val="right"/>
              <w:rPr>
                <w:rFonts w:ascii="宋体" w:hAnsi="宋体" w:cs="宋体" w:eastAsia="宋体" w:hint="default"/>
                <w:sz w:val="18"/>
                <w:szCs w:val="18"/>
              </w:rPr>
            </w:pPr>
            <w:r>
              <w:rPr>
                <w:rFonts w:ascii="宋体"/>
                <w:sz w:val="18"/>
              </w:rPr>
              <w:t>-</w:t>
            </w:r>
          </w:p>
        </w:tc>
      </w:tr>
      <w:tr>
        <w:trPr>
          <w:trHeight w:val="259" w:hRule="exact"/>
        </w:trPr>
        <w:tc>
          <w:tcPr>
            <w:tcW w:w="108" w:type="dxa"/>
            <w:tcBorders>
              <w:top w:val="nil" w:sz="6" w:space="0" w:color="auto"/>
              <w:left w:val="nil" w:sz="6" w:space="0" w:color="auto"/>
              <w:bottom w:val="nil" w:sz="6" w:space="0" w:color="auto"/>
              <w:right w:val="nil" w:sz="6" w:space="0" w:color="auto"/>
            </w:tcBorders>
          </w:tcPr>
          <w:p>
            <w:pPr/>
          </w:p>
        </w:tc>
        <w:tc>
          <w:tcPr>
            <w:tcW w:w="3036" w:type="dxa"/>
            <w:tcBorders>
              <w:top w:val="nil" w:sz="6" w:space="0" w:color="auto"/>
              <w:left w:val="nil" w:sz="6" w:space="0" w:color="auto"/>
              <w:bottom w:val="nil" w:sz="6" w:space="0" w:color="auto"/>
              <w:right w:val="nil" w:sz="6" w:space="0" w:color="auto"/>
            </w:tcBorders>
          </w:tcPr>
          <w:p>
            <w:pPr>
              <w:pStyle w:val="TableParagraph"/>
              <w:spacing w:line="223" w:lineRule="exact"/>
              <w:ind w:left="39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．盈余公积转增股本</w:t>
            </w:r>
          </w:p>
        </w:tc>
        <w:tc>
          <w:tcPr>
            <w:tcW w:w="2683" w:type="dxa"/>
            <w:tcBorders>
              <w:top w:val="nil" w:sz="6" w:space="0" w:color="auto"/>
              <w:left w:val="nil" w:sz="6" w:space="0" w:color="auto"/>
              <w:bottom w:val="nil" w:sz="6" w:space="0" w:color="auto"/>
              <w:right w:val="nil" w:sz="6" w:space="0" w:color="auto"/>
            </w:tcBorders>
          </w:tcPr>
          <w:p>
            <w:pPr>
              <w:pStyle w:val="TableParagraph"/>
              <w:spacing w:line="216" w:lineRule="exact"/>
              <w:ind w:right="265"/>
              <w:jc w:val="right"/>
              <w:rPr>
                <w:rFonts w:ascii="宋体" w:hAnsi="宋体" w:cs="宋体" w:eastAsia="宋体" w:hint="default"/>
                <w:sz w:val="18"/>
                <w:szCs w:val="18"/>
              </w:rPr>
            </w:pPr>
            <w:r>
              <w:rPr>
                <w:rFonts w:ascii="宋体"/>
                <w:sz w:val="18"/>
              </w:rPr>
              <w:t>-</w:t>
            </w:r>
          </w:p>
        </w:tc>
        <w:tc>
          <w:tcPr>
            <w:tcW w:w="1609" w:type="dxa"/>
            <w:tcBorders>
              <w:top w:val="nil" w:sz="6" w:space="0" w:color="auto"/>
              <w:left w:val="nil" w:sz="6" w:space="0" w:color="auto"/>
              <w:bottom w:val="nil" w:sz="6" w:space="0" w:color="auto"/>
              <w:right w:val="nil" w:sz="6" w:space="0" w:color="auto"/>
            </w:tcBorders>
          </w:tcPr>
          <w:p>
            <w:pPr>
              <w:pStyle w:val="TableParagraph"/>
              <w:spacing w:line="216" w:lineRule="exact"/>
              <w:ind w:right="83"/>
              <w:jc w:val="right"/>
              <w:rPr>
                <w:rFonts w:ascii="宋体" w:hAnsi="宋体" w:cs="宋体" w:eastAsia="宋体" w:hint="default"/>
                <w:sz w:val="18"/>
                <w:szCs w:val="18"/>
              </w:rPr>
            </w:pPr>
            <w:r>
              <w:rPr>
                <w:rFonts w:ascii="宋体"/>
                <w:sz w:val="18"/>
              </w:rPr>
              <w:t>-</w:t>
            </w:r>
          </w:p>
        </w:tc>
        <w:tc>
          <w:tcPr>
            <w:tcW w:w="1144" w:type="dxa"/>
            <w:tcBorders>
              <w:top w:val="nil" w:sz="6" w:space="0" w:color="auto"/>
              <w:left w:val="nil" w:sz="6" w:space="0" w:color="auto"/>
              <w:bottom w:val="nil" w:sz="6" w:space="0" w:color="auto"/>
              <w:right w:val="nil" w:sz="6" w:space="0" w:color="auto"/>
            </w:tcBorders>
          </w:tcPr>
          <w:p>
            <w:pPr>
              <w:pStyle w:val="TableParagraph"/>
              <w:spacing w:line="216" w:lineRule="exact"/>
              <w:ind w:right="104"/>
              <w:jc w:val="right"/>
              <w:rPr>
                <w:rFonts w:ascii="宋体" w:hAnsi="宋体" w:cs="宋体" w:eastAsia="宋体" w:hint="default"/>
                <w:sz w:val="18"/>
                <w:szCs w:val="18"/>
              </w:rPr>
            </w:pPr>
            <w:r>
              <w:rPr>
                <w:rFonts w:ascii="宋体"/>
                <w:sz w:val="18"/>
              </w:rPr>
              <w:t>-</w:t>
            </w:r>
          </w:p>
        </w:tc>
        <w:tc>
          <w:tcPr>
            <w:tcW w:w="62"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16" w:lineRule="exact"/>
              <w:ind w:right="25"/>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1226" w:type="dxa"/>
            <w:tcBorders>
              <w:top w:val="nil" w:sz="6" w:space="0" w:color="auto"/>
              <w:left w:val="nil" w:sz="6" w:space="0" w:color="auto"/>
              <w:bottom w:val="nil" w:sz="6" w:space="0" w:color="auto"/>
              <w:right w:val="nil" w:sz="6" w:space="0" w:color="auto"/>
            </w:tcBorders>
          </w:tcPr>
          <w:p>
            <w:pPr>
              <w:pStyle w:val="TableParagraph"/>
              <w:spacing w:line="216" w:lineRule="exact"/>
              <w:ind w:right="25"/>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nil" w:sz="6" w:space="0" w:color="auto"/>
              <w:right w:val="nil" w:sz="6" w:space="0" w:color="auto"/>
            </w:tcBorders>
          </w:tcPr>
          <w:p>
            <w:pPr>
              <w:pStyle w:val="TableParagraph"/>
              <w:spacing w:line="216" w:lineRule="exact"/>
              <w:ind w:right="25"/>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1411" w:type="dxa"/>
            <w:tcBorders>
              <w:top w:val="nil" w:sz="6" w:space="0" w:color="auto"/>
              <w:left w:val="nil" w:sz="6" w:space="0" w:color="auto"/>
              <w:bottom w:val="nil" w:sz="6" w:space="0" w:color="auto"/>
              <w:right w:val="nil" w:sz="6" w:space="0" w:color="auto"/>
            </w:tcBorders>
          </w:tcPr>
          <w:p>
            <w:pPr>
              <w:pStyle w:val="TableParagraph"/>
              <w:spacing w:line="216" w:lineRule="exact"/>
              <w:ind w:right="25"/>
              <w:jc w:val="right"/>
              <w:rPr>
                <w:rFonts w:ascii="宋体" w:hAnsi="宋体" w:cs="宋体" w:eastAsia="宋体" w:hint="default"/>
                <w:sz w:val="18"/>
                <w:szCs w:val="18"/>
              </w:rPr>
            </w:pPr>
            <w:r>
              <w:rPr>
                <w:rFonts w:ascii="宋体"/>
                <w:sz w:val="18"/>
              </w:rPr>
              <w:t>-</w:t>
            </w:r>
          </w:p>
        </w:tc>
        <w:tc>
          <w:tcPr>
            <w:tcW w:w="146"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Style w:val="TableParagraph"/>
              <w:spacing w:line="216" w:lineRule="exact"/>
              <w:ind w:right="25"/>
              <w:jc w:val="right"/>
              <w:rPr>
                <w:rFonts w:ascii="宋体" w:hAnsi="宋体" w:cs="宋体" w:eastAsia="宋体" w:hint="default"/>
                <w:sz w:val="18"/>
                <w:szCs w:val="18"/>
              </w:rPr>
            </w:pPr>
            <w:r>
              <w:rPr>
                <w:rFonts w:ascii="宋体"/>
                <w:sz w:val="18"/>
              </w:rPr>
              <w:t>-</w:t>
            </w:r>
          </w:p>
        </w:tc>
      </w:tr>
      <w:tr>
        <w:trPr>
          <w:trHeight w:val="260" w:hRule="exact"/>
        </w:trPr>
        <w:tc>
          <w:tcPr>
            <w:tcW w:w="108" w:type="dxa"/>
            <w:tcBorders>
              <w:top w:val="nil" w:sz="6" w:space="0" w:color="auto"/>
              <w:left w:val="nil" w:sz="6" w:space="0" w:color="auto"/>
              <w:bottom w:val="nil" w:sz="6" w:space="0" w:color="auto"/>
              <w:right w:val="nil" w:sz="6" w:space="0" w:color="auto"/>
            </w:tcBorders>
          </w:tcPr>
          <w:p>
            <w:pPr/>
          </w:p>
        </w:tc>
        <w:tc>
          <w:tcPr>
            <w:tcW w:w="3036" w:type="dxa"/>
            <w:tcBorders>
              <w:top w:val="nil" w:sz="6" w:space="0" w:color="auto"/>
              <w:left w:val="nil" w:sz="6" w:space="0" w:color="auto"/>
              <w:bottom w:val="nil" w:sz="6" w:space="0" w:color="auto"/>
              <w:right w:val="nil" w:sz="6" w:space="0" w:color="auto"/>
            </w:tcBorders>
          </w:tcPr>
          <w:p>
            <w:pPr>
              <w:pStyle w:val="TableParagraph"/>
              <w:spacing w:line="226" w:lineRule="exact"/>
              <w:ind w:left="39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2683" w:type="dxa"/>
            <w:tcBorders>
              <w:top w:val="nil" w:sz="6" w:space="0" w:color="auto"/>
              <w:left w:val="nil" w:sz="6" w:space="0" w:color="auto"/>
              <w:bottom w:val="nil" w:sz="6" w:space="0" w:color="auto"/>
              <w:right w:val="nil" w:sz="6" w:space="0" w:color="auto"/>
            </w:tcBorders>
          </w:tcPr>
          <w:p>
            <w:pPr>
              <w:pStyle w:val="TableParagraph"/>
              <w:spacing w:line="216" w:lineRule="exact"/>
              <w:ind w:right="265"/>
              <w:jc w:val="right"/>
              <w:rPr>
                <w:rFonts w:ascii="宋体" w:hAnsi="宋体" w:cs="宋体" w:eastAsia="宋体" w:hint="default"/>
                <w:sz w:val="18"/>
                <w:szCs w:val="18"/>
              </w:rPr>
            </w:pPr>
            <w:r>
              <w:rPr>
                <w:rFonts w:ascii="宋体"/>
                <w:sz w:val="18"/>
              </w:rPr>
              <w:t>-</w:t>
            </w:r>
          </w:p>
        </w:tc>
        <w:tc>
          <w:tcPr>
            <w:tcW w:w="1609" w:type="dxa"/>
            <w:tcBorders>
              <w:top w:val="nil" w:sz="6" w:space="0" w:color="auto"/>
              <w:left w:val="nil" w:sz="6" w:space="0" w:color="auto"/>
              <w:bottom w:val="nil" w:sz="6" w:space="0" w:color="auto"/>
              <w:right w:val="nil" w:sz="6" w:space="0" w:color="auto"/>
            </w:tcBorders>
          </w:tcPr>
          <w:p>
            <w:pPr>
              <w:pStyle w:val="TableParagraph"/>
              <w:spacing w:line="216" w:lineRule="exact"/>
              <w:ind w:right="83"/>
              <w:jc w:val="right"/>
              <w:rPr>
                <w:rFonts w:ascii="宋体" w:hAnsi="宋体" w:cs="宋体" w:eastAsia="宋体" w:hint="default"/>
                <w:sz w:val="18"/>
                <w:szCs w:val="18"/>
              </w:rPr>
            </w:pPr>
            <w:r>
              <w:rPr>
                <w:rFonts w:ascii="宋体"/>
                <w:sz w:val="18"/>
              </w:rPr>
              <w:t>-</w:t>
            </w:r>
          </w:p>
        </w:tc>
        <w:tc>
          <w:tcPr>
            <w:tcW w:w="1144" w:type="dxa"/>
            <w:tcBorders>
              <w:top w:val="nil" w:sz="6" w:space="0" w:color="auto"/>
              <w:left w:val="nil" w:sz="6" w:space="0" w:color="auto"/>
              <w:bottom w:val="nil" w:sz="6" w:space="0" w:color="auto"/>
              <w:right w:val="nil" w:sz="6" w:space="0" w:color="auto"/>
            </w:tcBorders>
          </w:tcPr>
          <w:p>
            <w:pPr>
              <w:pStyle w:val="TableParagraph"/>
              <w:spacing w:line="216" w:lineRule="exact"/>
              <w:ind w:right="104"/>
              <w:jc w:val="right"/>
              <w:rPr>
                <w:rFonts w:ascii="宋体" w:hAnsi="宋体" w:cs="宋体" w:eastAsia="宋体" w:hint="default"/>
                <w:sz w:val="18"/>
                <w:szCs w:val="18"/>
              </w:rPr>
            </w:pPr>
            <w:r>
              <w:rPr>
                <w:rFonts w:ascii="宋体"/>
                <w:sz w:val="18"/>
              </w:rPr>
              <w:t>-</w:t>
            </w:r>
          </w:p>
        </w:tc>
        <w:tc>
          <w:tcPr>
            <w:tcW w:w="62"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16" w:lineRule="exact"/>
              <w:ind w:right="25"/>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1226" w:type="dxa"/>
            <w:tcBorders>
              <w:top w:val="nil" w:sz="6" w:space="0" w:color="auto"/>
              <w:left w:val="nil" w:sz="6" w:space="0" w:color="auto"/>
              <w:bottom w:val="nil" w:sz="6" w:space="0" w:color="auto"/>
              <w:right w:val="nil" w:sz="6" w:space="0" w:color="auto"/>
            </w:tcBorders>
          </w:tcPr>
          <w:p>
            <w:pPr>
              <w:pStyle w:val="TableParagraph"/>
              <w:spacing w:line="216" w:lineRule="exact"/>
              <w:ind w:right="25"/>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nil" w:sz="6" w:space="0" w:color="auto"/>
              <w:right w:val="nil" w:sz="6" w:space="0" w:color="auto"/>
            </w:tcBorders>
          </w:tcPr>
          <w:p>
            <w:pPr>
              <w:pStyle w:val="TableParagraph"/>
              <w:spacing w:line="216" w:lineRule="exact"/>
              <w:ind w:right="25"/>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1411" w:type="dxa"/>
            <w:tcBorders>
              <w:top w:val="nil" w:sz="6" w:space="0" w:color="auto"/>
              <w:left w:val="nil" w:sz="6" w:space="0" w:color="auto"/>
              <w:bottom w:val="nil" w:sz="6" w:space="0" w:color="auto"/>
              <w:right w:val="nil" w:sz="6" w:space="0" w:color="auto"/>
            </w:tcBorders>
          </w:tcPr>
          <w:p>
            <w:pPr>
              <w:pStyle w:val="TableParagraph"/>
              <w:spacing w:line="216" w:lineRule="exact"/>
              <w:ind w:right="25"/>
              <w:jc w:val="right"/>
              <w:rPr>
                <w:rFonts w:ascii="宋体" w:hAnsi="宋体" w:cs="宋体" w:eastAsia="宋体" w:hint="default"/>
                <w:sz w:val="18"/>
                <w:szCs w:val="18"/>
              </w:rPr>
            </w:pPr>
            <w:r>
              <w:rPr>
                <w:rFonts w:ascii="宋体"/>
                <w:sz w:val="18"/>
              </w:rPr>
              <w:t>-</w:t>
            </w:r>
          </w:p>
        </w:tc>
        <w:tc>
          <w:tcPr>
            <w:tcW w:w="146"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Style w:val="TableParagraph"/>
              <w:spacing w:line="216" w:lineRule="exact"/>
              <w:ind w:right="25"/>
              <w:jc w:val="right"/>
              <w:rPr>
                <w:rFonts w:ascii="宋体" w:hAnsi="宋体" w:cs="宋体" w:eastAsia="宋体" w:hint="default"/>
                <w:sz w:val="18"/>
                <w:szCs w:val="18"/>
              </w:rPr>
            </w:pPr>
            <w:r>
              <w:rPr>
                <w:rFonts w:ascii="宋体"/>
                <w:sz w:val="18"/>
              </w:rPr>
              <w:t>-</w:t>
            </w:r>
          </w:p>
        </w:tc>
      </w:tr>
      <w:tr>
        <w:trPr>
          <w:trHeight w:val="260" w:hRule="exact"/>
        </w:trPr>
        <w:tc>
          <w:tcPr>
            <w:tcW w:w="108" w:type="dxa"/>
            <w:tcBorders>
              <w:top w:val="nil" w:sz="6" w:space="0" w:color="auto"/>
              <w:left w:val="nil" w:sz="6" w:space="0" w:color="auto"/>
              <w:bottom w:val="nil" w:sz="6" w:space="0" w:color="auto"/>
              <w:right w:val="nil" w:sz="6" w:space="0" w:color="auto"/>
            </w:tcBorders>
          </w:tcPr>
          <w:p>
            <w:pPr/>
          </w:p>
        </w:tc>
        <w:tc>
          <w:tcPr>
            <w:tcW w:w="3036" w:type="dxa"/>
            <w:tcBorders>
              <w:top w:val="nil" w:sz="6" w:space="0" w:color="auto"/>
              <w:left w:val="nil" w:sz="6" w:space="0" w:color="auto"/>
              <w:bottom w:val="nil" w:sz="6" w:space="0" w:color="auto"/>
              <w:right w:val="nil" w:sz="6" w:space="0" w:color="auto"/>
            </w:tcBorders>
          </w:tcPr>
          <w:p>
            <w:pPr>
              <w:pStyle w:val="TableParagraph"/>
              <w:spacing w:line="224" w:lineRule="exact"/>
              <w:ind w:left="39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2683" w:type="dxa"/>
            <w:tcBorders>
              <w:top w:val="nil" w:sz="6" w:space="0" w:color="auto"/>
              <w:left w:val="nil" w:sz="6" w:space="0" w:color="auto"/>
              <w:bottom w:val="nil" w:sz="6" w:space="0" w:color="auto"/>
              <w:right w:val="nil" w:sz="6" w:space="0" w:color="auto"/>
            </w:tcBorders>
          </w:tcPr>
          <w:p>
            <w:pPr>
              <w:pStyle w:val="TableParagraph"/>
              <w:spacing w:line="215" w:lineRule="exact"/>
              <w:ind w:right="265"/>
              <w:jc w:val="right"/>
              <w:rPr>
                <w:rFonts w:ascii="宋体" w:hAnsi="宋体" w:cs="宋体" w:eastAsia="宋体" w:hint="default"/>
                <w:sz w:val="18"/>
                <w:szCs w:val="18"/>
              </w:rPr>
            </w:pPr>
            <w:r>
              <w:rPr>
                <w:rFonts w:ascii="宋体"/>
                <w:sz w:val="18"/>
              </w:rPr>
              <w:t>-</w:t>
            </w:r>
          </w:p>
        </w:tc>
        <w:tc>
          <w:tcPr>
            <w:tcW w:w="1609" w:type="dxa"/>
            <w:tcBorders>
              <w:top w:val="nil" w:sz="6" w:space="0" w:color="auto"/>
              <w:left w:val="nil" w:sz="6" w:space="0" w:color="auto"/>
              <w:bottom w:val="nil" w:sz="6" w:space="0" w:color="auto"/>
              <w:right w:val="nil" w:sz="6" w:space="0" w:color="auto"/>
            </w:tcBorders>
          </w:tcPr>
          <w:p>
            <w:pPr>
              <w:pStyle w:val="TableParagraph"/>
              <w:spacing w:line="215" w:lineRule="exact"/>
              <w:ind w:right="83"/>
              <w:jc w:val="right"/>
              <w:rPr>
                <w:rFonts w:ascii="宋体" w:hAnsi="宋体" w:cs="宋体" w:eastAsia="宋体" w:hint="default"/>
                <w:sz w:val="18"/>
                <w:szCs w:val="18"/>
              </w:rPr>
            </w:pPr>
            <w:r>
              <w:rPr>
                <w:rFonts w:ascii="宋体"/>
                <w:sz w:val="18"/>
              </w:rPr>
              <w:t>-</w:t>
            </w:r>
          </w:p>
        </w:tc>
        <w:tc>
          <w:tcPr>
            <w:tcW w:w="1144" w:type="dxa"/>
            <w:tcBorders>
              <w:top w:val="nil" w:sz="6" w:space="0" w:color="auto"/>
              <w:left w:val="nil" w:sz="6" w:space="0" w:color="auto"/>
              <w:bottom w:val="nil" w:sz="6" w:space="0" w:color="auto"/>
              <w:right w:val="nil" w:sz="6" w:space="0" w:color="auto"/>
            </w:tcBorders>
          </w:tcPr>
          <w:p>
            <w:pPr>
              <w:pStyle w:val="TableParagraph"/>
              <w:spacing w:line="215" w:lineRule="exact"/>
              <w:ind w:right="104"/>
              <w:jc w:val="right"/>
              <w:rPr>
                <w:rFonts w:ascii="宋体" w:hAnsi="宋体" w:cs="宋体" w:eastAsia="宋体" w:hint="default"/>
                <w:sz w:val="18"/>
                <w:szCs w:val="18"/>
              </w:rPr>
            </w:pPr>
            <w:r>
              <w:rPr>
                <w:rFonts w:ascii="宋体"/>
                <w:sz w:val="18"/>
              </w:rPr>
              <w:t>-</w:t>
            </w:r>
          </w:p>
        </w:tc>
        <w:tc>
          <w:tcPr>
            <w:tcW w:w="62"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15" w:lineRule="exact"/>
              <w:ind w:right="25"/>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1226" w:type="dxa"/>
            <w:tcBorders>
              <w:top w:val="nil" w:sz="6" w:space="0" w:color="auto"/>
              <w:left w:val="nil" w:sz="6" w:space="0" w:color="auto"/>
              <w:bottom w:val="nil" w:sz="6" w:space="0" w:color="auto"/>
              <w:right w:val="nil" w:sz="6" w:space="0" w:color="auto"/>
            </w:tcBorders>
          </w:tcPr>
          <w:p>
            <w:pPr>
              <w:pStyle w:val="TableParagraph"/>
              <w:spacing w:line="215" w:lineRule="exact"/>
              <w:ind w:right="25"/>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nil" w:sz="6" w:space="0" w:color="auto"/>
              <w:right w:val="nil" w:sz="6" w:space="0" w:color="auto"/>
            </w:tcBorders>
          </w:tcPr>
          <w:p>
            <w:pPr>
              <w:pStyle w:val="TableParagraph"/>
              <w:spacing w:line="215" w:lineRule="exact"/>
              <w:ind w:right="25"/>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1411" w:type="dxa"/>
            <w:tcBorders>
              <w:top w:val="nil" w:sz="6" w:space="0" w:color="auto"/>
              <w:left w:val="nil" w:sz="6" w:space="0" w:color="auto"/>
              <w:bottom w:val="nil" w:sz="6" w:space="0" w:color="auto"/>
              <w:right w:val="nil" w:sz="6" w:space="0" w:color="auto"/>
            </w:tcBorders>
          </w:tcPr>
          <w:p>
            <w:pPr>
              <w:pStyle w:val="TableParagraph"/>
              <w:spacing w:line="215" w:lineRule="exact"/>
              <w:ind w:right="25"/>
              <w:jc w:val="right"/>
              <w:rPr>
                <w:rFonts w:ascii="宋体" w:hAnsi="宋体" w:cs="宋体" w:eastAsia="宋体" w:hint="default"/>
                <w:sz w:val="18"/>
                <w:szCs w:val="18"/>
              </w:rPr>
            </w:pPr>
            <w:r>
              <w:rPr>
                <w:rFonts w:ascii="宋体"/>
                <w:sz w:val="18"/>
              </w:rPr>
              <w:t>-</w:t>
            </w:r>
          </w:p>
        </w:tc>
        <w:tc>
          <w:tcPr>
            <w:tcW w:w="146"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Style w:val="TableParagraph"/>
              <w:spacing w:line="215" w:lineRule="exact"/>
              <w:ind w:right="25"/>
              <w:jc w:val="right"/>
              <w:rPr>
                <w:rFonts w:ascii="宋体" w:hAnsi="宋体" w:cs="宋体" w:eastAsia="宋体" w:hint="default"/>
                <w:sz w:val="18"/>
                <w:szCs w:val="18"/>
              </w:rPr>
            </w:pPr>
            <w:r>
              <w:rPr>
                <w:rFonts w:ascii="宋体"/>
                <w:sz w:val="18"/>
              </w:rPr>
              <w:t>-</w:t>
            </w:r>
          </w:p>
        </w:tc>
      </w:tr>
      <w:tr>
        <w:trPr>
          <w:trHeight w:val="259" w:hRule="exact"/>
        </w:trPr>
        <w:tc>
          <w:tcPr>
            <w:tcW w:w="108" w:type="dxa"/>
            <w:tcBorders>
              <w:top w:val="nil" w:sz="6" w:space="0" w:color="auto"/>
              <w:left w:val="nil" w:sz="6" w:space="0" w:color="auto"/>
              <w:bottom w:val="nil" w:sz="6" w:space="0" w:color="auto"/>
              <w:right w:val="nil" w:sz="6" w:space="0" w:color="auto"/>
            </w:tcBorders>
          </w:tcPr>
          <w:p>
            <w:pPr/>
          </w:p>
        </w:tc>
        <w:tc>
          <w:tcPr>
            <w:tcW w:w="3036" w:type="dxa"/>
            <w:tcBorders>
              <w:top w:val="nil" w:sz="6" w:space="0" w:color="auto"/>
              <w:left w:val="nil" w:sz="6" w:space="0" w:color="auto"/>
              <w:bottom w:val="nil" w:sz="6" w:space="0" w:color="auto"/>
              <w:right w:val="nil" w:sz="6" w:space="0" w:color="auto"/>
            </w:tcBorders>
          </w:tcPr>
          <w:p>
            <w:pPr>
              <w:pStyle w:val="TableParagraph"/>
              <w:spacing w:line="223" w:lineRule="exact"/>
              <w:ind w:left="28"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2683" w:type="dxa"/>
            <w:tcBorders>
              <w:top w:val="nil" w:sz="6" w:space="0" w:color="auto"/>
              <w:left w:val="nil" w:sz="6" w:space="0" w:color="auto"/>
              <w:bottom w:val="nil" w:sz="6" w:space="0" w:color="auto"/>
              <w:right w:val="nil" w:sz="6" w:space="0" w:color="auto"/>
            </w:tcBorders>
          </w:tcPr>
          <w:p>
            <w:pPr>
              <w:pStyle w:val="TableParagraph"/>
              <w:spacing w:line="216" w:lineRule="exact"/>
              <w:ind w:right="265"/>
              <w:jc w:val="right"/>
              <w:rPr>
                <w:rFonts w:ascii="宋体" w:hAnsi="宋体" w:cs="宋体" w:eastAsia="宋体" w:hint="default"/>
                <w:sz w:val="18"/>
                <w:szCs w:val="18"/>
              </w:rPr>
            </w:pPr>
            <w:r>
              <w:rPr>
                <w:rFonts w:ascii="宋体"/>
                <w:sz w:val="18"/>
              </w:rPr>
              <w:t>-</w:t>
            </w:r>
          </w:p>
        </w:tc>
        <w:tc>
          <w:tcPr>
            <w:tcW w:w="1609" w:type="dxa"/>
            <w:tcBorders>
              <w:top w:val="nil" w:sz="6" w:space="0" w:color="auto"/>
              <w:left w:val="nil" w:sz="6" w:space="0" w:color="auto"/>
              <w:bottom w:val="nil" w:sz="6" w:space="0" w:color="auto"/>
              <w:right w:val="nil" w:sz="6" w:space="0" w:color="auto"/>
            </w:tcBorders>
          </w:tcPr>
          <w:p>
            <w:pPr>
              <w:pStyle w:val="TableParagraph"/>
              <w:spacing w:line="216" w:lineRule="exact"/>
              <w:ind w:right="83"/>
              <w:jc w:val="right"/>
              <w:rPr>
                <w:rFonts w:ascii="宋体" w:hAnsi="宋体" w:cs="宋体" w:eastAsia="宋体" w:hint="default"/>
                <w:sz w:val="18"/>
                <w:szCs w:val="18"/>
              </w:rPr>
            </w:pPr>
            <w:r>
              <w:rPr>
                <w:rFonts w:ascii="宋体"/>
                <w:sz w:val="18"/>
              </w:rPr>
              <w:t>-</w:t>
            </w:r>
          </w:p>
        </w:tc>
        <w:tc>
          <w:tcPr>
            <w:tcW w:w="1144" w:type="dxa"/>
            <w:tcBorders>
              <w:top w:val="nil" w:sz="6" w:space="0" w:color="auto"/>
              <w:left w:val="nil" w:sz="6" w:space="0" w:color="auto"/>
              <w:bottom w:val="nil" w:sz="6" w:space="0" w:color="auto"/>
              <w:right w:val="nil" w:sz="6" w:space="0" w:color="auto"/>
            </w:tcBorders>
          </w:tcPr>
          <w:p>
            <w:pPr>
              <w:pStyle w:val="TableParagraph"/>
              <w:spacing w:line="216" w:lineRule="exact"/>
              <w:ind w:right="104"/>
              <w:jc w:val="right"/>
              <w:rPr>
                <w:rFonts w:ascii="宋体" w:hAnsi="宋体" w:cs="宋体" w:eastAsia="宋体" w:hint="default"/>
                <w:sz w:val="18"/>
                <w:szCs w:val="18"/>
              </w:rPr>
            </w:pPr>
            <w:r>
              <w:rPr>
                <w:rFonts w:ascii="宋体"/>
                <w:sz w:val="18"/>
              </w:rPr>
              <w:t>-</w:t>
            </w:r>
          </w:p>
        </w:tc>
        <w:tc>
          <w:tcPr>
            <w:tcW w:w="62"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16" w:lineRule="exact"/>
              <w:ind w:right="25"/>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1226" w:type="dxa"/>
            <w:tcBorders>
              <w:top w:val="nil" w:sz="6" w:space="0" w:color="auto"/>
              <w:left w:val="nil" w:sz="6" w:space="0" w:color="auto"/>
              <w:bottom w:val="nil" w:sz="6" w:space="0" w:color="auto"/>
              <w:right w:val="nil" w:sz="6" w:space="0" w:color="auto"/>
            </w:tcBorders>
          </w:tcPr>
          <w:p>
            <w:pPr>
              <w:pStyle w:val="TableParagraph"/>
              <w:spacing w:line="216" w:lineRule="exact"/>
              <w:ind w:right="25"/>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nil" w:sz="6" w:space="0" w:color="auto"/>
              <w:right w:val="nil" w:sz="6" w:space="0" w:color="auto"/>
            </w:tcBorders>
          </w:tcPr>
          <w:p>
            <w:pPr>
              <w:pStyle w:val="TableParagraph"/>
              <w:spacing w:line="216" w:lineRule="exact"/>
              <w:ind w:right="25"/>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1411" w:type="dxa"/>
            <w:tcBorders>
              <w:top w:val="nil" w:sz="6" w:space="0" w:color="auto"/>
              <w:left w:val="nil" w:sz="6" w:space="0" w:color="auto"/>
              <w:bottom w:val="nil" w:sz="6" w:space="0" w:color="auto"/>
              <w:right w:val="nil" w:sz="6" w:space="0" w:color="auto"/>
            </w:tcBorders>
          </w:tcPr>
          <w:p>
            <w:pPr>
              <w:pStyle w:val="TableParagraph"/>
              <w:spacing w:line="216" w:lineRule="exact"/>
              <w:ind w:right="25"/>
              <w:jc w:val="right"/>
              <w:rPr>
                <w:rFonts w:ascii="宋体" w:hAnsi="宋体" w:cs="宋体" w:eastAsia="宋体" w:hint="default"/>
                <w:sz w:val="18"/>
                <w:szCs w:val="18"/>
              </w:rPr>
            </w:pPr>
            <w:r>
              <w:rPr>
                <w:rFonts w:ascii="宋体"/>
                <w:sz w:val="18"/>
              </w:rPr>
              <w:t>-</w:t>
            </w:r>
          </w:p>
        </w:tc>
        <w:tc>
          <w:tcPr>
            <w:tcW w:w="146"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Style w:val="TableParagraph"/>
              <w:spacing w:line="216" w:lineRule="exact"/>
              <w:ind w:right="25"/>
              <w:jc w:val="right"/>
              <w:rPr>
                <w:rFonts w:ascii="宋体" w:hAnsi="宋体" w:cs="宋体" w:eastAsia="宋体" w:hint="default"/>
                <w:sz w:val="18"/>
                <w:szCs w:val="18"/>
              </w:rPr>
            </w:pPr>
            <w:r>
              <w:rPr>
                <w:rFonts w:ascii="宋体"/>
                <w:sz w:val="18"/>
              </w:rPr>
              <w:t>-</w:t>
            </w:r>
          </w:p>
        </w:tc>
      </w:tr>
      <w:tr>
        <w:trPr>
          <w:trHeight w:val="260" w:hRule="exact"/>
        </w:trPr>
        <w:tc>
          <w:tcPr>
            <w:tcW w:w="108" w:type="dxa"/>
            <w:tcBorders>
              <w:top w:val="nil" w:sz="6" w:space="0" w:color="auto"/>
              <w:left w:val="nil" w:sz="6" w:space="0" w:color="auto"/>
              <w:bottom w:val="nil" w:sz="6" w:space="0" w:color="auto"/>
              <w:right w:val="nil" w:sz="6" w:space="0" w:color="auto"/>
            </w:tcBorders>
          </w:tcPr>
          <w:p>
            <w:pPr/>
          </w:p>
        </w:tc>
        <w:tc>
          <w:tcPr>
            <w:tcW w:w="3036" w:type="dxa"/>
            <w:tcBorders>
              <w:top w:val="nil" w:sz="6" w:space="0" w:color="auto"/>
              <w:left w:val="nil" w:sz="6" w:space="0" w:color="auto"/>
              <w:bottom w:val="nil" w:sz="6" w:space="0" w:color="auto"/>
              <w:right w:val="nil" w:sz="6" w:space="0" w:color="auto"/>
            </w:tcBorders>
          </w:tcPr>
          <w:p>
            <w:pPr>
              <w:pStyle w:val="TableParagraph"/>
              <w:spacing w:line="226" w:lineRule="exact"/>
              <w:ind w:left="39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．提取专项储备</w:t>
            </w:r>
          </w:p>
        </w:tc>
        <w:tc>
          <w:tcPr>
            <w:tcW w:w="2683" w:type="dxa"/>
            <w:tcBorders>
              <w:top w:val="nil" w:sz="6" w:space="0" w:color="auto"/>
              <w:left w:val="nil" w:sz="6" w:space="0" w:color="auto"/>
              <w:bottom w:val="nil" w:sz="6" w:space="0" w:color="auto"/>
              <w:right w:val="nil" w:sz="6" w:space="0" w:color="auto"/>
            </w:tcBorders>
          </w:tcPr>
          <w:p>
            <w:pPr>
              <w:pStyle w:val="TableParagraph"/>
              <w:spacing w:line="216" w:lineRule="exact"/>
              <w:ind w:right="265"/>
              <w:jc w:val="right"/>
              <w:rPr>
                <w:rFonts w:ascii="宋体" w:hAnsi="宋体" w:cs="宋体" w:eastAsia="宋体" w:hint="default"/>
                <w:sz w:val="18"/>
                <w:szCs w:val="18"/>
              </w:rPr>
            </w:pPr>
            <w:r>
              <w:rPr>
                <w:rFonts w:ascii="宋体"/>
                <w:sz w:val="18"/>
              </w:rPr>
              <w:t>-</w:t>
            </w:r>
          </w:p>
        </w:tc>
        <w:tc>
          <w:tcPr>
            <w:tcW w:w="1609" w:type="dxa"/>
            <w:tcBorders>
              <w:top w:val="nil" w:sz="6" w:space="0" w:color="auto"/>
              <w:left w:val="nil" w:sz="6" w:space="0" w:color="auto"/>
              <w:bottom w:val="nil" w:sz="6" w:space="0" w:color="auto"/>
              <w:right w:val="nil" w:sz="6" w:space="0" w:color="auto"/>
            </w:tcBorders>
          </w:tcPr>
          <w:p>
            <w:pPr>
              <w:pStyle w:val="TableParagraph"/>
              <w:spacing w:line="216" w:lineRule="exact"/>
              <w:ind w:right="83"/>
              <w:jc w:val="right"/>
              <w:rPr>
                <w:rFonts w:ascii="宋体" w:hAnsi="宋体" w:cs="宋体" w:eastAsia="宋体" w:hint="default"/>
                <w:sz w:val="18"/>
                <w:szCs w:val="18"/>
              </w:rPr>
            </w:pPr>
            <w:r>
              <w:rPr>
                <w:rFonts w:ascii="宋体"/>
                <w:sz w:val="18"/>
              </w:rPr>
              <w:t>-</w:t>
            </w:r>
          </w:p>
        </w:tc>
        <w:tc>
          <w:tcPr>
            <w:tcW w:w="1144" w:type="dxa"/>
            <w:tcBorders>
              <w:top w:val="nil" w:sz="6" w:space="0" w:color="auto"/>
              <w:left w:val="nil" w:sz="6" w:space="0" w:color="auto"/>
              <w:bottom w:val="nil" w:sz="6" w:space="0" w:color="auto"/>
              <w:right w:val="nil" w:sz="6" w:space="0" w:color="auto"/>
            </w:tcBorders>
          </w:tcPr>
          <w:p>
            <w:pPr>
              <w:pStyle w:val="TableParagraph"/>
              <w:spacing w:line="216" w:lineRule="exact"/>
              <w:ind w:right="104"/>
              <w:jc w:val="right"/>
              <w:rPr>
                <w:rFonts w:ascii="宋体" w:hAnsi="宋体" w:cs="宋体" w:eastAsia="宋体" w:hint="default"/>
                <w:sz w:val="18"/>
                <w:szCs w:val="18"/>
              </w:rPr>
            </w:pPr>
            <w:r>
              <w:rPr>
                <w:rFonts w:ascii="宋体"/>
                <w:sz w:val="18"/>
              </w:rPr>
              <w:t>-</w:t>
            </w:r>
          </w:p>
        </w:tc>
        <w:tc>
          <w:tcPr>
            <w:tcW w:w="62"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16" w:lineRule="exact"/>
              <w:ind w:right="25"/>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1226" w:type="dxa"/>
            <w:tcBorders>
              <w:top w:val="nil" w:sz="6" w:space="0" w:color="auto"/>
              <w:left w:val="nil" w:sz="6" w:space="0" w:color="auto"/>
              <w:bottom w:val="nil" w:sz="6" w:space="0" w:color="auto"/>
              <w:right w:val="nil" w:sz="6" w:space="0" w:color="auto"/>
            </w:tcBorders>
          </w:tcPr>
          <w:p>
            <w:pPr>
              <w:pStyle w:val="TableParagraph"/>
              <w:spacing w:line="216" w:lineRule="exact"/>
              <w:ind w:right="25"/>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nil" w:sz="6" w:space="0" w:color="auto"/>
              <w:right w:val="nil" w:sz="6" w:space="0" w:color="auto"/>
            </w:tcBorders>
          </w:tcPr>
          <w:p>
            <w:pPr>
              <w:pStyle w:val="TableParagraph"/>
              <w:spacing w:line="216" w:lineRule="exact"/>
              <w:ind w:right="25"/>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1411" w:type="dxa"/>
            <w:tcBorders>
              <w:top w:val="nil" w:sz="6" w:space="0" w:color="auto"/>
              <w:left w:val="nil" w:sz="6" w:space="0" w:color="auto"/>
              <w:bottom w:val="nil" w:sz="6" w:space="0" w:color="auto"/>
              <w:right w:val="nil" w:sz="6" w:space="0" w:color="auto"/>
            </w:tcBorders>
          </w:tcPr>
          <w:p>
            <w:pPr>
              <w:pStyle w:val="TableParagraph"/>
              <w:spacing w:line="216" w:lineRule="exact"/>
              <w:ind w:right="25"/>
              <w:jc w:val="right"/>
              <w:rPr>
                <w:rFonts w:ascii="宋体" w:hAnsi="宋体" w:cs="宋体" w:eastAsia="宋体" w:hint="default"/>
                <w:sz w:val="18"/>
                <w:szCs w:val="18"/>
              </w:rPr>
            </w:pPr>
            <w:r>
              <w:rPr>
                <w:rFonts w:ascii="宋体"/>
                <w:sz w:val="18"/>
              </w:rPr>
              <w:t>-</w:t>
            </w:r>
          </w:p>
        </w:tc>
        <w:tc>
          <w:tcPr>
            <w:tcW w:w="146"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Style w:val="TableParagraph"/>
              <w:spacing w:line="216" w:lineRule="exact"/>
              <w:ind w:right="25"/>
              <w:jc w:val="right"/>
              <w:rPr>
                <w:rFonts w:ascii="宋体" w:hAnsi="宋体" w:cs="宋体" w:eastAsia="宋体" w:hint="default"/>
                <w:sz w:val="18"/>
                <w:szCs w:val="18"/>
              </w:rPr>
            </w:pPr>
            <w:r>
              <w:rPr>
                <w:rFonts w:ascii="宋体"/>
                <w:sz w:val="18"/>
              </w:rPr>
              <w:t>-</w:t>
            </w:r>
          </w:p>
        </w:tc>
      </w:tr>
      <w:tr>
        <w:trPr>
          <w:trHeight w:val="260" w:hRule="exact"/>
        </w:trPr>
        <w:tc>
          <w:tcPr>
            <w:tcW w:w="108" w:type="dxa"/>
            <w:tcBorders>
              <w:top w:val="nil" w:sz="6" w:space="0" w:color="auto"/>
              <w:left w:val="nil" w:sz="6" w:space="0" w:color="auto"/>
              <w:bottom w:val="nil" w:sz="6" w:space="0" w:color="auto"/>
              <w:right w:val="nil" w:sz="6" w:space="0" w:color="auto"/>
            </w:tcBorders>
          </w:tcPr>
          <w:p>
            <w:pPr/>
          </w:p>
        </w:tc>
        <w:tc>
          <w:tcPr>
            <w:tcW w:w="3036" w:type="dxa"/>
            <w:tcBorders>
              <w:top w:val="nil" w:sz="6" w:space="0" w:color="auto"/>
              <w:left w:val="nil" w:sz="6" w:space="0" w:color="auto"/>
              <w:bottom w:val="nil" w:sz="6" w:space="0" w:color="auto"/>
              <w:right w:val="nil" w:sz="6" w:space="0" w:color="auto"/>
            </w:tcBorders>
          </w:tcPr>
          <w:p>
            <w:pPr>
              <w:pStyle w:val="TableParagraph"/>
              <w:spacing w:line="224" w:lineRule="exact"/>
              <w:ind w:left="39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．使用专项储备</w:t>
            </w:r>
          </w:p>
        </w:tc>
        <w:tc>
          <w:tcPr>
            <w:tcW w:w="2683" w:type="dxa"/>
            <w:tcBorders>
              <w:top w:val="nil" w:sz="6" w:space="0" w:color="auto"/>
              <w:left w:val="nil" w:sz="6" w:space="0" w:color="auto"/>
              <w:bottom w:val="nil" w:sz="6" w:space="0" w:color="auto"/>
              <w:right w:val="nil" w:sz="6" w:space="0" w:color="auto"/>
            </w:tcBorders>
          </w:tcPr>
          <w:p>
            <w:pPr>
              <w:pStyle w:val="TableParagraph"/>
              <w:spacing w:line="215" w:lineRule="exact"/>
              <w:ind w:right="265"/>
              <w:jc w:val="right"/>
              <w:rPr>
                <w:rFonts w:ascii="宋体" w:hAnsi="宋体" w:cs="宋体" w:eastAsia="宋体" w:hint="default"/>
                <w:sz w:val="18"/>
                <w:szCs w:val="18"/>
              </w:rPr>
            </w:pPr>
            <w:r>
              <w:rPr>
                <w:rFonts w:ascii="宋体"/>
                <w:sz w:val="18"/>
              </w:rPr>
              <w:t>-</w:t>
            </w:r>
          </w:p>
        </w:tc>
        <w:tc>
          <w:tcPr>
            <w:tcW w:w="1609" w:type="dxa"/>
            <w:tcBorders>
              <w:top w:val="nil" w:sz="6" w:space="0" w:color="auto"/>
              <w:left w:val="nil" w:sz="6" w:space="0" w:color="auto"/>
              <w:bottom w:val="nil" w:sz="6" w:space="0" w:color="auto"/>
              <w:right w:val="nil" w:sz="6" w:space="0" w:color="auto"/>
            </w:tcBorders>
          </w:tcPr>
          <w:p>
            <w:pPr>
              <w:pStyle w:val="TableParagraph"/>
              <w:spacing w:line="215" w:lineRule="exact"/>
              <w:ind w:right="83"/>
              <w:jc w:val="right"/>
              <w:rPr>
                <w:rFonts w:ascii="宋体" w:hAnsi="宋体" w:cs="宋体" w:eastAsia="宋体" w:hint="default"/>
                <w:sz w:val="18"/>
                <w:szCs w:val="18"/>
              </w:rPr>
            </w:pPr>
            <w:r>
              <w:rPr>
                <w:rFonts w:ascii="宋体"/>
                <w:sz w:val="18"/>
              </w:rPr>
              <w:t>-</w:t>
            </w:r>
          </w:p>
        </w:tc>
        <w:tc>
          <w:tcPr>
            <w:tcW w:w="1144" w:type="dxa"/>
            <w:tcBorders>
              <w:top w:val="nil" w:sz="6" w:space="0" w:color="auto"/>
              <w:left w:val="nil" w:sz="6" w:space="0" w:color="auto"/>
              <w:bottom w:val="nil" w:sz="6" w:space="0" w:color="auto"/>
              <w:right w:val="nil" w:sz="6" w:space="0" w:color="auto"/>
            </w:tcBorders>
          </w:tcPr>
          <w:p>
            <w:pPr>
              <w:pStyle w:val="TableParagraph"/>
              <w:spacing w:line="215" w:lineRule="exact"/>
              <w:ind w:right="104"/>
              <w:jc w:val="right"/>
              <w:rPr>
                <w:rFonts w:ascii="宋体" w:hAnsi="宋体" w:cs="宋体" w:eastAsia="宋体" w:hint="default"/>
                <w:sz w:val="18"/>
                <w:szCs w:val="18"/>
              </w:rPr>
            </w:pPr>
            <w:r>
              <w:rPr>
                <w:rFonts w:ascii="宋体"/>
                <w:sz w:val="18"/>
              </w:rPr>
              <w:t>-</w:t>
            </w:r>
          </w:p>
        </w:tc>
        <w:tc>
          <w:tcPr>
            <w:tcW w:w="62"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15" w:lineRule="exact"/>
              <w:ind w:right="25"/>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1226" w:type="dxa"/>
            <w:tcBorders>
              <w:top w:val="nil" w:sz="6" w:space="0" w:color="auto"/>
              <w:left w:val="nil" w:sz="6" w:space="0" w:color="auto"/>
              <w:bottom w:val="nil" w:sz="6" w:space="0" w:color="auto"/>
              <w:right w:val="nil" w:sz="6" w:space="0" w:color="auto"/>
            </w:tcBorders>
          </w:tcPr>
          <w:p>
            <w:pPr>
              <w:pStyle w:val="TableParagraph"/>
              <w:spacing w:line="215" w:lineRule="exact"/>
              <w:ind w:right="25"/>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nil" w:sz="6" w:space="0" w:color="auto"/>
              <w:right w:val="nil" w:sz="6" w:space="0" w:color="auto"/>
            </w:tcBorders>
          </w:tcPr>
          <w:p>
            <w:pPr>
              <w:pStyle w:val="TableParagraph"/>
              <w:spacing w:line="215" w:lineRule="exact"/>
              <w:ind w:right="25"/>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1411" w:type="dxa"/>
            <w:tcBorders>
              <w:top w:val="nil" w:sz="6" w:space="0" w:color="auto"/>
              <w:left w:val="nil" w:sz="6" w:space="0" w:color="auto"/>
              <w:bottom w:val="nil" w:sz="6" w:space="0" w:color="auto"/>
              <w:right w:val="nil" w:sz="6" w:space="0" w:color="auto"/>
            </w:tcBorders>
          </w:tcPr>
          <w:p>
            <w:pPr>
              <w:pStyle w:val="TableParagraph"/>
              <w:spacing w:line="215" w:lineRule="exact"/>
              <w:ind w:right="25"/>
              <w:jc w:val="right"/>
              <w:rPr>
                <w:rFonts w:ascii="宋体" w:hAnsi="宋体" w:cs="宋体" w:eastAsia="宋体" w:hint="default"/>
                <w:sz w:val="18"/>
                <w:szCs w:val="18"/>
              </w:rPr>
            </w:pPr>
            <w:r>
              <w:rPr>
                <w:rFonts w:ascii="宋体"/>
                <w:sz w:val="18"/>
              </w:rPr>
              <w:t>-</w:t>
            </w:r>
          </w:p>
        </w:tc>
        <w:tc>
          <w:tcPr>
            <w:tcW w:w="146"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Style w:val="TableParagraph"/>
              <w:spacing w:line="215" w:lineRule="exact"/>
              <w:ind w:right="25"/>
              <w:jc w:val="right"/>
              <w:rPr>
                <w:rFonts w:ascii="宋体" w:hAnsi="宋体" w:cs="宋体" w:eastAsia="宋体" w:hint="default"/>
                <w:sz w:val="18"/>
                <w:szCs w:val="18"/>
              </w:rPr>
            </w:pPr>
            <w:r>
              <w:rPr>
                <w:rFonts w:ascii="宋体"/>
                <w:sz w:val="18"/>
              </w:rPr>
              <w:t>-</w:t>
            </w:r>
          </w:p>
        </w:tc>
      </w:tr>
      <w:tr>
        <w:trPr>
          <w:trHeight w:val="260" w:hRule="exact"/>
        </w:trPr>
        <w:tc>
          <w:tcPr>
            <w:tcW w:w="108" w:type="dxa"/>
            <w:tcBorders>
              <w:top w:val="nil" w:sz="6" w:space="0" w:color="auto"/>
              <w:left w:val="nil" w:sz="6" w:space="0" w:color="auto"/>
              <w:bottom w:val="nil" w:sz="6" w:space="0" w:color="auto"/>
              <w:right w:val="nil" w:sz="6" w:space="0" w:color="auto"/>
            </w:tcBorders>
          </w:tcPr>
          <w:p>
            <w:pPr/>
          </w:p>
        </w:tc>
        <w:tc>
          <w:tcPr>
            <w:tcW w:w="3036" w:type="dxa"/>
            <w:tcBorders>
              <w:top w:val="nil" w:sz="6" w:space="0" w:color="auto"/>
              <w:left w:val="nil" w:sz="6" w:space="0" w:color="auto"/>
              <w:bottom w:val="nil" w:sz="6" w:space="0" w:color="auto"/>
              <w:right w:val="nil" w:sz="6" w:space="0" w:color="auto"/>
            </w:tcBorders>
          </w:tcPr>
          <w:p>
            <w:pPr>
              <w:pStyle w:val="TableParagraph"/>
              <w:spacing w:line="223" w:lineRule="exact"/>
              <w:ind w:left="39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2683" w:type="dxa"/>
            <w:tcBorders>
              <w:top w:val="nil" w:sz="6" w:space="0" w:color="auto"/>
              <w:left w:val="nil" w:sz="6" w:space="0" w:color="auto"/>
              <w:bottom w:val="single" w:sz="4" w:space="0" w:color="000000"/>
              <w:right w:val="nil" w:sz="6" w:space="0" w:color="auto"/>
            </w:tcBorders>
          </w:tcPr>
          <w:p>
            <w:pPr>
              <w:pStyle w:val="TableParagraph"/>
              <w:spacing w:line="216" w:lineRule="exact"/>
              <w:ind w:right="265"/>
              <w:jc w:val="right"/>
              <w:rPr>
                <w:rFonts w:ascii="宋体" w:hAnsi="宋体" w:cs="宋体" w:eastAsia="宋体" w:hint="default"/>
                <w:sz w:val="18"/>
                <w:szCs w:val="18"/>
              </w:rPr>
            </w:pPr>
            <w:r>
              <w:rPr>
                <w:rFonts w:ascii="宋体"/>
                <w:sz w:val="18"/>
              </w:rPr>
              <w:t>-</w:t>
            </w:r>
          </w:p>
        </w:tc>
        <w:tc>
          <w:tcPr>
            <w:tcW w:w="1609" w:type="dxa"/>
            <w:tcBorders>
              <w:top w:val="nil" w:sz="6" w:space="0" w:color="auto"/>
              <w:left w:val="nil" w:sz="6" w:space="0" w:color="auto"/>
              <w:bottom w:val="single" w:sz="4" w:space="0" w:color="000000"/>
              <w:right w:val="nil" w:sz="6" w:space="0" w:color="auto"/>
            </w:tcBorders>
          </w:tcPr>
          <w:p>
            <w:pPr>
              <w:pStyle w:val="TableParagraph"/>
              <w:spacing w:line="216" w:lineRule="exact"/>
              <w:ind w:right="83"/>
              <w:jc w:val="right"/>
              <w:rPr>
                <w:rFonts w:ascii="宋体" w:hAnsi="宋体" w:cs="宋体" w:eastAsia="宋体" w:hint="default"/>
                <w:sz w:val="18"/>
                <w:szCs w:val="18"/>
              </w:rPr>
            </w:pPr>
            <w:r>
              <w:rPr>
                <w:rFonts w:ascii="宋体"/>
                <w:sz w:val="18"/>
              </w:rPr>
              <w:t>-</w:t>
            </w:r>
          </w:p>
        </w:tc>
        <w:tc>
          <w:tcPr>
            <w:tcW w:w="1144" w:type="dxa"/>
            <w:tcBorders>
              <w:top w:val="nil" w:sz="6" w:space="0" w:color="auto"/>
              <w:left w:val="nil" w:sz="6" w:space="0" w:color="auto"/>
              <w:bottom w:val="single" w:sz="4" w:space="0" w:color="000000"/>
              <w:right w:val="nil" w:sz="6" w:space="0" w:color="auto"/>
            </w:tcBorders>
          </w:tcPr>
          <w:p>
            <w:pPr>
              <w:pStyle w:val="TableParagraph"/>
              <w:spacing w:line="216" w:lineRule="exact"/>
              <w:ind w:right="104"/>
              <w:jc w:val="right"/>
              <w:rPr>
                <w:rFonts w:ascii="宋体" w:hAnsi="宋体" w:cs="宋体" w:eastAsia="宋体" w:hint="default"/>
                <w:sz w:val="18"/>
                <w:szCs w:val="18"/>
              </w:rPr>
            </w:pPr>
            <w:r>
              <w:rPr>
                <w:rFonts w:ascii="宋体"/>
                <w:sz w:val="18"/>
              </w:rPr>
              <w:t>-</w:t>
            </w:r>
          </w:p>
        </w:tc>
        <w:tc>
          <w:tcPr>
            <w:tcW w:w="62"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single" w:sz="4" w:space="0" w:color="000000"/>
              <w:right w:val="nil" w:sz="6" w:space="0" w:color="auto"/>
            </w:tcBorders>
          </w:tcPr>
          <w:p>
            <w:pPr>
              <w:pStyle w:val="TableParagraph"/>
              <w:spacing w:line="216" w:lineRule="exact"/>
              <w:ind w:right="25"/>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1226" w:type="dxa"/>
            <w:tcBorders>
              <w:top w:val="nil" w:sz="6" w:space="0" w:color="auto"/>
              <w:left w:val="nil" w:sz="6" w:space="0" w:color="auto"/>
              <w:bottom w:val="single" w:sz="4" w:space="0" w:color="000000"/>
              <w:right w:val="nil" w:sz="6" w:space="0" w:color="auto"/>
            </w:tcBorders>
          </w:tcPr>
          <w:p>
            <w:pPr>
              <w:pStyle w:val="TableParagraph"/>
              <w:spacing w:line="216" w:lineRule="exact"/>
              <w:ind w:right="25"/>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single" w:sz="4" w:space="0" w:color="000000"/>
              <w:right w:val="nil" w:sz="6" w:space="0" w:color="auto"/>
            </w:tcBorders>
          </w:tcPr>
          <w:p>
            <w:pPr>
              <w:pStyle w:val="TableParagraph"/>
              <w:spacing w:line="216" w:lineRule="exact"/>
              <w:ind w:right="25"/>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1411" w:type="dxa"/>
            <w:tcBorders>
              <w:top w:val="nil" w:sz="6" w:space="0" w:color="auto"/>
              <w:left w:val="nil" w:sz="6" w:space="0" w:color="auto"/>
              <w:bottom w:val="single" w:sz="4" w:space="0" w:color="000000"/>
              <w:right w:val="nil" w:sz="6" w:space="0" w:color="auto"/>
            </w:tcBorders>
          </w:tcPr>
          <w:p>
            <w:pPr>
              <w:pStyle w:val="TableParagraph"/>
              <w:spacing w:line="216" w:lineRule="exact"/>
              <w:ind w:right="25"/>
              <w:jc w:val="right"/>
              <w:rPr>
                <w:rFonts w:ascii="宋体" w:hAnsi="宋体" w:cs="宋体" w:eastAsia="宋体" w:hint="default"/>
                <w:sz w:val="18"/>
                <w:szCs w:val="18"/>
              </w:rPr>
            </w:pPr>
            <w:r>
              <w:rPr>
                <w:rFonts w:ascii="宋体"/>
                <w:sz w:val="18"/>
              </w:rPr>
              <w:t>-</w:t>
            </w:r>
          </w:p>
        </w:tc>
        <w:tc>
          <w:tcPr>
            <w:tcW w:w="146"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single" w:sz="4" w:space="0" w:color="000000"/>
              <w:right w:val="nil" w:sz="6" w:space="0" w:color="auto"/>
            </w:tcBorders>
          </w:tcPr>
          <w:p>
            <w:pPr>
              <w:pStyle w:val="TableParagraph"/>
              <w:spacing w:line="216" w:lineRule="exact"/>
              <w:ind w:right="25"/>
              <w:jc w:val="right"/>
              <w:rPr>
                <w:rFonts w:ascii="宋体" w:hAnsi="宋体" w:cs="宋体" w:eastAsia="宋体" w:hint="default"/>
                <w:sz w:val="18"/>
                <w:szCs w:val="18"/>
              </w:rPr>
            </w:pPr>
            <w:r>
              <w:rPr>
                <w:rFonts w:ascii="宋体"/>
                <w:sz w:val="18"/>
              </w:rPr>
              <w:t>-</w:t>
            </w:r>
          </w:p>
        </w:tc>
      </w:tr>
      <w:tr>
        <w:trPr>
          <w:trHeight w:val="288" w:hRule="exact"/>
        </w:trPr>
        <w:tc>
          <w:tcPr>
            <w:tcW w:w="108" w:type="dxa"/>
            <w:tcBorders>
              <w:top w:val="nil" w:sz="6" w:space="0" w:color="auto"/>
              <w:left w:val="nil" w:sz="6" w:space="0" w:color="auto"/>
              <w:bottom w:val="nil" w:sz="6" w:space="0" w:color="auto"/>
              <w:right w:val="nil" w:sz="6" w:space="0" w:color="auto"/>
            </w:tcBorders>
          </w:tcPr>
          <w:p>
            <w:pPr/>
          </w:p>
        </w:tc>
        <w:tc>
          <w:tcPr>
            <w:tcW w:w="3036" w:type="dxa"/>
            <w:tcBorders>
              <w:top w:val="nil" w:sz="6" w:space="0" w:color="auto"/>
              <w:left w:val="nil" w:sz="6" w:space="0" w:color="auto"/>
              <w:bottom w:val="nil" w:sz="6" w:space="0" w:color="auto"/>
              <w:right w:val="nil" w:sz="6" w:space="0" w:color="auto"/>
            </w:tcBorders>
          </w:tcPr>
          <w:p>
            <w:pPr>
              <w:pStyle w:val="TableParagraph"/>
              <w:spacing w:line="234" w:lineRule="exact"/>
              <w:ind w:left="28" w:right="0"/>
              <w:jc w:val="left"/>
              <w:rPr>
                <w:rFonts w:ascii="宋体" w:hAnsi="宋体" w:cs="宋体" w:eastAsia="宋体" w:hint="default"/>
                <w:sz w:val="18"/>
                <w:szCs w:val="18"/>
              </w:rPr>
            </w:pPr>
            <w:r>
              <w:rPr>
                <w:rFonts w:ascii="宋体" w:hAnsi="宋体" w:cs="宋体" w:eastAsia="宋体" w:hint="default"/>
                <w:b/>
                <w:bCs/>
                <w:sz w:val="18"/>
                <w:szCs w:val="18"/>
              </w:rPr>
              <w:t>四、本年年末余额</w:t>
            </w:r>
            <w:r>
              <w:rPr>
                <w:rFonts w:ascii="宋体" w:hAnsi="宋体" w:cs="宋体" w:eastAsia="宋体" w:hint="default"/>
                <w:sz w:val="18"/>
                <w:szCs w:val="18"/>
              </w:rPr>
            </w:r>
          </w:p>
        </w:tc>
        <w:tc>
          <w:tcPr>
            <w:tcW w:w="2683" w:type="dxa"/>
            <w:tcBorders>
              <w:top w:val="single" w:sz="4" w:space="0" w:color="000000"/>
              <w:left w:val="nil" w:sz="6" w:space="0" w:color="auto"/>
              <w:bottom w:val="nil" w:sz="6" w:space="0" w:color="auto"/>
              <w:right w:val="nil" w:sz="6" w:space="0" w:color="auto"/>
            </w:tcBorders>
          </w:tcPr>
          <w:p>
            <w:pPr>
              <w:pStyle w:val="TableParagraph"/>
              <w:spacing w:line="220" w:lineRule="exact"/>
              <w:ind w:right="261"/>
              <w:jc w:val="right"/>
              <w:rPr>
                <w:rFonts w:ascii="宋体" w:hAnsi="宋体" w:cs="宋体" w:eastAsia="宋体" w:hint="default"/>
                <w:sz w:val="18"/>
                <w:szCs w:val="18"/>
              </w:rPr>
            </w:pPr>
            <w:r>
              <w:rPr>
                <w:rFonts w:ascii="宋体"/>
                <w:spacing w:val="-1"/>
                <w:sz w:val="18"/>
              </w:rPr>
              <w:t>88,000,000.00</w:t>
            </w:r>
            <w:r>
              <w:rPr>
                <w:rFonts w:ascii="宋体"/>
                <w:sz w:val="18"/>
              </w:rPr>
            </w:r>
          </w:p>
        </w:tc>
        <w:tc>
          <w:tcPr>
            <w:tcW w:w="1609" w:type="dxa"/>
            <w:tcBorders>
              <w:top w:val="single" w:sz="4" w:space="0" w:color="000000"/>
              <w:left w:val="nil" w:sz="6" w:space="0" w:color="auto"/>
              <w:bottom w:val="nil" w:sz="6" w:space="0" w:color="auto"/>
              <w:right w:val="nil" w:sz="6" w:space="0" w:color="auto"/>
            </w:tcBorders>
          </w:tcPr>
          <w:p>
            <w:pPr>
              <w:pStyle w:val="TableParagraph"/>
              <w:spacing w:line="220" w:lineRule="exact"/>
              <w:ind w:right="81"/>
              <w:jc w:val="right"/>
              <w:rPr>
                <w:rFonts w:ascii="宋体" w:hAnsi="宋体" w:cs="宋体" w:eastAsia="宋体" w:hint="default"/>
                <w:sz w:val="18"/>
                <w:szCs w:val="18"/>
              </w:rPr>
            </w:pPr>
            <w:r>
              <w:rPr>
                <w:rFonts w:ascii="宋体"/>
                <w:spacing w:val="-1"/>
                <w:sz w:val="18"/>
              </w:rPr>
              <w:t>132,980,990.76</w:t>
            </w:r>
          </w:p>
        </w:tc>
        <w:tc>
          <w:tcPr>
            <w:tcW w:w="1144" w:type="dxa"/>
            <w:tcBorders>
              <w:top w:val="single" w:sz="4" w:space="0" w:color="000000"/>
              <w:left w:val="nil" w:sz="6" w:space="0" w:color="auto"/>
              <w:bottom w:val="nil" w:sz="6" w:space="0" w:color="auto"/>
              <w:right w:val="nil" w:sz="6" w:space="0" w:color="auto"/>
            </w:tcBorders>
          </w:tcPr>
          <w:p>
            <w:pPr>
              <w:pStyle w:val="TableParagraph"/>
              <w:spacing w:line="220" w:lineRule="exact"/>
              <w:ind w:right="104"/>
              <w:jc w:val="right"/>
              <w:rPr>
                <w:rFonts w:ascii="宋体" w:hAnsi="宋体" w:cs="宋体" w:eastAsia="宋体" w:hint="default"/>
                <w:sz w:val="18"/>
                <w:szCs w:val="18"/>
              </w:rPr>
            </w:pPr>
            <w:r>
              <w:rPr>
                <w:rFonts w:ascii="宋体"/>
                <w:sz w:val="18"/>
              </w:rPr>
              <w:t>-</w:t>
            </w:r>
          </w:p>
        </w:tc>
        <w:tc>
          <w:tcPr>
            <w:tcW w:w="62" w:type="dxa"/>
            <w:tcBorders>
              <w:top w:val="nil" w:sz="6" w:space="0" w:color="auto"/>
              <w:left w:val="nil" w:sz="6" w:space="0" w:color="auto"/>
              <w:bottom w:val="nil" w:sz="6" w:space="0" w:color="auto"/>
              <w:right w:val="nil" w:sz="6" w:space="0" w:color="auto"/>
            </w:tcBorders>
          </w:tcPr>
          <w:p>
            <w:pPr/>
          </w:p>
        </w:tc>
        <w:tc>
          <w:tcPr>
            <w:tcW w:w="1418" w:type="dxa"/>
            <w:tcBorders>
              <w:top w:val="single" w:sz="4" w:space="0" w:color="000000"/>
              <w:left w:val="nil" w:sz="6" w:space="0" w:color="auto"/>
              <w:bottom w:val="nil" w:sz="6" w:space="0" w:color="auto"/>
              <w:right w:val="nil" w:sz="6" w:space="0" w:color="auto"/>
            </w:tcBorders>
          </w:tcPr>
          <w:p>
            <w:pPr>
              <w:pStyle w:val="TableParagraph"/>
              <w:spacing w:line="220" w:lineRule="exact"/>
              <w:ind w:right="25"/>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1226" w:type="dxa"/>
            <w:tcBorders>
              <w:top w:val="single" w:sz="4" w:space="0" w:color="000000"/>
              <w:left w:val="nil" w:sz="6" w:space="0" w:color="auto"/>
              <w:bottom w:val="nil" w:sz="6" w:space="0" w:color="auto"/>
              <w:right w:val="nil" w:sz="6" w:space="0" w:color="auto"/>
            </w:tcBorders>
          </w:tcPr>
          <w:p>
            <w:pPr>
              <w:pStyle w:val="TableParagraph"/>
              <w:spacing w:line="220" w:lineRule="exact"/>
              <w:ind w:right="21"/>
              <w:jc w:val="right"/>
              <w:rPr>
                <w:rFonts w:ascii="宋体" w:hAnsi="宋体" w:cs="宋体" w:eastAsia="宋体" w:hint="default"/>
                <w:sz w:val="18"/>
                <w:szCs w:val="18"/>
              </w:rPr>
            </w:pPr>
            <w:r>
              <w:rPr>
                <w:rFonts w:ascii="宋体"/>
                <w:spacing w:val="-1"/>
                <w:sz w:val="18"/>
              </w:rPr>
              <w:t>11,736,079.47</w:t>
            </w:r>
            <w:r>
              <w:rPr>
                <w:rFonts w:ascii="宋体"/>
                <w:sz w:val="18"/>
              </w:rPr>
            </w:r>
          </w:p>
        </w:tc>
        <w:tc>
          <w:tcPr>
            <w:tcW w:w="142" w:type="dxa"/>
            <w:tcBorders>
              <w:top w:val="nil" w:sz="6" w:space="0" w:color="auto"/>
              <w:left w:val="nil" w:sz="6" w:space="0" w:color="auto"/>
              <w:bottom w:val="nil" w:sz="6" w:space="0" w:color="auto"/>
              <w:right w:val="nil" w:sz="6" w:space="0" w:color="auto"/>
            </w:tcBorders>
          </w:tcPr>
          <w:p>
            <w:pPr/>
          </w:p>
        </w:tc>
        <w:tc>
          <w:tcPr>
            <w:tcW w:w="1270" w:type="dxa"/>
            <w:tcBorders>
              <w:top w:val="single" w:sz="4" w:space="0" w:color="000000"/>
              <w:left w:val="nil" w:sz="6" w:space="0" w:color="auto"/>
              <w:bottom w:val="nil" w:sz="6" w:space="0" w:color="auto"/>
              <w:right w:val="nil" w:sz="6" w:space="0" w:color="auto"/>
            </w:tcBorders>
          </w:tcPr>
          <w:p>
            <w:pPr>
              <w:pStyle w:val="TableParagraph"/>
              <w:spacing w:line="220" w:lineRule="exact"/>
              <w:ind w:right="25"/>
              <w:jc w:val="right"/>
              <w:rPr>
                <w:rFonts w:ascii="宋体" w:hAnsi="宋体" w:cs="宋体" w:eastAsia="宋体" w:hint="default"/>
                <w:sz w:val="18"/>
                <w:szCs w:val="18"/>
              </w:rPr>
            </w:pPr>
            <w:r>
              <w:rPr>
                <w:rFonts w:ascii="宋体"/>
                <w:sz w:val="18"/>
              </w:rPr>
              <w:t>-</w:t>
            </w:r>
          </w:p>
        </w:tc>
        <w:tc>
          <w:tcPr>
            <w:tcW w:w="142" w:type="dxa"/>
            <w:tcBorders>
              <w:top w:val="nil" w:sz="6" w:space="0" w:color="auto"/>
              <w:left w:val="nil" w:sz="6" w:space="0" w:color="auto"/>
              <w:bottom w:val="nil" w:sz="6" w:space="0" w:color="auto"/>
              <w:right w:val="nil" w:sz="6" w:space="0" w:color="auto"/>
            </w:tcBorders>
          </w:tcPr>
          <w:p>
            <w:pPr/>
          </w:p>
        </w:tc>
        <w:tc>
          <w:tcPr>
            <w:tcW w:w="1411" w:type="dxa"/>
            <w:tcBorders>
              <w:top w:val="single" w:sz="4" w:space="0" w:color="000000"/>
              <w:left w:val="nil" w:sz="6" w:space="0" w:color="auto"/>
              <w:bottom w:val="nil" w:sz="6" w:space="0" w:color="auto"/>
              <w:right w:val="nil" w:sz="6" w:space="0" w:color="auto"/>
            </w:tcBorders>
          </w:tcPr>
          <w:p>
            <w:pPr>
              <w:pStyle w:val="TableParagraph"/>
              <w:spacing w:line="220" w:lineRule="exact"/>
              <w:ind w:right="21"/>
              <w:jc w:val="right"/>
              <w:rPr>
                <w:rFonts w:ascii="宋体" w:hAnsi="宋体" w:cs="宋体" w:eastAsia="宋体" w:hint="default"/>
                <w:sz w:val="18"/>
                <w:szCs w:val="18"/>
              </w:rPr>
            </w:pPr>
            <w:r>
              <w:rPr>
                <w:rFonts w:ascii="宋体"/>
                <w:spacing w:val="-1"/>
                <w:sz w:val="18"/>
              </w:rPr>
              <w:t>81,024,715.27</w:t>
            </w:r>
            <w:r>
              <w:rPr>
                <w:rFonts w:ascii="宋体"/>
                <w:sz w:val="18"/>
              </w:rPr>
            </w:r>
          </w:p>
        </w:tc>
        <w:tc>
          <w:tcPr>
            <w:tcW w:w="146" w:type="dxa"/>
            <w:tcBorders>
              <w:top w:val="nil" w:sz="6" w:space="0" w:color="auto"/>
              <w:left w:val="nil" w:sz="6" w:space="0" w:color="auto"/>
              <w:bottom w:val="nil" w:sz="6" w:space="0" w:color="auto"/>
              <w:right w:val="nil" w:sz="6" w:space="0" w:color="auto"/>
            </w:tcBorders>
          </w:tcPr>
          <w:p>
            <w:pPr/>
          </w:p>
        </w:tc>
        <w:tc>
          <w:tcPr>
            <w:tcW w:w="1558" w:type="dxa"/>
            <w:tcBorders>
              <w:top w:val="single" w:sz="4" w:space="0" w:color="000000"/>
              <w:left w:val="nil" w:sz="6" w:space="0" w:color="auto"/>
              <w:bottom w:val="single" w:sz="17" w:space="0" w:color="000000"/>
              <w:right w:val="nil" w:sz="6" w:space="0" w:color="auto"/>
            </w:tcBorders>
          </w:tcPr>
          <w:p>
            <w:pPr>
              <w:pStyle w:val="TableParagraph"/>
              <w:spacing w:line="220" w:lineRule="exact"/>
              <w:ind w:right="21"/>
              <w:jc w:val="right"/>
              <w:rPr>
                <w:rFonts w:ascii="宋体" w:hAnsi="宋体" w:cs="宋体" w:eastAsia="宋体" w:hint="default"/>
                <w:sz w:val="18"/>
                <w:szCs w:val="18"/>
              </w:rPr>
            </w:pPr>
            <w:r>
              <w:rPr>
                <w:rFonts w:ascii="宋体"/>
                <w:spacing w:val="-1"/>
                <w:sz w:val="18"/>
              </w:rPr>
              <w:t>313,741,75.50</w:t>
            </w:r>
            <w:r>
              <w:rPr>
                <w:rFonts w:ascii="宋体"/>
                <w:sz w:val="18"/>
              </w:rPr>
            </w:r>
          </w:p>
        </w:tc>
      </w:tr>
      <w:tr>
        <w:trPr>
          <w:trHeight w:val="288" w:hRule="exact"/>
        </w:trPr>
        <w:tc>
          <w:tcPr>
            <w:tcW w:w="108" w:type="dxa"/>
            <w:tcBorders>
              <w:top w:val="nil" w:sz="6" w:space="0" w:color="auto"/>
              <w:left w:val="nil" w:sz="6" w:space="0" w:color="auto"/>
              <w:bottom w:val="nil" w:sz="6" w:space="0" w:color="auto"/>
              <w:right w:val="nil" w:sz="6" w:space="0" w:color="auto"/>
            </w:tcBorders>
          </w:tcPr>
          <w:p>
            <w:pPr/>
          </w:p>
        </w:tc>
        <w:tc>
          <w:tcPr>
            <w:tcW w:w="3036" w:type="dxa"/>
            <w:tcBorders>
              <w:top w:val="nil" w:sz="6" w:space="0" w:color="auto"/>
              <w:left w:val="nil" w:sz="6" w:space="0" w:color="auto"/>
              <w:bottom w:val="single" w:sz="4" w:space="0" w:color="000000"/>
              <w:right w:val="nil" w:sz="6" w:space="0" w:color="auto"/>
            </w:tcBorders>
          </w:tcPr>
          <w:p>
            <w:pPr/>
          </w:p>
        </w:tc>
        <w:tc>
          <w:tcPr>
            <w:tcW w:w="2683" w:type="dxa"/>
            <w:tcBorders>
              <w:top w:val="nil" w:sz="6" w:space="0" w:color="auto"/>
              <w:left w:val="nil" w:sz="6" w:space="0" w:color="auto"/>
              <w:bottom w:val="single" w:sz="4" w:space="0" w:color="000000"/>
              <w:right w:val="nil" w:sz="6" w:space="0" w:color="auto"/>
            </w:tcBorders>
          </w:tcPr>
          <w:p>
            <w:pPr/>
          </w:p>
        </w:tc>
        <w:tc>
          <w:tcPr>
            <w:tcW w:w="1609" w:type="dxa"/>
            <w:tcBorders>
              <w:top w:val="nil" w:sz="6" w:space="0" w:color="auto"/>
              <w:left w:val="nil" w:sz="6" w:space="0" w:color="auto"/>
              <w:bottom w:val="single" w:sz="4" w:space="0" w:color="000000"/>
              <w:right w:val="nil" w:sz="6" w:space="0" w:color="auto"/>
            </w:tcBorders>
          </w:tcPr>
          <w:p>
            <w:pPr/>
          </w:p>
        </w:tc>
        <w:tc>
          <w:tcPr>
            <w:tcW w:w="1144" w:type="dxa"/>
            <w:tcBorders>
              <w:top w:val="nil" w:sz="6" w:space="0" w:color="auto"/>
              <w:left w:val="nil" w:sz="6" w:space="0" w:color="auto"/>
              <w:bottom w:val="single" w:sz="4" w:space="0" w:color="000000"/>
              <w:right w:val="nil" w:sz="6" w:space="0" w:color="auto"/>
            </w:tcBorders>
          </w:tcPr>
          <w:p>
            <w:pPr/>
          </w:p>
        </w:tc>
        <w:tc>
          <w:tcPr>
            <w:tcW w:w="62"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single" w:sz="4" w:space="0" w:color="000000"/>
              <w:right w:val="nil" w:sz="6" w:space="0" w:color="auto"/>
            </w:tcBorders>
          </w:tcPr>
          <w:p>
            <w:pPr/>
          </w:p>
        </w:tc>
        <w:tc>
          <w:tcPr>
            <w:tcW w:w="134" w:type="dxa"/>
            <w:tcBorders>
              <w:top w:val="nil" w:sz="6" w:space="0" w:color="auto"/>
              <w:left w:val="nil" w:sz="6" w:space="0" w:color="auto"/>
              <w:bottom w:val="single" w:sz="4" w:space="0" w:color="000000"/>
              <w:right w:val="nil" w:sz="6" w:space="0" w:color="auto"/>
            </w:tcBorders>
          </w:tcPr>
          <w:p>
            <w:pPr/>
          </w:p>
        </w:tc>
        <w:tc>
          <w:tcPr>
            <w:tcW w:w="1226" w:type="dxa"/>
            <w:tcBorders>
              <w:top w:val="nil" w:sz="6" w:space="0" w:color="auto"/>
              <w:left w:val="nil" w:sz="6" w:space="0" w:color="auto"/>
              <w:bottom w:val="single" w:sz="4" w:space="0" w:color="000000"/>
              <w:right w:val="nil" w:sz="6" w:space="0" w:color="auto"/>
            </w:tcBorders>
          </w:tcPr>
          <w:p>
            <w:pPr/>
          </w:p>
        </w:tc>
        <w:tc>
          <w:tcPr>
            <w:tcW w:w="142" w:type="dxa"/>
            <w:tcBorders>
              <w:top w:val="nil" w:sz="6" w:space="0" w:color="auto"/>
              <w:left w:val="nil" w:sz="6" w:space="0" w:color="auto"/>
              <w:bottom w:val="single" w:sz="4" w:space="0" w:color="000000"/>
              <w:right w:val="nil" w:sz="6" w:space="0" w:color="auto"/>
            </w:tcBorders>
          </w:tcPr>
          <w:p>
            <w:pPr/>
          </w:p>
        </w:tc>
        <w:tc>
          <w:tcPr>
            <w:tcW w:w="1270" w:type="dxa"/>
            <w:tcBorders>
              <w:top w:val="nil" w:sz="6" w:space="0" w:color="auto"/>
              <w:left w:val="nil" w:sz="6" w:space="0" w:color="auto"/>
              <w:bottom w:val="single" w:sz="4" w:space="0" w:color="000000"/>
              <w:right w:val="nil" w:sz="6" w:space="0" w:color="auto"/>
            </w:tcBorders>
          </w:tcPr>
          <w:p>
            <w:pPr/>
          </w:p>
        </w:tc>
        <w:tc>
          <w:tcPr>
            <w:tcW w:w="142" w:type="dxa"/>
            <w:tcBorders>
              <w:top w:val="nil" w:sz="6" w:space="0" w:color="auto"/>
              <w:left w:val="nil" w:sz="6" w:space="0" w:color="auto"/>
              <w:bottom w:val="single" w:sz="4" w:space="0" w:color="000000"/>
              <w:right w:val="nil" w:sz="6" w:space="0" w:color="auto"/>
            </w:tcBorders>
          </w:tcPr>
          <w:p>
            <w:pPr/>
          </w:p>
        </w:tc>
        <w:tc>
          <w:tcPr>
            <w:tcW w:w="1411" w:type="dxa"/>
            <w:tcBorders>
              <w:top w:val="nil" w:sz="6" w:space="0" w:color="auto"/>
              <w:left w:val="nil" w:sz="6" w:space="0" w:color="auto"/>
              <w:bottom w:val="single" w:sz="4" w:space="0" w:color="000000"/>
              <w:right w:val="nil" w:sz="6" w:space="0" w:color="auto"/>
            </w:tcBorders>
          </w:tcPr>
          <w:p>
            <w:pPr/>
          </w:p>
        </w:tc>
        <w:tc>
          <w:tcPr>
            <w:tcW w:w="146" w:type="dxa"/>
            <w:tcBorders>
              <w:top w:val="nil" w:sz="6" w:space="0" w:color="auto"/>
              <w:left w:val="nil" w:sz="6" w:space="0" w:color="auto"/>
              <w:bottom w:val="single" w:sz="4" w:space="0" w:color="000000"/>
              <w:right w:val="nil" w:sz="6" w:space="0" w:color="auto"/>
            </w:tcBorders>
          </w:tcPr>
          <w:p>
            <w:pPr/>
          </w:p>
        </w:tc>
        <w:tc>
          <w:tcPr>
            <w:tcW w:w="1558" w:type="dxa"/>
            <w:tcBorders>
              <w:top w:val="single" w:sz="17" w:space="0" w:color="000000"/>
              <w:left w:val="nil" w:sz="6" w:space="0" w:color="auto"/>
              <w:bottom w:val="single" w:sz="4" w:space="0" w:color="000000"/>
              <w:right w:val="nil" w:sz="6" w:space="0" w:color="auto"/>
            </w:tcBorders>
          </w:tcPr>
          <w:p>
            <w:pPr/>
          </w:p>
        </w:tc>
      </w:tr>
      <w:tr>
        <w:trPr>
          <w:trHeight w:val="232" w:hRule="exact"/>
        </w:trPr>
        <w:tc>
          <w:tcPr>
            <w:tcW w:w="14386" w:type="dxa"/>
            <w:gridSpan w:val="13"/>
            <w:tcBorders>
              <w:top w:val="single" w:sz="4" w:space="0" w:color="000000"/>
              <w:left w:val="nil" w:sz="6" w:space="0" w:color="auto"/>
              <w:bottom w:val="nil" w:sz="6" w:space="0" w:color="auto"/>
              <w:right w:val="nil" w:sz="6" w:space="0" w:color="auto"/>
            </w:tcBorders>
          </w:tcPr>
          <w:p>
            <w:pPr>
              <w:pStyle w:val="TableParagraph"/>
              <w:tabs>
                <w:tab w:pos="6353" w:val="left" w:leader="none"/>
                <w:tab w:pos="12024" w:val="left" w:leader="none"/>
              </w:tabs>
              <w:spacing w:line="227" w:lineRule="exact"/>
              <w:ind w:left="136" w:right="0"/>
              <w:jc w:val="left"/>
              <w:rPr>
                <w:rFonts w:ascii="宋体" w:hAnsi="宋体" w:cs="宋体" w:eastAsia="宋体" w:hint="default"/>
                <w:sz w:val="18"/>
                <w:szCs w:val="18"/>
              </w:rPr>
            </w:pPr>
            <w:r>
              <w:rPr>
                <w:rFonts w:ascii="宋体" w:hAnsi="宋体" w:cs="宋体" w:eastAsia="宋体" w:hint="default"/>
                <w:sz w:val="18"/>
                <w:szCs w:val="18"/>
              </w:rPr>
              <w:t>公司负责人：</w:t>
            </w:r>
            <w:r>
              <w:rPr>
                <w:rFonts w:ascii="宋体" w:hAnsi="宋体" w:cs="宋体" w:eastAsia="宋体" w:hint="default"/>
                <w:spacing w:val="1"/>
                <w:sz w:val="18"/>
                <w:szCs w:val="18"/>
              </w:rPr>
              <w:t> </w:t>
            </w:r>
            <w:r>
              <w:rPr>
                <w:rFonts w:ascii="宋体" w:hAnsi="宋体" w:cs="宋体" w:eastAsia="宋体" w:hint="default"/>
                <w:sz w:val="18"/>
                <w:szCs w:val="18"/>
              </w:rPr>
              <w:t>黄元忠</w:t>
              <w:tab/>
              <w:t>主管会计工作负责人：</w:t>
            </w:r>
            <w:r>
              <w:rPr>
                <w:rFonts w:ascii="宋体" w:hAnsi="宋体" w:cs="宋体" w:eastAsia="宋体" w:hint="default"/>
                <w:spacing w:val="-3"/>
                <w:sz w:val="18"/>
                <w:szCs w:val="18"/>
              </w:rPr>
              <w:t> </w:t>
            </w:r>
            <w:r>
              <w:rPr>
                <w:rFonts w:ascii="宋体" w:hAnsi="宋体" w:cs="宋体" w:eastAsia="宋体" w:hint="default"/>
                <w:sz w:val="18"/>
                <w:szCs w:val="18"/>
              </w:rPr>
              <w:t>孙晓玲</w:t>
              <w:tab/>
              <w:t>会计机构负责人：全丽</w:t>
            </w:r>
          </w:p>
        </w:tc>
        <w:tc>
          <w:tcPr>
            <w:tcW w:w="146" w:type="dxa"/>
            <w:tcBorders>
              <w:top w:val="single" w:sz="4" w:space="0" w:color="000000"/>
              <w:left w:val="nil" w:sz="6" w:space="0" w:color="auto"/>
              <w:bottom w:val="nil" w:sz="6" w:space="0" w:color="auto"/>
              <w:right w:val="nil" w:sz="6" w:space="0" w:color="auto"/>
            </w:tcBorders>
          </w:tcPr>
          <w:p>
            <w:pPr/>
          </w:p>
        </w:tc>
        <w:tc>
          <w:tcPr>
            <w:tcW w:w="1558" w:type="dxa"/>
            <w:tcBorders>
              <w:top w:val="single" w:sz="4" w:space="0" w:color="000000"/>
              <w:left w:val="nil" w:sz="6" w:space="0" w:color="auto"/>
              <w:bottom w:val="nil" w:sz="6" w:space="0" w:color="auto"/>
              <w:right w:val="nil" w:sz="6" w:space="0" w:color="auto"/>
            </w:tcBorders>
          </w:tcPr>
          <w:p>
            <w:pPr/>
          </w:p>
        </w:tc>
      </w:tr>
    </w:tbl>
    <w:p>
      <w:pPr>
        <w:spacing w:after="0"/>
        <w:sectPr>
          <w:pgSz w:w="16840" w:h="11910" w:orient="landscape"/>
          <w:pgMar w:header="870" w:footer="979" w:top="1060" w:bottom="1160" w:left="420" w:right="100"/>
        </w:sectPr>
      </w:pPr>
    </w:p>
    <w:p>
      <w:pPr>
        <w:spacing w:line="245" w:lineRule="exact" w:before="25"/>
        <w:ind w:left="6008" w:right="0" w:firstLine="0"/>
        <w:jc w:val="left"/>
        <w:rPr>
          <w:rFonts w:ascii="宋体" w:hAnsi="宋体" w:cs="宋体" w:eastAsia="宋体" w:hint="default"/>
          <w:sz w:val="18"/>
          <w:szCs w:val="18"/>
        </w:rPr>
      </w:pPr>
      <w:r>
        <w:rPr/>
        <w:pict>
          <v:shape style="position:absolute;margin-left:368.880005pt;margin-top:164.281693pt;width:91.200811pt;height:.48pt;mso-position-horizontal-relative:page;mso-position-vertical-relative:paragraph;z-index:2704" type="#_x0000_t75" stroked="false">
            <v:imagedata r:id="rId68" o:title=""/>
          </v:shape>
        </w:pict>
      </w:r>
      <w:r>
        <w:rPr/>
        <w:pict>
          <v:shape style="position:absolute;margin-left:467.880005pt;margin-top:164.281693pt;width:85.200757pt;height:.48pt;mso-position-horizontal-relative:page;mso-position-vertical-relative:paragraph;z-index:2728" type="#_x0000_t75" stroked="false">
            <v:imagedata r:id="rId69" o:title=""/>
          </v:shape>
        </w:pict>
      </w:r>
      <w:r>
        <w:rPr/>
        <w:pict>
          <v:shape style="position:absolute;margin-left:368.880005pt;margin-top:236.281754pt;width:91.200811pt;height:.48pt;mso-position-horizontal-relative:page;mso-position-vertical-relative:paragraph;z-index:2752" type="#_x0000_t75" stroked="false">
            <v:imagedata r:id="rId68" o:title=""/>
          </v:shape>
        </w:pict>
      </w:r>
      <w:r>
        <w:rPr/>
        <w:pict>
          <v:shape style="position:absolute;margin-left:467.880005pt;margin-top:236.281754pt;width:85.200757pt;height:.48pt;mso-position-horizontal-relative:page;mso-position-vertical-relative:paragraph;z-index:2776" type="#_x0000_t75" stroked="false">
            <v:imagedata r:id="rId69" o:title=""/>
          </v:shape>
        </w:pict>
      </w:r>
      <w:r>
        <w:rPr/>
        <w:pict>
          <v:shape style="position:absolute;margin-left:368.880005pt;margin-top:353.161774pt;width:91.200811pt;height:.48pt;mso-position-horizontal-relative:page;mso-position-vertical-relative:paragraph;z-index:2800" type="#_x0000_t75" stroked="false">
            <v:imagedata r:id="rId70" o:title=""/>
          </v:shape>
        </w:pict>
      </w:r>
      <w:r>
        <w:rPr/>
        <w:pict>
          <v:shape style="position:absolute;margin-left:467.880005pt;margin-top:353.161774pt;width:85.200757pt;height:.48pt;mso-position-horizontal-relative:page;mso-position-vertical-relative:paragraph;z-index:2824" type="#_x0000_t75" stroked="false">
            <v:imagedata r:id="rId71" o:title=""/>
          </v:shape>
        </w:pict>
      </w:r>
      <w:r>
        <w:rPr>
          <w:rFonts w:ascii="宋体" w:hAnsi="宋体" w:cs="宋体" w:eastAsia="宋体" w:hint="default"/>
          <w:sz w:val="18"/>
          <w:szCs w:val="18"/>
        </w:rPr>
        <w:t>深圳市方直科技股份有限公司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p>
      <w:pPr>
        <w:spacing w:line="240" w:lineRule="auto" w:before="11"/>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5004"/>
        <w:gridCol w:w="907"/>
        <w:gridCol w:w="1896"/>
        <w:gridCol w:w="161"/>
        <w:gridCol w:w="1699"/>
        <w:gridCol w:w="312"/>
      </w:tblGrid>
      <w:tr>
        <w:trPr>
          <w:trHeight w:val="610" w:hRule="exact"/>
        </w:trPr>
        <w:tc>
          <w:tcPr>
            <w:tcW w:w="9979" w:type="dxa"/>
            <w:gridSpan w:val="6"/>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3273" w:right="0"/>
              <w:jc w:val="left"/>
              <w:rPr>
                <w:rFonts w:ascii="宋体" w:hAnsi="宋体" w:cs="宋体" w:eastAsia="宋体" w:hint="default"/>
                <w:sz w:val="24"/>
                <w:szCs w:val="24"/>
              </w:rPr>
            </w:pPr>
            <w:r>
              <w:rPr>
                <w:rFonts w:ascii="宋体" w:hAnsi="宋体" w:cs="宋体" w:eastAsia="宋体" w:hint="default"/>
                <w:sz w:val="24"/>
                <w:szCs w:val="24"/>
              </w:rPr>
              <w:t>深圳市方直科技股份有限公司</w:t>
            </w:r>
          </w:p>
        </w:tc>
      </w:tr>
      <w:tr>
        <w:trPr>
          <w:trHeight w:val="367" w:hRule="exact"/>
        </w:trPr>
        <w:tc>
          <w:tcPr>
            <w:tcW w:w="9979" w:type="dxa"/>
            <w:gridSpan w:val="6"/>
            <w:tcBorders>
              <w:top w:val="nil" w:sz="6" w:space="0" w:color="auto"/>
              <w:left w:val="nil" w:sz="6" w:space="0" w:color="auto"/>
              <w:bottom w:val="nil" w:sz="6" w:space="0" w:color="auto"/>
              <w:right w:val="nil" w:sz="6" w:space="0" w:color="auto"/>
            </w:tcBorders>
          </w:tcPr>
          <w:p>
            <w:pPr>
              <w:pStyle w:val="TableParagraph"/>
              <w:spacing w:line="310" w:lineRule="exact"/>
              <w:ind w:right="311"/>
              <w:jc w:val="center"/>
              <w:rPr>
                <w:rFonts w:ascii="宋体" w:hAnsi="宋体" w:cs="宋体" w:eastAsia="宋体" w:hint="default"/>
                <w:sz w:val="24"/>
                <w:szCs w:val="24"/>
              </w:rPr>
            </w:pPr>
            <w:r>
              <w:rPr>
                <w:rFonts w:ascii="宋体" w:hAnsi="宋体" w:cs="宋体" w:eastAsia="宋体" w:hint="default"/>
                <w:sz w:val="24"/>
                <w:szCs w:val="24"/>
              </w:rPr>
              <w:t>现金流量表</w:t>
            </w:r>
          </w:p>
        </w:tc>
      </w:tr>
      <w:tr>
        <w:trPr>
          <w:trHeight w:val="289" w:hRule="exact"/>
        </w:trPr>
        <w:tc>
          <w:tcPr>
            <w:tcW w:w="9979"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1"/>
              <w:ind w:right="305"/>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年度</w:t>
            </w:r>
          </w:p>
        </w:tc>
      </w:tr>
      <w:tr>
        <w:trPr>
          <w:trHeight w:val="283" w:hRule="exact"/>
        </w:trPr>
        <w:tc>
          <w:tcPr>
            <w:tcW w:w="5004" w:type="dxa"/>
            <w:tcBorders>
              <w:top w:val="nil" w:sz="6" w:space="0" w:color="auto"/>
              <w:left w:val="nil" w:sz="6" w:space="0" w:color="auto"/>
              <w:bottom w:val="nil" w:sz="6" w:space="0" w:color="auto"/>
              <w:right w:val="nil" w:sz="6" w:space="0" w:color="auto"/>
            </w:tcBorders>
          </w:tcPr>
          <w:p>
            <w:pPr/>
          </w:p>
        </w:tc>
        <w:tc>
          <w:tcPr>
            <w:tcW w:w="907"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
        </w:tc>
        <w:tc>
          <w:tcPr>
            <w:tcW w:w="161"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Style w:val="TableParagraph"/>
              <w:spacing w:line="232" w:lineRule="exact"/>
              <w:ind w:right="26"/>
              <w:jc w:val="right"/>
              <w:rPr>
                <w:rFonts w:ascii="宋体" w:hAnsi="宋体" w:cs="宋体" w:eastAsia="宋体" w:hint="default"/>
                <w:sz w:val="18"/>
                <w:szCs w:val="18"/>
              </w:rPr>
            </w:pPr>
            <w:r>
              <w:rPr>
                <w:rFonts w:ascii="宋体" w:hAnsi="宋体" w:cs="宋体" w:eastAsia="宋体" w:hint="default"/>
                <w:sz w:val="18"/>
                <w:szCs w:val="18"/>
              </w:rPr>
              <w:t>单位：人民币元</w:t>
            </w:r>
          </w:p>
        </w:tc>
        <w:tc>
          <w:tcPr>
            <w:tcW w:w="312" w:type="dxa"/>
            <w:tcBorders>
              <w:top w:val="nil" w:sz="6" w:space="0" w:color="auto"/>
              <w:left w:val="nil" w:sz="6" w:space="0" w:color="auto"/>
              <w:bottom w:val="nil" w:sz="6" w:space="0" w:color="auto"/>
              <w:right w:val="nil" w:sz="6" w:space="0" w:color="auto"/>
            </w:tcBorders>
          </w:tcPr>
          <w:p>
            <w:pPr/>
          </w:p>
        </w:tc>
      </w:tr>
      <w:tr>
        <w:trPr>
          <w:trHeight w:val="283" w:hRule="exact"/>
        </w:trPr>
        <w:tc>
          <w:tcPr>
            <w:tcW w:w="5004" w:type="dxa"/>
            <w:tcBorders>
              <w:top w:val="nil" w:sz="6" w:space="0" w:color="auto"/>
              <w:left w:val="nil" w:sz="6" w:space="0" w:color="auto"/>
              <w:bottom w:val="single" w:sz="4" w:space="0" w:color="000000"/>
              <w:right w:val="nil" w:sz="6" w:space="0" w:color="auto"/>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907" w:type="dxa"/>
            <w:tcBorders>
              <w:top w:val="nil" w:sz="6" w:space="0" w:color="auto"/>
              <w:left w:val="nil" w:sz="6" w:space="0" w:color="auto"/>
              <w:bottom w:val="single" w:sz="4" w:space="0" w:color="000000"/>
              <w:right w:val="nil" w:sz="6" w:space="0" w:color="auto"/>
            </w:tcBorders>
          </w:tcPr>
          <w:p>
            <w:pPr>
              <w:pStyle w:val="TableParagraph"/>
              <w:spacing w:line="232" w:lineRule="exact"/>
              <w:ind w:left="131" w:right="0"/>
              <w:jc w:val="left"/>
              <w:rPr>
                <w:rFonts w:ascii="宋体" w:hAnsi="宋体" w:cs="宋体" w:eastAsia="宋体" w:hint="default"/>
                <w:sz w:val="18"/>
                <w:szCs w:val="18"/>
              </w:rPr>
            </w:pPr>
            <w:r>
              <w:rPr>
                <w:rFonts w:ascii="宋体" w:hAnsi="宋体" w:cs="宋体" w:eastAsia="宋体" w:hint="default"/>
                <w:sz w:val="18"/>
                <w:szCs w:val="18"/>
              </w:rPr>
              <w:t>附注十五</w:t>
            </w:r>
          </w:p>
        </w:tc>
        <w:tc>
          <w:tcPr>
            <w:tcW w:w="1896" w:type="dxa"/>
            <w:tcBorders>
              <w:top w:val="nil" w:sz="6" w:space="0" w:color="auto"/>
              <w:left w:val="nil" w:sz="6" w:space="0" w:color="auto"/>
              <w:bottom w:val="single" w:sz="4" w:space="0" w:color="000000"/>
              <w:right w:val="nil" w:sz="6" w:space="0" w:color="auto"/>
            </w:tcBorders>
          </w:tcPr>
          <w:p>
            <w:pPr>
              <w:pStyle w:val="TableParagraph"/>
              <w:spacing w:line="232" w:lineRule="exact"/>
              <w:ind w:left="79"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61"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single" w:sz="4" w:space="0" w:color="000000"/>
              <w:right w:val="nil" w:sz="6" w:space="0" w:color="auto"/>
            </w:tcBorders>
          </w:tcPr>
          <w:p>
            <w:pPr>
              <w:pStyle w:val="TableParagraph"/>
              <w:spacing w:line="232" w:lineRule="exact"/>
              <w:ind w:left="624" w:right="0"/>
              <w:jc w:val="left"/>
              <w:rPr>
                <w:rFonts w:ascii="宋体" w:hAnsi="宋体" w:cs="宋体" w:eastAsia="宋体" w:hint="default"/>
                <w:sz w:val="18"/>
                <w:szCs w:val="18"/>
              </w:rPr>
            </w:pPr>
            <w:r>
              <w:rPr>
                <w:rFonts w:ascii="宋体" w:hAnsi="宋体" w:cs="宋体" w:eastAsia="宋体" w:hint="default"/>
                <w:sz w:val="18"/>
                <w:szCs w:val="18"/>
              </w:rPr>
              <w:t>上期数</w:t>
            </w:r>
          </w:p>
        </w:tc>
        <w:tc>
          <w:tcPr>
            <w:tcW w:w="312" w:type="dxa"/>
            <w:tcBorders>
              <w:top w:val="nil" w:sz="6" w:space="0" w:color="auto"/>
              <w:left w:val="nil" w:sz="6" w:space="0" w:color="auto"/>
              <w:bottom w:val="nil" w:sz="6" w:space="0" w:color="auto"/>
              <w:right w:val="nil" w:sz="6" w:space="0" w:color="auto"/>
            </w:tcBorders>
          </w:tcPr>
          <w:p>
            <w:pPr/>
          </w:p>
        </w:tc>
      </w:tr>
      <w:tr>
        <w:trPr>
          <w:trHeight w:val="291" w:hRule="exact"/>
        </w:trPr>
        <w:tc>
          <w:tcPr>
            <w:tcW w:w="5004" w:type="dxa"/>
            <w:tcBorders>
              <w:top w:val="single" w:sz="4" w:space="0" w:color="000000"/>
              <w:left w:val="nil" w:sz="6" w:space="0" w:color="auto"/>
              <w:bottom w:val="nil" w:sz="6" w:space="0" w:color="auto"/>
              <w:right w:val="nil" w:sz="6" w:space="0" w:color="auto"/>
            </w:tcBorders>
          </w:tcPr>
          <w:p>
            <w:pPr>
              <w:pStyle w:val="TableParagraph"/>
              <w:spacing w:line="240" w:lineRule="auto" w:before="3"/>
              <w:ind w:left="28" w:right="0"/>
              <w:jc w:val="left"/>
              <w:rPr>
                <w:rFonts w:ascii="宋体" w:hAnsi="宋体" w:cs="宋体" w:eastAsia="宋体" w:hint="default"/>
                <w:sz w:val="18"/>
                <w:szCs w:val="18"/>
              </w:rPr>
            </w:pPr>
            <w:r>
              <w:rPr>
                <w:rFonts w:ascii="宋体" w:hAnsi="宋体" w:cs="宋体" w:eastAsia="宋体" w:hint="default"/>
                <w:b/>
                <w:bCs/>
                <w:sz w:val="18"/>
                <w:szCs w:val="18"/>
              </w:rPr>
              <w:t>一、经营活动产生的现金流量：</w:t>
            </w:r>
            <w:r>
              <w:rPr>
                <w:rFonts w:ascii="宋体" w:hAnsi="宋体" w:cs="宋体" w:eastAsia="宋体" w:hint="default"/>
                <w:sz w:val="18"/>
                <w:szCs w:val="18"/>
              </w:rPr>
            </w:r>
          </w:p>
        </w:tc>
        <w:tc>
          <w:tcPr>
            <w:tcW w:w="907" w:type="dxa"/>
            <w:tcBorders>
              <w:top w:val="single" w:sz="4" w:space="0" w:color="000000"/>
              <w:left w:val="nil" w:sz="6" w:space="0" w:color="auto"/>
              <w:bottom w:val="nil" w:sz="6" w:space="0" w:color="auto"/>
              <w:right w:val="nil" w:sz="6" w:space="0" w:color="auto"/>
            </w:tcBorders>
          </w:tcPr>
          <w:p>
            <w:pPr/>
          </w:p>
        </w:tc>
        <w:tc>
          <w:tcPr>
            <w:tcW w:w="1896" w:type="dxa"/>
            <w:tcBorders>
              <w:top w:val="single" w:sz="4" w:space="0" w:color="000000"/>
              <w:left w:val="nil" w:sz="6" w:space="0" w:color="auto"/>
              <w:bottom w:val="nil" w:sz="6" w:space="0" w:color="auto"/>
              <w:right w:val="nil" w:sz="6" w:space="0" w:color="auto"/>
            </w:tcBorders>
          </w:tcPr>
          <w:p>
            <w:pPr/>
          </w:p>
        </w:tc>
        <w:tc>
          <w:tcPr>
            <w:tcW w:w="161" w:type="dxa"/>
            <w:tcBorders>
              <w:top w:val="nil" w:sz="6" w:space="0" w:color="auto"/>
              <w:left w:val="nil" w:sz="6" w:space="0" w:color="auto"/>
              <w:bottom w:val="nil" w:sz="6" w:space="0" w:color="auto"/>
              <w:right w:val="nil" w:sz="6" w:space="0" w:color="auto"/>
            </w:tcBorders>
          </w:tcPr>
          <w:p>
            <w:pPr/>
          </w:p>
        </w:tc>
        <w:tc>
          <w:tcPr>
            <w:tcW w:w="1699" w:type="dxa"/>
            <w:tcBorders>
              <w:top w:val="single" w:sz="4" w:space="0" w:color="000000"/>
              <w:left w:val="nil" w:sz="6" w:space="0" w:color="auto"/>
              <w:bottom w:val="nil" w:sz="6" w:space="0" w:color="auto"/>
              <w:right w:val="nil" w:sz="6" w:space="0" w:color="auto"/>
            </w:tcBorders>
          </w:tcPr>
          <w:p>
            <w:pPr/>
          </w:p>
        </w:tc>
        <w:tc>
          <w:tcPr>
            <w:tcW w:w="312" w:type="dxa"/>
            <w:tcBorders>
              <w:top w:val="nil" w:sz="6" w:space="0" w:color="auto"/>
              <w:left w:val="nil" w:sz="6" w:space="0" w:color="auto"/>
              <w:bottom w:val="nil" w:sz="6" w:space="0" w:color="auto"/>
              <w:right w:val="nil" w:sz="6" w:space="0" w:color="auto"/>
            </w:tcBorders>
          </w:tcPr>
          <w:p>
            <w:pPr/>
          </w:p>
        </w:tc>
      </w:tr>
      <w:tr>
        <w:trPr>
          <w:trHeight w:val="284" w:hRule="exact"/>
        </w:trPr>
        <w:tc>
          <w:tcPr>
            <w:tcW w:w="5004" w:type="dxa"/>
            <w:tcBorders>
              <w:top w:val="nil" w:sz="6" w:space="0" w:color="auto"/>
              <w:left w:val="nil" w:sz="6" w:space="0" w:color="auto"/>
              <w:bottom w:val="nil" w:sz="6" w:space="0" w:color="auto"/>
              <w:right w:val="nil" w:sz="6" w:space="0" w:color="auto"/>
            </w:tcBorders>
          </w:tcPr>
          <w:p>
            <w:pPr>
              <w:pStyle w:val="TableParagraph"/>
              <w:spacing w:line="240" w:lineRule="auto" w:before="1"/>
              <w:ind w:left="391"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907"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Style w:val="TableParagraph"/>
              <w:spacing w:line="227" w:lineRule="exact"/>
              <w:ind w:right="23"/>
              <w:jc w:val="right"/>
              <w:rPr>
                <w:rFonts w:ascii="宋体" w:hAnsi="宋体" w:cs="宋体" w:eastAsia="宋体" w:hint="default"/>
                <w:sz w:val="18"/>
                <w:szCs w:val="18"/>
              </w:rPr>
            </w:pPr>
            <w:r>
              <w:rPr>
                <w:rFonts w:ascii="宋体"/>
                <w:spacing w:val="-1"/>
                <w:sz w:val="18"/>
              </w:rPr>
              <w:t>92,048,326.39</w:t>
            </w:r>
          </w:p>
        </w:tc>
        <w:tc>
          <w:tcPr>
            <w:tcW w:w="161"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Style w:val="TableParagraph"/>
              <w:spacing w:line="227" w:lineRule="exact"/>
              <w:ind w:right="24"/>
              <w:jc w:val="right"/>
              <w:rPr>
                <w:rFonts w:ascii="宋体" w:hAnsi="宋体" w:cs="宋体" w:eastAsia="宋体" w:hint="default"/>
                <w:sz w:val="18"/>
                <w:szCs w:val="18"/>
              </w:rPr>
            </w:pPr>
            <w:r>
              <w:rPr>
                <w:rFonts w:ascii="宋体"/>
                <w:spacing w:val="-1"/>
                <w:sz w:val="18"/>
              </w:rPr>
              <w:t>68,720,288.88</w:t>
            </w:r>
            <w:r>
              <w:rPr>
                <w:rFonts w:ascii="宋体"/>
                <w:sz w:val="18"/>
              </w:rPr>
            </w:r>
          </w:p>
        </w:tc>
        <w:tc>
          <w:tcPr>
            <w:tcW w:w="312" w:type="dxa"/>
            <w:tcBorders>
              <w:top w:val="nil" w:sz="6" w:space="0" w:color="auto"/>
              <w:left w:val="nil" w:sz="6" w:space="0" w:color="auto"/>
              <w:bottom w:val="nil" w:sz="6" w:space="0" w:color="auto"/>
              <w:right w:val="nil" w:sz="6" w:space="0" w:color="auto"/>
            </w:tcBorders>
          </w:tcPr>
          <w:p>
            <w:pPr/>
          </w:p>
        </w:tc>
      </w:tr>
      <w:tr>
        <w:trPr>
          <w:trHeight w:val="284" w:hRule="exact"/>
        </w:trPr>
        <w:tc>
          <w:tcPr>
            <w:tcW w:w="5004" w:type="dxa"/>
            <w:tcBorders>
              <w:top w:val="nil" w:sz="6" w:space="0" w:color="auto"/>
              <w:left w:val="nil" w:sz="6" w:space="0" w:color="auto"/>
              <w:bottom w:val="nil" w:sz="6" w:space="0" w:color="auto"/>
              <w:right w:val="nil" w:sz="6" w:space="0" w:color="auto"/>
            </w:tcBorders>
          </w:tcPr>
          <w:p>
            <w:pPr>
              <w:pStyle w:val="TableParagraph"/>
              <w:spacing w:line="240" w:lineRule="auto" w:before="2"/>
              <w:ind w:left="39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907"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Style w:val="TableParagraph"/>
              <w:spacing w:line="228" w:lineRule="exact"/>
              <w:ind w:right="23"/>
              <w:jc w:val="right"/>
              <w:rPr>
                <w:rFonts w:ascii="宋体" w:hAnsi="宋体" w:cs="宋体" w:eastAsia="宋体" w:hint="default"/>
                <w:sz w:val="18"/>
                <w:szCs w:val="18"/>
              </w:rPr>
            </w:pPr>
            <w:r>
              <w:rPr>
                <w:rFonts w:ascii="宋体"/>
                <w:spacing w:val="-1"/>
                <w:sz w:val="18"/>
              </w:rPr>
              <w:t>3,564,977.33</w:t>
            </w:r>
          </w:p>
        </w:tc>
        <w:tc>
          <w:tcPr>
            <w:tcW w:w="161"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Style w:val="TableParagraph"/>
              <w:spacing w:line="228" w:lineRule="exact"/>
              <w:ind w:right="25"/>
              <w:jc w:val="right"/>
              <w:rPr>
                <w:rFonts w:ascii="宋体" w:hAnsi="宋体" w:cs="宋体" w:eastAsia="宋体" w:hint="default"/>
                <w:sz w:val="18"/>
                <w:szCs w:val="18"/>
              </w:rPr>
            </w:pPr>
            <w:r>
              <w:rPr>
                <w:rFonts w:ascii="宋体"/>
                <w:spacing w:val="-1"/>
                <w:sz w:val="18"/>
              </w:rPr>
              <w:t>3,758,773.21</w:t>
            </w:r>
          </w:p>
        </w:tc>
        <w:tc>
          <w:tcPr>
            <w:tcW w:w="312" w:type="dxa"/>
            <w:tcBorders>
              <w:top w:val="nil" w:sz="6" w:space="0" w:color="auto"/>
              <w:left w:val="nil" w:sz="6" w:space="0" w:color="auto"/>
              <w:bottom w:val="nil" w:sz="6" w:space="0" w:color="auto"/>
              <w:right w:val="nil" w:sz="6" w:space="0" w:color="auto"/>
            </w:tcBorders>
          </w:tcPr>
          <w:p>
            <w:pPr/>
          </w:p>
        </w:tc>
      </w:tr>
      <w:tr>
        <w:trPr>
          <w:trHeight w:val="289" w:hRule="exact"/>
        </w:trPr>
        <w:tc>
          <w:tcPr>
            <w:tcW w:w="5004" w:type="dxa"/>
            <w:tcBorders>
              <w:top w:val="nil" w:sz="6" w:space="0" w:color="auto"/>
              <w:left w:val="nil" w:sz="6" w:space="0" w:color="auto"/>
              <w:bottom w:val="nil" w:sz="6" w:space="0" w:color="auto"/>
              <w:right w:val="nil" w:sz="6" w:space="0" w:color="auto"/>
            </w:tcBorders>
          </w:tcPr>
          <w:p>
            <w:pPr>
              <w:pStyle w:val="TableParagraph"/>
              <w:spacing w:line="240" w:lineRule="auto" w:before="1"/>
              <w:ind w:left="391"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907"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Style w:val="TableParagraph"/>
              <w:spacing w:line="227" w:lineRule="exact"/>
              <w:ind w:right="23"/>
              <w:jc w:val="right"/>
              <w:rPr>
                <w:rFonts w:ascii="宋体" w:hAnsi="宋体" w:cs="宋体" w:eastAsia="宋体" w:hint="default"/>
                <w:sz w:val="18"/>
                <w:szCs w:val="18"/>
              </w:rPr>
            </w:pPr>
            <w:r>
              <w:rPr>
                <w:rFonts w:ascii="宋体"/>
                <w:spacing w:val="-1"/>
                <w:sz w:val="18"/>
              </w:rPr>
              <w:t>5,401,190.74</w:t>
            </w:r>
          </w:p>
        </w:tc>
        <w:tc>
          <w:tcPr>
            <w:tcW w:w="161"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Style w:val="TableParagraph"/>
              <w:spacing w:line="227" w:lineRule="exact"/>
              <w:ind w:right="25"/>
              <w:jc w:val="right"/>
              <w:rPr>
                <w:rFonts w:ascii="宋体" w:hAnsi="宋体" w:cs="宋体" w:eastAsia="宋体" w:hint="default"/>
                <w:sz w:val="18"/>
                <w:szCs w:val="18"/>
              </w:rPr>
            </w:pPr>
            <w:r>
              <w:rPr>
                <w:rFonts w:ascii="宋体"/>
                <w:spacing w:val="-1"/>
                <w:sz w:val="18"/>
              </w:rPr>
              <w:t>8,763,227.93</w:t>
            </w:r>
          </w:p>
        </w:tc>
        <w:tc>
          <w:tcPr>
            <w:tcW w:w="312" w:type="dxa"/>
            <w:tcBorders>
              <w:top w:val="nil" w:sz="6" w:space="0" w:color="auto"/>
              <w:left w:val="nil" w:sz="6" w:space="0" w:color="auto"/>
              <w:bottom w:val="nil" w:sz="6" w:space="0" w:color="auto"/>
              <w:right w:val="nil" w:sz="6" w:space="0" w:color="auto"/>
            </w:tcBorders>
          </w:tcPr>
          <w:p>
            <w:pPr/>
          </w:p>
        </w:tc>
      </w:tr>
      <w:tr>
        <w:trPr>
          <w:trHeight w:val="291" w:hRule="exact"/>
        </w:trPr>
        <w:tc>
          <w:tcPr>
            <w:tcW w:w="5004" w:type="dxa"/>
            <w:tcBorders>
              <w:top w:val="nil" w:sz="6" w:space="0" w:color="auto"/>
              <w:left w:val="nil" w:sz="6" w:space="0" w:color="auto"/>
              <w:bottom w:val="nil" w:sz="6" w:space="0" w:color="auto"/>
              <w:right w:val="nil" w:sz="6" w:space="0" w:color="auto"/>
            </w:tcBorders>
          </w:tcPr>
          <w:p>
            <w:pPr>
              <w:pStyle w:val="TableParagraph"/>
              <w:spacing w:line="240" w:lineRule="auto" w:before="4"/>
              <w:ind w:left="57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907"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single" w:sz="4" w:space="0" w:color="000000"/>
              <w:right w:val="nil" w:sz="6" w:space="0" w:color="auto"/>
            </w:tcBorders>
          </w:tcPr>
          <w:p>
            <w:pPr>
              <w:pStyle w:val="TableParagraph"/>
              <w:spacing w:line="233" w:lineRule="exact"/>
              <w:ind w:right="23"/>
              <w:jc w:val="right"/>
              <w:rPr>
                <w:rFonts w:ascii="宋体" w:hAnsi="宋体" w:cs="宋体" w:eastAsia="宋体" w:hint="default"/>
                <w:sz w:val="18"/>
                <w:szCs w:val="18"/>
              </w:rPr>
            </w:pPr>
            <w:r>
              <w:rPr>
                <w:rFonts w:ascii="宋体"/>
                <w:spacing w:val="-1"/>
                <w:sz w:val="18"/>
              </w:rPr>
              <w:t>101,014,494.46</w:t>
            </w:r>
          </w:p>
        </w:tc>
        <w:tc>
          <w:tcPr>
            <w:tcW w:w="161"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single" w:sz="4" w:space="0" w:color="000000"/>
              <w:right w:val="nil" w:sz="6" w:space="0" w:color="auto"/>
            </w:tcBorders>
          </w:tcPr>
          <w:p>
            <w:pPr>
              <w:pStyle w:val="TableParagraph"/>
              <w:spacing w:line="233" w:lineRule="exact"/>
              <w:ind w:right="24"/>
              <w:jc w:val="right"/>
              <w:rPr>
                <w:rFonts w:ascii="宋体" w:hAnsi="宋体" w:cs="宋体" w:eastAsia="宋体" w:hint="default"/>
                <w:sz w:val="18"/>
                <w:szCs w:val="18"/>
              </w:rPr>
            </w:pPr>
            <w:r>
              <w:rPr>
                <w:rFonts w:ascii="宋体"/>
                <w:spacing w:val="-1"/>
                <w:sz w:val="18"/>
              </w:rPr>
              <w:t>81,242,290.02</w:t>
            </w:r>
            <w:r>
              <w:rPr>
                <w:rFonts w:ascii="宋体"/>
                <w:sz w:val="18"/>
              </w:rPr>
            </w:r>
          </w:p>
        </w:tc>
        <w:tc>
          <w:tcPr>
            <w:tcW w:w="312" w:type="dxa"/>
            <w:tcBorders>
              <w:top w:val="nil" w:sz="6" w:space="0" w:color="auto"/>
              <w:left w:val="nil" w:sz="6" w:space="0" w:color="auto"/>
              <w:bottom w:val="nil" w:sz="6" w:space="0" w:color="auto"/>
              <w:right w:val="nil" w:sz="6" w:space="0" w:color="auto"/>
            </w:tcBorders>
          </w:tcPr>
          <w:p>
            <w:pPr/>
          </w:p>
        </w:tc>
      </w:tr>
      <w:tr>
        <w:trPr>
          <w:trHeight w:val="291" w:hRule="exact"/>
        </w:trPr>
        <w:tc>
          <w:tcPr>
            <w:tcW w:w="5004" w:type="dxa"/>
            <w:tcBorders>
              <w:top w:val="nil" w:sz="6" w:space="0" w:color="auto"/>
              <w:left w:val="nil" w:sz="6" w:space="0" w:color="auto"/>
              <w:bottom w:val="nil" w:sz="6" w:space="0" w:color="auto"/>
              <w:right w:val="nil" w:sz="6" w:space="0" w:color="auto"/>
            </w:tcBorders>
          </w:tcPr>
          <w:p>
            <w:pPr>
              <w:pStyle w:val="TableParagraph"/>
              <w:spacing w:line="240" w:lineRule="auto" w:before="8"/>
              <w:ind w:left="391"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907" w:type="dxa"/>
            <w:tcBorders>
              <w:top w:val="nil" w:sz="6" w:space="0" w:color="auto"/>
              <w:left w:val="nil" w:sz="6" w:space="0" w:color="auto"/>
              <w:bottom w:val="nil" w:sz="6" w:space="0" w:color="auto"/>
              <w:right w:val="nil" w:sz="6" w:space="0" w:color="auto"/>
            </w:tcBorders>
          </w:tcPr>
          <w:p>
            <w:pPr/>
          </w:p>
        </w:tc>
        <w:tc>
          <w:tcPr>
            <w:tcW w:w="1896" w:type="dxa"/>
            <w:tcBorders>
              <w:top w:val="single" w:sz="4" w:space="0" w:color="000000"/>
              <w:left w:val="nil" w:sz="6" w:space="0" w:color="auto"/>
              <w:bottom w:val="nil" w:sz="6" w:space="0" w:color="auto"/>
              <w:right w:val="nil" w:sz="6" w:space="0" w:color="auto"/>
            </w:tcBorders>
          </w:tcPr>
          <w:p>
            <w:pPr>
              <w:pStyle w:val="TableParagraph"/>
              <w:spacing w:line="229" w:lineRule="exact"/>
              <w:ind w:right="23"/>
              <w:jc w:val="right"/>
              <w:rPr>
                <w:rFonts w:ascii="宋体" w:hAnsi="宋体" w:cs="宋体" w:eastAsia="宋体" w:hint="default"/>
                <w:sz w:val="18"/>
                <w:szCs w:val="18"/>
              </w:rPr>
            </w:pPr>
            <w:r>
              <w:rPr>
                <w:rFonts w:ascii="宋体"/>
                <w:spacing w:val="-1"/>
                <w:sz w:val="18"/>
              </w:rPr>
              <w:t>25,616,207.26</w:t>
            </w:r>
          </w:p>
        </w:tc>
        <w:tc>
          <w:tcPr>
            <w:tcW w:w="161" w:type="dxa"/>
            <w:tcBorders>
              <w:top w:val="nil" w:sz="6" w:space="0" w:color="auto"/>
              <w:left w:val="nil" w:sz="6" w:space="0" w:color="auto"/>
              <w:bottom w:val="nil" w:sz="6" w:space="0" w:color="auto"/>
              <w:right w:val="nil" w:sz="6" w:space="0" w:color="auto"/>
            </w:tcBorders>
          </w:tcPr>
          <w:p>
            <w:pPr/>
          </w:p>
        </w:tc>
        <w:tc>
          <w:tcPr>
            <w:tcW w:w="1699" w:type="dxa"/>
            <w:tcBorders>
              <w:top w:val="single" w:sz="4" w:space="0" w:color="000000"/>
              <w:left w:val="nil" w:sz="6" w:space="0" w:color="auto"/>
              <w:bottom w:val="nil" w:sz="6" w:space="0" w:color="auto"/>
              <w:right w:val="nil" w:sz="6" w:space="0" w:color="auto"/>
            </w:tcBorders>
          </w:tcPr>
          <w:p>
            <w:pPr>
              <w:pStyle w:val="TableParagraph"/>
              <w:spacing w:line="229" w:lineRule="exact"/>
              <w:ind w:right="24"/>
              <w:jc w:val="right"/>
              <w:rPr>
                <w:rFonts w:ascii="宋体" w:hAnsi="宋体" w:cs="宋体" w:eastAsia="宋体" w:hint="default"/>
                <w:sz w:val="18"/>
                <w:szCs w:val="18"/>
              </w:rPr>
            </w:pPr>
            <w:r>
              <w:rPr>
                <w:rFonts w:ascii="宋体"/>
                <w:spacing w:val="-1"/>
                <w:sz w:val="18"/>
              </w:rPr>
              <w:t>15,236,493.65</w:t>
            </w:r>
            <w:r>
              <w:rPr>
                <w:rFonts w:ascii="宋体"/>
                <w:sz w:val="18"/>
              </w:rPr>
            </w:r>
          </w:p>
        </w:tc>
        <w:tc>
          <w:tcPr>
            <w:tcW w:w="312" w:type="dxa"/>
            <w:tcBorders>
              <w:top w:val="nil" w:sz="6" w:space="0" w:color="auto"/>
              <w:left w:val="nil" w:sz="6" w:space="0" w:color="auto"/>
              <w:bottom w:val="nil" w:sz="6" w:space="0" w:color="auto"/>
              <w:right w:val="nil" w:sz="6" w:space="0" w:color="auto"/>
            </w:tcBorders>
          </w:tcPr>
          <w:p>
            <w:pPr/>
          </w:p>
        </w:tc>
      </w:tr>
      <w:tr>
        <w:trPr>
          <w:trHeight w:val="284" w:hRule="exact"/>
        </w:trPr>
        <w:tc>
          <w:tcPr>
            <w:tcW w:w="5004" w:type="dxa"/>
            <w:tcBorders>
              <w:top w:val="nil" w:sz="6" w:space="0" w:color="auto"/>
              <w:left w:val="nil" w:sz="6" w:space="0" w:color="auto"/>
              <w:bottom w:val="nil" w:sz="6" w:space="0" w:color="auto"/>
              <w:right w:val="nil" w:sz="6" w:space="0" w:color="auto"/>
            </w:tcBorders>
          </w:tcPr>
          <w:p>
            <w:pPr>
              <w:pStyle w:val="TableParagraph"/>
              <w:spacing w:line="240" w:lineRule="auto" w:before="1"/>
              <w:ind w:left="39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907"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Style w:val="TableParagraph"/>
              <w:spacing w:line="227" w:lineRule="exact"/>
              <w:ind w:right="23"/>
              <w:jc w:val="right"/>
              <w:rPr>
                <w:rFonts w:ascii="宋体" w:hAnsi="宋体" w:cs="宋体" w:eastAsia="宋体" w:hint="default"/>
                <w:sz w:val="18"/>
                <w:szCs w:val="18"/>
              </w:rPr>
            </w:pPr>
            <w:r>
              <w:rPr>
                <w:rFonts w:ascii="宋体"/>
                <w:spacing w:val="-1"/>
                <w:sz w:val="18"/>
              </w:rPr>
              <w:t>24,320,907.01</w:t>
            </w:r>
          </w:p>
        </w:tc>
        <w:tc>
          <w:tcPr>
            <w:tcW w:w="161"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Style w:val="TableParagraph"/>
              <w:spacing w:line="227" w:lineRule="exact"/>
              <w:ind w:right="24"/>
              <w:jc w:val="right"/>
              <w:rPr>
                <w:rFonts w:ascii="宋体" w:hAnsi="宋体" w:cs="宋体" w:eastAsia="宋体" w:hint="default"/>
                <w:sz w:val="18"/>
                <w:szCs w:val="18"/>
              </w:rPr>
            </w:pPr>
            <w:r>
              <w:rPr>
                <w:rFonts w:ascii="宋体"/>
                <w:spacing w:val="-1"/>
                <w:sz w:val="18"/>
              </w:rPr>
              <w:t>18,709,756.42</w:t>
            </w:r>
            <w:r>
              <w:rPr>
                <w:rFonts w:ascii="宋体"/>
                <w:sz w:val="18"/>
              </w:rPr>
            </w:r>
          </w:p>
        </w:tc>
        <w:tc>
          <w:tcPr>
            <w:tcW w:w="312" w:type="dxa"/>
            <w:tcBorders>
              <w:top w:val="nil" w:sz="6" w:space="0" w:color="auto"/>
              <w:left w:val="nil" w:sz="6" w:space="0" w:color="auto"/>
              <w:bottom w:val="nil" w:sz="6" w:space="0" w:color="auto"/>
              <w:right w:val="nil" w:sz="6" w:space="0" w:color="auto"/>
            </w:tcBorders>
          </w:tcPr>
          <w:p>
            <w:pPr/>
          </w:p>
        </w:tc>
      </w:tr>
      <w:tr>
        <w:trPr>
          <w:trHeight w:val="284" w:hRule="exact"/>
        </w:trPr>
        <w:tc>
          <w:tcPr>
            <w:tcW w:w="5004" w:type="dxa"/>
            <w:tcBorders>
              <w:top w:val="nil" w:sz="6" w:space="0" w:color="auto"/>
              <w:left w:val="nil" w:sz="6" w:space="0" w:color="auto"/>
              <w:bottom w:val="nil" w:sz="6" w:space="0" w:color="auto"/>
              <w:right w:val="nil" w:sz="6" w:space="0" w:color="auto"/>
            </w:tcBorders>
          </w:tcPr>
          <w:p>
            <w:pPr>
              <w:pStyle w:val="TableParagraph"/>
              <w:spacing w:line="240" w:lineRule="auto" w:before="2"/>
              <w:ind w:left="39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907"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Style w:val="TableParagraph"/>
              <w:spacing w:line="228" w:lineRule="exact"/>
              <w:ind w:right="23"/>
              <w:jc w:val="right"/>
              <w:rPr>
                <w:rFonts w:ascii="宋体" w:hAnsi="宋体" w:cs="宋体" w:eastAsia="宋体" w:hint="default"/>
                <w:sz w:val="18"/>
                <w:szCs w:val="18"/>
              </w:rPr>
            </w:pPr>
            <w:r>
              <w:rPr>
                <w:rFonts w:ascii="宋体"/>
                <w:spacing w:val="-1"/>
                <w:sz w:val="18"/>
              </w:rPr>
              <w:t>12,804,578.41</w:t>
            </w:r>
          </w:p>
        </w:tc>
        <w:tc>
          <w:tcPr>
            <w:tcW w:w="161"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Style w:val="TableParagraph"/>
              <w:spacing w:line="228" w:lineRule="exact"/>
              <w:ind w:right="24"/>
              <w:jc w:val="right"/>
              <w:rPr>
                <w:rFonts w:ascii="宋体" w:hAnsi="宋体" w:cs="宋体" w:eastAsia="宋体" w:hint="default"/>
                <w:sz w:val="18"/>
                <w:szCs w:val="18"/>
              </w:rPr>
            </w:pPr>
            <w:r>
              <w:rPr>
                <w:rFonts w:ascii="宋体"/>
                <w:spacing w:val="-1"/>
                <w:sz w:val="18"/>
              </w:rPr>
              <w:t>12,534,582.36</w:t>
            </w:r>
            <w:r>
              <w:rPr>
                <w:rFonts w:ascii="宋体"/>
                <w:sz w:val="18"/>
              </w:rPr>
            </w:r>
          </w:p>
        </w:tc>
        <w:tc>
          <w:tcPr>
            <w:tcW w:w="312" w:type="dxa"/>
            <w:tcBorders>
              <w:top w:val="nil" w:sz="6" w:space="0" w:color="auto"/>
              <w:left w:val="nil" w:sz="6" w:space="0" w:color="auto"/>
              <w:bottom w:val="nil" w:sz="6" w:space="0" w:color="auto"/>
              <w:right w:val="nil" w:sz="6" w:space="0" w:color="auto"/>
            </w:tcBorders>
          </w:tcPr>
          <w:p>
            <w:pPr/>
          </w:p>
        </w:tc>
      </w:tr>
      <w:tr>
        <w:trPr>
          <w:trHeight w:val="289" w:hRule="exact"/>
        </w:trPr>
        <w:tc>
          <w:tcPr>
            <w:tcW w:w="5004" w:type="dxa"/>
            <w:tcBorders>
              <w:top w:val="nil" w:sz="6" w:space="0" w:color="auto"/>
              <w:left w:val="nil" w:sz="6" w:space="0" w:color="auto"/>
              <w:bottom w:val="nil" w:sz="6" w:space="0" w:color="auto"/>
              <w:right w:val="nil" w:sz="6" w:space="0" w:color="auto"/>
            </w:tcBorders>
          </w:tcPr>
          <w:p>
            <w:pPr>
              <w:pStyle w:val="TableParagraph"/>
              <w:spacing w:line="240" w:lineRule="auto" w:before="1"/>
              <w:ind w:left="391"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907"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Style w:val="TableParagraph"/>
              <w:spacing w:line="227" w:lineRule="exact"/>
              <w:ind w:right="23"/>
              <w:jc w:val="right"/>
              <w:rPr>
                <w:rFonts w:ascii="宋体" w:hAnsi="宋体" w:cs="宋体" w:eastAsia="宋体" w:hint="default"/>
                <w:sz w:val="18"/>
                <w:szCs w:val="18"/>
              </w:rPr>
            </w:pPr>
            <w:r>
              <w:rPr>
                <w:rFonts w:ascii="宋体"/>
                <w:spacing w:val="-1"/>
                <w:sz w:val="18"/>
              </w:rPr>
              <w:t>18,982,301.16</w:t>
            </w:r>
          </w:p>
        </w:tc>
        <w:tc>
          <w:tcPr>
            <w:tcW w:w="161"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Style w:val="TableParagraph"/>
              <w:spacing w:line="227" w:lineRule="exact"/>
              <w:ind w:right="24"/>
              <w:jc w:val="right"/>
              <w:rPr>
                <w:rFonts w:ascii="宋体" w:hAnsi="宋体" w:cs="宋体" w:eastAsia="宋体" w:hint="default"/>
                <w:sz w:val="18"/>
                <w:szCs w:val="18"/>
              </w:rPr>
            </w:pPr>
            <w:r>
              <w:rPr>
                <w:rFonts w:ascii="宋体"/>
                <w:spacing w:val="-1"/>
                <w:sz w:val="18"/>
              </w:rPr>
              <w:t>16,880,329.00</w:t>
            </w:r>
            <w:r>
              <w:rPr>
                <w:rFonts w:ascii="宋体"/>
                <w:sz w:val="18"/>
              </w:rPr>
            </w:r>
          </w:p>
        </w:tc>
        <w:tc>
          <w:tcPr>
            <w:tcW w:w="312" w:type="dxa"/>
            <w:tcBorders>
              <w:top w:val="nil" w:sz="6" w:space="0" w:color="auto"/>
              <w:left w:val="nil" w:sz="6" w:space="0" w:color="auto"/>
              <w:bottom w:val="nil" w:sz="6" w:space="0" w:color="auto"/>
              <w:right w:val="nil" w:sz="6" w:space="0" w:color="auto"/>
            </w:tcBorders>
          </w:tcPr>
          <w:p>
            <w:pPr/>
          </w:p>
        </w:tc>
      </w:tr>
      <w:tr>
        <w:trPr>
          <w:trHeight w:val="291" w:hRule="exact"/>
        </w:trPr>
        <w:tc>
          <w:tcPr>
            <w:tcW w:w="5004" w:type="dxa"/>
            <w:tcBorders>
              <w:top w:val="nil" w:sz="6" w:space="0" w:color="auto"/>
              <w:left w:val="nil" w:sz="6" w:space="0" w:color="auto"/>
              <w:bottom w:val="nil" w:sz="6" w:space="0" w:color="auto"/>
              <w:right w:val="nil" w:sz="6" w:space="0" w:color="auto"/>
            </w:tcBorders>
          </w:tcPr>
          <w:p>
            <w:pPr>
              <w:pStyle w:val="TableParagraph"/>
              <w:spacing w:line="240" w:lineRule="auto" w:before="4"/>
              <w:ind w:left="57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907"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single" w:sz="4" w:space="0" w:color="000000"/>
              <w:right w:val="nil" w:sz="6" w:space="0" w:color="auto"/>
            </w:tcBorders>
          </w:tcPr>
          <w:p>
            <w:pPr>
              <w:pStyle w:val="TableParagraph"/>
              <w:spacing w:line="233" w:lineRule="exact"/>
              <w:ind w:right="23"/>
              <w:jc w:val="right"/>
              <w:rPr>
                <w:rFonts w:ascii="宋体" w:hAnsi="宋体" w:cs="宋体" w:eastAsia="宋体" w:hint="default"/>
                <w:sz w:val="18"/>
                <w:szCs w:val="18"/>
              </w:rPr>
            </w:pPr>
            <w:r>
              <w:rPr>
                <w:rFonts w:ascii="宋体"/>
                <w:spacing w:val="-1"/>
                <w:sz w:val="18"/>
              </w:rPr>
              <w:t>81,723,993.84</w:t>
            </w:r>
          </w:p>
        </w:tc>
        <w:tc>
          <w:tcPr>
            <w:tcW w:w="161"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single" w:sz="4" w:space="0" w:color="000000"/>
              <w:right w:val="nil" w:sz="6" w:space="0" w:color="auto"/>
            </w:tcBorders>
          </w:tcPr>
          <w:p>
            <w:pPr>
              <w:pStyle w:val="TableParagraph"/>
              <w:spacing w:line="233" w:lineRule="exact"/>
              <w:ind w:right="24"/>
              <w:jc w:val="right"/>
              <w:rPr>
                <w:rFonts w:ascii="宋体" w:hAnsi="宋体" w:cs="宋体" w:eastAsia="宋体" w:hint="default"/>
                <w:sz w:val="18"/>
                <w:szCs w:val="18"/>
              </w:rPr>
            </w:pPr>
            <w:r>
              <w:rPr>
                <w:rFonts w:ascii="宋体"/>
                <w:spacing w:val="-1"/>
                <w:sz w:val="18"/>
              </w:rPr>
              <w:t>63,361,161.43</w:t>
            </w:r>
            <w:r>
              <w:rPr>
                <w:rFonts w:ascii="宋体"/>
                <w:sz w:val="18"/>
              </w:rPr>
            </w:r>
          </w:p>
        </w:tc>
        <w:tc>
          <w:tcPr>
            <w:tcW w:w="312" w:type="dxa"/>
            <w:tcBorders>
              <w:top w:val="nil" w:sz="6" w:space="0" w:color="auto"/>
              <w:left w:val="nil" w:sz="6" w:space="0" w:color="auto"/>
              <w:bottom w:val="nil" w:sz="6" w:space="0" w:color="auto"/>
              <w:right w:val="nil" w:sz="6" w:space="0" w:color="auto"/>
            </w:tcBorders>
          </w:tcPr>
          <w:p>
            <w:pPr/>
          </w:p>
        </w:tc>
      </w:tr>
      <w:tr>
        <w:trPr>
          <w:trHeight w:val="310" w:hRule="exact"/>
        </w:trPr>
        <w:tc>
          <w:tcPr>
            <w:tcW w:w="5004" w:type="dxa"/>
            <w:tcBorders>
              <w:top w:val="nil" w:sz="6" w:space="0" w:color="auto"/>
              <w:left w:val="nil" w:sz="6" w:space="0" w:color="auto"/>
              <w:bottom w:val="nil" w:sz="6" w:space="0" w:color="auto"/>
              <w:right w:val="nil" w:sz="6" w:space="0" w:color="auto"/>
            </w:tcBorders>
          </w:tcPr>
          <w:p>
            <w:pPr>
              <w:pStyle w:val="TableParagraph"/>
              <w:spacing w:line="240" w:lineRule="auto" w:before="8"/>
              <w:ind w:left="57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907" w:type="dxa"/>
            <w:tcBorders>
              <w:top w:val="nil" w:sz="6" w:space="0" w:color="auto"/>
              <w:left w:val="nil" w:sz="6" w:space="0" w:color="auto"/>
              <w:bottom w:val="nil" w:sz="6" w:space="0" w:color="auto"/>
              <w:right w:val="nil" w:sz="6" w:space="0" w:color="auto"/>
            </w:tcBorders>
          </w:tcPr>
          <w:p>
            <w:pPr/>
          </w:p>
        </w:tc>
        <w:tc>
          <w:tcPr>
            <w:tcW w:w="1896" w:type="dxa"/>
            <w:tcBorders>
              <w:top w:val="single" w:sz="4" w:space="0" w:color="000000"/>
              <w:left w:val="nil" w:sz="6" w:space="0" w:color="auto"/>
              <w:bottom w:val="single" w:sz="17" w:space="0" w:color="000000"/>
              <w:right w:val="nil" w:sz="6" w:space="0" w:color="auto"/>
            </w:tcBorders>
          </w:tcPr>
          <w:p>
            <w:pPr>
              <w:pStyle w:val="TableParagraph"/>
              <w:spacing w:line="229" w:lineRule="exact"/>
              <w:ind w:right="21"/>
              <w:jc w:val="right"/>
              <w:rPr>
                <w:rFonts w:ascii="宋体" w:hAnsi="宋体" w:cs="宋体" w:eastAsia="宋体" w:hint="default"/>
                <w:sz w:val="18"/>
                <w:szCs w:val="18"/>
              </w:rPr>
            </w:pPr>
            <w:r>
              <w:rPr>
                <w:rFonts w:ascii="宋体"/>
                <w:spacing w:val="-1"/>
                <w:sz w:val="18"/>
              </w:rPr>
              <w:t>19,290,500.62</w:t>
            </w:r>
            <w:r>
              <w:rPr>
                <w:rFonts w:ascii="宋体"/>
                <w:sz w:val="18"/>
              </w:rPr>
            </w:r>
          </w:p>
        </w:tc>
        <w:tc>
          <w:tcPr>
            <w:tcW w:w="161" w:type="dxa"/>
            <w:tcBorders>
              <w:top w:val="nil" w:sz="6" w:space="0" w:color="auto"/>
              <w:left w:val="nil" w:sz="6" w:space="0" w:color="auto"/>
              <w:bottom w:val="nil" w:sz="6" w:space="0" w:color="auto"/>
              <w:right w:val="nil" w:sz="6" w:space="0" w:color="auto"/>
            </w:tcBorders>
          </w:tcPr>
          <w:p>
            <w:pPr/>
          </w:p>
        </w:tc>
        <w:tc>
          <w:tcPr>
            <w:tcW w:w="1699" w:type="dxa"/>
            <w:tcBorders>
              <w:top w:val="single" w:sz="4" w:space="0" w:color="000000"/>
              <w:left w:val="nil" w:sz="6" w:space="0" w:color="auto"/>
              <w:bottom w:val="single" w:sz="17" w:space="0" w:color="000000"/>
              <w:right w:val="nil" w:sz="6" w:space="0" w:color="auto"/>
            </w:tcBorders>
          </w:tcPr>
          <w:p>
            <w:pPr>
              <w:pStyle w:val="TableParagraph"/>
              <w:spacing w:line="229" w:lineRule="exact"/>
              <w:ind w:right="24"/>
              <w:jc w:val="right"/>
              <w:rPr>
                <w:rFonts w:ascii="宋体" w:hAnsi="宋体" w:cs="宋体" w:eastAsia="宋体" w:hint="default"/>
                <w:sz w:val="18"/>
                <w:szCs w:val="18"/>
              </w:rPr>
            </w:pPr>
            <w:r>
              <w:rPr>
                <w:rFonts w:ascii="宋体"/>
                <w:spacing w:val="-1"/>
                <w:sz w:val="18"/>
              </w:rPr>
              <w:t>17,881,128.59</w:t>
            </w:r>
            <w:r>
              <w:rPr>
                <w:rFonts w:ascii="宋体"/>
                <w:sz w:val="18"/>
              </w:rPr>
            </w:r>
          </w:p>
        </w:tc>
        <w:tc>
          <w:tcPr>
            <w:tcW w:w="312" w:type="dxa"/>
            <w:tcBorders>
              <w:top w:val="nil" w:sz="6" w:space="0" w:color="auto"/>
              <w:left w:val="nil" w:sz="6" w:space="0" w:color="auto"/>
              <w:bottom w:val="nil" w:sz="6" w:space="0" w:color="auto"/>
              <w:right w:val="nil" w:sz="6" w:space="0" w:color="auto"/>
            </w:tcBorders>
          </w:tcPr>
          <w:p>
            <w:pPr/>
          </w:p>
        </w:tc>
      </w:tr>
      <w:tr>
        <w:trPr>
          <w:trHeight w:val="311" w:hRule="exact"/>
        </w:trPr>
        <w:tc>
          <w:tcPr>
            <w:tcW w:w="5004" w:type="dxa"/>
            <w:tcBorders>
              <w:top w:val="nil" w:sz="6" w:space="0" w:color="auto"/>
              <w:left w:val="nil" w:sz="6" w:space="0" w:color="auto"/>
              <w:bottom w:val="nil" w:sz="6" w:space="0" w:color="auto"/>
              <w:right w:val="nil" w:sz="6" w:space="0" w:color="auto"/>
            </w:tcBorders>
          </w:tcPr>
          <w:p>
            <w:pPr>
              <w:pStyle w:val="TableParagraph"/>
              <w:spacing w:line="240" w:lineRule="auto" w:before="27"/>
              <w:ind w:left="28" w:right="0"/>
              <w:jc w:val="left"/>
              <w:rPr>
                <w:rFonts w:ascii="宋体" w:hAnsi="宋体" w:cs="宋体" w:eastAsia="宋体" w:hint="default"/>
                <w:sz w:val="18"/>
                <w:szCs w:val="18"/>
              </w:rPr>
            </w:pPr>
            <w:r>
              <w:rPr>
                <w:rFonts w:ascii="宋体" w:hAnsi="宋体" w:cs="宋体" w:eastAsia="宋体" w:hint="default"/>
                <w:b/>
                <w:bCs/>
                <w:sz w:val="18"/>
                <w:szCs w:val="18"/>
              </w:rPr>
              <w:t>二、投资活动产生的现金流量：</w:t>
            </w:r>
            <w:r>
              <w:rPr>
                <w:rFonts w:ascii="宋体" w:hAnsi="宋体" w:cs="宋体" w:eastAsia="宋体" w:hint="default"/>
                <w:sz w:val="18"/>
                <w:szCs w:val="18"/>
              </w:rPr>
            </w:r>
          </w:p>
        </w:tc>
        <w:tc>
          <w:tcPr>
            <w:tcW w:w="907" w:type="dxa"/>
            <w:tcBorders>
              <w:top w:val="nil" w:sz="6" w:space="0" w:color="auto"/>
              <w:left w:val="nil" w:sz="6" w:space="0" w:color="auto"/>
              <w:bottom w:val="nil" w:sz="6" w:space="0" w:color="auto"/>
              <w:right w:val="nil" w:sz="6" w:space="0" w:color="auto"/>
            </w:tcBorders>
          </w:tcPr>
          <w:p>
            <w:pPr/>
          </w:p>
        </w:tc>
        <w:tc>
          <w:tcPr>
            <w:tcW w:w="1896" w:type="dxa"/>
            <w:tcBorders>
              <w:top w:val="single" w:sz="17" w:space="0" w:color="000000"/>
              <w:left w:val="nil" w:sz="6" w:space="0" w:color="auto"/>
              <w:bottom w:val="nil" w:sz="6" w:space="0" w:color="auto"/>
              <w:right w:val="nil" w:sz="6" w:space="0" w:color="auto"/>
            </w:tcBorders>
          </w:tcPr>
          <w:p>
            <w:pPr/>
          </w:p>
        </w:tc>
        <w:tc>
          <w:tcPr>
            <w:tcW w:w="161" w:type="dxa"/>
            <w:tcBorders>
              <w:top w:val="nil" w:sz="6" w:space="0" w:color="auto"/>
              <w:left w:val="nil" w:sz="6" w:space="0" w:color="auto"/>
              <w:bottom w:val="nil" w:sz="6" w:space="0" w:color="auto"/>
              <w:right w:val="nil" w:sz="6" w:space="0" w:color="auto"/>
            </w:tcBorders>
          </w:tcPr>
          <w:p>
            <w:pPr/>
          </w:p>
        </w:tc>
        <w:tc>
          <w:tcPr>
            <w:tcW w:w="1699" w:type="dxa"/>
            <w:tcBorders>
              <w:top w:val="single" w:sz="17" w:space="0" w:color="000000"/>
              <w:left w:val="nil" w:sz="6" w:space="0" w:color="auto"/>
              <w:bottom w:val="nil" w:sz="6" w:space="0" w:color="auto"/>
              <w:right w:val="nil" w:sz="6" w:space="0" w:color="auto"/>
            </w:tcBorders>
          </w:tcPr>
          <w:p>
            <w:pPr/>
          </w:p>
        </w:tc>
        <w:tc>
          <w:tcPr>
            <w:tcW w:w="312" w:type="dxa"/>
            <w:tcBorders>
              <w:top w:val="nil" w:sz="6" w:space="0" w:color="auto"/>
              <w:left w:val="nil" w:sz="6" w:space="0" w:color="auto"/>
              <w:bottom w:val="nil" w:sz="6" w:space="0" w:color="auto"/>
              <w:right w:val="nil" w:sz="6" w:space="0" w:color="auto"/>
            </w:tcBorders>
          </w:tcPr>
          <w:p>
            <w:pPr/>
          </w:p>
        </w:tc>
      </w:tr>
      <w:tr>
        <w:trPr>
          <w:trHeight w:val="283" w:hRule="exact"/>
        </w:trPr>
        <w:tc>
          <w:tcPr>
            <w:tcW w:w="5004" w:type="dxa"/>
            <w:tcBorders>
              <w:top w:val="nil" w:sz="6" w:space="0" w:color="auto"/>
              <w:left w:val="nil" w:sz="6" w:space="0" w:color="auto"/>
              <w:bottom w:val="nil" w:sz="6" w:space="0" w:color="auto"/>
              <w:right w:val="nil" w:sz="6" w:space="0" w:color="auto"/>
            </w:tcBorders>
          </w:tcPr>
          <w:p>
            <w:pPr>
              <w:pStyle w:val="TableParagraph"/>
              <w:spacing w:line="235" w:lineRule="exact"/>
              <w:ind w:left="391" w:right="0"/>
              <w:jc w:val="left"/>
              <w:rPr>
                <w:rFonts w:ascii="宋体" w:hAnsi="宋体" w:cs="宋体" w:eastAsia="宋体" w:hint="default"/>
                <w:sz w:val="18"/>
                <w:szCs w:val="18"/>
              </w:rPr>
            </w:pPr>
            <w:r>
              <w:rPr>
                <w:rFonts w:ascii="宋体" w:hAnsi="宋体" w:cs="宋体" w:eastAsia="宋体" w:hint="default"/>
                <w:sz w:val="18"/>
                <w:szCs w:val="18"/>
              </w:rPr>
              <w:t>收回投资所收到的现金</w:t>
            </w:r>
          </w:p>
        </w:tc>
        <w:tc>
          <w:tcPr>
            <w:tcW w:w="907"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Style w:val="TableParagraph"/>
              <w:spacing w:line="228" w:lineRule="exact"/>
              <w:ind w:right="23"/>
              <w:jc w:val="right"/>
              <w:rPr>
                <w:rFonts w:ascii="宋体" w:hAnsi="宋体" w:cs="宋体" w:eastAsia="宋体" w:hint="default"/>
                <w:sz w:val="18"/>
                <w:szCs w:val="18"/>
              </w:rPr>
            </w:pPr>
            <w:r>
              <w:rPr>
                <w:rFonts w:ascii="宋体"/>
                <w:spacing w:val="-1"/>
                <w:sz w:val="18"/>
              </w:rPr>
              <w:t>215,000,000.00</w:t>
            </w:r>
          </w:p>
        </w:tc>
        <w:tc>
          <w:tcPr>
            <w:tcW w:w="161"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Style w:val="TableParagraph"/>
              <w:spacing w:line="228" w:lineRule="exact"/>
              <w:ind w:right="25"/>
              <w:jc w:val="right"/>
              <w:rPr>
                <w:rFonts w:ascii="宋体" w:hAnsi="宋体" w:cs="宋体" w:eastAsia="宋体" w:hint="default"/>
                <w:sz w:val="18"/>
                <w:szCs w:val="18"/>
              </w:rPr>
            </w:pPr>
            <w:r>
              <w:rPr>
                <w:rFonts w:ascii="宋体"/>
                <w:spacing w:val="-1"/>
                <w:sz w:val="18"/>
              </w:rPr>
              <w:t>334,000,000.00</w:t>
            </w:r>
          </w:p>
        </w:tc>
        <w:tc>
          <w:tcPr>
            <w:tcW w:w="312" w:type="dxa"/>
            <w:tcBorders>
              <w:top w:val="nil" w:sz="6" w:space="0" w:color="auto"/>
              <w:left w:val="nil" w:sz="6" w:space="0" w:color="auto"/>
              <w:bottom w:val="nil" w:sz="6" w:space="0" w:color="auto"/>
              <w:right w:val="nil" w:sz="6" w:space="0" w:color="auto"/>
            </w:tcBorders>
          </w:tcPr>
          <w:p>
            <w:pPr/>
          </w:p>
        </w:tc>
      </w:tr>
      <w:tr>
        <w:trPr>
          <w:trHeight w:val="284" w:hRule="exact"/>
        </w:trPr>
        <w:tc>
          <w:tcPr>
            <w:tcW w:w="5004" w:type="dxa"/>
            <w:tcBorders>
              <w:top w:val="nil" w:sz="6" w:space="0" w:color="auto"/>
              <w:left w:val="nil" w:sz="6" w:space="0" w:color="auto"/>
              <w:bottom w:val="nil" w:sz="6" w:space="0" w:color="auto"/>
              <w:right w:val="nil" w:sz="6" w:space="0" w:color="auto"/>
            </w:tcBorders>
          </w:tcPr>
          <w:p>
            <w:pPr>
              <w:pStyle w:val="TableParagraph"/>
              <w:spacing w:line="240" w:lineRule="auto" w:before="2"/>
              <w:ind w:left="39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907"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Style w:val="TableParagraph"/>
              <w:spacing w:line="228" w:lineRule="exact"/>
              <w:ind w:right="23"/>
              <w:jc w:val="right"/>
              <w:rPr>
                <w:rFonts w:ascii="宋体" w:hAnsi="宋体" w:cs="宋体" w:eastAsia="宋体" w:hint="default"/>
                <w:sz w:val="18"/>
                <w:szCs w:val="18"/>
              </w:rPr>
            </w:pPr>
            <w:r>
              <w:rPr>
                <w:rFonts w:ascii="宋体"/>
                <w:spacing w:val="-1"/>
                <w:sz w:val="18"/>
              </w:rPr>
              <w:t>3,083,530.79</w:t>
            </w:r>
          </w:p>
        </w:tc>
        <w:tc>
          <w:tcPr>
            <w:tcW w:w="161"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Style w:val="TableParagraph"/>
              <w:spacing w:line="228" w:lineRule="exact"/>
              <w:ind w:right="25"/>
              <w:jc w:val="right"/>
              <w:rPr>
                <w:rFonts w:ascii="宋体" w:hAnsi="宋体" w:cs="宋体" w:eastAsia="宋体" w:hint="default"/>
                <w:sz w:val="18"/>
                <w:szCs w:val="18"/>
              </w:rPr>
            </w:pPr>
            <w:r>
              <w:rPr>
                <w:rFonts w:ascii="宋体"/>
                <w:spacing w:val="-1"/>
                <w:sz w:val="18"/>
              </w:rPr>
              <w:t>2,776,904.09</w:t>
            </w:r>
          </w:p>
        </w:tc>
        <w:tc>
          <w:tcPr>
            <w:tcW w:w="312" w:type="dxa"/>
            <w:tcBorders>
              <w:top w:val="nil" w:sz="6" w:space="0" w:color="auto"/>
              <w:left w:val="nil" w:sz="6" w:space="0" w:color="auto"/>
              <w:bottom w:val="nil" w:sz="6" w:space="0" w:color="auto"/>
              <w:right w:val="nil" w:sz="6" w:space="0" w:color="auto"/>
            </w:tcBorders>
          </w:tcPr>
          <w:p>
            <w:pPr/>
          </w:p>
        </w:tc>
      </w:tr>
      <w:tr>
        <w:trPr>
          <w:trHeight w:val="284" w:hRule="exact"/>
        </w:trPr>
        <w:tc>
          <w:tcPr>
            <w:tcW w:w="5004" w:type="dxa"/>
            <w:tcBorders>
              <w:top w:val="nil" w:sz="6" w:space="0" w:color="auto"/>
              <w:left w:val="nil" w:sz="6" w:space="0" w:color="auto"/>
              <w:bottom w:val="nil" w:sz="6" w:space="0" w:color="auto"/>
              <w:right w:val="nil" w:sz="6" w:space="0" w:color="auto"/>
            </w:tcBorders>
          </w:tcPr>
          <w:p>
            <w:pPr>
              <w:pStyle w:val="TableParagraph"/>
              <w:spacing w:line="240" w:lineRule="auto" w:before="1"/>
              <w:ind w:left="391"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907"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Style w:val="TableParagraph"/>
              <w:spacing w:line="227" w:lineRule="exact"/>
              <w:ind w:right="24"/>
              <w:jc w:val="right"/>
              <w:rPr>
                <w:rFonts w:ascii="宋体" w:hAnsi="宋体" w:cs="宋体" w:eastAsia="宋体" w:hint="default"/>
                <w:sz w:val="18"/>
                <w:szCs w:val="18"/>
              </w:rPr>
            </w:pPr>
            <w:r>
              <w:rPr>
                <w:rFonts w:ascii="宋体"/>
                <w:spacing w:val="-1"/>
                <w:sz w:val="18"/>
              </w:rPr>
              <w:t>850,720.00</w:t>
            </w:r>
            <w:r>
              <w:rPr>
                <w:rFonts w:ascii="宋体"/>
                <w:sz w:val="18"/>
              </w:rPr>
            </w:r>
          </w:p>
        </w:tc>
        <w:tc>
          <w:tcPr>
            <w:tcW w:w="161"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Style w:val="TableParagraph"/>
              <w:spacing w:line="227" w:lineRule="exact"/>
              <w:ind w:right="25"/>
              <w:jc w:val="right"/>
              <w:rPr>
                <w:rFonts w:ascii="宋体" w:hAnsi="宋体" w:cs="宋体" w:eastAsia="宋体" w:hint="default"/>
                <w:sz w:val="18"/>
                <w:szCs w:val="18"/>
              </w:rPr>
            </w:pPr>
            <w:r>
              <w:rPr>
                <w:rFonts w:ascii="宋体"/>
                <w:spacing w:val="-1"/>
                <w:sz w:val="18"/>
              </w:rPr>
              <w:t>800.00</w:t>
            </w:r>
          </w:p>
        </w:tc>
        <w:tc>
          <w:tcPr>
            <w:tcW w:w="312" w:type="dxa"/>
            <w:tcBorders>
              <w:top w:val="nil" w:sz="6" w:space="0" w:color="auto"/>
              <w:left w:val="nil" w:sz="6" w:space="0" w:color="auto"/>
              <w:bottom w:val="nil" w:sz="6" w:space="0" w:color="auto"/>
              <w:right w:val="nil" w:sz="6" w:space="0" w:color="auto"/>
            </w:tcBorders>
          </w:tcPr>
          <w:p>
            <w:pPr/>
          </w:p>
        </w:tc>
      </w:tr>
      <w:tr>
        <w:trPr>
          <w:trHeight w:val="283" w:hRule="exact"/>
        </w:trPr>
        <w:tc>
          <w:tcPr>
            <w:tcW w:w="5004" w:type="dxa"/>
            <w:tcBorders>
              <w:top w:val="nil" w:sz="6" w:space="0" w:color="auto"/>
              <w:left w:val="nil" w:sz="6" w:space="0" w:color="auto"/>
              <w:bottom w:val="nil" w:sz="6" w:space="0" w:color="auto"/>
              <w:right w:val="nil" w:sz="6" w:space="0" w:color="auto"/>
            </w:tcBorders>
          </w:tcPr>
          <w:p>
            <w:pPr>
              <w:pStyle w:val="TableParagraph"/>
              <w:spacing w:line="235" w:lineRule="exact"/>
              <w:ind w:left="388"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907"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Style w:val="TableParagraph"/>
              <w:spacing w:line="228" w:lineRule="exact"/>
              <w:ind w:right="25"/>
              <w:jc w:val="right"/>
              <w:rPr>
                <w:rFonts w:ascii="宋体" w:hAnsi="宋体" w:cs="宋体" w:eastAsia="宋体" w:hint="default"/>
                <w:sz w:val="18"/>
                <w:szCs w:val="18"/>
              </w:rPr>
            </w:pPr>
            <w:r>
              <w:rPr>
                <w:rFonts w:ascii="宋体"/>
                <w:sz w:val="18"/>
              </w:rPr>
              <w:t>-</w:t>
            </w:r>
          </w:p>
        </w:tc>
        <w:tc>
          <w:tcPr>
            <w:tcW w:w="161"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Style w:val="TableParagraph"/>
              <w:spacing w:line="228" w:lineRule="exact"/>
              <w:ind w:right="29"/>
              <w:jc w:val="right"/>
              <w:rPr>
                <w:rFonts w:ascii="宋体" w:hAnsi="宋体" w:cs="宋体" w:eastAsia="宋体" w:hint="default"/>
                <w:sz w:val="18"/>
                <w:szCs w:val="18"/>
              </w:rPr>
            </w:pPr>
            <w:r>
              <w:rPr>
                <w:rFonts w:ascii="宋体"/>
                <w:sz w:val="18"/>
              </w:rPr>
              <w:t>-</w:t>
            </w:r>
          </w:p>
        </w:tc>
        <w:tc>
          <w:tcPr>
            <w:tcW w:w="312" w:type="dxa"/>
            <w:tcBorders>
              <w:top w:val="nil" w:sz="6" w:space="0" w:color="auto"/>
              <w:left w:val="nil" w:sz="6" w:space="0" w:color="auto"/>
              <w:bottom w:val="nil" w:sz="6" w:space="0" w:color="auto"/>
              <w:right w:val="nil" w:sz="6" w:space="0" w:color="auto"/>
            </w:tcBorders>
          </w:tcPr>
          <w:p>
            <w:pPr/>
          </w:p>
        </w:tc>
      </w:tr>
      <w:tr>
        <w:trPr>
          <w:trHeight w:val="289" w:hRule="exact"/>
        </w:trPr>
        <w:tc>
          <w:tcPr>
            <w:tcW w:w="5004" w:type="dxa"/>
            <w:tcBorders>
              <w:top w:val="nil" w:sz="6" w:space="0" w:color="auto"/>
              <w:left w:val="nil" w:sz="6" w:space="0" w:color="auto"/>
              <w:bottom w:val="nil" w:sz="6" w:space="0" w:color="auto"/>
              <w:right w:val="nil" w:sz="6" w:space="0" w:color="auto"/>
            </w:tcBorders>
          </w:tcPr>
          <w:p>
            <w:pPr>
              <w:pStyle w:val="TableParagraph"/>
              <w:spacing w:line="240" w:lineRule="auto" w:before="2"/>
              <w:ind w:left="391"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907"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Style w:val="TableParagraph"/>
              <w:spacing w:line="228" w:lineRule="exact"/>
              <w:ind w:right="25"/>
              <w:jc w:val="right"/>
              <w:rPr>
                <w:rFonts w:ascii="宋体" w:hAnsi="宋体" w:cs="宋体" w:eastAsia="宋体" w:hint="default"/>
                <w:sz w:val="18"/>
                <w:szCs w:val="18"/>
              </w:rPr>
            </w:pPr>
            <w:r>
              <w:rPr>
                <w:rFonts w:ascii="宋体"/>
                <w:sz w:val="18"/>
              </w:rPr>
              <w:t>-</w:t>
            </w:r>
          </w:p>
        </w:tc>
        <w:tc>
          <w:tcPr>
            <w:tcW w:w="161"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Style w:val="TableParagraph"/>
              <w:spacing w:line="228" w:lineRule="exact"/>
              <w:ind w:right="29"/>
              <w:jc w:val="right"/>
              <w:rPr>
                <w:rFonts w:ascii="宋体" w:hAnsi="宋体" w:cs="宋体" w:eastAsia="宋体" w:hint="default"/>
                <w:sz w:val="18"/>
                <w:szCs w:val="18"/>
              </w:rPr>
            </w:pPr>
            <w:r>
              <w:rPr>
                <w:rFonts w:ascii="宋体"/>
                <w:sz w:val="18"/>
              </w:rPr>
              <w:t>-</w:t>
            </w:r>
          </w:p>
        </w:tc>
        <w:tc>
          <w:tcPr>
            <w:tcW w:w="312" w:type="dxa"/>
            <w:tcBorders>
              <w:top w:val="nil" w:sz="6" w:space="0" w:color="auto"/>
              <w:left w:val="nil" w:sz="6" w:space="0" w:color="auto"/>
              <w:bottom w:val="nil" w:sz="6" w:space="0" w:color="auto"/>
              <w:right w:val="nil" w:sz="6" w:space="0" w:color="auto"/>
            </w:tcBorders>
          </w:tcPr>
          <w:p>
            <w:pPr/>
          </w:p>
        </w:tc>
      </w:tr>
      <w:tr>
        <w:trPr>
          <w:trHeight w:val="290" w:hRule="exact"/>
        </w:trPr>
        <w:tc>
          <w:tcPr>
            <w:tcW w:w="5004" w:type="dxa"/>
            <w:tcBorders>
              <w:top w:val="nil" w:sz="6" w:space="0" w:color="auto"/>
              <w:left w:val="nil" w:sz="6" w:space="0" w:color="auto"/>
              <w:bottom w:val="nil" w:sz="6" w:space="0" w:color="auto"/>
              <w:right w:val="nil" w:sz="6" w:space="0" w:color="auto"/>
            </w:tcBorders>
          </w:tcPr>
          <w:p>
            <w:pPr>
              <w:pStyle w:val="TableParagraph"/>
              <w:spacing w:line="240" w:lineRule="auto" w:before="5"/>
              <w:ind w:left="57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907"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single" w:sz="4" w:space="0" w:color="000000"/>
              <w:right w:val="nil" w:sz="6" w:space="0" w:color="auto"/>
            </w:tcBorders>
          </w:tcPr>
          <w:p>
            <w:pPr>
              <w:pStyle w:val="TableParagraph"/>
              <w:spacing w:line="232" w:lineRule="exact"/>
              <w:ind w:right="23"/>
              <w:jc w:val="right"/>
              <w:rPr>
                <w:rFonts w:ascii="宋体" w:hAnsi="宋体" w:cs="宋体" w:eastAsia="宋体" w:hint="default"/>
                <w:sz w:val="18"/>
                <w:szCs w:val="18"/>
              </w:rPr>
            </w:pPr>
            <w:r>
              <w:rPr>
                <w:rFonts w:ascii="宋体"/>
                <w:spacing w:val="-1"/>
                <w:sz w:val="18"/>
              </w:rPr>
              <w:t>218,934,250.79</w:t>
            </w:r>
          </w:p>
        </w:tc>
        <w:tc>
          <w:tcPr>
            <w:tcW w:w="161"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single" w:sz="4" w:space="0" w:color="000000"/>
              <w:right w:val="nil" w:sz="6" w:space="0" w:color="auto"/>
            </w:tcBorders>
          </w:tcPr>
          <w:p>
            <w:pPr>
              <w:pStyle w:val="TableParagraph"/>
              <w:spacing w:line="232" w:lineRule="exact"/>
              <w:ind w:right="25"/>
              <w:jc w:val="right"/>
              <w:rPr>
                <w:rFonts w:ascii="宋体" w:hAnsi="宋体" w:cs="宋体" w:eastAsia="宋体" w:hint="default"/>
                <w:sz w:val="18"/>
                <w:szCs w:val="18"/>
              </w:rPr>
            </w:pPr>
            <w:r>
              <w:rPr>
                <w:rFonts w:ascii="宋体"/>
                <w:spacing w:val="-1"/>
                <w:sz w:val="18"/>
              </w:rPr>
              <w:t>336,777,704.09</w:t>
            </w:r>
          </w:p>
        </w:tc>
        <w:tc>
          <w:tcPr>
            <w:tcW w:w="312" w:type="dxa"/>
            <w:tcBorders>
              <w:top w:val="nil" w:sz="6" w:space="0" w:color="auto"/>
              <w:left w:val="nil" w:sz="6" w:space="0" w:color="auto"/>
              <w:bottom w:val="nil" w:sz="6" w:space="0" w:color="auto"/>
              <w:right w:val="nil" w:sz="6" w:space="0" w:color="auto"/>
            </w:tcBorders>
          </w:tcPr>
          <w:p>
            <w:pPr/>
          </w:p>
        </w:tc>
      </w:tr>
      <w:tr>
        <w:trPr>
          <w:trHeight w:val="293" w:hRule="exact"/>
        </w:trPr>
        <w:tc>
          <w:tcPr>
            <w:tcW w:w="500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91"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907" w:type="dxa"/>
            <w:tcBorders>
              <w:top w:val="nil" w:sz="6" w:space="0" w:color="auto"/>
              <w:left w:val="nil" w:sz="6" w:space="0" w:color="auto"/>
              <w:bottom w:val="nil" w:sz="6" w:space="0" w:color="auto"/>
              <w:right w:val="nil" w:sz="6" w:space="0" w:color="auto"/>
            </w:tcBorders>
          </w:tcPr>
          <w:p>
            <w:pPr/>
          </w:p>
        </w:tc>
        <w:tc>
          <w:tcPr>
            <w:tcW w:w="1896" w:type="dxa"/>
            <w:tcBorders>
              <w:top w:val="single" w:sz="4" w:space="0" w:color="000000"/>
              <w:left w:val="nil" w:sz="6" w:space="0" w:color="auto"/>
              <w:bottom w:val="nil" w:sz="6" w:space="0" w:color="auto"/>
              <w:right w:val="nil" w:sz="6" w:space="0" w:color="auto"/>
            </w:tcBorders>
          </w:tcPr>
          <w:p>
            <w:pPr>
              <w:pStyle w:val="TableParagraph"/>
              <w:spacing w:line="232" w:lineRule="exact"/>
              <w:ind w:right="23"/>
              <w:jc w:val="right"/>
              <w:rPr>
                <w:rFonts w:ascii="宋体" w:hAnsi="宋体" w:cs="宋体" w:eastAsia="宋体" w:hint="default"/>
                <w:sz w:val="18"/>
                <w:szCs w:val="18"/>
              </w:rPr>
            </w:pPr>
            <w:r>
              <w:rPr>
                <w:rFonts w:ascii="宋体"/>
                <w:spacing w:val="-1"/>
                <w:sz w:val="18"/>
              </w:rPr>
              <w:t>2,939,673.92</w:t>
            </w:r>
          </w:p>
        </w:tc>
        <w:tc>
          <w:tcPr>
            <w:tcW w:w="161" w:type="dxa"/>
            <w:tcBorders>
              <w:top w:val="nil" w:sz="6" w:space="0" w:color="auto"/>
              <w:left w:val="nil" w:sz="6" w:space="0" w:color="auto"/>
              <w:bottom w:val="nil" w:sz="6" w:space="0" w:color="auto"/>
              <w:right w:val="nil" w:sz="6" w:space="0" w:color="auto"/>
            </w:tcBorders>
          </w:tcPr>
          <w:p>
            <w:pPr/>
          </w:p>
        </w:tc>
        <w:tc>
          <w:tcPr>
            <w:tcW w:w="1699" w:type="dxa"/>
            <w:tcBorders>
              <w:top w:val="single" w:sz="4" w:space="0" w:color="000000"/>
              <w:left w:val="nil" w:sz="6" w:space="0" w:color="auto"/>
              <w:bottom w:val="nil" w:sz="6" w:space="0" w:color="auto"/>
              <w:right w:val="nil" w:sz="6" w:space="0" w:color="auto"/>
            </w:tcBorders>
          </w:tcPr>
          <w:p>
            <w:pPr>
              <w:pStyle w:val="TableParagraph"/>
              <w:spacing w:line="232" w:lineRule="exact"/>
              <w:ind w:right="24"/>
              <w:jc w:val="right"/>
              <w:rPr>
                <w:rFonts w:ascii="宋体" w:hAnsi="宋体" w:cs="宋体" w:eastAsia="宋体" w:hint="default"/>
                <w:sz w:val="18"/>
                <w:szCs w:val="18"/>
              </w:rPr>
            </w:pPr>
            <w:r>
              <w:rPr>
                <w:rFonts w:ascii="宋体"/>
                <w:spacing w:val="-1"/>
                <w:sz w:val="18"/>
              </w:rPr>
              <w:t>89,736,284.52</w:t>
            </w:r>
            <w:r>
              <w:rPr>
                <w:rFonts w:ascii="宋体"/>
                <w:sz w:val="18"/>
              </w:rPr>
            </w:r>
          </w:p>
        </w:tc>
        <w:tc>
          <w:tcPr>
            <w:tcW w:w="312" w:type="dxa"/>
            <w:tcBorders>
              <w:top w:val="nil" w:sz="6" w:space="0" w:color="auto"/>
              <w:left w:val="nil" w:sz="6" w:space="0" w:color="auto"/>
              <w:bottom w:val="nil" w:sz="6" w:space="0" w:color="auto"/>
              <w:right w:val="nil" w:sz="6" w:space="0" w:color="auto"/>
            </w:tcBorders>
          </w:tcPr>
          <w:p>
            <w:pPr/>
          </w:p>
        </w:tc>
      </w:tr>
      <w:tr>
        <w:trPr>
          <w:trHeight w:val="283" w:hRule="exact"/>
        </w:trPr>
        <w:tc>
          <w:tcPr>
            <w:tcW w:w="5004" w:type="dxa"/>
            <w:tcBorders>
              <w:top w:val="nil" w:sz="6" w:space="0" w:color="auto"/>
              <w:left w:val="nil" w:sz="6" w:space="0" w:color="auto"/>
              <w:bottom w:val="nil" w:sz="6" w:space="0" w:color="auto"/>
              <w:right w:val="nil" w:sz="6" w:space="0" w:color="auto"/>
            </w:tcBorders>
          </w:tcPr>
          <w:p>
            <w:pPr>
              <w:pStyle w:val="TableParagraph"/>
              <w:spacing w:line="240" w:lineRule="auto" w:before="1"/>
              <w:ind w:left="39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907"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Style w:val="TableParagraph"/>
              <w:spacing w:line="227" w:lineRule="exact"/>
              <w:ind w:right="23"/>
              <w:jc w:val="right"/>
              <w:rPr>
                <w:rFonts w:ascii="宋体" w:hAnsi="宋体" w:cs="宋体" w:eastAsia="宋体" w:hint="default"/>
                <w:sz w:val="18"/>
                <w:szCs w:val="18"/>
              </w:rPr>
            </w:pPr>
            <w:r>
              <w:rPr>
                <w:rFonts w:ascii="宋体"/>
                <w:spacing w:val="-1"/>
                <w:sz w:val="18"/>
              </w:rPr>
              <w:t>238,000,000.00</w:t>
            </w:r>
          </w:p>
        </w:tc>
        <w:tc>
          <w:tcPr>
            <w:tcW w:w="161"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Style w:val="TableParagraph"/>
              <w:spacing w:line="227" w:lineRule="exact"/>
              <w:ind w:right="25"/>
              <w:jc w:val="right"/>
              <w:rPr>
                <w:rFonts w:ascii="宋体" w:hAnsi="宋体" w:cs="宋体" w:eastAsia="宋体" w:hint="default"/>
                <w:sz w:val="18"/>
                <w:szCs w:val="18"/>
              </w:rPr>
            </w:pPr>
            <w:r>
              <w:rPr>
                <w:rFonts w:ascii="宋体"/>
                <w:spacing w:val="-1"/>
                <w:sz w:val="18"/>
              </w:rPr>
              <w:t>360,000,000.00</w:t>
            </w:r>
          </w:p>
        </w:tc>
        <w:tc>
          <w:tcPr>
            <w:tcW w:w="312" w:type="dxa"/>
            <w:tcBorders>
              <w:top w:val="nil" w:sz="6" w:space="0" w:color="auto"/>
              <w:left w:val="nil" w:sz="6" w:space="0" w:color="auto"/>
              <w:bottom w:val="nil" w:sz="6" w:space="0" w:color="auto"/>
              <w:right w:val="nil" w:sz="6" w:space="0" w:color="auto"/>
            </w:tcBorders>
          </w:tcPr>
          <w:p>
            <w:pPr/>
          </w:p>
        </w:tc>
      </w:tr>
      <w:tr>
        <w:trPr>
          <w:trHeight w:val="284" w:hRule="exact"/>
        </w:trPr>
        <w:tc>
          <w:tcPr>
            <w:tcW w:w="5004" w:type="dxa"/>
            <w:tcBorders>
              <w:top w:val="nil" w:sz="6" w:space="0" w:color="auto"/>
              <w:left w:val="nil" w:sz="6" w:space="0" w:color="auto"/>
              <w:bottom w:val="nil" w:sz="6" w:space="0" w:color="auto"/>
              <w:right w:val="nil" w:sz="6" w:space="0" w:color="auto"/>
            </w:tcBorders>
          </w:tcPr>
          <w:p>
            <w:pPr>
              <w:pStyle w:val="TableParagraph"/>
              <w:spacing w:line="240" w:lineRule="auto" w:before="1"/>
              <w:ind w:left="388"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907"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Style w:val="TableParagraph"/>
              <w:spacing w:line="227" w:lineRule="exact"/>
              <w:ind w:right="25"/>
              <w:jc w:val="right"/>
              <w:rPr>
                <w:rFonts w:ascii="宋体" w:hAnsi="宋体" w:cs="宋体" w:eastAsia="宋体" w:hint="default"/>
                <w:sz w:val="18"/>
                <w:szCs w:val="18"/>
              </w:rPr>
            </w:pPr>
            <w:r>
              <w:rPr>
                <w:rFonts w:ascii="宋体"/>
                <w:sz w:val="18"/>
              </w:rPr>
              <w:t>-</w:t>
            </w:r>
          </w:p>
        </w:tc>
        <w:tc>
          <w:tcPr>
            <w:tcW w:w="161"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Style w:val="TableParagraph"/>
              <w:spacing w:line="227" w:lineRule="exact"/>
              <w:ind w:right="29"/>
              <w:jc w:val="right"/>
              <w:rPr>
                <w:rFonts w:ascii="宋体" w:hAnsi="宋体" w:cs="宋体" w:eastAsia="宋体" w:hint="default"/>
                <w:sz w:val="18"/>
                <w:szCs w:val="18"/>
              </w:rPr>
            </w:pPr>
            <w:r>
              <w:rPr>
                <w:rFonts w:ascii="宋体"/>
                <w:sz w:val="18"/>
              </w:rPr>
              <w:t>-</w:t>
            </w:r>
          </w:p>
        </w:tc>
        <w:tc>
          <w:tcPr>
            <w:tcW w:w="312" w:type="dxa"/>
            <w:tcBorders>
              <w:top w:val="nil" w:sz="6" w:space="0" w:color="auto"/>
              <w:left w:val="nil" w:sz="6" w:space="0" w:color="auto"/>
              <w:bottom w:val="nil" w:sz="6" w:space="0" w:color="auto"/>
              <w:right w:val="nil" w:sz="6" w:space="0" w:color="auto"/>
            </w:tcBorders>
          </w:tcPr>
          <w:p>
            <w:pPr/>
          </w:p>
        </w:tc>
      </w:tr>
      <w:tr>
        <w:trPr>
          <w:trHeight w:val="284" w:hRule="exact"/>
        </w:trPr>
        <w:tc>
          <w:tcPr>
            <w:tcW w:w="5004" w:type="dxa"/>
            <w:tcBorders>
              <w:top w:val="nil" w:sz="6" w:space="0" w:color="auto"/>
              <w:left w:val="nil" w:sz="6" w:space="0" w:color="auto"/>
              <w:bottom w:val="nil" w:sz="6" w:space="0" w:color="auto"/>
              <w:right w:val="nil" w:sz="6" w:space="0" w:color="auto"/>
            </w:tcBorders>
          </w:tcPr>
          <w:p>
            <w:pPr>
              <w:pStyle w:val="TableParagraph"/>
              <w:spacing w:line="240" w:lineRule="auto" w:before="2"/>
              <w:ind w:left="388"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907"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Style w:val="TableParagraph"/>
              <w:spacing w:line="228" w:lineRule="exact"/>
              <w:ind w:right="25"/>
              <w:jc w:val="right"/>
              <w:rPr>
                <w:rFonts w:ascii="宋体" w:hAnsi="宋体" w:cs="宋体" w:eastAsia="宋体" w:hint="default"/>
                <w:sz w:val="18"/>
                <w:szCs w:val="18"/>
              </w:rPr>
            </w:pPr>
            <w:r>
              <w:rPr>
                <w:rFonts w:ascii="宋体"/>
                <w:sz w:val="18"/>
              </w:rPr>
              <w:t>-</w:t>
            </w:r>
          </w:p>
        </w:tc>
        <w:tc>
          <w:tcPr>
            <w:tcW w:w="161"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Style w:val="TableParagraph"/>
              <w:spacing w:line="228" w:lineRule="exact"/>
              <w:ind w:right="29"/>
              <w:jc w:val="right"/>
              <w:rPr>
                <w:rFonts w:ascii="宋体" w:hAnsi="宋体" w:cs="宋体" w:eastAsia="宋体" w:hint="default"/>
                <w:sz w:val="18"/>
                <w:szCs w:val="18"/>
              </w:rPr>
            </w:pPr>
            <w:r>
              <w:rPr>
                <w:rFonts w:ascii="宋体"/>
                <w:sz w:val="18"/>
              </w:rPr>
              <w:t>-</w:t>
            </w:r>
          </w:p>
        </w:tc>
        <w:tc>
          <w:tcPr>
            <w:tcW w:w="312" w:type="dxa"/>
            <w:tcBorders>
              <w:top w:val="nil" w:sz="6" w:space="0" w:color="auto"/>
              <w:left w:val="nil" w:sz="6" w:space="0" w:color="auto"/>
              <w:bottom w:val="nil" w:sz="6" w:space="0" w:color="auto"/>
              <w:right w:val="nil" w:sz="6" w:space="0" w:color="auto"/>
            </w:tcBorders>
          </w:tcPr>
          <w:p>
            <w:pPr/>
          </w:p>
        </w:tc>
      </w:tr>
      <w:tr>
        <w:trPr>
          <w:trHeight w:val="289" w:hRule="exact"/>
        </w:trPr>
        <w:tc>
          <w:tcPr>
            <w:tcW w:w="5004" w:type="dxa"/>
            <w:tcBorders>
              <w:top w:val="nil" w:sz="6" w:space="0" w:color="auto"/>
              <w:left w:val="nil" w:sz="6" w:space="0" w:color="auto"/>
              <w:bottom w:val="nil" w:sz="6" w:space="0" w:color="auto"/>
              <w:right w:val="nil" w:sz="6" w:space="0" w:color="auto"/>
            </w:tcBorders>
          </w:tcPr>
          <w:p>
            <w:pPr>
              <w:pStyle w:val="TableParagraph"/>
              <w:spacing w:line="240" w:lineRule="auto" w:before="1"/>
              <w:ind w:left="391"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907"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Style w:val="TableParagraph"/>
              <w:spacing w:line="227" w:lineRule="exact"/>
              <w:ind w:right="25"/>
              <w:jc w:val="right"/>
              <w:rPr>
                <w:rFonts w:ascii="宋体" w:hAnsi="宋体" w:cs="宋体" w:eastAsia="宋体" w:hint="default"/>
                <w:sz w:val="18"/>
                <w:szCs w:val="18"/>
              </w:rPr>
            </w:pPr>
            <w:r>
              <w:rPr>
                <w:rFonts w:ascii="宋体"/>
                <w:sz w:val="18"/>
              </w:rPr>
              <w:t>-</w:t>
            </w:r>
          </w:p>
        </w:tc>
        <w:tc>
          <w:tcPr>
            <w:tcW w:w="161"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Style w:val="TableParagraph"/>
              <w:spacing w:line="227" w:lineRule="exact"/>
              <w:ind w:right="29"/>
              <w:jc w:val="right"/>
              <w:rPr>
                <w:rFonts w:ascii="宋体" w:hAnsi="宋体" w:cs="宋体" w:eastAsia="宋体" w:hint="default"/>
                <w:sz w:val="18"/>
                <w:szCs w:val="18"/>
              </w:rPr>
            </w:pPr>
            <w:r>
              <w:rPr>
                <w:rFonts w:ascii="宋体"/>
                <w:sz w:val="18"/>
              </w:rPr>
              <w:t>-</w:t>
            </w:r>
          </w:p>
        </w:tc>
        <w:tc>
          <w:tcPr>
            <w:tcW w:w="312" w:type="dxa"/>
            <w:tcBorders>
              <w:top w:val="nil" w:sz="6" w:space="0" w:color="auto"/>
              <w:left w:val="nil" w:sz="6" w:space="0" w:color="auto"/>
              <w:bottom w:val="nil" w:sz="6" w:space="0" w:color="auto"/>
              <w:right w:val="nil" w:sz="6" w:space="0" w:color="auto"/>
            </w:tcBorders>
          </w:tcPr>
          <w:p>
            <w:pPr/>
          </w:p>
        </w:tc>
      </w:tr>
      <w:tr>
        <w:trPr>
          <w:trHeight w:val="291" w:hRule="exact"/>
        </w:trPr>
        <w:tc>
          <w:tcPr>
            <w:tcW w:w="5004" w:type="dxa"/>
            <w:tcBorders>
              <w:top w:val="nil" w:sz="6" w:space="0" w:color="auto"/>
              <w:left w:val="nil" w:sz="6" w:space="0" w:color="auto"/>
              <w:bottom w:val="nil" w:sz="6" w:space="0" w:color="auto"/>
              <w:right w:val="nil" w:sz="6" w:space="0" w:color="auto"/>
            </w:tcBorders>
          </w:tcPr>
          <w:p>
            <w:pPr>
              <w:pStyle w:val="TableParagraph"/>
              <w:spacing w:line="240" w:lineRule="auto" w:before="4"/>
              <w:ind w:left="57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907"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single" w:sz="4" w:space="0" w:color="000000"/>
              <w:right w:val="nil" w:sz="6" w:space="0" w:color="auto"/>
            </w:tcBorders>
          </w:tcPr>
          <w:p>
            <w:pPr>
              <w:pStyle w:val="TableParagraph"/>
              <w:spacing w:line="233" w:lineRule="exact"/>
              <w:ind w:right="23"/>
              <w:jc w:val="right"/>
              <w:rPr>
                <w:rFonts w:ascii="宋体" w:hAnsi="宋体" w:cs="宋体" w:eastAsia="宋体" w:hint="default"/>
                <w:sz w:val="18"/>
                <w:szCs w:val="18"/>
              </w:rPr>
            </w:pPr>
            <w:r>
              <w:rPr>
                <w:rFonts w:ascii="宋体"/>
                <w:spacing w:val="-1"/>
                <w:sz w:val="18"/>
              </w:rPr>
              <w:t>240,939,673.92</w:t>
            </w:r>
          </w:p>
        </w:tc>
        <w:tc>
          <w:tcPr>
            <w:tcW w:w="161"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single" w:sz="4" w:space="0" w:color="000000"/>
              <w:right w:val="nil" w:sz="6" w:space="0" w:color="auto"/>
            </w:tcBorders>
          </w:tcPr>
          <w:p>
            <w:pPr>
              <w:pStyle w:val="TableParagraph"/>
              <w:spacing w:line="233" w:lineRule="exact"/>
              <w:ind w:right="25"/>
              <w:jc w:val="right"/>
              <w:rPr>
                <w:rFonts w:ascii="宋体" w:hAnsi="宋体" w:cs="宋体" w:eastAsia="宋体" w:hint="default"/>
                <w:sz w:val="18"/>
                <w:szCs w:val="18"/>
              </w:rPr>
            </w:pPr>
            <w:r>
              <w:rPr>
                <w:rFonts w:ascii="宋体"/>
                <w:spacing w:val="-1"/>
                <w:sz w:val="18"/>
              </w:rPr>
              <w:t>449,736,284.52</w:t>
            </w:r>
          </w:p>
        </w:tc>
        <w:tc>
          <w:tcPr>
            <w:tcW w:w="312" w:type="dxa"/>
            <w:tcBorders>
              <w:top w:val="nil" w:sz="6" w:space="0" w:color="auto"/>
              <w:left w:val="nil" w:sz="6" w:space="0" w:color="auto"/>
              <w:bottom w:val="nil" w:sz="6" w:space="0" w:color="auto"/>
              <w:right w:val="nil" w:sz="6" w:space="0" w:color="auto"/>
            </w:tcBorders>
          </w:tcPr>
          <w:p>
            <w:pPr/>
          </w:p>
        </w:tc>
      </w:tr>
      <w:tr>
        <w:trPr>
          <w:trHeight w:val="310" w:hRule="exact"/>
        </w:trPr>
        <w:tc>
          <w:tcPr>
            <w:tcW w:w="5004" w:type="dxa"/>
            <w:tcBorders>
              <w:top w:val="nil" w:sz="6" w:space="0" w:color="auto"/>
              <w:left w:val="nil" w:sz="6" w:space="0" w:color="auto"/>
              <w:bottom w:val="nil" w:sz="6" w:space="0" w:color="auto"/>
              <w:right w:val="nil" w:sz="6" w:space="0" w:color="auto"/>
            </w:tcBorders>
          </w:tcPr>
          <w:p>
            <w:pPr>
              <w:pStyle w:val="TableParagraph"/>
              <w:spacing w:line="240" w:lineRule="auto" w:before="8"/>
              <w:ind w:left="57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907" w:type="dxa"/>
            <w:tcBorders>
              <w:top w:val="nil" w:sz="6" w:space="0" w:color="auto"/>
              <w:left w:val="nil" w:sz="6" w:space="0" w:color="auto"/>
              <w:bottom w:val="nil" w:sz="6" w:space="0" w:color="auto"/>
              <w:right w:val="nil" w:sz="6" w:space="0" w:color="auto"/>
            </w:tcBorders>
          </w:tcPr>
          <w:p>
            <w:pPr/>
          </w:p>
        </w:tc>
        <w:tc>
          <w:tcPr>
            <w:tcW w:w="1896" w:type="dxa"/>
            <w:tcBorders>
              <w:top w:val="single" w:sz="4" w:space="0" w:color="000000"/>
              <w:left w:val="nil" w:sz="6" w:space="0" w:color="auto"/>
              <w:bottom w:val="single" w:sz="17" w:space="0" w:color="000000"/>
              <w:right w:val="nil" w:sz="6" w:space="0" w:color="auto"/>
            </w:tcBorders>
          </w:tcPr>
          <w:p>
            <w:pPr>
              <w:pStyle w:val="TableParagraph"/>
              <w:spacing w:line="229" w:lineRule="exact"/>
              <w:ind w:right="21"/>
              <w:jc w:val="right"/>
              <w:rPr>
                <w:rFonts w:ascii="宋体" w:hAnsi="宋体" w:cs="宋体" w:eastAsia="宋体" w:hint="default"/>
                <w:sz w:val="18"/>
                <w:szCs w:val="18"/>
              </w:rPr>
            </w:pPr>
            <w:r>
              <w:rPr>
                <w:rFonts w:ascii="宋体"/>
                <w:spacing w:val="-1"/>
                <w:sz w:val="18"/>
              </w:rPr>
              <w:t>(22,005,423.13)</w:t>
            </w:r>
            <w:r>
              <w:rPr>
                <w:rFonts w:ascii="宋体"/>
                <w:sz w:val="18"/>
              </w:rPr>
            </w:r>
          </w:p>
        </w:tc>
        <w:tc>
          <w:tcPr>
            <w:tcW w:w="161" w:type="dxa"/>
            <w:tcBorders>
              <w:top w:val="nil" w:sz="6" w:space="0" w:color="auto"/>
              <w:left w:val="nil" w:sz="6" w:space="0" w:color="auto"/>
              <w:bottom w:val="nil" w:sz="6" w:space="0" w:color="auto"/>
              <w:right w:val="nil" w:sz="6" w:space="0" w:color="auto"/>
            </w:tcBorders>
          </w:tcPr>
          <w:p>
            <w:pPr/>
          </w:p>
        </w:tc>
        <w:tc>
          <w:tcPr>
            <w:tcW w:w="1699" w:type="dxa"/>
            <w:tcBorders>
              <w:top w:val="single" w:sz="4" w:space="0" w:color="000000"/>
              <w:left w:val="nil" w:sz="6" w:space="0" w:color="auto"/>
              <w:bottom w:val="single" w:sz="17" w:space="0" w:color="000000"/>
              <w:right w:val="nil" w:sz="6" w:space="0" w:color="auto"/>
            </w:tcBorders>
          </w:tcPr>
          <w:p>
            <w:pPr>
              <w:pStyle w:val="TableParagraph"/>
              <w:spacing w:line="229" w:lineRule="exact"/>
              <w:ind w:right="26"/>
              <w:jc w:val="right"/>
              <w:rPr>
                <w:rFonts w:ascii="宋体" w:hAnsi="宋体" w:cs="宋体" w:eastAsia="宋体" w:hint="default"/>
                <w:sz w:val="18"/>
                <w:szCs w:val="18"/>
              </w:rPr>
            </w:pPr>
            <w:r>
              <w:rPr>
                <w:rFonts w:ascii="宋体"/>
                <w:spacing w:val="-1"/>
                <w:sz w:val="18"/>
              </w:rPr>
              <w:t>(112,958,580.43)</w:t>
            </w:r>
            <w:r>
              <w:rPr>
                <w:rFonts w:ascii="宋体"/>
                <w:sz w:val="18"/>
              </w:rPr>
            </w:r>
          </w:p>
        </w:tc>
        <w:tc>
          <w:tcPr>
            <w:tcW w:w="312" w:type="dxa"/>
            <w:tcBorders>
              <w:top w:val="nil" w:sz="6" w:space="0" w:color="auto"/>
              <w:left w:val="nil" w:sz="6" w:space="0" w:color="auto"/>
              <w:bottom w:val="nil" w:sz="6" w:space="0" w:color="auto"/>
              <w:right w:val="nil" w:sz="6" w:space="0" w:color="auto"/>
            </w:tcBorders>
          </w:tcPr>
          <w:p>
            <w:pPr/>
          </w:p>
        </w:tc>
      </w:tr>
      <w:tr>
        <w:trPr>
          <w:trHeight w:val="311" w:hRule="exact"/>
        </w:trPr>
        <w:tc>
          <w:tcPr>
            <w:tcW w:w="5004" w:type="dxa"/>
            <w:tcBorders>
              <w:top w:val="nil" w:sz="6" w:space="0" w:color="auto"/>
              <w:left w:val="nil" w:sz="6" w:space="0" w:color="auto"/>
              <w:bottom w:val="nil" w:sz="6" w:space="0" w:color="auto"/>
              <w:right w:val="nil" w:sz="6" w:space="0" w:color="auto"/>
            </w:tcBorders>
          </w:tcPr>
          <w:p>
            <w:pPr>
              <w:pStyle w:val="TableParagraph"/>
              <w:spacing w:line="240" w:lineRule="auto" w:before="27"/>
              <w:ind w:left="28" w:right="0"/>
              <w:jc w:val="left"/>
              <w:rPr>
                <w:rFonts w:ascii="宋体" w:hAnsi="宋体" w:cs="宋体" w:eastAsia="宋体" w:hint="default"/>
                <w:sz w:val="18"/>
                <w:szCs w:val="18"/>
              </w:rPr>
            </w:pPr>
            <w:r>
              <w:rPr>
                <w:rFonts w:ascii="宋体" w:hAnsi="宋体" w:cs="宋体" w:eastAsia="宋体" w:hint="default"/>
                <w:b/>
                <w:bCs/>
                <w:sz w:val="18"/>
                <w:szCs w:val="18"/>
              </w:rPr>
              <w:t>三、筹资活动产生的现金流量：</w:t>
            </w:r>
            <w:r>
              <w:rPr>
                <w:rFonts w:ascii="宋体" w:hAnsi="宋体" w:cs="宋体" w:eastAsia="宋体" w:hint="default"/>
                <w:sz w:val="18"/>
                <w:szCs w:val="18"/>
              </w:rPr>
            </w:r>
          </w:p>
        </w:tc>
        <w:tc>
          <w:tcPr>
            <w:tcW w:w="907" w:type="dxa"/>
            <w:tcBorders>
              <w:top w:val="nil" w:sz="6" w:space="0" w:color="auto"/>
              <w:left w:val="nil" w:sz="6" w:space="0" w:color="auto"/>
              <w:bottom w:val="nil" w:sz="6" w:space="0" w:color="auto"/>
              <w:right w:val="nil" w:sz="6" w:space="0" w:color="auto"/>
            </w:tcBorders>
          </w:tcPr>
          <w:p>
            <w:pPr/>
          </w:p>
        </w:tc>
        <w:tc>
          <w:tcPr>
            <w:tcW w:w="1896" w:type="dxa"/>
            <w:tcBorders>
              <w:top w:val="single" w:sz="17" w:space="0" w:color="000000"/>
              <w:left w:val="nil" w:sz="6" w:space="0" w:color="auto"/>
              <w:bottom w:val="nil" w:sz="6" w:space="0" w:color="auto"/>
              <w:right w:val="nil" w:sz="6" w:space="0" w:color="auto"/>
            </w:tcBorders>
          </w:tcPr>
          <w:p>
            <w:pPr/>
          </w:p>
        </w:tc>
        <w:tc>
          <w:tcPr>
            <w:tcW w:w="161" w:type="dxa"/>
            <w:tcBorders>
              <w:top w:val="nil" w:sz="6" w:space="0" w:color="auto"/>
              <w:left w:val="nil" w:sz="6" w:space="0" w:color="auto"/>
              <w:bottom w:val="nil" w:sz="6" w:space="0" w:color="auto"/>
              <w:right w:val="nil" w:sz="6" w:space="0" w:color="auto"/>
            </w:tcBorders>
          </w:tcPr>
          <w:p>
            <w:pPr/>
          </w:p>
        </w:tc>
        <w:tc>
          <w:tcPr>
            <w:tcW w:w="1699" w:type="dxa"/>
            <w:tcBorders>
              <w:top w:val="single" w:sz="17" w:space="0" w:color="000000"/>
              <w:left w:val="nil" w:sz="6" w:space="0" w:color="auto"/>
              <w:bottom w:val="nil" w:sz="6" w:space="0" w:color="auto"/>
              <w:right w:val="nil" w:sz="6" w:space="0" w:color="auto"/>
            </w:tcBorders>
          </w:tcPr>
          <w:p>
            <w:pPr/>
          </w:p>
        </w:tc>
        <w:tc>
          <w:tcPr>
            <w:tcW w:w="312" w:type="dxa"/>
            <w:tcBorders>
              <w:top w:val="nil" w:sz="6" w:space="0" w:color="auto"/>
              <w:left w:val="nil" w:sz="6" w:space="0" w:color="auto"/>
              <w:bottom w:val="nil" w:sz="6" w:space="0" w:color="auto"/>
              <w:right w:val="nil" w:sz="6" w:space="0" w:color="auto"/>
            </w:tcBorders>
          </w:tcPr>
          <w:p>
            <w:pPr/>
          </w:p>
        </w:tc>
      </w:tr>
      <w:tr>
        <w:trPr>
          <w:trHeight w:val="283" w:hRule="exact"/>
        </w:trPr>
        <w:tc>
          <w:tcPr>
            <w:tcW w:w="5004" w:type="dxa"/>
            <w:tcBorders>
              <w:top w:val="nil" w:sz="6" w:space="0" w:color="auto"/>
              <w:left w:val="nil" w:sz="6" w:space="0" w:color="auto"/>
              <w:bottom w:val="nil" w:sz="6" w:space="0" w:color="auto"/>
              <w:right w:val="nil" w:sz="6" w:space="0" w:color="auto"/>
            </w:tcBorders>
          </w:tcPr>
          <w:p>
            <w:pPr>
              <w:pStyle w:val="TableParagraph"/>
              <w:spacing w:line="235" w:lineRule="exact"/>
              <w:ind w:left="39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907"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Style w:val="TableParagraph"/>
              <w:spacing w:line="228" w:lineRule="exact"/>
              <w:ind w:right="25"/>
              <w:jc w:val="right"/>
              <w:rPr>
                <w:rFonts w:ascii="宋体" w:hAnsi="宋体" w:cs="宋体" w:eastAsia="宋体" w:hint="default"/>
                <w:sz w:val="18"/>
                <w:szCs w:val="18"/>
              </w:rPr>
            </w:pPr>
            <w:r>
              <w:rPr>
                <w:rFonts w:ascii="宋体"/>
                <w:sz w:val="18"/>
              </w:rPr>
              <w:t>-</w:t>
            </w:r>
          </w:p>
        </w:tc>
        <w:tc>
          <w:tcPr>
            <w:tcW w:w="161"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Style w:val="TableParagraph"/>
              <w:spacing w:line="228" w:lineRule="exact"/>
              <w:ind w:right="29"/>
              <w:jc w:val="right"/>
              <w:rPr>
                <w:rFonts w:ascii="宋体" w:hAnsi="宋体" w:cs="宋体" w:eastAsia="宋体" w:hint="default"/>
                <w:sz w:val="18"/>
                <w:szCs w:val="18"/>
              </w:rPr>
            </w:pPr>
            <w:r>
              <w:rPr>
                <w:rFonts w:ascii="宋体"/>
                <w:sz w:val="18"/>
              </w:rPr>
              <w:t>-</w:t>
            </w:r>
          </w:p>
        </w:tc>
        <w:tc>
          <w:tcPr>
            <w:tcW w:w="312" w:type="dxa"/>
            <w:tcBorders>
              <w:top w:val="nil" w:sz="6" w:space="0" w:color="auto"/>
              <w:left w:val="nil" w:sz="6" w:space="0" w:color="auto"/>
              <w:bottom w:val="nil" w:sz="6" w:space="0" w:color="auto"/>
              <w:right w:val="nil" w:sz="6" w:space="0" w:color="auto"/>
            </w:tcBorders>
          </w:tcPr>
          <w:p>
            <w:pPr/>
          </w:p>
        </w:tc>
      </w:tr>
      <w:tr>
        <w:trPr>
          <w:trHeight w:val="284" w:hRule="exact"/>
        </w:trPr>
        <w:tc>
          <w:tcPr>
            <w:tcW w:w="5004" w:type="dxa"/>
            <w:tcBorders>
              <w:top w:val="nil" w:sz="6" w:space="0" w:color="auto"/>
              <w:left w:val="nil" w:sz="6" w:space="0" w:color="auto"/>
              <w:bottom w:val="nil" w:sz="6" w:space="0" w:color="auto"/>
              <w:right w:val="nil" w:sz="6" w:space="0" w:color="auto"/>
            </w:tcBorders>
          </w:tcPr>
          <w:p>
            <w:pPr>
              <w:pStyle w:val="TableParagraph"/>
              <w:spacing w:line="240" w:lineRule="auto" w:before="2"/>
              <w:ind w:left="39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907"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Style w:val="TableParagraph"/>
              <w:spacing w:line="228" w:lineRule="exact"/>
              <w:ind w:right="25"/>
              <w:jc w:val="right"/>
              <w:rPr>
                <w:rFonts w:ascii="宋体" w:hAnsi="宋体" w:cs="宋体" w:eastAsia="宋体" w:hint="default"/>
                <w:sz w:val="18"/>
                <w:szCs w:val="18"/>
              </w:rPr>
            </w:pPr>
            <w:r>
              <w:rPr>
                <w:rFonts w:ascii="宋体"/>
                <w:sz w:val="18"/>
              </w:rPr>
              <w:t>-</w:t>
            </w:r>
          </w:p>
        </w:tc>
        <w:tc>
          <w:tcPr>
            <w:tcW w:w="161"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Style w:val="TableParagraph"/>
              <w:spacing w:line="228" w:lineRule="exact"/>
              <w:ind w:right="29"/>
              <w:jc w:val="right"/>
              <w:rPr>
                <w:rFonts w:ascii="宋体" w:hAnsi="宋体" w:cs="宋体" w:eastAsia="宋体" w:hint="default"/>
                <w:sz w:val="18"/>
                <w:szCs w:val="18"/>
              </w:rPr>
            </w:pPr>
            <w:r>
              <w:rPr>
                <w:rFonts w:ascii="宋体"/>
                <w:sz w:val="18"/>
              </w:rPr>
              <w:t>-</w:t>
            </w:r>
          </w:p>
        </w:tc>
        <w:tc>
          <w:tcPr>
            <w:tcW w:w="312" w:type="dxa"/>
            <w:tcBorders>
              <w:top w:val="nil" w:sz="6" w:space="0" w:color="auto"/>
              <w:left w:val="nil" w:sz="6" w:space="0" w:color="auto"/>
              <w:bottom w:val="nil" w:sz="6" w:space="0" w:color="auto"/>
              <w:right w:val="nil" w:sz="6" w:space="0" w:color="auto"/>
            </w:tcBorders>
          </w:tcPr>
          <w:p>
            <w:pPr/>
          </w:p>
        </w:tc>
      </w:tr>
      <w:tr>
        <w:trPr>
          <w:trHeight w:val="284" w:hRule="exact"/>
        </w:trPr>
        <w:tc>
          <w:tcPr>
            <w:tcW w:w="5004" w:type="dxa"/>
            <w:tcBorders>
              <w:top w:val="nil" w:sz="6" w:space="0" w:color="auto"/>
              <w:left w:val="nil" w:sz="6" w:space="0" w:color="auto"/>
              <w:bottom w:val="nil" w:sz="6" w:space="0" w:color="auto"/>
              <w:right w:val="nil" w:sz="6" w:space="0" w:color="auto"/>
            </w:tcBorders>
          </w:tcPr>
          <w:p>
            <w:pPr>
              <w:pStyle w:val="TableParagraph"/>
              <w:spacing w:line="240" w:lineRule="auto" w:before="1"/>
              <w:ind w:left="388"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907"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Style w:val="TableParagraph"/>
              <w:spacing w:line="227" w:lineRule="exact"/>
              <w:ind w:right="25"/>
              <w:jc w:val="right"/>
              <w:rPr>
                <w:rFonts w:ascii="宋体" w:hAnsi="宋体" w:cs="宋体" w:eastAsia="宋体" w:hint="default"/>
                <w:sz w:val="18"/>
                <w:szCs w:val="18"/>
              </w:rPr>
            </w:pPr>
            <w:r>
              <w:rPr>
                <w:rFonts w:ascii="宋体"/>
                <w:sz w:val="18"/>
              </w:rPr>
              <w:t>-</w:t>
            </w:r>
          </w:p>
        </w:tc>
        <w:tc>
          <w:tcPr>
            <w:tcW w:w="161"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Style w:val="TableParagraph"/>
              <w:spacing w:line="227" w:lineRule="exact"/>
              <w:ind w:right="29"/>
              <w:jc w:val="right"/>
              <w:rPr>
                <w:rFonts w:ascii="宋体" w:hAnsi="宋体" w:cs="宋体" w:eastAsia="宋体" w:hint="default"/>
                <w:sz w:val="18"/>
                <w:szCs w:val="18"/>
              </w:rPr>
            </w:pPr>
            <w:r>
              <w:rPr>
                <w:rFonts w:ascii="宋体"/>
                <w:sz w:val="18"/>
              </w:rPr>
              <w:t>-</w:t>
            </w:r>
          </w:p>
        </w:tc>
        <w:tc>
          <w:tcPr>
            <w:tcW w:w="312" w:type="dxa"/>
            <w:tcBorders>
              <w:top w:val="nil" w:sz="6" w:space="0" w:color="auto"/>
              <w:left w:val="nil" w:sz="6" w:space="0" w:color="auto"/>
              <w:bottom w:val="nil" w:sz="6" w:space="0" w:color="auto"/>
              <w:right w:val="nil" w:sz="6" w:space="0" w:color="auto"/>
            </w:tcBorders>
          </w:tcPr>
          <w:p>
            <w:pPr/>
          </w:p>
        </w:tc>
      </w:tr>
      <w:tr>
        <w:trPr>
          <w:trHeight w:val="288" w:hRule="exact"/>
        </w:trPr>
        <w:tc>
          <w:tcPr>
            <w:tcW w:w="5004" w:type="dxa"/>
            <w:tcBorders>
              <w:top w:val="nil" w:sz="6" w:space="0" w:color="auto"/>
              <w:left w:val="nil" w:sz="6" w:space="0" w:color="auto"/>
              <w:bottom w:val="nil" w:sz="6" w:space="0" w:color="auto"/>
              <w:right w:val="nil" w:sz="6" w:space="0" w:color="auto"/>
            </w:tcBorders>
          </w:tcPr>
          <w:p>
            <w:pPr>
              <w:pStyle w:val="TableParagraph"/>
              <w:spacing w:line="235" w:lineRule="exact"/>
              <w:ind w:left="391"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907"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Style w:val="TableParagraph"/>
              <w:spacing w:line="228" w:lineRule="exact"/>
              <w:ind w:right="23"/>
              <w:jc w:val="right"/>
              <w:rPr>
                <w:rFonts w:ascii="宋体" w:hAnsi="宋体" w:cs="宋体" w:eastAsia="宋体" w:hint="default"/>
                <w:sz w:val="18"/>
                <w:szCs w:val="18"/>
              </w:rPr>
            </w:pPr>
            <w:r>
              <w:rPr>
                <w:rFonts w:ascii="宋体"/>
                <w:spacing w:val="-1"/>
                <w:sz w:val="18"/>
              </w:rPr>
              <w:t>1,560,939.09</w:t>
            </w:r>
          </w:p>
        </w:tc>
        <w:tc>
          <w:tcPr>
            <w:tcW w:w="161"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Style w:val="TableParagraph"/>
              <w:spacing w:line="228" w:lineRule="exact"/>
              <w:ind w:right="25"/>
              <w:jc w:val="right"/>
              <w:rPr>
                <w:rFonts w:ascii="宋体" w:hAnsi="宋体" w:cs="宋体" w:eastAsia="宋体" w:hint="default"/>
                <w:sz w:val="18"/>
                <w:szCs w:val="18"/>
              </w:rPr>
            </w:pPr>
            <w:r>
              <w:rPr>
                <w:rFonts w:ascii="宋体"/>
                <w:spacing w:val="-1"/>
                <w:sz w:val="18"/>
              </w:rPr>
              <w:t>2,847,652.27</w:t>
            </w:r>
          </w:p>
        </w:tc>
        <w:tc>
          <w:tcPr>
            <w:tcW w:w="312" w:type="dxa"/>
            <w:tcBorders>
              <w:top w:val="nil" w:sz="6" w:space="0" w:color="auto"/>
              <w:left w:val="nil" w:sz="6" w:space="0" w:color="auto"/>
              <w:bottom w:val="nil" w:sz="6" w:space="0" w:color="auto"/>
              <w:right w:val="nil" w:sz="6" w:space="0" w:color="auto"/>
            </w:tcBorders>
          </w:tcPr>
          <w:p>
            <w:pPr/>
          </w:p>
        </w:tc>
      </w:tr>
      <w:tr>
        <w:trPr>
          <w:trHeight w:val="291" w:hRule="exact"/>
        </w:trPr>
        <w:tc>
          <w:tcPr>
            <w:tcW w:w="5004" w:type="dxa"/>
            <w:tcBorders>
              <w:top w:val="nil" w:sz="6" w:space="0" w:color="auto"/>
              <w:left w:val="nil" w:sz="6" w:space="0" w:color="auto"/>
              <w:bottom w:val="nil" w:sz="6" w:space="0" w:color="auto"/>
              <w:right w:val="nil" w:sz="6" w:space="0" w:color="auto"/>
            </w:tcBorders>
          </w:tcPr>
          <w:p>
            <w:pPr>
              <w:pStyle w:val="TableParagraph"/>
              <w:spacing w:line="240" w:lineRule="auto" w:before="7"/>
              <w:ind w:left="57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907"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single" w:sz="4" w:space="0" w:color="000000"/>
              <w:right w:val="nil" w:sz="6" w:space="0" w:color="auto"/>
            </w:tcBorders>
          </w:tcPr>
          <w:p>
            <w:pPr>
              <w:pStyle w:val="TableParagraph"/>
              <w:spacing w:line="233" w:lineRule="exact"/>
              <w:ind w:right="23"/>
              <w:jc w:val="right"/>
              <w:rPr>
                <w:rFonts w:ascii="宋体" w:hAnsi="宋体" w:cs="宋体" w:eastAsia="宋体" w:hint="default"/>
                <w:sz w:val="18"/>
                <w:szCs w:val="18"/>
              </w:rPr>
            </w:pPr>
            <w:r>
              <w:rPr>
                <w:rFonts w:ascii="宋体"/>
                <w:spacing w:val="-1"/>
                <w:sz w:val="18"/>
              </w:rPr>
              <w:t>1,560,939.09</w:t>
            </w:r>
          </w:p>
        </w:tc>
        <w:tc>
          <w:tcPr>
            <w:tcW w:w="161"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single" w:sz="4" w:space="0" w:color="000000"/>
              <w:right w:val="nil" w:sz="6" w:space="0" w:color="auto"/>
            </w:tcBorders>
          </w:tcPr>
          <w:p>
            <w:pPr>
              <w:pStyle w:val="TableParagraph"/>
              <w:spacing w:line="233" w:lineRule="exact"/>
              <w:ind w:right="25"/>
              <w:jc w:val="right"/>
              <w:rPr>
                <w:rFonts w:ascii="宋体" w:hAnsi="宋体" w:cs="宋体" w:eastAsia="宋体" w:hint="default"/>
                <w:sz w:val="18"/>
                <w:szCs w:val="18"/>
              </w:rPr>
            </w:pPr>
            <w:r>
              <w:rPr>
                <w:rFonts w:ascii="宋体"/>
                <w:spacing w:val="-1"/>
                <w:sz w:val="18"/>
              </w:rPr>
              <w:t>2,847,652.27</w:t>
            </w:r>
          </w:p>
        </w:tc>
        <w:tc>
          <w:tcPr>
            <w:tcW w:w="312" w:type="dxa"/>
            <w:tcBorders>
              <w:top w:val="nil" w:sz="6" w:space="0" w:color="auto"/>
              <w:left w:val="nil" w:sz="6" w:space="0" w:color="auto"/>
              <w:bottom w:val="nil" w:sz="6" w:space="0" w:color="auto"/>
              <w:right w:val="nil" w:sz="6" w:space="0" w:color="auto"/>
            </w:tcBorders>
          </w:tcPr>
          <w:p>
            <w:pPr/>
          </w:p>
        </w:tc>
      </w:tr>
      <w:tr>
        <w:trPr>
          <w:trHeight w:val="292" w:hRule="exact"/>
        </w:trPr>
        <w:tc>
          <w:tcPr>
            <w:tcW w:w="5004" w:type="dxa"/>
            <w:tcBorders>
              <w:top w:val="nil" w:sz="6" w:space="0" w:color="auto"/>
              <w:left w:val="nil" w:sz="6" w:space="0" w:color="auto"/>
              <w:bottom w:val="nil" w:sz="6" w:space="0" w:color="auto"/>
              <w:right w:val="nil" w:sz="6" w:space="0" w:color="auto"/>
            </w:tcBorders>
          </w:tcPr>
          <w:p>
            <w:pPr>
              <w:pStyle w:val="TableParagraph"/>
              <w:spacing w:line="240" w:lineRule="auto" w:before="8"/>
              <w:ind w:left="39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907" w:type="dxa"/>
            <w:tcBorders>
              <w:top w:val="nil" w:sz="6" w:space="0" w:color="auto"/>
              <w:left w:val="nil" w:sz="6" w:space="0" w:color="auto"/>
              <w:bottom w:val="nil" w:sz="6" w:space="0" w:color="auto"/>
              <w:right w:val="nil" w:sz="6" w:space="0" w:color="auto"/>
            </w:tcBorders>
          </w:tcPr>
          <w:p>
            <w:pPr/>
          </w:p>
        </w:tc>
        <w:tc>
          <w:tcPr>
            <w:tcW w:w="1896" w:type="dxa"/>
            <w:tcBorders>
              <w:top w:val="single" w:sz="4" w:space="0" w:color="000000"/>
              <w:left w:val="nil" w:sz="6" w:space="0" w:color="auto"/>
              <w:bottom w:val="nil" w:sz="6" w:space="0" w:color="auto"/>
              <w:right w:val="nil" w:sz="6" w:space="0" w:color="auto"/>
            </w:tcBorders>
          </w:tcPr>
          <w:p>
            <w:pPr>
              <w:pStyle w:val="TableParagraph"/>
              <w:spacing w:line="232" w:lineRule="exact"/>
              <w:ind w:right="23"/>
              <w:jc w:val="right"/>
              <w:rPr>
                <w:rFonts w:ascii="宋体" w:hAnsi="宋体" w:cs="宋体" w:eastAsia="宋体" w:hint="default"/>
                <w:sz w:val="18"/>
                <w:szCs w:val="18"/>
              </w:rPr>
            </w:pPr>
            <w:r>
              <w:rPr>
                <w:rFonts w:ascii="宋体"/>
                <w:sz w:val="18"/>
              </w:rPr>
              <w:t>-</w:t>
            </w:r>
          </w:p>
        </w:tc>
        <w:tc>
          <w:tcPr>
            <w:tcW w:w="161" w:type="dxa"/>
            <w:tcBorders>
              <w:top w:val="nil" w:sz="6" w:space="0" w:color="auto"/>
              <w:left w:val="nil" w:sz="6" w:space="0" w:color="auto"/>
              <w:bottom w:val="nil" w:sz="6" w:space="0" w:color="auto"/>
              <w:right w:val="nil" w:sz="6" w:space="0" w:color="auto"/>
            </w:tcBorders>
          </w:tcPr>
          <w:p>
            <w:pPr/>
          </w:p>
        </w:tc>
        <w:tc>
          <w:tcPr>
            <w:tcW w:w="1699" w:type="dxa"/>
            <w:tcBorders>
              <w:top w:val="single" w:sz="4" w:space="0" w:color="000000"/>
              <w:left w:val="nil" w:sz="6" w:space="0" w:color="auto"/>
              <w:bottom w:val="nil" w:sz="6" w:space="0" w:color="auto"/>
              <w:right w:val="nil" w:sz="6" w:space="0" w:color="auto"/>
            </w:tcBorders>
          </w:tcPr>
          <w:p>
            <w:pPr>
              <w:pStyle w:val="TableParagraph"/>
              <w:spacing w:line="232" w:lineRule="exact"/>
              <w:ind w:right="29"/>
              <w:jc w:val="right"/>
              <w:rPr>
                <w:rFonts w:ascii="宋体" w:hAnsi="宋体" w:cs="宋体" w:eastAsia="宋体" w:hint="default"/>
                <w:sz w:val="18"/>
                <w:szCs w:val="18"/>
              </w:rPr>
            </w:pPr>
            <w:r>
              <w:rPr>
                <w:rFonts w:ascii="宋体"/>
                <w:sz w:val="18"/>
              </w:rPr>
              <w:t>-</w:t>
            </w:r>
          </w:p>
        </w:tc>
        <w:tc>
          <w:tcPr>
            <w:tcW w:w="312" w:type="dxa"/>
            <w:tcBorders>
              <w:top w:val="nil" w:sz="6" w:space="0" w:color="auto"/>
              <w:left w:val="nil" w:sz="6" w:space="0" w:color="auto"/>
              <w:bottom w:val="nil" w:sz="6" w:space="0" w:color="auto"/>
              <w:right w:val="nil" w:sz="6" w:space="0" w:color="auto"/>
            </w:tcBorders>
          </w:tcPr>
          <w:p>
            <w:pPr/>
          </w:p>
        </w:tc>
      </w:tr>
      <w:tr>
        <w:trPr>
          <w:trHeight w:val="284" w:hRule="exact"/>
        </w:trPr>
        <w:tc>
          <w:tcPr>
            <w:tcW w:w="5004" w:type="dxa"/>
            <w:tcBorders>
              <w:top w:val="nil" w:sz="6" w:space="0" w:color="auto"/>
              <w:left w:val="nil" w:sz="6" w:space="0" w:color="auto"/>
              <w:bottom w:val="nil" w:sz="6" w:space="0" w:color="auto"/>
              <w:right w:val="nil" w:sz="6" w:space="0" w:color="auto"/>
            </w:tcBorders>
          </w:tcPr>
          <w:p>
            <w:pPr>
              <w:pStyle w:val="TableParagraph"/>
              <w:spacing w:line="240" w:lineRule="auto" w:before="2"/>
              <w:ind w:left="391"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907"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Style w:val="TableParagraph"/>
              <w:spacing w:line="228" w:lineRule="exact"/>
              <w:ind w:right="23"/>
              <w:jc w:val="right"/>
              <w:rPr>
                <w:rFonts w:ascii="宋体" w:hAnsi="宋体" w:cs="宋体" w:eastAsia="宋体" w:hint="default"/>
                <w:sz w:val="18"/>
                <w:szCs w:val="18"/>
              </w:rPr>
            </w:pPr>
            <w:r>
              <w:rPr>
                <w:rFonts w:ascii="宋体"/>
                <w:spacing w:val="-1"/>
                <w:sz w:val="18"/>
              </w:rPr>
              <w:t>5,278,773.20</w:t>
            </w:r>
          </w:p>
        </w:tc>
        <w:tc>
          <w:tcPr>
            <w:tcW w:w="161"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
        </w:tc>
        <w:tc>
          <w:tcPr>
            <w:tcW w:w="312" w:type="dxa"/>
            <w:tcBorders>
              <w:top w:val="nil" w:sz="6" w:space="0" w:color="auto"/>
              <w:left w:val="nil" w:sz="6" w:space="0" w:color="auto"/>
              <w:bottom w:val="nil" w:sz="6" w:space="0" w:color="auto"/>
              <w:right w:val="nil" w:sz="6" w:space="0" w:color="auto"/>
            </w:tcBorders>
          </w:tcPr>
          <w:p>
            <w:pPr/>
          </w:p>
        </w:tc>
      </w:tr>
      <w:tr>
        <w:trPr>
          <w:trHeight w:val="289" w:hRule="exact"/>
        </w:trPr>
        <w:tc>
          <w:tcPr>
            <w:tcW w:w="5004" w:type="dxa"/>
            <w:tcBorders>
              <w:top w:val="nil" w:sz="6" w:space="0" w:color="auto"/>
              <w:left w:val="nil" w:sz="6" w:space="0" w:color="auto"/>
              <w:bottom w:val="nil" w:sz="6" w:space="0" w:color="auto"/>
              <w:right w:val="nil" w:sz="6" w:space="0" w:color="auto"/>
            </w:tcBorders>
          </w:tcPr>
          <w:p>
            <w:pPr>
              <w:pStyle w:val="TableParagraph"/>
              <w:spacing w:line="240" w:lineRule="auto" w:before="1"/>
              <w:ind w:left="391"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907"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Style w:val="TableParagraph"/>
              <w:spacing w:line="227" w:lineRule="exact"/>
              <w:ind w:right="23"/>
              <w:jc w:val="right"/>
              <w:rPr>
                <w:rFonts w:ascii="宋体" w:hAnsi="宋体" w:cs="宋体" w:eastAsia="宋体" w:hint="default"/>
                <w:sz w:val="18"/>
                <w:szCs w:val="18"/>
              </w:rPr>
            </w:pPr>
            <w:r>
              <w:rPr>
                <w:rFonts w:ascii="宋体"/>
                <w:spacing w:val="-1"/>
                <w:sz w:val="18"/>
              </w:rPr>
              <w:t>1,205.06</w:t>
            </w:r>
          </w:p>
        </w:tc>
        <w:tc>
          <w:tcPr>
            <w:tcW w:w="161"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Style w:val="TableParagraph"/>
              <w:spacing w:line="227" w:lineRule="exact"/>
              <w:ind w:right="25"/>
              <w:jc w:val="right"/>
              <w:rPr>
                <w:rFonts w:ascii="宋体" w:hAnsi="宋体" w:cs="宋体" w:eastAsia="宋体" w:hint="default"/>
                <w:sz w:val="18"/>
                <w:szCs w:val="18"/>
              </w:rPr>
            </w:pPr>
            <w:r>
              <w:rPr>
                <w:rFonts w:ascii="宋体"/>
                <w:spacing w:val="-1"/>
                <w:sz w:val="18"/>
              </w:rPr>
              <w:t>1,111.40</w:t>
            </w:r>
          </w:p>
        </w:tc>
        <w:tc>
          <w:tcPr>
            <w:tcW w:w="312" w:type="dxa"/>
            <w:tcBorders>
              <w:top w:val="nil" w:sz="6" w:space="0" w:color="auto"/>
              <w:left w:val="nil" w:sz="6" w:space="0" w:color="auto"/>
              <w:bottom w:val="nil" w:sz="6" w:space="0" w:color="auto"/>
              <w:right w:val="nil" w:sz="6" w:space="0" w:color="auto"/>
            </w:tcBorders>
          </w:tcPr>
          <w:p>
            <w:pPr/>
          </w:p>
        </w:tc>
      </w:tr>
      <w:tr>
        <w:trPr>
          <w:trHeight w:val="291" w:hRule="exact"/>
        </w:trPr>
        <w:tc>
          <w:tcPr>
            <w:tcW w:w="5004" w:type="dxa"/>
            <w:tcBorders>
              <w:top w:val="nil" w:sz="6" w:space="0" w:color="auto"/>
              <w:left w:val="nil" w:sz="6" w:space="0" w:color="auto"/>
              <w:bottom w:val="nil" w:sz="6" w:space="0" w:color="auto"/>
              <w:right w:val="nil" w:sz="6" w:space="0" w:color="auto"/>
            </w:tcBorders>
          </w:tcPr>
          <w:p>
            <w:pPr>
              <w:pStyle w:val="TableParagraph"/>
              <w:spacing w:line="240" w:lineRule="auto" w:before="4"/>
              <w:ind w:left="57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907"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single" w:sz="4" w:space="0" w:color="000000"/>
              <w:right w:val="nil" w:sz="6" w:space="0" w:color="auto"/>
            </w:tcBorders>
          </w:tcPr>
          <w:p>
            <w:pPr>
              <w:pStyle w:val="TableParagraph"/>
              <w:spacing w:line="233" w:lineRule="exact"/>
              <w:ind w:right="23"/>
              <w:jc w:val="right"/>
              <w:rPr>
                <w:rFonts w:ascii="宋体" w:hAnsi="宋体" w:cs="宋体" w:eastAsia="宋体" w:hint="default"/>
                <w:sz w:val="18"/>
                <w:szCs w:val="18"/>
              </w:rPr>
            </w:pPr>
            <w:r>
              <w:rPr>
                <w:rFonts w:ascii="宋体"/>
                <w:spacing w:val="-1"/>
                <w:sz w:val="18"/>
              </w:rPr>
              <w:t>5,279,978.26</w:t>
            </w:r>
          </w:p>
        </w:tc>
        <w:tc>
          <w:tcPr>
            <w:tcW w:w="161"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single" w:sz="4" w:space="0" w:color="000000"/>
              <w:right w:val="nil" w:sz="6" w:space="0" w:color="auto"/>
            </w:tcBorders>
          </w:tcPr>
          <w:p>
            <w:pPr>
              <w:pStyle w:val="TableParagraph"/>
              <w:spacing w:line="233" w:lineRule="exact"/>
              <w:ind w:right="25"/>
              <w:jc w:val="right"/>
              <w:rPr>
                <w:rFonts w:ascii="宋体" w:hAnsi="宋体" w:cs="宋体" w:eastAsia="宋体" w:hint="default"/>
                <w:sz w:val="18"/>
                <w:szCs w:val="18"/>
              </w:rPr>
            </w:pPr>
            <w:r>
              <w:rPr>
                <w:rFonts w:ascii="宋体"/>
                <w:spacing w:val="-1"/>
                <w:sz w:val="18"/>
              </w:rPr>
              <w:t>1,111.40</w:t>
            </w:r>
          </w:p>
        </w:tc>
        <w:tc>
          <w:tcPr>
            <w:tcW w:w="312" w:type="dxa"/>
            <w:tcBorders>
              <w:top w:val="nil" w:sz="6" w:space="0" w:color="auto"/>
              <w:left w:val="nil" w:sz="6" w:space="0" w:color="auto"/>
              <w:bottom w:val="nil" w:sz="6" w:space="0" w:color="auto"/>
              <w:right w:val="nil" w:sz="6" w:space="0" w:color="auto"/>
            </w:tcBorders>
          </w:tcPr>
          <w:p>
            <w:pPr/>
          </w:p>
        </w:tc>
      </w:tr>
      <w:tr>
        <w:trPr>
          <w:trHeight w:val="310" w:hRule="exact"/>
        </w:trPr>
        <w:tc>
          <w:tcPr>
            <w:tcW w:w="5004" w:type="dxa"/>
            <w:tcBorders>
              <w:top w:val="nil" w:sz="6" w:space="0" w:color="auto"/>
              <w:left w:val="nil" w:sz="6" w:space="0" w:color="auto"/>
              <w:bottom w:val="nil" w:sz="6" w:space="0" w:color="auto"/>
              <w:right w:val="nil" w:sz="6" w:space="0" w:color="auto"/>
            </w:tcBorders>
          </w:tcPr>
          <w:p>
            <w:pPr>
              <w:pStyle w:val="TableParagraph"/>
              <w:spacing w:line="240" w:lineRule="auto" w:before="8"/>
              <w:ind w:left="57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907" w:type="dxa"/>
            <w:tcBorders>
              <w:top w:val="nil" w:sz="6" w:space="0" w:color="auto"/>
              <w:left w:val="nil" w:sz="6" w:space="0" w:color="auto"/>
              <w:bottom w:val="nil" w:sz="6" w:space="0" w:color="auto"/>
              <w:right w:val="nil" w:sz="6" w:space="0" w:color="auto"/>
            </w:tcBorders>
          </w:tcPr>
          <w:p>
            <w:pPr/>
          </w:p>
        </w:tc>
        <w:tc>
          <w:tcPr>
            <w:tcW w:w="1896" w:type="dxa"/>
            <w:tcBorders>
              <w:top w:val="single" w:sz="4" w:space="0" w:color="000000"/>
              <w:left w:val="nil" w:sz="6" w:space="0" w:color="auto"/>
              <w:bottom w:val="single" w:sz="17" w:space="0" w:color="000000"/>
              <w:right w:val="nil" w:sz="6" w:space="0" w:color="auto"/>
            </w:tcBorders>
          </w:tcPr>
          <w:p>
            <w:pPr>
              <w:pStyle w:val="TableParagraph"/>
              <w:spacing w:line="229" w:lineRule="exact"/>
              <w:ind w:right="23"/>
              <w:jc w:val="right"/>
              <w:rPr>
                <w:rFonts w:ascii="宋体" w:hAnsi="宋体" w:cs="宋体" w:eastAsia="宋体" w:hint="default"/>
                <w:sz w:val="18"/>
                <w:szCs w:val="18"/>
              </w:rPr>
            </w:pPr>
            <w:r>
              <w:rPr>
                <w:rFonts w:ascii="宋体"/>
                <w:spacing w:val="-1"/>
                <w:sz w:val="18"/>
              </w:rPr>
              <w:t>(3,719,039.17)</w:t>
            </w:r>
          </w:p>
        </w:tc>
        <w:tc>
          <w:tcPr>
            <w:tcW w:w="161" w:type="dxa"/>
            <w:tcBorders>
              <w:top w:val="nil" w:sz="6" w:space="0" w:color="auto"/>
              <w:left w:val="nil" w:sz="6" w:space="0" w:color="auto"/>
              <w:bottom w:val="nil" w:sz="6" w:space="0" w:color="auto"/>
              <w:right w:val="nil" w:sz="6" w:space="0" w:color="auto"/>
            </w:tcBorders>
          </w:tcPr>
          <w:p>
            <w:pPr/>
          </w:p>
        </w:tc>
        <w:tc>
          <w:tcPr>
            <w:tcW w:w="1699" w:type="dxa"/>
            <w:tcBorders>
              <w:top w:val="single" w:sz="4" w:space="0" w:color="000000"/>
              <w:left w:val="nil" w:sz="6" w:space="0" w:color="auto"/>
              <w:bottom w:val="single" w:sz="17" w:space="0" w:color="000000"/>
              <w:right w:val="nil" w:sz="6" w:space="0" w:color="auto"/>
            </w:tcBorders>
          </w:tcPr>
          <w:p>
            <w:pPr>
              <w:pStyle w:val="TableParagraph"/>
              <w:spacing w:line="229" w:lineRule="exact"/>
              <w:ind w:right="25"/>
              <w:jc w:val="right"/>
              <w:rPr>
                <w:rFonts w:ascii="宋体" w:hAnsi="宋体" w:cs="宋体" w:eastAsia="宋体" w:hint="default"/>
                <w:sz w:val="18"/>
                <w:szCs w:val="18"/>
              </w:rPr>
            </w:pPr>
            <w:r>
              <w:rPr>
                <w:rFonts w:ascii="宋体"/>
                <w:spacing w:val="-1"/>
                <w:sz w:val="18"/>
              </w:rPr>
              <w:t>2,846,540.87</w:t>
            </w:r>
          </w:p>
        </w:tc>
        <w:tc>
          <w:tcPr>
            <w:tcW w:w="312" w:type="dxa"/>
            <w:tcBorders>
              <w:top w:val="nil" w:sz="6" w:space="0" w:color="auto"/>
              <w:left w:val="nil" w:sz="6" w:space="0" w:color="auto"/>
              <w:bottom w:val="nil" w:sz="6" w:space="0" w:color="auto"/>
              <w:right w:val="nil" w:sz="6" w:space="0" w:color="auto"/>
            </w:tcBorders>
          </w:tcPr>
          <w:p>
            <w:pPr/>
          </w:p>
        </w:tc>
      </w:tr>
      <w:tr>
        <w:trPr>
          <w:trHeight w:val="316" w:hRule="exact"/>
        </w:trPr>
        <w:tc>
          <w:tcPr>
            <w:tcW w:w="5004" w:type="dxa"/>
            <w:tcBorders>
              <w:top w:val="nil" w:sz="6" w:space="0" w:color="auto"/>
              <w:left w:val="nil" w:sz="6" w:space="0" w:color="auto"/>
              <w:bottom w:val="nil" w:sz="6" w:space="0" w:color="auto"/>
              <w:right w:val="nil" w:sz="6" w:space="0" w:color="auto"/>
            </w:tcBorders>
          </w:tcPr>
          <w:p>
            <w:pPr>
              <w:pStyle w:val="TableParagraph"/>
              <w:spacing w:line="240" w:lineRule="auto" w:before="27"/>
              <w:ind w:left="28" w:right="0"/>
              <w:jc w:val="left"/>
              <w:rPr>
                <w:rFonts w:ascii="宋体" w:hAnsi="宋体" w:cs="宋体" w:eastAsia="宋体" w:hint="default"/>
                <w:sz w:val="18"/>
                <w:szCs w:val="18"/>
              </w:rPr>
            </w:pPr>
            <w:r>
              <w:rPr>
                <w:rFonts w:ascii="宋体" w:hAnsi="宋体" w:cs="宋体" w:eastAsia="宋体" w:hint="default"/>
                <w:b/>
                <w:bCs/>
                <w:sz w:val="18"/>
                <w:szCs w:val="18"/>
              </w:rPr>
              <w:t>四、汇率变动对现金的影响</w:t>
            </w:r>
            <w:r>
              <w:rPr>
                <w:rFonts w:ascii="宋体" w:hAnsi="宋体" w:cs="宋体" w:eastAsia="宋体" w:hint="default"/>
                <w:sz w:val="18"/>
                <w:szCs w:val="18"/>
              </w:rPr>
            </w:r>
          </w:p>
        </w:tc>
        <w:tc>
          <w:tcPr>
            <w:tcW w:w="907" w:type="dxa"/>
            <w:tcBorders>
              <w:top w:val="nil" w:sz="6" w:space="0" w:color="auto"/>
              <w:left w:val="nil" w:sz="6" w:space="0" w:color="auto"/>
              <w:bottom w:val="nil" w:sz="6" w:space="0" w:color="auto"/>
              <w:right w:val="nil" w:sz="6" w:space="0" w:color="auto"/>
            </w:tcBorders>
          </w:tcPr>
          <w:p>
            <w:pPr/>
          </w:p>
        </w:tc>
        <w:tc>
          <w:tcPr>
            <w:tcW w:w="1896" w:type="dxa"/>
            <w:tcBorders>
              <w:top w:val="single" w:sz="17" w:space="0" w:color="000000"/>
              <w:left w:val="nil" w:sz="6" w:space="0" w:color="auto"/>
              <w:bottom w:val="nil" w:sz="6" w:space="0" w:color="auto"/>
              <w:right w:val="nil" w:sz="6" w:space="0" w:color="auto"/>
            </w:tcBorders>
          </w:tcPr>
          <w:p>
            <w:pPr>
              <w:pStyle w:val="TableParagraph"/>
              <w:spacing w:line="232" w:lineRule="exact"/>
              <w:ind w:right="25"/>
              <w:jc w:val="right"/>
              <w:rPr>
                <w:rFonts w:ascii="宋体" w:hAnsi="宋体" w:cs="宋体" w:eastAsia="宋体" w:hint="default"/>
                <w:sz w:val="18"/>
                <w:szCs w:val="18"/>
              </w:rPr>
            </w:pPr>
            <w:r>
              <w:rPr>
                <w:rFonts w:ascii="宋体"/>
                <w:sz w:val="18"/>
              </w:rPr>
              <w:t>-</w:t>
            </w:r>
          </w:p>
        </w:tc>
        <w:tc>
          <w:tcPr>
            <w:tcW w:w="161" w:type="dxa"/>
            <w:tcBorders>
              <w:top w:val="nil" w:sz="6" w:space="0" w:color="auto"/>
              <w:left w:val="nil" w:sz="6" w:space="0" w:color="auto"/>
              <w:bottom w:val="nil" w:sz="6" w:space="0" w:color="auto"/>
              <w:right w:val="nil" w:sz="6" w:space="0" w:color="auto"/>
            </w:tcBorders>
          </w:tcPr>
          <w:p>
            <w:pPr/>
          </w:p>
        </w:tc>
        <w:tc>
          <w:tcPr>
            <w:tcW w:w="1699" w:type="dxa"/>
            <w:tcBorders>
              <w:top w:val="single" w:sz="17" w:space="0" w:color="000000"/>
              <w:left w:val="nil" w:sz="6" w:space="0" w:color="auto"/>
              <w:bottom w:val="nil" w:sz="6" w:space="0" w:color="auto"/>
              <w:right w:val="nil" w:sz="6" w:space="0" w:color="auto"/>
            </w:tcBorders>
          </w:tcPr>
          <w:p>
            <w:pPr>
              <w:pStyle w:val="TableParagraph"/>
              <w:spacing w:line="232" w:lineRule="exact"/>
              <w:ind w:right="29"/>
              <w:jc w:val="right"/>
              <w:rPr>
                <w:rFonts w:ascii="宋体" w:hAnsi="宋体" w:cs="宋体" w:eastAsia="宋体" w:hint="default"/>
                <w:sz w:val="18"/>
                <w:szCs w:val="18"/>
              </w:rPr>
            </w:pPr>
            <w:r>
              <w:rPr>
                <w:rFonts w:ascii="宋体"/>
                <w:sz w:val="18"/>
              </w:rPr>
              <w:t>-</w:t>
            </w:r>
          </w:p>
        </w:tc>
        <w:tc>
          <w:tcPr>
            <w:tcW w:w="312" w:type="dxa"/>
            <w:tcBorders>
              <w:top w:val="nil" w:sz="6" w:space="0" w:color="auto"/>
              <w:left w:val="nil" w:sz="6" w:space="0" w:color="auto"/>
              <w:bottom w:val="nil" w:sz="6" w:space="0" w:color="auto"/>
              <w:right w:val="nil" w:sz="6" w:space="0" w:color="auto"/>
            </w:tcBorders>
          </w:tcPr>
          <w:p>
            <w:pPr/>
          </w:p>
        </w:tc>
      </w:tr>
      <w:tr>
        <w:trPr>
          <w:trHeight w:val="291" w:hRule="exact"/>
        </w:trPr>
        <w:tc>
          <w:tcPr>
            <w:tcW w:w="5004" w:type="dxa"/>
            <w:tcBorders>
              <w:top w:val="nil" w:sz="6" w:space="0" w:color="auto"/>
              <w:left w:val="nil" w:sz="6" w:space="0" w:color="auto"/>
              <w:bottom w:val="nil" w:sz="6" w:space="0" w:color="auto"/>
              <w:right w:val="nil" w:sz="6" w:space="0" w:color="auto"/>
            </w:tcBorders>
          </w:tcPr>
          <w:p>
            <w:pPr>
              <w:pStyle w:val="TableParagraph"/>
              <w:spacing w:line="240" w:lineRule="auto" w:before="7"/>
              <w:ind w:left="28" w:right="0"/>
              <w:jc w:val="left"/>
              <w:rPr>
                <w:rFonts w:ascii="宋体" w:hAnsi="宋体" w:cs="宋体" w:eastAsia="宋体" w:hint="default"/>
                <w:sz w:val="18"/>
                <w:szCs w:val="18"/>
              </w:rPr>
            </w:pPr>
            <w:r>
              <w:rPr>
                <w:rFonts w:ascii="宋体" w:hAnsi="宋体" w:cs="宋体" w:eastAsia="宋体" w:hint="default"/>
                <w:b/>
                <w:bCs/>
                <w:sz w:val="18"/>
                <w:szCs w:val="18"/>
              </w:rPr>
              <w:t>五、现金及现金等价物净增加额</w:t>
            </w:r>
            <w:r>
              <w:rPr>
                <w:rFonts w:ascii="宋体" w:hAnsi="宋体" w:cs="宋体" w:eastAsia="宋体" w:hint="default"/>
                <w:sz w:val="18"/>
                <w:szCs w:val="18"/>
              </w:rPr>
            </w:r>
          </w:p>
        </w:tc>
        <w:tc>
          <w:tcPr>
            <w:tcW w:w="907"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single" w:sz="4" w:space="0" w:color="000000"/>
              <w:right w:val="nil" w:sz="6" w:space="0" w:color="auto"/>
            </w:tcBorders>
          </w:tcPr>
          <w:p>
            <w:pPr>
              <w:pStyle w:val="TableParagraph"/>
              <w:spacing w:line="233" w:lineRule="exact"/>
              <w:ind w:right="23"/>
              <w:jc w:val="right"/>
              <w:rPr>
                <w:rFonts w:ascii="宋体" w:hAnsi="宋体" w:cs="宋体" w:eastAsia="宋体" w:hint="default"/>
                <w:sz w:val="18"/>
                <w:szCs w:val="18"/>
              </w:rPr>
            </w:pPr>
            <w:r>
              <w:rPr>
                <w:rFonts w:ascii="宋体"/>
                <w:spacing w:val="-1"/>
                <w:sz w:val="18"/>
              </w:rPr>
              <w:t>(6,433,961.68)</w:t>
            </w:r>
          </w:p>
        </w:tc>
        <w:tc>
          <w:tcPr>
            <w:tcW w:w="161"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single" w:sz="4" w:space="0" w:color="000000"/>
              <w:right w:val="nil" w:sz="6" w:space="0" w:color="auto"/>
            </w:tcBorders>
          </w:tcPr>
          <w:p>
            <w:pPr>
              <w:pStyle w:val="TableParagraph"/>
              <w:spacing w:line="233" w:lineRule="exact"/>
              <w:ind w:right="24"/>
              <w:jc w:val="right"/>
              <w:rPr>
                <w:rFonts w:ascii="宋体" w:hAnsi="宋体" w:cs="宋体" w:eastAsia="宋体" w:hint="default"/>
                <w:sz w:val="18"/>
                <w:szCs w:val="18"/>
              </w:rPr>
            </w:pPr>
            <w:r>
              <w:rPr>
                <w:rFonts w:ascii="宋体"/>
                <w:spacing w:val="-1"/>
                <w:sz w:val="18"/>
              </w:rPr>
              <w:t>(92,230,910.97)</w:t>
            </w:r>
            <w:r>
              <w:rPr>
                <w:rFonts w:ascii="宋体"/>
                <w:sz w:val="18"/>
              </w:rPr>
            </w:r>
          </w:p>
        </w:tc>
        <w:tc>
          <w:tcPr>
            <w:tcW w:w="312" w:type="dxa"/>
            <w:tcBorders>
              <w:top w:val="nil" w:sz="6" w:space="0" w:color="auto"/>
              <w:left w:val="nil" w:sz="6" w:space="0" w:color="auto"/>
              <w:bottom w:val="nil" w:sz="6" w:space="0" w:color="auto"/>
              <w:right w:val="nil" w:sz="6" w:space="0" w:color="auto"/>
            </w:tcBorders>
          </w:tcPr>
          <w:p>
            <w:pPr/>
          </w:p>
        </w:tc>
      </w:tr>
      <w:tr>
        <w:trPr>
          <w:trHeight w:val="293" w:hRule="exact"/>
        </w:trPr>
        <w:tc>
          <w:tcPr>
            <w:tcW w:w="5004" w:type="dxa"/>
            <w:tcBorders>
              <w:top w:val="nil" w:sz="6" w:space="0" w:color="auto"/>
              <w:left w:val="nil" w:sz="6" w:space="0" w:color="auto"/>
              <w:bottom w:val="nil" w:sz="6" w:space="0" w:color="auto"/>
              <w:right w:val="nil" w:sz="6" w:space="0" w:color="auto"/>
            </w:tcBorders>
          </w:tcPr>
          <w:p>
            <w:pPr>
              <w:pStyle w:val="TableParagraph"/>
              <w:spacing w:line="240" w:lineRule="auto" w:before="8"/>
              <w:ind w:left="391" w:right="0"/>
              <w:jc w:val="left"/>
              <w:rPr>
                <w:rFonts w:ascii="宋体" w:hAnsi="宋体" w:cs="宋体" w:eastAsia="宋体" w:hint="default"/>
                <w:sz w:val="18"/>
                <w:szCs w:val="18"/>
              </w:rPr>
            </w:pPr>
            <w:r>
              <w:rPr>
                <w:rFonts w:ascii="宋体" w:hAnsi="宋体" w:cs="宋体" w:eastAsia="宋体" w:hint="default"/>
                <w:sz w:val="18"/>
                <w:szCs w:val="18"/>
              </w:rPr>
              <w:t>加：年初现金及现金等价物余额</w:t>
            </w:r>
          </w:p>
        </w:tc>
        <w:tc>
          <w:tcPr>
            <w:tcW w:w="907" w:type="dxa"/>
            <w:tcBorders>
              <w:top w:val="nil" w:sz="6" w:space="0" w:color="auto"/>
              <w:left w:val="nil" w:sz="6" w:space="0" w:color="auto"/>
              <w:bottom w:val="nil" w:sz="6" w:space="0" w:color="auto"/>
              <w:right w:val="nil" w:sz="6" w:space="0" w:color="auto"/>
            </w:tcBorders>
          </w:tcPr>
          <w:p>
            <w:pPr/>
          </w:p>
        </w:tc>
        <w:tc>
          <w:tcPr>
            <w:tcW w:w="1896" w:type="dxa"/>
            <w:tcBorders>
              <w:top w:val="single" w:sz="4" w:space="0" w:color="000000"/>
              <w:left w:val="nil" w:sz="6" w:space="0" w:color="auto"/>
              <w:bottom w:val="single" w:sz="4" w:space="0" w:color="000000"/>
              <w:right w:val="nil" w:sz="6" w:space="0" w:color="auto"/>
            </w:tcBorders>
          </w:tcPr>
          <w:p>
            <w:pPr>
              <w:pStyle w:val="TableParagraph"/>
              <w:spacing w:line="229" w:lineRule="exact"/>
              <w:ind w:right="23"/>
              <w:jc w:val="right"/>
              <w:rPr>
                <w:rFonts w:ascii="宋体" w:hAnsi="宋体" w:cs="宋体" w:eastAsia="宋体" w:hint="default"/>
                <w:sz w:val="18"/>
                <w:szCs w:val="18"/>
              </w:rPr>
            </w:pPr>
            <w:r>
              <w:rPr>
                <w:rFonts w:ascii="宋体"/>
                <w:spacing w:val="-1"/>
                <w:sz w:val="18"/>
              </w:rPr>
              <w:t>122,502,939.84</w:t>
            </w:r>
          </w:p>
        </w:tc>
        <w:tc>
          <w:tcPr>
            <w:tcW w:w="161" w:type="dxa"/>
            <w:tcBorders>
              <w:top w:val="nil" w:sz="6" w:space="0" w:color="auto"/>
              <w:left w:val="nil" w:sz="6" w:space="0" w:color="auto"/>
              <w:bottom w:val="nil" w:sz="6" w:space="0" w:color="auto"/>
              <w:right w:val="nil" w:sz="6" w:space="0" w:color="auto"/>
            </w:tcBorders>
          </w:tcPr>
          <w:p>
            <w:pPr/>
          </w:p>
        </w:tc>
        <w:tc>
          <w:tcPr>
            <w:tcW w:w="1699" w:type="dxa"/>
            <w:tcBorders>
              <w:top w:val="single" w:sz="4" w:space="0" w:color="000000"/>
              <w:left w:val="nil" w:sz="6" w:space="0" w:color="auto"/>
              <w:bottom w:val="single" w:sz="4" w:space="0" w:color="000000"/>
              <w:right w:val="nil" w:sz="6" w:space="0" w:color="auto"/>
            </w:tcBorders>
          </w:tcPr>
          <w:p>
            <w:pPr>
              <w:pStyle w:val="TableParagraph"/>
              <w:spacing w:line="229" w:lineRule="exact"/>
              <w:ind w:right="25"/>
              <w:jc w:val="right"/>
              <w:rPr>
                <w:rFonts w:ascii="宋体" w:hAnsi="宋体" w:cs="宋体" w:eastAsia="宋体" w:hint="default"/>
                <w:sz w:val="18"/>
                <w:szCs w:val="18"/>
              </w:rPr>
            </w:pPr>
            <w:r>
              <w:rPr>
                <w:rFonts w:ascii="宋体"/>
                <w:spacing w:val="-1"/>
                <w:sz w:val="18"/>
              </w:rPr>
              <w:t>214,733,850.81</w:t>
            </w:r>
          </w:p>
        </w:tc>
        <w:tc>
          <w:tcPr>
            <w:tcW w:w="312" w:type="dxa"/>
            <w:tcBorders>
              <w:top w:val="nil" w:sz="6" w:space="0" w:color="auto"/>
              <w:left w:val="nil" w:sz="6" w:space="0" w:color="auto"/>
              <w:bottom w:val="nil" w:sz="6" w:space="0" w:color="auto"/>
              <w:right w:val="nil" w:sz="6" w:space="0" w:color="auto"/>
            </w:tcBorders>
          </w:tcPr>
          <w:p>
            <w:pPr/>
          </w:p>
        </w:tc>
      </w:tr>
      <w:tr>
        <w:trPr>
          <w:trHeight w:val="312" w:hRule="exact"/>
        </w:trPr>
        <w:tc>
          <w:tcPr>
            <w:tcW w:w="500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b/>
                <w:bCs/>
                <w:sz w:val="18"/>
                <w:szCs w:val="18"/>
              </w:rPr>
              <w:t>六、年末现金及现金等价物余额</w:t>
            </w:r>
            <w:r>
              <w:rPr>
                <w:rFonts w:ascii="宋体" w:hAnsi="宋体" w:cs="宋体" w:eastAsia="宋体" w:hint="default"/>
                <w:sz w:val="18"/>
                <w:szCs w:val="18"/>
              </w:rPr>
            </w:r>
          </w:p>
        </w:tc>
        <w:tc>
          <w:tcPr>
            <w:tcW w:w="907" w:type="dxa"/>
            <w:tcBorders>
              <w:top w:val="nil" w:sz="6" w:space="0" w:color="auto"/>
              <w:left w:val="nil" w:sz="6" w:space="0" w:color="auto"/>
              <w:bottom w:val="nil" w:sz="6" w:space="0" w:color="auto"/>
              <w:right w:val="nil" w:sz="6" w:space="0" w:color="auto"/>
            </w:tcBorders>
          </w:tcPr>
          <w:p>
            <w:pPr/>
          </w:p>
        </w:tc>
        <w:tc>
          <w:tcPr>
            <w:tcW w:w="1896" w:type="dxa"/>
            <w:tcBorders>
              <w:top w:val="single" w:sz="4" w:space="0" w:color="000000"/>
              <w:left w:val="nil" w:sz="6" w:space="0" w:color="auto"/>
              <w:bottom w:val="nil" w:sz="6" w:space="0" w:color="auto"/>
              <w:right w:val="nil" w:sz="6" w:space="0" w:color="auto"/>
            </w:tcBorders>
          </w:tcPr>
          <w:p>
            <w:pPr>
              <w:pStyle w:val="TableParagraph"/>
              <w:spacing w:line="232" w:lineRule="exact"/>
              <w:ind w:right="25"/>
              <w:jc w:val="right"/>
              <w:rPr>
                <w:rFonts w:ascii="宋体" w:hAnsi="宋体" w:cs="宋体" w:eastAsia="宋体" w:hint="default"/>
                <w:sz w:val="18"/>
                <w:szCs w:val="18"/>
              </w:rPr>
            </w:pPr>
            <w:r>
              <w:rPr>
                <w:rFonts w:ascii="宋体"/>
                <w:spacing w:val="-1"/>
                <w:sz w:val="18"/>
              </w:rPr>
              <w:t>116,068,978.16</w:t>
            </w:r>
          </w:p>
        </w:tc>
        <w:tc>
          <w:tcPr>
            <w:tcW w:w="161" w:type="dxa"/>
            <w:tcBorders>
              <w:top w:val="nil" w:sz="6" w:space="0" w:color="auto"/>
              <w:left w:val="nil" w:sz="6" w:space="0" w:color="auto"/>
              <w:bottom w:val="nil" w:sz="6" w:space="0" w:color="auto"/>
              <w:right w:val="nil" w:sz="6" w:space="0" w:color="auto"/>
            </w:tcBorders>
          </w:tcPr>
          <w:p>
            <w:pPr/>
          </w:p>
        </w:tc>
        <w:tc>
          <w:tcPr>
            <w:tcW w:w="1699" w:type="dxa"/>
            <w:tcBorders>
              <w:top w:val="single" w:sz="4" w:space="0" w:color="000000"/>
              <w:left w:val="nil" w:sz="6" w:space="0" w:color="auto"/>
              <w:bottom w:val="single" w:sz="17" w:space="0" w:color="000000"/>
              <w:right w:val="nil" w:sz="6" w:space="0" w:color="auto"/>
            </w:tcBorders>
          </w:tcPr>
          <w:p>
            <w:pPr>
              <w:pStyle w:val="TableParagraph"/>
              <w:spacing w:line="232" w:lineRule="exact"/>
              <w:ind w:right="25"/>
              <w:jc w:val="right"/>
              <w:rPr>
                <w:rFonts w:ascii="宋体" w:hAnsi="宋体" w:cs="宋体" w:eastAsia="宋体" w:hint="default"/>
                <w:sz w:val="18"/>
                <w:szCs w:val="18"/>
              </w:rPr>
            </w:pPr>
            <w:r>
              <w:rPr>
                <w:rFonts w:ascii="宋体"/>
                <w:spacing w:val="-1"/>
                <w:sz w:val="18"/>
              </w:rPr>
              <w:t>122,502,939.84</w:t>
            </w:r>
          </w:p>
        </w:tc>
        <w:tc>
          <w:tcPr>
            <w:tcW w:w="312" w:type="dxa"/>
            <w:tcBorders>
              <w:top w:val="nil" w:sz="6" w:space="0" w:color="auto"/>
              <w:left w:val="nil" w:sz="6" w:space="0" w:color="auto"/>
              <w:bottom w:val="nil" w:sz="6" w:space="0" w:color="auto"/>
              <w:right w:val="nil" w:sz="6" w:space="0" w:color="auto"/>
            </w:tcBorders>
          </w:tcPr>
          <w:p>
            <w:pPr/>
          </w:p>
        </w:tc>
      </w:tr>
      <w:tr>
        <w:trPr>
          <w:trHeight w:val="312" w:hRule="exact"/>
        </w:trPr>
        <w:tc>
          <w:tcPr>
            <w:tcW w:w="5004" w:type="dxa"/>
            <w:tcBorders>
              <w:top w:val="nil" w:sz="6" w:space="0" w:color="auto"/>
              <w:left w:val="nil" w:sz="6" w:space="0" w:color="auto"/>
              <w:bottom w:val="single" w:sz="4" w:space="0" w:color="000000"/>
              <w:right w:val="nil" w:sz="6" w:space="0" w:color="auto"/>
            </w:tcBorders>
          </w:tcPr>
          <w:p>
            <w:pPr/>
          </w:p>
        </w:tc>
        <w:tc>
          <w:tcPr>
            <w:tcW w:w="907" w:type="dxa"/>
            <w:tcBorders>
              <w:top w:val="nil" w:sz="6" w:space="0" w:color="auto"/>
              <w:left w:val="nil" w:sz="6" w:space="0" w:color="auto"/>
              <w:bottom w:val="single" w:sz="4" w:space="0" w:color="000000"/>
              <w:right w:val="nil" w:sz="6" w:space="0" w:color="auto"/>
            </w:tcBorders>
          </w:tcPr>
          <w:p>
            <w:pPr/>
          </w:p>
        </w:tc>
        <w:tc>
          <w:tcPr>
            <w:tcW w:w="1896" w:type="dxa"/>
            <w:tcBorders>
              <w:top w:val="nil" w:sz="6" w:space="0" w:color="auto"/>
              <w:left w:val="nil" w:sz="6" w:space="0" w:color="auto"/>
              <w:bottom w:val="single" w:sz="4" w:space="0" w:color="000000"/>
              <w:right w:val="nil" w:sz="6" w:space="0" w:color="auto"/>
            </w:tcBorders>
          </w:tcPr>
          <w:p>
            <w:pPr/>
          </w:p>
        </w:tc>
        <w:tc>
          <w:tcPr>
            <w:tcW w:w="161" w:type="dxa"/>
            <w:tcBorders>
              <w:top w:val="nil" w:sz="6" w:space="0" w:color="auto"/>
              <w:left w:val="nil" w:sz="6" w:space="0" w:color="auto"/>
              <w:bottom w:val="single" w:sz="4" w:space="0" w:color="000000"/>
              <w:right w:val="nil" w:sz="6" w:space="0" w:color="auto"/>
            </w:tcBorders>
          </w:tcPr>
          <w:p>
            <w:pPr/>
          </w:p>
        </w:tc>
        <w:tc>
          <w:tcPr>
            <w:tcW w:w="1699" w:type="dxa"/>
            <w:tcBorders>
              <w:top w:val="single" w:sz="17" w:space="0" w:color="000000"/>
              <w:left w:val="nil" w:sz="6" w:space="0" w:color="auto"/>
              <w:bottom w:val="single" w:sz="4" w:space="0" w:color="000000"/>
              <w:right w:val="nil" w:sz="6" w:space="0" w:color="auto"/>
            </w:tcBorders>
          </w:tcPr>
          <w:p>
            <w:pPr/>
          </w:p>
        </w:tc>
        <w:tc>
          <w:tcPr>
            <w:tcW w:w="312" w:type="dxa"/>
            <w:tcBorders>
              <w:top w:val="nil" w:sz="6" w:space="0" w:color="auto"/>
              <w:left w:val="nil" w:sz="6" w:space="0" w:color="auto"/>
              <w:bottom w:val="nil" w:sz="6" w:space="0" w:color="auto"/>
              <w:right w:val="nil" w:sz="6" w:space="0" w:color="auto"/>
            </w:tcBorders>
          </w:tcPr>
          <w:p>
            <w:pPr/>
          </w:p>
        </w:tc>
      </w:tr>
      <w:tr>
        <w:trPr>
          <w:trHeight w:val="295" w:hRule="exact"/>
        </w:trPr>
        <w:tc>
          <w:tcPr>
            <w:tcW w:w="9979" w:type="dxa"/>
            <w:gridSpan w:val="6"/>
            <w:tcBorders>
              <w:top w:val="nil" w:sz="6" w:space="0" w:color="auto"/>
              <w:left w:val="nil" w:sz="6" w:space="0" w:color="auto"/>
              <w:bottom w:val="nil" w:sz="6" w:space="0" w:color="auto"/>
              <w:right w:val="nil" w:sz="6" w:space="0" w:color="auto"/>
            </w:tcBorders>
          </w:tcPr>
          <w:p>
            <w:pPr>
              <w:pStyle w:val="TableParagraph"/>
              <w:tabs>
                <w:tab w:pos="3002" w:val="left" w:leader="none"/>
                <w:tab w:pos="6964" w:val="left" w:leader="none"/>
              </w:tabs>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公司负责人：</w:t>
            </w:r>
            <w:r>
              <w:rPr>
                <w:rFonts w:ascii="宋体" w:hAnsi="宋体" w:cs="宋体" w:eastAsia="宋体" w:hint="default"/>
                <w:spacing w:val="1"/>
                <w:sz w:val="18"/>
                <w:szCs w:val="18"/>
              </w:rPr>
              <w:t> </w:t>
            </w:r>
            <w:r>
              <w:rPr>
                <w:rFonts w:ascii="宋体" w:hAnsi="宋体" w:cs="宋体" w:eastAsia="宋体" w:hint="default"/>
                <w:sz w:val="18"/>
                <w:szCs w:val="18"/>
              </w:rPr>
              <w:t>黄元忠</w:t>
              <w:tab/>
              <w:t>主管会计工作负责人：</w:t>
            </w:r>
            <w:r>
              <w:rPr>
                <w:rFonts w:ascii="宋体" w:hAnsi="宋体" w:cs="宋体" w:eastAsia="宋体" w:hint="default"/>
                <w:spacing w:val="89"/>
                <w:sz w:val="18"/>
                <w:szCs w:val="18"/>
              </w:rPr>
              <w:t> </w:t>
            </w:r>
            <w:r>
              <w:rPr>
                <w:rFonts w:ascii="宋体" w:hAnsi="宋体" w:cs="宋体" w:eastAsia="宋体" w:hint="default"/>
                <w:sz w:val="18"/>
                <w:szCs w:val="18"/>
              </w:rPr>
              <w:t>孙晓玲</w:t>
              <w:tab/>
              <w:t>会计机构负责人：全丽</w:t>
            </w:r>
          </w:p>
        </w:tc>
      </w:tr>
      <w:tr>
        <w:trPr>
          <w:trHeight w:val="232" w:hRule="exact"/>
        </w:trPr>
        <w:tc>
          <w:tcPr>
            <w:tcW w:w="5004" w:type="dxa"/>
            <w:tcBorders>
              <w:top w:val="nil" w:sz="6" w:space="0" w:color="auto"/>
              <w:left w:val="nil" w:sz="6" w:space="0" w:color="auto"/>
              <w:bottom w:val="nil" w:sz="6" w:space="0" w:color="auto"/>
              <w:right w:val="nil" w:sz="6" w:space="0" w:color="auto"/>
            </w:tcBorders>
          </w:tcPr>
          <w:p>
            <w:pPr>
              <w:pStyle w:val="TableParagraph"/>
              <w:spacing w:line="232" w:lineRule="exact"/>
              <w:ind w:left="28" w:right="0"/>
              <w:jc w:val="left"/>
              <w:rPr>
                <w:rFonts w:ascii="宋体" w:hAnsi="宋体" w:cs="宋体" w:eastAsia="宋体" w:hint="default"/>
                <w:sz w:val="18"/>
                <w:szCs w:val="18"/>
              </w:rPr>
            </w:pPr>
            <w:r>
              <w:rPr>
                <w:rFonts w:ascii="宋体" w:hAnsi="宋体" w:cs="宋体" w:eastAsia="宋体" w:hint="default"/>
                <w:sz w:val="18"/>
                <w:szCs w:val="18"/>
              </w:rPr>
              <w:t>（所附附注是合并财务报表的组成部分）</w:t>
            </w:r>
          </w:p>
        </w:tc>
        <w:tc>
          <w:tcPr>
            <w:tcW w:w="907"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
        </w:tc>
        <w:tc>
          <w:tcPr>
            <w:tcW w:w="161"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
        </w:tc>
        <w:tc>
          <w:tcPr>
            <w:tcW w:w="312" w:type="dxa"/>
            <w:tcBorders>
              <w:top w:val="nil" w:sz="6" w:space="0" w:color="auto"/>
              <w:left w:val="nil" w:sz="6" w:space="0" w:color="auto"/>
              <w:bottom w:val="nil" w:sz="6" w:space="0" w:color="auto"/>
              <w:right w:val="nil" w:sz="6" w:space="0" w:color="auto"/>
            </w:tcBorders>
          </w:tcPr>
          <w:p>
            <w:pPr/>
          </w:p>
        </w:tc>
      </w:tr>
    </w:tbl>
    <w:p>
      <w:pPr>
        <w:spacing w:line="240" w:lineRule="auto" w:before="11"/>
        <w:rPr>
          <w:rFonts w:ascii="宋体" w:hAnsi="宋体" w:cs="宋体" w:eastAsia="宋体" w:hint="default"/>
          <w:sz w:val="13"/>
          <w:szCs w:val="13"/>
        </w:rPr>
      </w:pPr>
    </w:p>
    <w:p>
      <w:pPr>
        <w:spacing w:before="0"/>
        <w:ind w:left="4990" w:right="4995" w:firstLine="0"/>
        <w:jc w:val="center"/>
        <w:rPr>
          <w:rFonts w:ascii="Times New Roman" w:hAnsi="Times New Roman" w:cs="Times New Roman" w:eastAsia="Times New Roman" w:hint="default"/>
          <w:sz w:val="18"/>
          <w:szCs w:val="18"/>
        </w:rPr>
      </w:pPr>
      <w:r>
        <w:rPr/>
        <w:pict>
          <v:shape style="position:absolute;margin-left:368.880005pt;margin-top:-302.517639pt;width:91.200811pt;height:.48pt;mso-position-horizontal-relative:page;mso-position-vertical-relative:paragraph;z-index:2848" type="#_x0000_t75" stroked="false">
            <v:imagedata r:id="rId70" o:title=""/>
          </v:shape>
        </w:pict>
      </w:r>
      <w:r>
        <w:rPr/>
        <w:pict>
          <v:shape style="position:absolute;margin-left:467.880005pt;margin-top:-302.517639pt;width:85.200757pt;height:.48pt;mso-position-horizontal-relative:page;mso-position-vertical-relative:paragraph;z-index:2872" type="#_x0000_t75" stroked="false">
            <v:imagedata r:id="rId71" o:title=""/>
          </v:shape>
        </w:pict>
      </w:r>
      <w:r>
        <w:rPr/>
        <w:pict>
          <v:shape style="position:absolute;margin-left:368.880005pt;margin-top:-199.917648pt;width:91.200811pt;height:.48pt;mso-position-horizontal-relative:page;mso-position-vertical-relative:paragraph;z-index:2896" type="#_x0000_t75" stroked="false">
            <v:imagedata r:id="rId70" o:title=""/>
          </v:shape>
        </w:pict>
      </w:r>
      <w:r>
        <w:rPr/>
        <w:pict>
          <v:shape style="position:absolute;margin-left:467.880005pt;margin-top:-199.917648pt;width:85.200757pt;height:.48pt;mso-position-horizontal-relative:page;mso-position-vertical-relative:paragraph;z-index:2920" type="#_x0000_t75" stroked="false">
            <v:imagedata r:id="rId71" o:title=""/>
          </v:shape>
        </w:pict>
      </w:r>
      <w:r>
        <w:rPr/>
        <w:pict>
          <v:shape style="position:absolute;margin-left:368.880005pt;margin-top:-142.077667pt;width:91.200811pt;height:.48pt;mso-position-horizontal-relative:page;mso-position-vertical-relative:paragraph;z-index:2944" type="#_x0000_t75" stroked="false">
            <v:imagedata r:id="rId68" o:title=""/>
          </v:shape>
        </w:pict>
      </w:r>
      <w:r>
        <w:rPr/>
        <w:pict>
          <v:shape style="position:absolute;margin-left:467.880005pt;margin-top:-142.077667pt;width:84.960757pt;height:.48pt;mso-position-horizontal-relative:page;mso-position-vertical-relative:paragraph;z-index:-1158592" type="#_x0000_t75" stroked="false">
            <v:imagedata r:id="rId72" o:title=""/>
          </v:shape>
        </w:pict>
      </w:r>
      <w:r>
        <w:rPr/>
        <w:pict>
          <v:shape style="position:absolute;margin-left:368.880005pt;margin-top:-96.237656pt;width:91.200811pt;height:.48pt;mso-position-horizontal-relative:page;mso-position-vertical-relative:paragraph;z-index:2992" type="#_x0000_t75" stroked="false">
            <v:imagedata r:id="rId70" o:title=""/>
          </v:shape>
        </w:pict>
      </w:r>
      <w:r>
        <w:rPr/>
        <w:pict>
          <v:shape style="position:absolute;margin-left:467.880005pt;margin-top:-96.237656pt;width:85.200757pt;height:.48pt;mso-position-horizontal-relative:page;mso-position-vertical-relative:paragraph;z-index:3016" type="#_x0000_t75" stroked="false">
            <v:imagedata r:id="rId71" o:title=""/>
          </v:shape>
        </w:pict>
      </w:r>
      <w:r>
        <w:rPr/>
        <w:pict>
          <v:group style="position:absolute;margin-left:368.519989pt;margin-top:-52.077656pt;width:91.7pt;height:2.2pt;mso-position-horizontal-relative:page;mso-position-vertical-relative:paragraph;z-index:-1158520" coordorigin="7370,-1042" coordsize="1834,44">
            <v:group style="position:absolute;left:7378;top:-1034;width:1820;height:2" coordorigin="7378,-1034" coordsize="1820,2">
              <v:shape style="position:absolute;left:7378;top:-1034;width:1820;height:2" coordorigin="7378,-1034" coordsize="1820,0" path="m7378,-1034l9197,-1034e" filled="false" stroked="true" strokeweight=".72pt" strokecolor="#000000">
                <v:path arrowok="t"/>
              </v:shape>
            </v:group>
            <v:group style="position:absolute;left:7378;top:-1006;width:1820;height:2" coordorigin="7378,-1006" coordsize="1820,2">
              <v:shape style="position:absolute;left:7378;top:-1006;width:1820;height:2" coordorigin="7378,-1006" coordsize="1820,0" path="m7378,-1006l9197,-1006e" filled="false" stroked="true" strokeweight=".72pt" strokecolor="#000000">
                <v:path arrowok="t"/>
              </v:shape>
            </v:group>
            <w10:wrap type="none"/>
          </v:group>
        </w:pict>
      </w:r>
      <w:r>
        <w:rPr>
          <w:rFonts w:ascii="Times New Roman"/>
          <w:sz w:val="18"/>
        </w:rPr>
        <w:t>70</w:t>
      </w:r>
    </w:p>
    <w:p>
      <w:pPr>
        <w:spacing w:after="0"/>
        <w:jc w:val="center"/>
        <w:rPr>
          <w:rFonts w:ascii="Times New Roman" w:hAnsi="Times New Roman" w:cs="Times New Roman" w:eastAsia="Times New Roman" w:hint="default"/>
          <w:sz w:val="18"/>
          <w:szCs w:val="18"/>
        </w:rPr>
        <w:sectPr>
          <w:headerReference w:type="default" r:id="rId66"/>
          <w:footerReference w:type="default" r:id="rId67"/>
          <w:pgSz w:w="11910" w:h="16840"/>
          <w:pgMar w:header="0" w:footer="0" w:top="780" w:bottom="280" w:left="1280" w:right="42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1"/>
          <w:szCs w:val="21"/>
        </w:rPr>
      </w:pPr>
    </w:p>
    <w:p>
      <w:pPr>
        <w:spacing w:before="0"/>
        <w:ind w:left="4026" w:right="106" w:firstLine="0"/>
        <w:jc w:val="left"/>
        <w:rPr>
          <w:rFonts w:ascii="宋体" w:hAnsi="宋体" w:cs="宋体" w:eastAsia="宋体" w:hint="default"/>
          <w:sz w:val="32"/>
          <w:szCs w:val="32"/>
        </w:rPr>
      </w:pPr>
      <w:r>
        <w:rPr/>
        <w:pict>
          <v:shape style="position:absolute;margin-left:136.712021pt;margin-top:-2.748901pt;width:113.749954pt;height:21.599991pt;mso-position-horizontal-relative:page;mso-position-vertical-relative:paragraph;z-index:-1158496" type="#_x0000_t75" alt="?" stroked="false">
            <v:imagedata r:id="rId75" o:title=""/>
          </v:shape>
        </w:pict>
      </w:r>
      <w:r>
        <w:rPr>
          <w:rFonts w:ascii="宋体" w:hAnsi="宋体" w:cs="宋体" w:eastAsia="宋体" w:hint="default"/>
          <w:b/>
          <w:bCs/>
          <w:sz w:val="32"/>
          <w:szCs w:val="32"/>
        </w:rPr>
        <w:t>深圳市方直科技股份有限公司</w:t>
      </w:r>
      <w:r>
        <w:rPr>
          <w:rFonts w:ascii="宋体" w:hAnsi="宋体" w:cs="宋体" w:eastAsia="宋体" w:hint="default"/>
          <w:sz w:val="32"/>
          <w:szCs w:val="32"/>
        </w:rPr>
      </w:r>
    </w:p>
    <w:p>
      <w:pPr>
        <w:spacing w:before="150"/>
        <w:ind w:left="3348" w:right="3408"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2014</w:t>
      </w:r>
      <w:r>
        <w:rPr>
          <w:rFonts w:ascii="宋体" w:hAnsi="宋体" w:cs="宋体" w:eastAsia="宋体" w:hint="default"/>
          <w:b/>
          <w:bCs/>
          <w:sz w:val="32"/>
          <w:szCs w:val="32"/>
        </w:rPr>
        <w:t>年度财务报表附注</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3"/>
          <w:szCs w:val="13"/>
        </w:rPr>
      </w:pPr>
    </w:p>
    <w:p>
      <w:pPr>
        <w:pStyle w:val="Heading5"/>
        <w:spacing w:line="240" w:lineRule="auto" w:before="36"/>
        <w:ind w:left="572" w:right="106"/>
        <w:jc w:val="left"/>
        <w:rPr>
          <w:b w:val="0"/>
          <w:bCs w:val="0"/>
        </w:rPr>
      </w:pPr>
      <w:r>
        <w:rPr/>
        <w:t>一、公司基本情况</w:t>
      </w:r>
      <w:r>
        <w:rPr>
          <w:b w:val="0"/>
          <w:bCs w:val="0"/>
        </w:rPr>
      </w:r>
    </w:p>
    <w:p>
      <w:pPr>
        <w:spacing w:line="240" w:lineRule="auto" w:before="10"/>
        <w:rPr>
          <w:rFonts w:ascii="宋体" w:hAnsi="宋体" w:cs="宋体" w:eastAsia="宋体" w:hint="default"/>
          <w:b/>
          <w:bCs/>
          <w:sz w:val="14"/>
          <w:szCs w:val="14"/>
        </w:rPr>
      </w:pPr>
    </w:p>
    <w:p>
      <w:pPr>
        <w:pStyle w:val="BodyText"/>
        <w:spacing w:line="256" w:lineRule="auto"/>
        <w:ind w:left="572" w:right="106" w:firstLine="2"/>
        <w:jc w:val="left"/>
      </w:pPr>
      <w:r>
        <w:rPr>
          <w:rFonts w:ascii="Times New Roman" w:hAnsi="Times New Roman" w:cs="Times New Roman" w:eastAsia="Times New Roman" w:hint="default"/>
          <w:b/>
          <w:bCs/>
        </w:rPr>
        <w:t>(</w:t>
      </w:r>
      <w:r>
        <w:rPr>
          <w:rFonts w:ascii="宋体" w:hAnsi="宋体" w:cs="宋体" w:eastAsia="宋体" w:hint="default"/>
          <w:b/>
          <w:bCs/>
        </w:rPr>
        <w:t>一</w:t>
      </w:r>
      <w:r>
        <w:rPr>
          <w:rFonts w:ascii="Times New Roman" w:hAnsi="Times New Roman" w:cs="Times New Roman" w:eastAsia="Times New Roman" w:hint="default"/>
          <w:b/>
          <w:bCs/>
        </w:rPr>
        <w:t>)</w:t>
      </w:r>
      <w:r>
        <w:rPr>
          <w:rFonts w:ascii="宋体" w:hAnsi="宋体" w:cs="宋体" w:eastAsia="宋体" w:hint="default"/>
          <w:b/>
          <w:bCs/>
        </w:rPr>
        <w:t>公司概况</w:t>
      </w:r>
      <w:r>
        <w:rPr>
          <w:rFonts w:ascii="宋体" w:hAnsi="宋体" w:cs="宋体" w:eastAsia="宋体" w:hint="default"/>
          <w:b/>
          <w:bCs/>
          <w:w w:val="100"/>
        </w:rPr>
        <w:t> </w:t>
      </w:r>
      <w:r>
        <w:rPr>
          <w:spacing w:val="2"/>
        </w:rPr>
        <w:t>深圳市方直科技股份有限公司</w:t>
      </w:r>
      <w:r>
        <w:rPr>
          <w:rFonts w:ascii="Times New Roman" w:hAnsi="Times New Roman" w:cs="Times New Roman" w:eastAsia="Times New Roman" w:hint="default"/>
          <w:spacing w:val="2"/>
        </w:rPr>
        <w:t>(</w:t>
      </w:r>
      <w:r>
        <w:rPr>
          <w:spacing w:val="2"/>
        </w:rPr>
        <w:t>以下简称</w:t>
      </w:r>
      <w:r>
        <w:rPr>
          <w:rFonts w:ascii="Times New Roman" w:hAnsi="Times New Roman" w:cs="Times New Roman" w:eastAsia="Times New Roman" w:hint="default"/>
          <w:spacing w:val="2"/>
        </w:rPr>
        <w:t>“</w:t>
      </w:r>
      <w:r>
        <w:rPr>
          <w:spacing w:val="2"/>
        </w:rPr>
        <w:t>本公司</w:t>
      </w:r>
      <w:r>
        <w:rPr>
          <w:rFonts w:ascii="Times New Roman" w:hAnsi="Times New Roman" w:cs="Times New Roman" w:eastAsia="Times New Roman" w:hint="default"/>
          <w:spacing w:val="2"/>
        </w:rPr>
        <w:t>”</w:t>
      </w:r>
      <w:r>
        <w:rPr>
          <w:spacing w:val="2"/>
        </w:rPr>
        <w:t>或</w:t>
      </w:r>
      <w:r>
        <w:rPr>
          <w:rFonts w:ascii="Times New Roman" w:hAnsi="Times New Roman" w:cs="Times New Roman" w:eastAsia="Times New Roman" w:hint="default"/>
          <w:spacing w:val="2"/>
        </w:rPr>
        <w:t>“</w:t>
      </w:r>
      <w:r>
        <w:rPr>
          <w:spacing w:val="2"/>
        </w:rPr>
        <w:t>公司</w:t>
      </w:r>
      <w:r>
        <w:rPr>
          <w:rFonts w:ascii="Times New Roman" w:hAnsi="Times New Roman" w:cs="Times New Roman" w:eastAsia="Times New Roman" w:hint="default"/>
          <w:spacing w:val="2"/>
        </w:rPr>
        <w:t>”)</w:t>
      </w:r>
      <w:r>
        <w:rPr>
          <w:spacing w:val="2"/>
        </w:rPr>
        <w:t>是以黄元忠等</w:t>
      </w:r>
      <w:r>
        <w:rPr>
          <w:rFonts w:ascii="Times New Roman" w:hAnsi="Times New Roman" w:cs="Times New Roman" w:eastAsia="Times New Roman" w:hint="default"/>
          <w:spacing w:val="2"/>
        </w:rPr>
        <w:t>7</w:t>
      </w:r>
      <w:r>
        <w:rPr>
          <w:spacing w:val="2"/>
        </w:rPr>
        <w:t>位自然人和深圳市戈尔登</w:t>
      </w:r>
    </w:p>
    <w:p>
      <w:pPr>
        <w:pStyle w:val="BodyText"/>
        <w:spacing w:line="273" w:lineRule="auto" w:before="5"/>
        <w:ind w:right="106"/>
        <w:jc w:val="left"/>
      </w:pPr>
      <w:r>
        <w:rPr>
          <w:spacing w:val="-2"/>
        </w:rPr>
        <w:t>投资有限公司为发起人，由深圳市方直科技有限公司以整体变更方式设立的股份有限公司，领有深圳市工</w:t>
      </w:r>
      <w:r>
        <w:rPr>
          <w:spacing w:val="-42"/>
        </w:rPr>
        <w:t> </w:t>
      </w:r>
      <w:r>
        <w:rPr>
          <w:spacing w:val="-42"/>
        </w:rPr>
      </w:r>
      <w:r>
        <w:rPr/>
        <w:t>商行政管理局核发的注册号为</w:t>
      </w:r>
      <w:r>
        <w:rPr>
          <w:rFonts w:ascii="Times New Roman" w:hAnsi="Times New Roman" w:cs="Times New Roman" w:eastAsia="Times New Roman" w:hint="default"/>
        </w:rPr>
        <w:t>440301103180183</w:t>
      </w:r>
      <w:r>
        <w:rPr/>
        <w:t>号《企业法人营业执照》。</w:t>
      </w:r>
    </w:p>
    <w:p>
      <w:pPr>
        <w:pStyle w:val="BodyText"/>
        <w:spacing w:line="279" w:lineRule="exact"/>
        <w:ind w:left="572" w:right="106"/>
        <w:jc w:val="left"/>
      </w:pPr>
      <w:r>
        <w:rPr/>
        <w:t>本公司前身为深圳方直电子科技有限公司，系于</w:t>
      </w:r>
      <w:r>
        <w:rPr>
          <w:rFonts w:ascii="Times New Roman" w:hAnsi="Times New Roman" w:cs="Times New Roman" w:eastAsia="Times New Roman" w:hint="default"/>
        </w:rPr>
        <w:t>1992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w:t>
      </w:r>
      <w:r>
        <w:rPr/>
        <w:t>日经深圳市人民政府办公厅以深府办复</w:t>
      </w:r>
    </w:p>
    <w:p>
      <w:pPr>
        <w:pStyle w:val="BodyText"/>
        <w:spacing w:line="256" w:lineRule="auto" w:before="21"/>
        <w:ind w:right="106"/>
        <w:jc w:val="left"/>
      </w:pPr>
      <w:r>
        <w:rPr/>
        <w:t>（</w:t>
      </w:r>
      <w:r>
        <w:rPr>
          <w:rFonts w:ascii="Times New Roman" w:hAnsi="Times New Roman" w:cs="Times New Roman" w:eastAsia="Times New Roman" w:hint="default"/>
        </w:rPr>
        <w:t>1992</w:t>
      </w:r>
      <w:r>
        <w:rPr/>
        <w:t>）</w:t>
      </w:r>
      <w:r>
        <w:rPr>
          <w:rFonts w:ascii="Times New Roman" w:hAnsi="Times New Roman" w:cs="Times New Roman" w:eastAsia="Times New Roman" w:hint="default"/>
        </w:rPr>
        <w:t>1747</w:t>
      </w:r>
      <w:r>
        <w:rPr/>
        <w:t>号《关于成立深圳方直电子科技有限公司的批复》同意，成立于</w:t>
      </w:r>
      <w:r>
        <w:rPr>
          <w:rFonts w:ascii="Times New Roman" w:hAnsi="Times New Roman" w:cs="Times New Roman" w:eastAsia="Times New Roman" w:hint="default"/>
        </w:rPr>
        <w:t>1993</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19</w:t>
      </w:r>
      <w:r>
        <w:rPr/>
        <w:t>日，注册资本</w:t>
      </w:r>
      <w:r>
        <w:rPr>
          <w:spacing w:val="-27"/>
        </w:rPr>
        <w:t> </w:t>
      </w:r>
      <w:r>
        <w:rPr>
          <w:spacing w:val="-27"/>
        </w:rPr>
      </w:r>
      <w:r>
        <w:rPr/>
        <w:t>人民币</w:t>
      </w:r>
      <w:r>
        <w:rPr>
          <w:rFonts w:ascii="Times New Roman" w:hAnsi="Times New Roman" w:cs="Times New Roman" w:eastAsia="Times New Roman" w:hint="default"/>
        </w:rPr>
        <w:t>30.00</w:t>
      </w:r>
      <w:r>
        <w:rPr/>
        <w:t>万元，由黄元忠、张竑天和陈克让各出资人民币</w:t>
      </w:r>
      <w:r>
        <w:rPr>
          <w:rFonts w:ascii="Times New Roman" w:hAnsi="Times New Roman" w:cs="Times New Roman" w:eastAsia="Times New Roman" w:hint="default"/>
        </w:rPr>
        <w:t>10</w:t>
      </w:r>
      <w:r>
        <w:rPr/>
        <w:t>万元设立。</w:t>
      </w:r>
    </w:p>
    <w:p>
      <w:pPr>
        <w:pStyle w:val="BodyText"/>
        <w:spacing w:line="264" w:lineRule="auto" w:before="5"/>
        <w:ind w:right="207" w:firstLine="420"/>
        <w:jc w:val="both"/>
      </w:pPr>
      <w:r>
        <w:rPr>
          <w:rFonts w:ascii="Times New Roman" w:hAnsi="Times New Roman" w:cs="Times New Roman" w:eastAsia="Times New Roman" w:hint="default"/>
        </w:rPr>
        <w:t>1997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15</w:t>
      </w:r>
      <w:r>
        <w:rPr/>
        <w:t>日，本公司股东会通过决议，同意张竑天将所持公司股权转让给黄晓峰；同意广州保税</w:t>
      </w:r>
      <w:r>
        <w:rPr>
          <w:w w:val="100"/>
        </w:rPr>
        <w:t> </w:t>
      </w:r>
      <w:r>
        <w:rPr>
          <w:spacing w:val="-2"/>
        </w:rPr>
        <w:t>区开特科技发展有限公司、广州保税区立诚经济发展有限公司及本公司原股东对公司进行增资，增资后注</w:t>
      </w:r>
      <w:r>
        <w:rPr>
          <w:spacing w:val="-43"/>
        </w:rPr>
        <w:t> </w:t>
      </w:r>
      <w:r>
        <w:rPr>
          <w:spacing w:val="-43"/>
        </w:rPr>
      </w:r>
      <w:r>
        <w:rPr/>
        <w:t>册资本变更为人民币</w:t>
      </w:r>
      <w:r>
        <w:rPr>
          <w:rFonts w:ascii="Times New Roman" w:hAnsi="Times New Roman" w:cs="Times New Roman" w:eastAsia="Times New Roman" w:hint="default"/>
        </w:rPr>
        <w:t>395.00</w:t>
      </w:r>
      <w:r>
        <w:rPr/>
        <w:t>万元。本公司于</w:t>
      </w:r>
      <w:r>
        <w:rPr>
          <w:rFonts w:ascii="Times New Roman" w:hAnsi="Times New Roman" w:cs="Times New Roman" w:eastAsia="Times New Roman" w:hint="default"/>
        </w:rPr>
        <w:t>1997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7</w:t>
      </w:r>
      <w:r>
        <w:rPr/>
        <w:t>日完成工商变更登记。</w:t>
      </w:r>
    </w:p>
    <w:p>
      <w:pPr>
        <w:pStyle w:val="BodyText"/>
        <w:spacing w:line="256" w:lineRule="auto"/>
        <w:ind w:right="211" w:firstLine="420"/>
        <w:jc w:val="both"/>
      </w:pPr>
      <w:r>
        <w:rPr>
          <w:rFonts w:ascii="Times New Roman" w:hAnsi="Times New Roman" w:cs="Times New Roman" w:eastAsia="Times New Roman" w:hint="default"/>
        </w:rPr>
        <w:t>1999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11</w:t>
      </w:r>
      <w:r>
        <w:rPr/>
        <w:t>日，本公司股东会通过决议，同意深圳市菲莫斯实业发展有限公司对公司进行增资，增</w:t>
      </w:r>
      <w:r>
        <w:rPr>
          <w:w w:val="100"/>
        </w:rPr>
        <w:t> </w:t>
      </w:r>
      <w:r>
        <w:rPr/>
        <w:t>资后注册资本变更为人民币</w:t>
      </w:r>
      <w:r>
        <w:rPr>
          <w:rFonts w:ascii="Times New Roman" w:hAnsi="Times New Roman" w:cs="Times New Roman" w:eastAsia="Times New Roman" w:hint="default"/>
        </w:rPr>
        <w:t>806.12</w:t>
      </w:r>
      <w:r>
        <w:rPr/>
        <w:t>万元。本公司于</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11</w:t>
      </w:r>
      <w:r>
        <w:rPr/>
        <w:t>日完成工商变更登记。</w:t>
      </w:r>
    </w:p>
    <w:p>
      <w:pPr>
        <w:pStyle w:val="BodyText"/>
        <w:spacing w:line="256" w:lineRule="auto" w:before="5"/>
        <w:ind w:right="212" w:firstLine="419"/>
        <w:jc w:val="both"/>
      </w:pPr>
      <w:r>
        <w:rPr>
          <w:rFonts w:ascii="Times New Roman" w:hAnsi="Times New Roman" w:cs="Times New Roman" w:eastAsia="Times New Roman" w:hint="default"/>
          <w:spacing w:val="-1"/>
        </w:rPr>
        <w:t>2000</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12"/>
        </w:rPr>
        <w:t> </w:t>
      </w:r>
      <w:r>
        <w:rPr>
          <w:spacing w:val="-2"/>
        </w:rPr>
        <w:t>经深圳市福田区公证处以</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2000</w:t>
      </w:r>
      <w:r>
        <w:rPr>
          <w:spacing w:val="-2"/>
        </w:rPr>
        <w:t>）深福证字第</w:t>
      </w:r>
      <w:r>
        <w:rPr>
          <w:rFonts w:ascii="Times New Roman" w:hAnsi="Times New Roman" w:cs="Times New Roman" w:eastAsia="Times New Roman" w:hint="default"/>
          <w:spacing w:val="-2"/>
        </w:rPr>
        <w:t>2795</w:t>
      </w:r>
      <w:r>
        <w:rPr>
          <w:spacing w:val="-2"/>
        </w:rPr>
        <w:t>号</w:t>
      </w:r>
      <w:r>
        <w:rPr>
          <w:rFonts w:ascii="Times New Roman" w:hAnsi="Times New Roman" w:cs="Times New Roman" w:eastAsia="Times New Roman" w:hint="default"/>
          <w:spacing w:val="-2"/>
        </w:rPr>
        <w:t>”</w:t>
      </w:r>
      <w:r>
        <w:rPr>
          <w:spacing w:val="-2"/>
        </w:rPr>
        <w:t>公证书公证，深圳市菲莫斯实业发</w:t>
      </w:r>
      <w:r>
        <w:rPr>
          <w:spacing w:val="-3"/>
          <w:w w:val="100"/>
        </w:rPr>
        <w:t> </w:t>
      </w:r>
      <w:r>
        <w:rPr>
          <w:spacing w:val="-4"/>
          <w:w w:val="100"/>
        </w:rPr>
        <w:t>展有限公司将其所持公司</w:t>
      </w:r>
      <w:r>
        <w:rPr>
          <w:rFonts w:ascii="Times New Roman" w:hAnsi="Times New Roman" w:cs="Times New Roman" w:eastAsia="Times New Roman" w:hint="default"/>
          <w:spacing w:val="-4"/>
          <w:w w:val="100"/>
        </w:rPr>
        <w:t>51%</w:t>
      </w:r>
      <w:r>
        <w:rPr>
          <w:spacing w:val="-4"/>
          <w:w w:val="100"/>
        </w:rPr>
        <w:t>的股权转让给深圳市菲莫斯科技开发有限公司。本公司于</w:t>
      </w:r>
      <w:r>
        <w:rPr>
          <w:rFonts w:ascii="Times New Roman" w:hAnsi="Times New Roman" w:cs="Times New Roman" w:eastAsia="Times New Roman" w:hint="default"/>
          <w:spacing w:val="-4"/>
          <w:w w:val="100"/>
        </w:rPr>
        <w:t>2000</w:t>
      </w:r>
      <w:r>
        <w:rPr>
          <w:spacing w:val="-4"/>
          <w:w w:val="100"/>
        </w:rPr>
        <w:t>年</w:t>
      </w:r>
      <w:r>
        <w:rPr>
          <w:rFonts w:ascii="Times New Roman" w:hAnsi="Times New Roman" w:cs="Times New Roman" w:eastAsia="Times New Roman" w:hint="default"/>
          <w:spacing w:val="-4"/>
          <w:w w:val="100"/>
        </w:rPr>
        <w:t>7</w:t>
      </w:r>
      <w:r>
        <w:rPr>
          <w:spacing w:val="-4"/>
          <w:w w:val="100"/>
        </w:rPr>
        <w:t>月</w:t>
      </w:r>
      <w:r>
        <w:rPr>
          <w:rFonts w:ascii="Times New Roman" w:hAnsi="Times New Roman" w:cs="Times New Roman" w:eastAsia="Times New Roman" w:hint="default"/>
          <w:spacing w:val="-4"/>
          <w:w w:val="100"/>
        </w:rPr>
        <w:t>24</w:t>
      </w:r>
      <w:r>
        <w:rPr>
          <w:spacing w:val="-4"/>
          <w:w w:val="100"/>
        </w:rPr>
        <w:t>日完成</w:t>
      </w:r>
      <w:r>
        <w:rPr>
          <w:spacing w:val="-65"/>
          <w:w w:val="100"/>
        </w:rPr>
        <w:t> </w:t>
      </w:r>
      <w:r>
        <w:rPr>
          <w:spacing w:val="-65"/>
          <w:w w:val="100"/>
        </w:rPr>
      </w:r>
      <w:r>
        <w:rPr/>
        <w:t>工商变更登记。</w:t>
      </w:r>
    </w:p>
    <w:p>
      <w:pPr>
        <w:pStyle w:val="BodyText"/>
        <w:spacing w:line="256" w:lineRule="auto" w:before="22"/>
        <w:ind w:left="153" w:right="106" w:firstLine="419"/>
        <w:jc w:val="left"/>
      </w:pPr>
      <w:r>
        <w:rPr>
          <w:rFonts w:ascii="Times New Roman" w:hAnsi="Times New Roman" w:cs="Times New Roman" w:eastAsia="Times New Roman" w:hint="default"/>
          <w:spacing w:val="-2"/>
        </w:rPr>
        <w:t>2005</w:t>
      </w:r>
      <w:r>
        <w:rPr>
          <w:spacing w:val="-2"/>
        </w:rPr>
        <w:t>年</w:t>
      </w:r>
      <w:r>
        <w:rPr>
          <w:rFonts w:ascii="Times New Roman" w:hAnsi="Times New Roman" w:cs="Times New Roman" w:eastAsia="Times New Roman" w:hint="default"/>
          <w:spacing w:val="-2"/>
        </w:rPr>
        <w:t>7</w:t>
      </w:r>
      <w:r>
        <w:rPr>
          <w:spacing w:val="-2"/>
        </w:rPr>
        <w:t>月，经深圳国际高新技术产权交易所以</w:t>
      </w:r>
      <w:r>
        <w:rPr>
          <w:rFonts w:ascii="Times New Roman" w:hAnsi="Times New Roman" w:cs="Times New Roman" w:eastAsia="Times New Roman" w:hint="default"/>
          <w:spacing w:val="-2"/>
        </w:rPr>
        <w:t>“</w:t>
      </w:r>
      <w:r>
        <w:rPr>
          <w:spacing w:val="-2"/>
        </w:rPr>
        <w:t>深高交所见（</w:t>
      </w:r>
      <w:r>
        <w:rPr>
          <w:rFonts w:ascii="Times New Roman" w:hAnsi="Times New Roman" w:cs="Times New Roman" w:eastAsia="Times New Roman" w:hint="default"/>
          <w:spacing w:val="-2"/>
        </w:rPr>
        <w:t>2005</w:t>
      </w:r>
      <w:r>
        <w:rPr>
          <w:spacing w:val="-2"/>
        </w:rPr>
        <w:t>）字第</w:t>
      </w:r>
      <w:r>
        <w:rPr>
          <w:rFonts w:ascii="Times New Roman" w:hAnsi="Times New Roman" w:cs="Times New Roman" w:eastAsia="Times New Roman" w:hint="default"/>
          <w:spacing w:val="-2"/>
        </w:rPr>
        <w:t>2244</w:t>
      </w:r>
      <w:r>
        <w:rPr>
          <w:spacing w:val="-2"/>
        </w:rPr>
        <w:t>号</w:t>
      </w:r>
      <w:r>
        <w:rPr>
          <w:rFonts w:ascii="Times New Roman" w:hAnsi="Times New Roman" w:cs="Times New Roman" w:eastAsia="Times New Roman" w:hint="default"/>
          <w:spacing w:val="-2"/>
        </w:rPr>
        <w:t>”</w:t>
      </w:r>
      <w:r>
        <w:rPr>
          <w:spacing w:val="-2"/>
        </w:rPr>
        <w:t>《股权转让见证书》</w:t>
      </w:r>
      <w:r>
        <w:rPr>
          <w:w w:val="100"/>
        </w:rPr>
        <w:t> </w:t>
      </w:r>
      <w:r>
        <w:rPr/>
        <w:t>见证，深圳市金汛新世纪投资发展有限公司（原名深圳市菲莫斯科技开发有限公司）将所持公司</w:t>
      </w:r>
      <w:r>
        <w:rPr>
          <w:rFonts w:ascii="Times New Roman" w:hAnsi="Times New Roman" w:cs="Times New Roman" w:eastAsia="Times New Roman" w:hint="default"/>
        </w:rPr>
        <w:t>51%</w:t>
      </w:r>
      <w:r>
        <w:rPr/>
        <w:t>的股</w:t>
      </w:r>
      <w:r>
        <w:rPr>
          <w:spacing w:val="-100"/>
        </w:rPr>
        <w:t> </w:t>
      </w:r>
      <w:r>
        <w:rPr>
          <w:spacing w:val="-3"/>
        </w:rPr>
        <w:t>权转让给黄晓峰。转让后黄晓峰持股</w:t>
      </w:r>
      <w:r>
        <w:rPr>
          <w:rFonts w:ascii="Times New Roman" w:hAnsi="Times New Roman" w:cs="Times New Roman" w:eastAsia="Times New Roman" w:hint="default"/>
          <w:spacing w:val="-3"/>
        </w:rPr>
        <w:t>59.06%</w:t>
      </w:r>
      <w:r>
        <w:rPr>
          <w:spacing w:val="-3"/>
        </w:rPr>
        <w:t>。本公司于</w:t>
      </w:r>
      <w:r>
        <w:rPr>
          <w:rFonts w:ascii="Times New Roman" w:hAnsi="Times New Roman" w:cs="Times New Roman" w:eastAsia="Times New Roman" w:hint="default"/>
          <w:spacing w:val="-3"/>
        </w:rPr>
        <w:t>2005</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26</w:t>
      </w:r>
      <w:r>
        <w:rPr>
          <w:spacing w:val="-3"/>
        </w:rPr>
        <w:t>日完成工商变更登记。</w:t>
      </w:r>
      <w:r>
        <w:rPr>
          <w:rFonts w:ascii="Times New Roman" w:hAnsi="Times New Roman" w:cs="Times New Roman" w:eastAsia="Times New Roman" w:hint="default"/>
          <w:spacing w:val="-3"/>
        </w:rPr>
        <w:t>2005</w:t>
      </w:r>
      <w:r>
        <w:rPr>
          <w:spacing w:val="-3"/>
        </w:rPr>
        <w:t>年</w:t>
      </w:r>
      <w:r>
        <w:rPr>
          <w:rFonts w:ascii="Times New Roman" w:hAnsi="Times New Roman" w:cs="Times New Roman" w:eastAsia="Times New Roman" w:hint="default"/>
          <w:spacing w:val="-3"/>
        </w:rPr>
        <w:t>8</w:t>
      </w:r>
      <w:r>
        <w:rPr>
          <w:spacing w:val="-3"/>
        </w:rPr>
        <w:t>月，公</w:t>
      </w:r>
      <w:r>
        <w:rPr>
          <w:spacing w:val="-8"/>
        </w:rPr>
        <w:t> </w:t>
      </w:r>
      <w:r>
        <w:rPr>
          <w:spacing w:val="-8"/>
        </w:rPr>
      </w:r>
      <w:r>
        <w:rPr/>
        <w:t>司名称变更为</w:t>
      </w:r>
      <w:r>
        <w:rPr>
          <w:rFonts w:ascii="Times New Roman" w:hAnsi="Times New Roman" w:cs="Times New Roman" w:eastAsia="Times New Roman" w:hint="default"/>
        </w:rPr>
        <w:t>“</w:t>
      </w:r>
      <w:r>
        <w:rPr/>
        <w:t>深圳市方直科技有限公司</w:t>
      </w:r>
      <w:r>
        <w:rPr>
          <w:rFonts w:ascii="Times New Roman" w:hAnsi="Times New Roman" w:cs="Times New Roman" w:eastAsia="Times New Roman" w:hint="default"/>
        </w:rPr>
        <w:t>”</w:t>
      </w:r>
      <w:r>
        <w:rPr/>
        <w:t>。</w:t>
      </w:r>
    </w:p>
    <w:p>
      <w:pPr>
        <w:pStyle w:val="BodyText"/>
        <w:spacing w:line="256" w:lineRule="auto" w:before="5"/>
        <w:ind w:left="153" w:right="210" w:firstLine="420"/>
        <w:jc w:val="both"/>
      </w:pPr>
      <w:r>
        <w:rPr>
          <w:rFonts w:ascii="Times New Roman" w:hAnsi="Times New Roman" w:cs="Times New Roman" w:eastAsia="Times New Roman" w:hint="default"/>
          <w:spacing w:val="-4"/>
        </w:rPr>
        <w:t>2006</w:t>
      </w:r>
      <w:r>
        <w:rPr>
          <w:spacing w:val="-4"/>
        </w:rPr>
        <w:t>年</w:t>
      </w:r>
      <w:r>
        <w:rPr>
          <w:rFonts w:ascii="Times New Roman" w:hAnsi="Times New Roman" w:cs="Times New Roman" w:eastAsia="Times New Roman" w:hint="default"/>
          <w:spacing w:val="-4"/>
        </w:rPr>
        <w:t>1</w:t>
      </w:r>
      <w:r>
        <w:rPr>
          <w:spacing w:val="-4"/>
        </w:rPr>
        <w:t>月，经深圳国际高新技术产权交易所以</w:t>
      </w:r>
      <w:r>
        <w:rPr>
          <w:rFonts w:ascii="Times New Roman" w:hAnsi="Times New Roman" w:cs="Times New Roman" w:eastAsia="Times New Roman" w:hint="default"/>
          <w:spacing w:val="-4"/>
        </w:rPr>
        <w:t>“</w:t>
      </w:r>
      <w:r>
        <w:rPr>
          <w:spacing w:val="-4"/>
        </w:rPr>
        <w:t>深高交所见（</w:t>
      </w:r>
      <w:r>
        <w:rPr>
          <w:rFonts w:ascii="Times New Roman" w:hAnsi="Times New Roman" w:cs="Times New Roman" w:eastAsia="Times New Roman" w:hint="default"/>
          <w:spacing w:val="-4"/>
        </w:rPr>
        <w:t>2006</w:t>
      </w:r>
      <w:r>
        <w:rPr>
          <w:spacing w:val="-4"/>
        </w:rPr>
        <w:t>）字第</w:t>
      </w:r>
      <w:r>
        <w:rPr>
          <w:rFonts w:ascii="Times New Roman" w:hAnsi="Times New Roman" w:cs="Times New Roman" w:eastAsia="Times New Roman" w:hint="default"/>
          <w:spacing w:val="-4"/>
        </w:rPr>
        <w:t>153</w:t>
      </w:r>
      <w:r>
        <w:rPr>
          <w:spacing w:val="-4"/>
        </w:rPr>
        <w:t>号及</w:t>
      </w:r>
      <w:r>
        <w:rPr>
          <w:rFonts w:ascii="Times New Roman" w:hAnsi="Times New Roman" w:cs="Times New Roman" w:eastAsia="Times New Roman" w:hint="default"/>
          <w:spacing w:val="-4"/>
        </w:rPr>
        <w:t>154</w:t>
      </w:r>
      <w:r>
        <w:rPr>
          <w:spacing w:val="-4"/>
        </w:rPr>
        <w:t>号</w:t>
      </w:r>
      <w:r>
        <w:rPr>
          <w:rFonts w:ascii="Times New Roman" w:hAnsi="Times New Roman" w:cs="Times New Roman" w:eastAsia="Times New Roman" w:hint="default"/>
          <w:spacing w:val="-4"/>
        </w:rPr>
        <w:t>”</w:t>
      </w:r>
      <w:r>
        <w:rPr>
          <w:spacing w:val="-4"/>
        </w:rPr>
        <w:t>《股权转让见</w:t>
      </w:r>
      <w:r>
        <w:rPr>
          <w:spacing w:val="-3"/>
          <w:w w:val="100"/>
        </w:rPr>
        <w:t> </w:t>
      </w:r>
      <w:r>
        <w:rPr>
          <w:spacing w:val="-4"/>
        </w:rPr>
        <w:t>证书》见证，广州保税区开特科技发展有限公司及广州市立诚贸易有限公司</w:t>
      </w:r>
      <w:r>
        <w:rPr>
          <w:rFonts w:ascii="Times New Roman" w:hAnsi="Times New Roman" w:cs="Times New Roman" w:eastAsia="Times New Roman" w:hint="default"/>
          <w:spacing w:val="-4"/>
        </w:rPr>
        <w:t>(</w:t>
      </w:r>
      <w:r>
        <w:rPr>
          <w:spacing w:val="-4"/>
        </w:rPr>
        <w:t>原名广州保税区立诚经济发展</w:t>
      </w:r>
      <w:r>
        <w:rPr>
          <w:spacing w:val="-24"/>
        </w:rPr>
        <w:t> </w:t>
      </w:r>
      <w:r>
        <w:rPr>
          <w:spacing w:val="-24"/>
        </w:rPr>
      </w:r>
      <w:r>
        <w:rPr>
          <w:spacing w:val="-2"/>
        </w:rPr>
        <w:t>有限公司</w:t>
      </w:r>
      <w:r>
        <w:rPr>
          <w:rFonts w:ascii="Times New Roman" w:hAnsi="Times New Roman" w:cs="Times New Roman" w:eastAsia="Times New Roman" w:hint="default"/>
          <w:spacing w:val="-2"/>
        </w:rPr>
        <w:t>)</w:t>
      </w:r>
      <w:r>
        <w:rPr>
          <w:spacing w:val="-2"/>
        </w:rPr>
        <w:t>分别将所持公司</w:t>
      </w:r>
      <w:r>
        <w:rPr>
          <w:rFonts w:ascii="Times New Roman" w:hAnsi="Times New Roman" w:cs="Times New Roman" w:eastAsia="Times New Roman" w:hint="default"/>
          <w:spacing w:val="-2"/>
        </w:rPr>
        <w:t>12.41%</w:t>
      </w:r>
      <w:r>
        <w:rPr>
          <w:spacing w:val="-2"/>
        </w:rPr>
        <w:t>的股权转让给黄晓峰。转让后黄晓峰持股</w:t>
      </w:r>
      <w:r>
        <w:rPr>
          <w:rFonts w:ascii="Times New Roman" w:hAnsi="Times New Roman" w:cs="Times New Roman" w:eastAsia="Times New Roman" w:hint="default"/>
          <w:spacing w:val="-2"/>
        </w:rPr>
        <w:t>83.88%</w:t>
      </w:r>
      <w:r>
        <w:rPr>
          <w:spacing w:val="-2"/>
        </w:rPr>
        <w:t>。本公司于</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19</w:t>
      </w:r>
      <w:r>
        <w:rPr>
          <w:rFonts w:ascii="Times New Roman" w:hAnsi="Times New Roman" w:cs="Times New Roman" w:eastAsia="Times New Roman" w:hint="default"/>
          <w:spacing w:val="24"/>
        </w:rPr>
        <w:t> </w:t>
      </w:r>
      <w:r>
        <w:rPr/>
        <w:t>日完成工商变更登记。</w:t>
      </w:r>
    </w:p>
    <w:p>
      <w:pPr>
        <w:pStyle w:val="BodyText"/>
        <w:spacing w:line="256" w:lineRule="auto" w:before="22"/>
        <w:ind w:left="153" w:right="207" w:firstLine="419"/>
        <w:jc w:val="both"/>
      </w:pP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2</w:t>
      </w:r>
      <w:r>
        <w:rPr>
          <w:spacing w:val="-2"/>
        </w:rPr>
        <w:t>月，经深圳国际高新技术产权交易所以</w:t>
      </w:r>
      <w:r>
        <w:rPr>
          <w:rFonts w:ascii="Times New Roman" w:hAnsi="Times New Roman" w:cs="Times New Roman" w:eastAsia="Times New Roman" w:hint="default"/>
          <w:spacing w:val="-2"/>
        </w:rPr>
        <w:t>“</w:t>
      </w:r>
      <w:r>
        <w:rPr>
          <w:spacing w:val="-2"/>
        </w:rPr>
        <w:t>深高交所见（</w:t>
      </w:r>
      <w:r>
        <w:rPr>
          <w:rFonts w:ascii="Times New Roman" w:hAnsi="Times New Roman" w:cs="Times New Roman" w:eastAsia="Times New Roman" w:hint="default"/>
          <w:spacing w:val="-2"/>
        </w:rPr>
        <w:t>2006</w:t>
      </w:r>
      <w:r>
        <w:rPr>
          <w:spacing w:val="-2"/>
        </w:rPr>
        <w:t>）字第</w:t>
      </w:r>
      <w:r>
        <w:rPr>
          <w:rFonts w:ascii="Times New Roman" w:hAnsi="Times New Roman" w:cs="Times New Roman" w:eastAsia="Times New Roman" w:hint="default"/>
          <w:spacing w:val="-2"/>
        </w:rPr>
        <w:t>468</w:t>
      </w:r>
      <w:r>
        <w:rPr>
          <w:spacing w:val="-2"/>
        </w:rPr>
        <w:t>号</w:t>
      </w:r>
      <w:r>
        <w:rPr>
          <w:rFonts w:ascii="Times New Roman" w:hAnsi="Times New Roman" w:cs="Times New Roman" w:eastAsia="Times New Roman" w:hint="default"/>
          <w:spacing w:val="-2"/>
        </w:rPr>
        <w:t>”</w:t>
      </w:r>
      <w:r>
        <w:rPr>
          <w:spacing w:val="-2"/>
        </w:rPr>
        <w:t>《股权转让见证书》</w:t>
      </w:r>
      <w:r>
        <w:rPr>
          <w:w w:val="100"/>
        </w:rPr>
        <w:t> </w:t>
      </w:r>
      <w:r>
        <w:rPr>
          <w:spacing w:val="-3"/>
        </w:rPr>
        <w:t>见证，黄晓峰将所持公司</w:t>
      </w:r>
      <w:r>
        <w:rPr>
          <w:rFonts w:ascii="Times New Roman" w:hAnsi="Times New Roman" w:cs="Times New Roman" w:eastAsia="Times New Roman" w:hint="default"/>
          <w:spacing w:val="-3"/>
        </w:rPr>
        <w:t>25.94%</w:t>
      </w:r>
      <w:r>
        <w:rPr>
          <w:spacing w:val="-3"/>
        </w:rPr>
        <w:t>的股权转让给黄元忠，将所持公司</w:t>
      </w:r>
      <w:r>
        <w:rPr>
          <w:rFonts w:ascii="Times New Roman" w:hAnsi="Times New Roman" w:cs="Times New Roman" w:eastAsia="Times New Roman" w:hint="default"/>
          <w:spacing w:val="-3"/>
        </w:rPr>
        <w:t>24.94%</w:t>
      </w:r>
      <w:r>
        <w:rPr>
          <w:spacing w:val="-3"/>
        </w:rPr>
        <w:t>的股权转让给陈克让，转让后黄</w:t>
      </w:r>
      <w:r>
        <w:rPr>
          <w:spacing w:val="-22"/>
        </w:rPr>
        <w:t> </w:t>
      </w:r>
      <w:r>
        <w:rPr>
          <w:spacing w:val="-22"/>
        </w:rPr>
      </w:r>
      <w:r>
        <w:rPr/>
        <w:t>晓峰持股</w:t>
      </w:r>
      <w:r>
        <w:rPr>
          <w:rFonts w:ascii="Times New Roman" w:hAnsi="Times New Roman" w:cs="Times New Roman" w:eastAsia="Times New Roman" w:hint="default"/>
        </w:rPr>
        <w:t>33%</w:t>
      </w:r>
      <w:r>
        <w:rPr/>
        <w:t>，黄元忠持股</w:t>
      </w:r>
      <w:r>
        <w:rPr>
          <w:rFonts w:ascii="Times New Roman" w:hAnsi="Times New Roman" w:cs="Times New Roman" w:eastAsia="Times New Roman" w:hint="default"/>
        </w:rPr>
        <w:t>34%</w:t>
      </w:r>
      <w:r>
        <w:rPr/>
        <w:t>，陈克让持股</w:t>
      </w:r>
      <w:r>
        <w:rPr>
          <w:rFonts w:ascii="Times New Roman" w:hAnsi="Times New Roman" w:cs="Times New Roman" w:eastAsia="Times New Roman" w:hint="default"/>
        </w:rPr>
        <w:t>33%</w:t>
      </w:r>
      <w:r>
        <w:rPr/>
        <w:t>。本公司于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21</w:t>
      </w:r>
      <w:r>
        <w:rPr/>
        <w:t>日完成工商变更登记。</w:t>
      </w:r>
    </w:p>
    <w:p>
      <w:pPr>
        <w:pStyle w:val="BodyText"/>
        <w:spacing w:line="256" w:lineRule="auto" w:before="5"/>
        <w:ind w:right="172" w:firstLine="420"/>
        <w:jc w:val="both"/>
      </w:pPr>
      <w:r>
        <w:rPr>
          <w:rFonts w:ascii="Times New Roman" w:hAnsi="Times New Roman" w:cs="Times New Roman" w:eastAsia="Times New Roman" w:hint="default"/>
        </w:rPr>
        <w:t>2009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29</w:t>
      </w:r>
      <w:r>
        <w:rPr/>
        <w:t>日，本公司股东会通过决议，同意黄元忠和黄晓峰分别将其</w:t>
      </w:r>
      <w:r>
        <w:rPr>
          <w:rFonts w:ascii="Times New Roman" w:hAnsi="Times New Roman" w:cs="Times New Roman" w:eastAsia="Times New Roman" w:hint="default"/>
        </w:rPr>
        <w:t>1.7%</w:t>
      </w:r>
      <w:r>
        <w:rPr/>
        <w:t>和</w:t>
      </w:r>
      <w:r>
        <w:rPr>
          <w:rFonts w:ascii="Times New Roman" w:hAnsi="Times New Roman" w:cs="Times New Roman" w:eastAsia="Times New Roman" w:hint="default"/>
        </w:rPr>
        <w:t>1.2%</w:t>
      </w:r>
      <w:r>
        <w:rPr/>
        <w:t>的股权转让给张</w:t>
      </w:r>
      <w:r>
        <w:rPr>
          <w:w w:val="100"/>
        </w:rPr>
        <w:t> </w:t>
      </w:r>
      <w:r>
        <w:rPr>
          <w:spacing w:val="-3"/>
        </w:rPr>
        <w:t>文凯；黄晓峰和陈克让分别将其</w:t>
      </w:r>
      <w:r>
        <w:rPr>
          <w:rFonts w:ascii="Times New Roman" w:hAnsi="Times New Roman" w:cs="Times New Roman" w:eastAsia="Times New Roman" w:hint="default"/>
          <w:spacing w:val="-3"/>
        </w:rPr>
        <w:t>2.972%</w:t>
      </w:r>
      <w:r>
        <w:rPr>
          <w:spacing w:val="-3"/>
        </w:rPr>
        <w:t>和</w:t>
      </w:r>
      <w:r>
        <w:rPr>
          <w:rFonts w:ascii="Times New Roman" w:hAnsi="Times New Roman" w:cs="Times New Roman" w:eastAsia="Times New Roman" w:hint="default"/>
          <w:spacing w:val="-3"/>
        </w:rPr>
        <w:t>0.7%</w:t>
      </w:r>
      <w:r>
        <w:rPr>
          <w:spacing w:val="-3"/>
        </w:rPr>
        <w:t>的股权转让给孙晓玲；黄晓峰将其</w:t>
      </w:r>
      <w:r>
        <w:rPr>
          <w:rFonts w:ascii="Times New Roman" w:hAnsi="Times New Roman" w:cs="Times New Roman" w:eastAsia="Times New Roman" w:hint="default"/>
          <w:spacing w:val="-3"/>
        </w:rPr>
        <w:t>0.259%</w:t>
      </w:r>
      <w:r>
        <w:rPr>
          <w:spacing w:val="-3"/>
        </w:rPr>
        <w:t>的股权转让给吴文</w:t>
      </w:r>
      <w:r>
        <w:rPr>
          <w:spacing w:val="-31"/>
        </w:rPr>
        <w:t> </w:t>
      </w:r>
      <w:r>
        <w:rPr>
          <w:spacing w:val="-31"/>
        </w:rPr>
      </w:r>
      <w:r>
        <w:rPr>
          <w:spacing w:val="-1"/>
        </w:rPr>
        <w:t>峰；陈克让将其</w:t>
      </w:r>
      <w:r>
        <w:rPr>
          <w:rFonts w:ascii="Times New Roman" w:hAnsi="Times New Roman" w:cs="Times New Roman" w:eastAsia="Times New Roman" w:hint="default"/>
          <w:spacing w:val="-1"/>
        </w:rPr>
        <w:t>3.472%</w:t>
      </w:r>
      <w:r>
        <w:rPr>
          <w:spacing w:val="-1"/>
        </w:rPr>
        <w:t>的股权转让给杨颖；并同意深圳市戈尔登投资有限公司以货币资金人民币</w:t>
      </w:r>
      <w:r>
        <w:rPr>
          <w:rFonts w:ascii="Times New Roman" w:hAnsi="Times New Roman" w:cs="Times New Roman" w:eastAsia="Times New Roman" w:hint="default"/>
          <w:spacing w:val="-1"/>
        </w:rPr>
        <w:t>232.00</w:t>
      </w:r>
      <w:r>
        <w:rPr>
          <w:spacing w:val="-1"/>
        </w:rPr>
        <w:t>万</w:t>
      </w:r>
      <w:r>
        <w:rPr>
          <w:spacing w:val="-48"/>
        </w:rPr>
        <w:t> </w:t>
      </w:r>
      <w:r>
        <w:rPr>
          <w:spacing w:val="-2"/>
        </w:rPr>
        <w:t>元对本公司进行增资。其中，</w:t>
      </w:r>
      <w:r>
        <w:rPr>
          <w:rFonts w:ascii="Times New Roman" w:hAnsi="Times New Roman" w:cs="Times New Roman" w:eastAsia="Times New Roman" w:hint="default"/>
          <w:spacing w:val="-2"/>
        </w:rPr>
        <w:t>55.53</w:t>
      </w:r>
      <w:r>
        <w:rPr>
          <w:spacing w:val="-2"/>
        </w:rPr>
        <w:t>万元为新增注册资本，其余部分</w:t>
      </w:r>
      <w:r>
        <w:rPr>
          <w:rFonts w:ascii="Times New Roman" w:hAnsi="Times New Roman" w:cs="Times New Roman" w:eastAsia="Times New Roman" w:hint="default"/>
          <w:spacing w:val="-2"/>
        </w:rPr>
        <w:t>176.47</w:t>
      </w:r>
      <w:r>
        <w:rPr>
          <w:spacing w:val="-2"/>
        </w:rPr>
        <w:t>万元为资本公积。深圳国际高新</w:t>
      </w:r>
      <w:r>
        <w:rPr>
          <w:spacing w:val="-39"/>
        </w:rPr>
        <w:t> </w:t>
      </w:r>
      <w:r>
        <w:rPr>
          <w:spacing w:val="-39"/>
        </w:rPr>
      </w:r>
      <w:r>
        <w:rPr/>
        <w:t>技术产权交易所分别于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18</w:t>
      </w:r>
      <w:r>
        <w:rPr/>
        <w:t>日出具深高交所见（</w:t>
      </w:r>
      <w:r>
        <w:rPr>
          <w:rFonts w:ascii="Times New Roman" w:hAnsi="Times New Roman" w:cs="Times New Roman" w:eastAsia="Times New Roman" w:hint="default"/>
        </w:rPr>
        <w:t>2009</w:t>
      </w:r>
      <w:r>
        <w:rPr/>
        <w:t>）字第</w:t>
      </w:r>
      <w:r>
        <w:rPr>
          <w:rFonts w:ascii="Times New Roman" w:hAnsi="Times New Roman" w:cs="Times New Roman" w:eastAsia="Times New Roman" w:hint="default"/>
        </w:rPr>
        <w:t>03381</w:t>
      </w:r>
      <w:r>
        <w:rPr/>
        <w:t>号和深高交所</w:t>
      </w:r>
      <w:r>
        <w:rPr>
          <w:spacing w:val="-31"/>
        </w:rPr>
        <w:t> </w:t>
      </w:r>
      <w:r>
        <w:rPr>
          <w:spacing w:val="-31"/>
        </w:rPr>
      </w:r>
      <w:r>
        <w:rPr>
          <w:spacing w:val="-2"/>
        </w:rPr>
        <w:t>见（</w:t>
      </w:r>
      <w:r>
        <w:rPr>
          <w:rFonts w:ascii="Times New Roman" w:hAnsi="Times New Roman" w:cs="Times New Roman" w:eastAsia="Times New Roman" w:hint="default"/>
          <w:spacing w:val="-2"/>
        </w:rPr>
        <w:t>2009</w:t>
      </w:r>
      <w:r>
        <w:rPr>
          <w:spacing w:val="-2"/>
        </w:rPr>
        <w:t>）字第</w:t>
      </w:r>
      <w:r>
        <w:rPr>
          <w:rFonts w:ascii="Times New Roman" w:hAnsi="Times New Roman" w:cs="Times New Roman" w:eastAsia="Times New Roman" w:hint="default"/>
          <w:spacing w:val="-2"/>
        </w:rPr>
        <w:t>03912</w:t>
      </w:r>
      <w:r>
        <w:rPr>
          <w:spacing w:val="-2"/>
        </w:rPr>
        <w:t>号《股权转让见证书》，对上述股权转让事宜予以见证。本公司于</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25</w:t>
      </w:r>
      <w:r>
        <w:rPr>
          <w:spacing w:val="-2"/>
        </w:rPr>
        <w:t>日完</w:t>
      </w:r>
      <w:r>
        <w:rPr>
          <w:spacing w:val="-33"/>
        </w:rPr>
        <w:t> </w:t>
      </w:r>
      <w:r>
        <w:rPr>
          <w:spacing w:val="-2"/>
        </w:rPr>
        <w:t>成工商变更登记</w:t>
      </w:r>
      <w:r>
        <w:rPr>
          <w:rFonts w:ascii="Times New Roman" w:hAnsi="Times New Roman" w:cs="Times New Roman" w:eastAsia="Times New Roman" w:hint="default"/>
          <w:spacing w:val="-2"/>
        </w:rPr>
        <w:t>,</w:t>
      </w:r>
      <w:r>
        <w:rPr>
          <w:spacing w:val="-2"/>
        </w:rPr>
        <w:t>变更后黄元忠持股</w:t>
      </w:r>
      <w:r>
        <w:rPr>
          <w:rFonts w:ascii="Times New Roman" w:hAnsi="Times New Roman" w:cs="Times New Roman" w:eastAsia="Times New Roman" w:hint="default"/>
          <w:spacing w:val="-2"/>
        </w:rPr>
        <w:t>30.20%</w:t>
      </w:r>
      <w:r>
        <w:rPr>
          <w:spacing w:val="-2"/>
        </w:rPr>
        <w:t>，黄晓峰持股</w:t>
      </w:r>
      <w:r>
        <w:rPr>
          <w:rFonts w:ascii="Times New Roman" w:hAnsi="Times New Roman" w:cs="Times New Roman" w:eastAsia="Times New Roman" w:hint="default"/>
          <w:spacing w:val="-2"/>
        </w:rPr>
        <w:t>26.75%</w:t>
      </w:r>
      <w:r>
        <w:rPr>
          <w:spacing w:val="-2"/>
        </w:rPr>
        <w:t>，陈克让持股</w:t>
      </w:r>
      <w:r>
        <w:rPr>
          <w:rFonts w:ascii="Times New Roman" w:hAnsi="Times New Roman" w:cs="Times New Roman" w:eastAsia="Times New Roman" w:hint="default"/>
          <w:spacing w:val="-2"/>
        </w:rPr>
        <w:t>26.75%</w:t>
      </w:r>
      <w:r>
        <w:rPr>
          <w:spacing w:val="-2"/>
        </w:rPr>
        <w:t>，孙晓玲持股</w:t>
      </w:r>
      <w:r>
        <w:rPr>
          <w:rFonts w:ascii="Times New Roman" w:hAnsi="Times New Roman" w:cs="Times New Roman" w:eastAsia="Times New Roman" w:hint="default"/>
          <w:spacing w:val="-2"/>
        </w:rPr>
        <w:t>3.44%</w:t>
      </w:r>
      <w:r>
        <w:rPr>
          <w:spacing w:val="-2"/>
        </w:rPr>
        <w:t>，</w:t>
      </w:r>
      <w:r>
        <w:rPr>
          <w:spacing w:val="-4"/>
        </w:rPr>
        <w:t> </w:t>
      </w:r>
      <w:r>
        <w:rPr/>
        <w:t>张文凯持股</w:t>
      </w:r>
      <w:r>
        <w:rPr>
          <w:rFonts w:ascii="Times New Roman" w:hAnsi="Times New Roman" w:cs="Times New Roman" w:eastAsia="Times New Roman" w:hint="default"/>
        </w:rPr>
        <w:t>2.72%</w:t>
      </w:r>
      <w:r>
        <w:rPr/>
        <w:t>，杨颖持股</w:t>
      </w:r>
      <w:r>
        <w:rPr>
          <w:rFonts w:ascii="Times New Roman" w:hAnsi="Times New Roman" w:cs="Times New Roman" w:eastAsia="Times New Roman" w:hint="default"/>
        </w:rPr>
        <w:t>3.21%</w:t>
      </w:r>
      <w:r>
        <w:rPr/>
        <w:t>，吴文峰持股</w:t>
      </w:r>
      <w:r>
        <w:rPr>
          <w:rFonts w:ascii="Times New Roman" w:hAnsi="Times New Roman" w:cs="Times New Roman" w:eastAsia="Times New Roman" w:hint="default"/>
        </w:rPr>
        <w:t>0.49%</w:t>
      </w:r>
      <w:r>
        <w:rPr/>
        <w:t>，深圳市戈尔登投资有限公司持股</w:t>
      </w:r>
      <w:r>
        <w:rPr>
          <w:rFonts w:ascii="Times New Roman" w:hAnsi="Times New Roman" w:cs="Times New Roman" w:eastAsia="Times New Roman" w:hint="default"/>
        </w:rPr>
        <w:t>6.44%</w:t>
      </w:r>
      <w:r>
        <w:rPr/>
        <w:t>。</w:t>
      </w:r>
    </w:p>
    <w:p>
      <w:pPr>
        <w:pStyle w:val="BodyText"/>
        <w:spacing w:line="256" w:lineRule="auto" w:before="7"/>
        <w:ind w:right="209" w:firstLine="419"/>
        <w:jc w:val="both"/>
      </w:pP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15</w:t>
      </w:r>
      <w:r>
        <w:rPr>
          <w:spacing w:val="-2"/>
        </w:rPr>
        <w:t>日，黄元忠等</w:t>
      </w:r>
      <w:r>
        <w:rPr>
          <w:rFonts w:ascii="Times New Roman" w:hAnsi="Times New Roman" w:cs="Times New Roman" w:eastAsia="Times New Roman" w:hint="default"/>
          <w:spacing w:val="-2"/>
        </w:rPr>
        <w:t>7</w:t>
      </w:r>
      <w:r>
        <w:rPr>
          <w:spacing w:val="-2"/>
        </w:rPr>
        <w:t>位自然人和深圳市戈尔登投资有限公司签署发起人协议，本公司由有限责</w:t>
      </w:r>
      <w:r>
        <w:rPr>
          <w:w w:val="100"/>
        </w:rPr>
        <w:t> </w:t>
      </w:r>
      <w:r>
        <w:rPr/>
        <w:t>任公司整体变更为股份有限公司。本公司根据截止</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日经审计的净资产折股，注册资本变更为</w:t>
      </w:r>
      <w:r>
        <w:rPr>
          <w:spacing w:val="-29"/>
        </w:rPr>
        <w:t> </w:t>
      </w:r>
      <w:r>
        <w:rPr>
          <w:spacing w:val="-29"/>
        </w:rPr>
      </w:r>
      <w:r>
        <w:rPr>
          <w:rFonts w:ascii="Times New Roman" w:hAnsi="Times New Roman" w:cs="Times New Roman" w:eastAsia="Times New Roman" w:hint="default"/>
        </w:rPr>
        <w:t>3,300.00</w:t>
      </w:r>
      <w:r>
        <w:rPr/>
        <w:t>万元。其中：自然人持股比例及股份数为</w:t>
      </w:r>
      <w:r>
        <w:rPr>
          <w:rFonts w:ascii="Times New Roman" w:hAnsi="Times New Roman" w:cs="Times New Roman" w:eastAsia="Times New Roman" w:hint="default"/>
        </w:rPr>
        <w:t>93.56%</w:t>
      </w:r>
      <w:r>
        <w:rPr/>
        <w:t>和</w:t>
      </w:r>
      <w:r>
        <w:rPr>
          <w:rFonts w:ascii="Times New Roman" w:hAnsi="Times New Roman" w:cs="Times New Roman" w:eastAsia="Times New Roman" w:hint="default"/>
        </w:rPr>
        <w:t>30,873,278</w:t>
      </w:r>
      <w:r>
        <w:rPr/>
        <w:t>股。本公司于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24</w:t>
      </w:r>
      <w:r>
        <w:rPr/>
        <w:t>日完成工</w:t>
      </w:r>
    </w:p>
    <w:p>
      <w:pPr>
        <w:spacing w:after="0" w:line="256" w:lineRule="auto"/>
        <w:jc w:val="both"/>
        <w:sectPr>
          <w:headerReference w:type="default" r:id="rId73"/>
          <w:footerReference w:type="default" r:id="rId74"/>
          <w:pgSz w:w="11910" w:h="16840"/>
          <w:pgMar w:header="880" w:footer="979" w:top="1060" w:bottom="1160" w:left="980" w:right="920"/>
          <w:pgNumType w:start="71"/>
        </w:sectPr>
      </w:pPr>
    </w:p>
    <w:p>
      <w:pPr>
        <w:spacing w:line="240" w:lineRule="auto" w:before="9"/>
        <w:rPr>
          <w:rFonts w:ascii="宋体" w:hAnsi="宋体" w:cs="宋体" w:eastAsia="宋体" w:hint="default"/>
          <w:sz w:val="20"/>
          <w:szCs w:val="20"/>
        </w:rPr>
      </w:pPr>
    </w:p>
    <w:p>
      <w:pPr>
        <w:pStyle w:val="BodyText"/>
        <w:spacing w:line="240" w:lineRule="auto" w:before="36"/>
        <w:ind w:right="0"/>
        <w:jc w:val="both"/>
      </w:pPr>
      <w:r>
        <w:rPr/>
        <w:t>商变更登记。</w:t>
      </w:r>
    </w:p>
    <w:p>
      <w:pPr>
        <w:pStyle w:val="BodyText"/>
        <w:spacing w:line="256" w:lineRule="auto" w:before="37"/>
        <w:ind w:right="106" w:firstLine="420"/>
        <w:jc w:val="left"/>
      </w:pPr>
      <w:r>
        <w:rPr>
          <w:rFonts w:ascii="Times New Roman" w:hAnsi="Times New Roman" w:cs="Times New Roman" w:eastAsia="Times New Roman" w:hint="default"/>
        </w:rPr>
        <w:t>2010</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26</w:t>
      </w:r>
      <w:r>
        <w:rPr/>
        <w:t>日，本公司</w:t>
      </w:r>
      <w:r>
        <w:rPr>
          <w:rFonts w:ascii="Times New Roman" w:hAnsi="Times New Roman" w:cs="Times New Roman" w:eastAsia="Times New Roman" w:hint="default"/>
        </w:rPr>
        <w:t>2010</w:t>
      </w:r>
      <w:r>
        <w:rPr/>
        <w:t>年第二次临时股东大会决议通过，同意黄晓峰将其</w:t>
      </w:r>
      <w:r>
        <w:rPr>
          <w:rFonts w:ascii="Times New Roman" w:hAnsi="Times New Roman" w:cs="Times New Roman" w:eastAsia="Times New Roman" w:hint="default"/>
        </w:rPr>
        <w:t>5%</w:t>
      </w:r>
      <w:r>
        <w:rPr/>
        <w:t>的股权转让给平安</w:t>
      </w:r>
      <w:r>
        <w:rPr>
          <w:w w:val="100"/>
        </w:rPr>
        <w:t> </w:t>
      </w:r>
      <w:r>
        <w:rPr/>
        <w:t>财智投资管理有限公司；陈克让将其</w:t>
      </w:r>
      <w:r>
        <w:rPr>
          <w:rFonts w:ascii="Times New Roman" w:hAnsi="Times New Roman" w:cs="Times New Roman" w:eastAsia="Times New Roman" w:hint="default"/>
        </w:rPr>
        <w:t>5%</w:t>
      </w:r>
      <w:r>
        <w:rPr/>
        <w:t>的股权转让给深圳市融元创业投资有限责任公司。本公司于</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rFonts w:ascii="Times New Roman" w:hAnsi="Times New Roman" w:cs="Times New Roman" w:eastAsia="Times New Roman" w:hint="default"/>
          <w:spacing w:val="3"/>
        </w:rPr>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30</w:t>
      </w:r>
      <w:r>
        <w:rPr>
          <w:spacing w:val="-2"/>
        </w:rPr>
        <w:t>日完成工商变更登记</w:t>
      </w:r>
      <w:r>
        <w:rPr>
          <w:rFonts w:ascii="Times New Roman" w:hAnsi="Times New Roman" w:cs="Times New Roman" w:eastAsia="Times New Roman" w:hint="default"/>
          <w:spacing w:val="-2"/>
        </w:rPr>
        <w:t>,</w:t>
      </w:r>
      <w:r>
        <w:rPr>
          <w:spacing w:val="-2"/>
        </w:rPr>
        <w:t>变更后黄元忠持股</w:t>
      </w:r>
      <w:r>
        <w:rPr>
          <w:rFonts w:ascii="Times New Roman" w:hAnsi="Times New Roman" w:cs="Times New Roman" w:eastAsia="Times New Roman" w:hint="default"/>
          <w:spacing w:val="-2"/>
        </w:rPr>
        <w:t>30.20%</w:t>
      </w:r>
      <w:r>
        <w:rPr>
          <w:spacing w:val="-2"/>
        </w:rPr>
        <w:t>、黄晓峰持股</w:t>
      </w:r>
      <w:r>
        <w:rPr>
          <w:rFonts w:ascii="Times New Roman" w:hAnsi="Times New Roman" w:cs="Times New Roman" w:eastAsia="Times New Roman" w:hint="default"/>
          <w:spacing w:val="-2"/>
        </w:rPr>
        <w:t>21.75%</w:t>
      </w:r>
      <w:r>
        <w:rPr>
          <w:spacing w:val="-2"/>
        </w:rPr>
        <w:t>、陈克让持股</w:t>
      </w:r>
      <w:r>
        <w:rPr>
          <w:rFonts w:ascii="Times New Roman" w:hAnsi="Times New Roman" w:cs="Times New Roman" w:eastAsia="Times New Roman" w:hint="default"/>
          <w:spacing w:val="-2"/>
        </w:rPr>
        <w:t>21.75%</w:t>
      </w:r>
      <w:r>
        <w:rPr>
          <w:spacing w:val="-2"/>
        </w:rPr>
        <w:t>、孙晓玲</w:t>
      </w:r>
      <w:r>
        <w:rPr>
          <w:spacing w:val="-30"/>
        </w:rPr>
        <w:t> </w:t>
      </w:r>
      <w:r>
        <w:rPr>
          <w:spacing w:val="-30"/>
        </w:rPr>
      </w:r>
      <w:r>
        <w:rPr>
          <w:spacing w:val="-7"/>
        </w:rPr>
        <w:t>持股</w:t>
      </w:r>
      <w:r>
        <w:rPr>
          <w:rFonts w:ascii="Times New Roman" w:hAnsi="Times New Roman" w:cs="Times New Roman" w:eastAsia="Times New Roman" w:hint="default"/>
          <w:spacing w:val="-7"/>
        </w:rPr>
        <w:t>3.44%</w:t>
      </w:r>
      <w:r>
        <w:rPr>
          <w:spacing w:val="-7"/>
        </w:rPr>
        <w:t>、张文凯持股</w:t>
      </w:r>
      <w:r>
        <w:rPr>
          <w:rFonts w:ascii="Times New Roman" w:hAnsi="Times New Roman" w:cs="Times New Roman" w:eastAsia="Times New Roman" w:hint="default"/>
          <w:spacing w:val="-7"/>
        </w:rPr>
        <w:t>2.72%</w:t>
      </w:r>
      <w:r>
        <w:rPr>
          <w:spacing w:val="-7"/>
        </w:rPr>
        <w:t>、杨颖持股</w:t>
      </w:r>
      <w:r>
        <w:rPr>
          <w:rFonts w:ascii="Times New Roman" w:hAnsi="Times New Roman" w:cs="Times New Roman" w:eastAsia="Times New Roman" w:hint="default"/>
          <w:spacing w:val="-7"/>
        </w:rPr>
        <w:t>3.21%</w:t>
      </w:r>
      <w:r>
        <w:rPr>
          <w:spacing w:val="-7"/>
        </w:rPr>
        <w:t>、吴文峰持股</w:t>
      </w:r>
      <w:r>
        <w:rPr>
          <w:rFonts w:ascii="Times New Roman" w:hAnsi="Times New Roman" w:cs="Times New Roman" w:eastAsia="Times New Roman" w:hint="default"/>
          <w:spacing w:val="-7"/>
        </w:rPr>
        <w:t>0.49%</w:t>
      </w:r>
      <w:r>
        <w:rPr>
          <w:spacing w:val="-7"/>
        </w:rPr>
        <w:t>、深圳市戈尔登投资有限公司持股</w:t>
      </w:r>
      <w:r>
        <w:rPr>
          <w:rFonts w:ascii="Times New Roman" w:hAnsi="Times New Roman" w:cs="Times New Roman" w:eastAsia="Times New Roman" w:hint="default"/>
          <w:spacing w:val="-7"/>
        </w:rPr>
        <w:t>6.44%</w:t>
      </w:r>
      <w:r>
        <w:rPr>
          <w:spacing w:val="-7"/>
        </w:rPr>
        <w:t>、</w:t>
      </w:r>
      <w:r>
        <w:rPr>
          <w:spacing w:val="-21"/>
        </w:rPr>
        <w:t> </w:t>
      </w:r>
      <w:r>
        <w:rPr/>
        <w:t>平安财智投资管理有限公司持股</w:t>
      </w:r>
      <w:r>
        <w:rPr>
          <w:rFonts w:ascii="Times New Roman" w:hAnsi="Times New Roman" w:cs="Times New Roman" w:eastAsia="Times New Roman" w:hint="default"/>
        </w:rPr>
        <w:t>5.00%</w:t>
      </w:r>
      <w:r>
        <w:rPr/>
        <w:t>、深圳市融元创业投资有限责任公司持股</w:t>
      </w:r>
      <w:r>
        <w:rPr>
          <w:rFonts w:ascii="Times New Roman" w:hAnsi="Times New Roman" w:cs="Times New Roman" w:eastAsia="Times New Roman" w:hint="default"/>
        </w:rPr>
        <w:t>5.00%</w:t>
      </w:r>
      <w:r>
        <w:rPr/>
        <w:t>。</w:t>
      </w:r>
    </w:p>
    <w:p>
      <w:pPr>
        <w:pStyle w:val="BodyText"/>
        <w:spacing w:line="256" w:lineRule="auto" w:before="5"/>
        <w:ind w:left="153" w:right="209" w:firstLine="420"/>
        <w:jc w:val="both"/>
      </w:pPr>
      <w:r>
        <w:rPr/>
        <w:t>经中国证券监督管理委员会证监发行字</w:t>
      </w:r>
      <w:r>
        <w:rPr>
          <w:rFonts w:ascii="Times New Roman" w:hAnsi="Times New Roman" w:cs="Times New Roman" w:eastAsia="Times New Roman" w:hint="default"/>
        </w:rPr>
        <w:t>[2011]901</w:t>
      </w:r>
      <w:r>
        <w:rPr/>
        <w:t>号文核准，并经深圳证券交易所同意，</w:t>
      </w:r>
      <w:r>
        <w:rPr>
          <w:spacing w:val="34"/>
        </w:rPr>
        <w:t> </w:t>
      </w:r>
      <w:r>
        <w:rPr/>
        <w:t>本公司由主</w:t>
      </w:r>
      <w:r>
        <w:rPr>
          <w:w w:val="100"/>
        </w:rPr>
        <w:t> </w:t>
      </w:r>
      <w:r>
        <w:rPr/>
        <w:t>承销商平安证券有限责任公司于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20</w:t>
      </w:r>
      <w:r>
        <w:rPr/>
        <w:t>日向社会公众公开发行普通股</w:t>
      </w:r>
      <w:r>
        <w:rPr>
          <w:rFonts w:ascii="Times New Roman" w:hAnsi="Times New Roman" w:cs="Times New Roman" w:eastAsia="Times New Roman" w:hint="default"/>
        </w:rPr>
        <w:t>(A</w:t>
      </w:r>
      <w:r>
        <w:rPr>
          <w:rFonts w:ascii="Times New Roman" w:hAnsi="Times New Roman" w:cs="Times New Roman" w:eastAsia="Times New Roman" w:hint="default"/>
          <w:spacing w:val="34"/>
        </w:rPr>
        <w:t> </w:t>
      </w:r>
      <w:r>
        <w:rPr>
          <w:spacing w:val="-7"/>
        </w:rPr>
        <w:t>股</w:t>
      </w:r>
      <w:r>
        <w:rPr>
          <w:rFonts w:ascii="Times New Roman" w:hAnsi="Times New Roman" w:cs="Times New Roman" w:eastAsia="Times New Roman" w:hint="default"/>
          <w:spacing w:val="-7"/>
        </w:rPr>
        <w:t>)</w:t>
      </w:r>
      <w:r>
        <w:rPr>
          <w:spacing w:val="-7"/>
        </w:rPr>
        <w:t>股票</w:t>
      </w:r>
      <w:r>
        <w:rPr>
          <w:rFonts w:ascii="Times New Roman" w:hAnsi="Times New Roman" w:cs="Times New Roman" w:eastAsia="Times New Roman" w:hint="default"/>
          <w:spacing w:val="-7"/>
        </w:rPr>
        <w:t>1100</w:t>
      </w:r>
      <w:r>
        <w:rPr>
          <w:spacing w:val="-7"/>
        </w:rPr>
        <w:t>万股，每股面值</w:t>
      </w:r>
      <w:r>
        <w:rPr>
          <w:spacing w:val="-101"/>
        </w:rPr>
        <w:t> </w:t>
      </w:r>
      <w:r>
        <w:rPr>
          <w:spacing w:val="-101"/>
        </w:rPr>
      </w:r>
      <w:r>
        <w:rPr>
          <w:rFonts w:ascii="Times New Roman" w:hAnsi="Times New Roman" w:cs="Times New Roman" w:eastAsia="Times New Roman" w:hint="default"/>
          <w:spacing w:val="-1"/>
        </w:rPr>
        <w:t>1.00</w:t>
      </w:r>
      <w:r>
        <w:rPr>
          <w:spacing w:val="-1"/>
        </w:rPr>
        <w:t>元，每股发行价人民币</w:t>
      </w:r>
      <w:r>
        <w:rPr>
          <w:rFonts w:ascii="Times New Roman" w:hAnsi="Times New Roman" w:cs="Times New Roman" w:eastAsia="Times New Roman" w:hint="default"/>
          <w:spacing w:val="-1"/>
        </w:rPr>
        <w:t>19.60</w:t>
      </w:r>
      <w:r>
        <w:rPr>
          <w:spacing w:val="-1"/>
        </w:rPr>
        <w:t>元。此次公开发行共募集资金</w:t>
      </w:r>
      <w:r>
        <w:rPr>
          <w:rFonts w:ascii="Times New Roman" w:hAnsi="Times New Roman" w:cs="Times New Roman" w:eastAsia="Times New Roman" w:hint="default"/>
          <w:spacing w:val="-1"/>
        </w:rPr>
        <w:t>21,560.00</w:t>
      </w:r>
      <w:r>
        <w:rPr>
          <w:spacing w:val="-1"/>
        </w:rPr>
        <w:t>万元，扣除发行费用</w:t>
      </w:r>
      <w:r>
        <w:rPr>
          <w:rFonts w:ascii="Times New Roman" w:hAnsi="Times New Roman" w:cs="Times New Roman" w:eastAsia="Times New Roman" w:hint="default"/>
          <w:spacing w:val="-1"/>
        </w:rPr>
        <w:t>29,967,169.30</w:t>
      </w:r>
      <w:r>
        <w:rPr>
          <w:rFonts w:ascii="Times New Roman" w:hAnsi="Times New Roman" w:cs="Times New Roman" w:eastAsia="Times New Roman" w:hint="default"/>
          <w:spacing w:val="35"/>
        </w:rPr>
        <w:t> </w:t>
      </w:r>
      <w:r>
        <w:rPr>
          <w:rFonts w:ascii="Times New Roman" w:hAnsi="Times New Roman" w:cs="Times New Roman" w:eastAsia="Times New Roman" w:hint="default"/>
          <w:spacing w:val="35"/>
        </w:rPr>
      </w:r>
      <w:r>
        <w:rPr>
          <w:spacing w:val="-1"/>
        </w:rPr>
        <w:t>元，募集资金净额</w:t>
      </w:r>
      <w:r>
        <w:rPr>
          <w:rFonts w:ascii="Times New Roman" w:hAnsi="Times New Roman" w:cs="Times New Roman" w:eastAsia="Times New Roman" w:hint="default"/>
          <w:spacing w:val="-1"/>
        </w:rPr>
        <w:t>185,632,830.70</w:t>
      </w:r>
      <w:r>
        <w:rPr>
          <w:spacing w:val="-1"/>
        </w:rPr>
        <w:t>元，经此次发行，注册资本变更为人民币</w:t>
      </w:r>
      <w:r>
        <w:rPr>
          <w:rFonts w:ascii="Times New Roman" w:hAnsi="Times New Roman" w:cs="Times New Roman" w:eastAsia="Times New Roman" w:hint="default"/>
          <w:spacing w:val="-1"/>
        </w:rPr>
        <w:t>4,400.00</w:t>
      </w:r>
      <w:r>
        <w:rPr>
          <w:spacing w:val="-1"/>
        </w:rPr>
        <w:t>万元，此次增资业经立</w:t>
      </w:r>
      <w:r>
        <w:rPr>
          <w:spacing w:val="-19"/>
        </w:rPr>
        <w:t> </w:t>
      </w:r>
      <w:r>
        <w:rPr>
          <w:spacing w:val="-19"/>
        </w:rPr>
      </w:r>
      <w:r>
        <w:rPr/>
        <w:t>信大华会计师事务所</w:t>
      </w:r>
      <w:r>
        <w:rPr>
          <w:rFonts w:ascii="Times New Roman" w:hAnsi="Times New Roman" w:cs="Times New Roman" w:eastAsia="Times New Roman" w:hint="default"/>
        </w:rPr>
        <w:t>“</w:t>
      </w:r>
      <w:r>
        <w:rPr/>
        <w:t>立信大华验字</w:t>
      </w:r>
      <w:r>
        <w:rPr>
          <w:rFonts w:ascii="Times New Roman" w:hAnsi="Times New Roman" w:cs="Times New Roman" w:eastAsia="Times New Roman" w:hint="default"/>
        </w:rPr>
        <w:t>[2011]178</w:t>
      </w:r>
      <w:r>
        <w:rPr/>
        <w:t>号</w:t>
      </w:r>
      <w:r>
        <w:rPr>
          <w:rFonts w:ascii="Times New Roman" w:hAnsi="Times New Roman" w:cs="Times New Roman" w:eastAsia="Times New Roman" w:hint="default"/>
        </w:rPr>
        <w:t>”</w:t>
      </w:r>
      <w:r>
        <w:rPr/>
        <w:t>验资报告验证。</w:t>
      </w:r>
    </w:p>
    <w:p>
      <w:pPr>
        <w:pStyle w:val="BodyText"/>
        <w:spacing w:line="256" w:lineRule="auto" w:before="5"/>
        <w:ind w:left="153" w:right="207" w:firstLine="420"/>
        <w:jc w:val="both"/>
      </w:pPr>
      <w:r>
        <w:rPr/>
        <w:t>经</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w:t>
      </w:r>
      <w:r>
        <w:rPr/>
        <w:t>日</w:t>
      </w:r>
      <w:r>
        <w:rPr>
          <w:rFonts w:ascii="Times New Roman" w:hAnsi="Times New Roman" w:cs="Times New Roman" w:eastAsia="Times New Roman" w:hint="default"/>
        </w:rPr>
        <w:t>2012</w:t>
      </w:r>
      <w:r>
        <w:rPr/>
        <w:t>年第一届董事会第二十次会议诀议、</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30</w:t>
      </w:r>
      <w:r>
        <w:rPr/>
        <w:t>日股东大会审议通过《关于</w:t>
      </w:r>
      <w:r>
        <w:rPr>
          <w:w w:val="100"/>
        </w:rPr>
        <w:t> </w:t>
      </w:r>
      <w:r>
        <w:rPr>
          <w:rFonts w:ascii="Times New Roman" w:hAnsi="Times New Roman" w:cs="Times New Roman" w:eastAsia="Times New Roman" w:hint="default"/>
          <w:spacing w:val="-3"/>
        </w:rPr>
        <w:t>2011</w:t>
      </w:r>
      <w:r>
        <w:rPr>
          <w:spacing w:val="-3"/>
        </w:rPr>
        <w:t>年度利润分配及资本公积转增股本预案的议案》，以</w:t>
      </w:r>
      <w:r>
        <w:rPr>
          <w:rFonts w:ascii="Times New Roman" w:hAnsi="Times New Roman" w:cs="Times New Roman" w:eastAsia="Times New Roman" w:hint="default"/>
          <w:spacing w:val="-3"/>
        </w:rPr>
        <w:t>2011</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日公司总股本</w:t>
      </w:r>
      <w:r>
        <w:rPr>
          <w:rFonts w:ascii="Times New Roman" w:hAnsi="Times New Roman" w:cs="Times New Roman" w:eastAsia="Times New Roman" w:hint="default"/>
          <w:spacing w:val="-3"/>
        </w:rPr>
        <w:t>4,400</w:t>
      </w:r>
      <w:r>
        <w:rPr>
          <w:spacing w:val="-3"/>
        </w:rPr>
        <w:t>万股为基数，以</w:t>
      </w:r>
      <w:r>
        <w:rPr>
          <w:spacing w:val="-26"/>
        </w:rPr>
        <w:t> </w:t>
      </w:r>
      <w:r>
        <w:rPr>
          <w:spacing w:val="-26"/>
        </w:rPr>
      </w:r>
      <w:r>
        <w:rPr>
          <w:spacing w:val="-4"/>
        </w:rPr>
        <w:t>资本公积金转增股本，向全体股东每</w:t>
      </w:r>
      <w:r>
        <w:rPr>
          <w:rFonts w:ascii="Times New Roman" w:hAnsi="Times New Roman" w:cs="Times New Roman" w:eastAsia="Times New Roman" w:hint="default"/>
          <w:spacing w:val="-4"/>
        </w:rPr>
        <w:t>10</w:t>
      </w:r>
      <w:r>
        <w:rPr>
          <w:spacing w:val="-4"/>
        </w:rPr>
        <w:t>股转增</w:t>
      </w:r>
      <w:r>
        <w:rPr>
          <w:rFonts w:ascii="Times New Roman" w:hAnsi="Times New Roman" w:cs="Times New Roman" w:eastAsia="Times New Roman" w:hint="default"/>
          <w:spacing w:val="-4"/>
        </w:rPr>
        <w:t>10</w:t>
      </w:r>
      <w:r>
        <w:rPr>
          <w:spacing w:val="-4"/>
        </w:rPr>
        <w:t>股，共计转增</w:t>
      </w:r>
      <w:r>
        <w:rPr>
          <w:rFonts w:ascii="Times New Roman" w:hAnsi="Times New Roman" w:cs="Times New Roman" w:eastAsia="Times New Roman" w:hint="default"/>
          <w:spacing w:val="-4"/>
        </w:rPr>
        <w:t>4,400</w:t>
      </w:r>
      <w:r>
        <w:rPr>
          <w:spacing w:val="-4"/>
        </w:rPr>
        <w:t>万股，转增后公司总股本将增加至</w:t>
      </w:r>
      <w:r>
        <w:rPr>
          <w:rFonts w:ascii="Times New Roman" w:hAnsi="Times New Roman" w:cs="Times New Roman" w:eastAsia="Times New Roman" w:hint="default"/>
          <w:spacing w:val="-4"/>
        </w:rPr>
        <w:t>8,800</w:t>
      </w:r>
      <w:r>
        <w:rPr>
          <w:rFonts w:ascii="Times New Roman" w:hAnsi="Times New Roman" w:cs="Times New Roman" w:eastAsia="Times New Roman" w:hint="default"/>
          <w:spacing w:val="24"/>
        </w:rPr>
        <w:t> </w:t>
      </w:r>
      <w:r>
        <w:rPr>
          <w:rFonts w:ascii="Times New Roman" w:hAnsi="Times New Roman" w:cs="Times New Roman" w:eastAsia="Times New Roman" w:hint="default"/>
          <w:spacing w:val="24"/>
        </w:rPr>
      </w:r>
      <w:r>
        <w:rPr/>
        <w:t>万股，注册资本变更为人民币</w:t>
      </w:r>
      <w:r>
        <w:rPr>
          <w:rFonts w:ascii="Times New Roman" w:hAnsi="Times New Roman" w:cs="Times New Roman" w:eastAsia="Times New Roman" w:hint="default"/>
        </w:rPr>
        <w:t>8,800.00</w:t>
      </w:r>
      <w:r>
        <w:rPr/>
        <w:t>万元，此次增资业经深圳嘉达信会计师事务所</w:t>
      </w:r>
      <w:r>
        <w:rPr>
          <w:rFonts w:ascii="Times New Roman" w:hAnsi="Times New Roman" w:cs="Times New Roman" w:eastAsia="Times New Roman" w:hint="default"/>
        </w:rPr>
        <w:t>“</w:t>
      </w:r>
      <w:r>
        <w:rPr/>
        <w:t>深嘉达信验字</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rFonts w:ascii="Times New Roman" w:hAnsi="Times New Roman" w:cs="Times New Roman" w:eastAsia="Times New Roman" w:hint="default"/>
          <w:spacing w:val="3"/>
        </w:rPr>
      </w:r>
      <w:r>
        <w:rPr/>
        <w:t>第</w:t>
      </w:r>
      <w:r>
        <w:rPr>
          <w:rFonts w:ascii="Times New Roman" w:hAnsi="Times New Roman" w:cs="Times New Roman" w:eastAsia="Times New Roman" w:hint="default"/>
        </w:rPr>
        <w:t>079</w:t>
      </w:r>
      <w:r>
        <w:rPr/>
        <w:t>号</w:t>
      </w:r>
      <w:r>
        <w:rPr>
          <w:rFonts w:ascii="Times New Roman" w:hAnsi="Times New Roman" w:cs="Times New Roman" w:eastAsia="Times New Roman" w:hint="default"/>
        </w:rPr>
        <w:t>”</w:t>
      </w:r>
      <w:r>
        <w:rPr/>
        <w:t>验资报告验证。</w:t>
      </w:r>
    </w:p>
    <w:p>
      <w:pPr>
        <w:pStyle w:val="BodyText"/>
        <w:spacing w:line="256" w:lineRule="auto" w:before="5"/>
        <w:ind w:left="153" w:right="207" w:firstLine="419"/>
        <w:jc w:val="both"/>
      </w:pPr>
      <w:r>
        <w:rPr>
          <w:spacing w:val="-4"/>
        </w:rPr>
        <w:t>经</w:t>
      </w: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4</w:t>
      </w:r>
      <w:r>
        <w:rPr>
          <w:spacing w:val="-4"/>
        </w:rPr>
        <w:t>月</w:t>
      </w:r>
      <w:r>
        <w:rPr>
          <w:rFonts w:ascii="Times New Roman" w:hAnsi="Times New Roman" w:cs="Times New Roman" w:eastAsia="Times New Roman" w:hint="default"/>
          <w:spacing w:val="-4"/>
        </w:rPr>
        <w:t>11</w:t>
      </w:r>
      <w:r>
        <w:rPr>
          <w:spacing w:val="-4"/>
        </w:rPr>
        <w:t>日</w:t>
      </w:r>
      <w:r>
        <w:rPr>
          <w:rFonts w:ascii="Times New Roman" w:hAnsi="Times New Roman" w:cs="Times New Roman" w:eastAsia="Times New Roman" w:hint="default"/>
          <w:spacing w:val="-4"/>
        </w:rPr>
        <w:t>2014</w:t>
      </w:r>
      <w:r>
        <w:rPr>
          <w:spacing w:val="-4"/>
        </w:rPr>
        <w:t>年第二届董事会第十一次会议诀议、</w:t>
      </w: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6</w:t>
      </w:r>
      <w:r>
        <w:rPr>
          <w:spacing w:val="-4"/>
        </w:rPr>
        <w:t>月</w:t>
      </w:r>
      <w:r>
        <w:rPr>
          <w:rFonts w:ascii="Times New Roman" w:hAnsi="Times New Roman" w:cs="Times New Roman" w:eastAsia="Times New Roman" w:hint="default"/>
          <w:spacing w:val="-4"/>
        </w:rPr>
        <w:t>6</w:t>
      </w:r>
      <w:r>
        <w:rPr>
          <w:spacing w:val="-4"/>
        </w:rPr>
        <w:t>日股东大会审议通过《关于</w:t>
      </w:r>
      <w:r>
        <w:rPr>
          <w:rFonts w:ascii="Times New Roman" w:hAnsi="Times New Roman" w:cs="Times New Roman" w:eastAsia="Times New Roman" w:hint="default"/>
          <w:spacing w:val="-4"/>
        </w:rPr>
        <w:t>2013</w:t>
      </w:r>
      <w:r>
        <w:rPr>
          <w:rFonts w:ascii="Times New Roman" w:hAnsi="Times New Roman" w:cs="Times New Roman" w:eastAsia="Times New Roman" w:hint="default"/>
          <w:w w:val="100"/>
        </w:rPr>
        <w:t> </w:t>
      </w:r>
      <w:r>
        <w:rPr>
          <w:spacing w:val="-3"/>
        </w:rPr>
        <w:t>年度利润分配及资本公积转增股本预案的议案》，以</w:t>
      </w:r>
      <w:r>
        <w:rPr>
          <w:rFonts w:ascii="Times New Roman" w:hAnsi="Times New Roman" w:cs="Times New Roman" w:eastAsia="Times New Roman" w:hint="default"/>
          <w:spacing w:val="-3"/>
        </w:rPr>
        <w:t>2013</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日公司总股本</w:t>
      </w:r>
      <w:r>
        <w:rPr>
          <w:rFonts w:ascii="Times New Roman" w:hAnsi="Times New Roman" w:cs="Times New Roman" w:eastAsia="Times New Roman" w:hint="default"/>
          <w:spacing w:val="-3"/>
        </w:rPr>
        <w:t>8,800</w:t>
      </w:r>
      <w:r>
        <w:rPr>
          <w:spacing w:val="-3"/>
        </w:rPr>
        <w:t>万股为基数，以资本</w:t>
      </w:r>
      <w:r>
        <w:rPr>
          <w:spacing w:val="-30"/>
        </w:rPr>
        <w:t> </w:t>
      </w:r>
      <w:r>
        <w:rPr>
          <w:spacing w:val="-30"/>
        </w:rPr>
      </w:r>
      <w:r>
        <w:rPr/>
        <w:t>公积转增股本，向全体股东每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8</w:t>
      </w:r>
      <w:r>
        <w:rPr/>
        <w:t>股，共计转增</w:t>
      </w:r>
      <w:r>
        <w:rPr>
          <w:rFonts w:ascii="Times New Roman" w:hAnsi="Times New Roman" w:cs="Times New Roman" w:eastAsia="Times New Roman" w:hint="default"/>
        </w:rPr>
        <w:t>7,040</w:t>
      </w:r>
      <w:r>
        <w:rPr/>
        <w:t>万股，转增后公司总股本增加至</w:t>
      </w:r>
      <w:r>
        <w:rPr>
          <w:rFonts w:ascii="Times New Roman" w:hAnsi="Times New Roman" w:cs="Times New Roman" w:eastAsia="Times New Roman" w:hint="default"/>
        </w:rPr>
        <w:t>15,840</w:t>
      </w:r>
      <w:r>
        <w:rPr/>
        <w:t>万股，</w:t>
      </w:r>
      <w:r>
        <w:rPr>
          <w:spacing w:val="-28"/>
        </w:rPr>
        <w:t> </w:t>
      </w:r>
      <w:r>
        <w:rPr>
          <w:spacing w:val="-2"/>
        </w:rPr>
        <w:t>注册资本变更为</w:t>
      </w:r>
      <w:r>
        <w:rPr>
          <w:rFonts w:ascii="Times New Roman" w:hAnsi="Times New Roman" w:cs="Times New Roman" w:eastAsia="Times New Roman" w:hint="default"/>
          <w:spacing w:val="-2"/>
        </w:rPr>
        <w:t>15,840</w:t>
      </w:r>
      <w:r>
        <w:rPr>
          <w:spacing w:val="-2"/>
        </w:rPr>
        <w:t>万元，此次增资业经深圳平海会计师事务所（普通合伙）</w:t>
      </w:r>
      <w:r>
        <w:rPr>
          <w:rFonts w:ascii="Times New Roman" w:hAnsi="Times New Roman" w:cs="Times New Roman" w:eastAsia="Times New Roman" w:hint="default"/>
          <w:spacing w:val="-2"/>
        </w:rPr>
        <w:t>“</w:t>
      </w:r>
      <w:r>
        <w:rPr>
          <w:spacing w:val="-2"/>
        </w:rPr>
        <w:t>深平海验报字</w:t>
      </w:r>
      <w:r>
        <w:rPr>
          <w:rFonts w:ascii="Times New Roman" w:hAnsi="Times New Roman" w:cs="Times New Roman" w:eastAsia="Times New Roman" w:hint="default"/>
          <w:spacing w:val="-2"/>
        </w:rPr>
        <w:t>[2014]</w:t>
      </w:r>
      <w:r>
        <w:rPr>
          <w:spacing w:val="-2"/>
        </w:rPr>
        <w:t>第</w:t>
      </w:r>
      <w:r>
        <w:rPr>
          <w:rFonts w:ascii="Times New Roman" w:hAnsi="Times New Roman" w:cs="Times New Roman" w:eastAsia="Times New Roman" w:hint="default"/>
          <w:spacing w:val="-2"/>
        </w:rPr>
        <w:t>15</w:t>
      </w:r>
      <w:r>
        <w:rPr>
          <w:rFonts w:ascii="Times New Roman" w:hAnsi="Times New Roman" w:cs="Times New Roman" w:eastAsia="Times New Roman" w:hint="default"/>
          <w:spacing w:val="49"/>
        </w:rPr>
        <w:t> </w:t>
      </w:r>
      <w:r>
        <w:rPr/>
        <w:t>号</w:t>
      </w:r>
      <w:r>
        <w:rPr>
          <w:rFonts w:ascii="Times New Roman" w:hAnsi="Times New Roman" w:cs="Times New Roman" w:eastAsia="Times New Roman" w:hint="default"/>
        </w:rPr>
        <w:t>”</w:t>
      </w:r>
      <w:r>
        <w:rPr/>
        <w:t>验资报告验证。</w:t>
      </w:r>
    </w:p>
    <w:p>
      <w:pPr>
        <w:pStyle w:val="BodyText"/>
        <w:spacing w:line="256" w:lineRule="auto" w:before="5"/>
        <w:ind w:left="574" w:right="106" w:hanging="1"/>
        <w:jc w:val="left"/>
      </w:pPr>
      <w:r>
        <w:rPr>
          <w:spacing w:val="-2"/>
        </w:rPr>
        <w:t>法定代表人：黄元忠。注册地址：深圳市南山区科技中二路深圳软件园</w:t>
      </w:r>
      <w:r>
        <w:rPr>
          <w:rFonts w:ascii="Times New Roman" w:hAnsi="Times New Roman" w:cs="Times New Roman" w:eastAsia="Times New Roman" w:hint="default"/>
          <w:spacing w:val="-2"/>
        </w:rPr>
        <w:t>12#</w:t>
      </w:r>
      <w:r>
        <w:rPr>
          <w:spacing w:val="-2"/>
        </w:rPr>
        <w:t>楼</w:t>
      </w:r>
      <w:r>
        <w:rPr>
          <w:rFonts w:ascii="Times New Roman" w:hAnsi="Times New Roman" w:cs="Times New Roman" w:eastAsia="Times New Roman" w:hint="default"/>
          <w:spacing w:val="-2"/>
        </w:rPr>
        <w:t>302</w:t>
      </w:r>
      <w:r>
        <w:rPr>
          <w:spacing w:val="-2"/>
        </w:rPr>
        <w:t>。</w:t>
      </w:r>
      <w:r>
        <w:rPr>
          <w:spacing w:val="-33"/>
        </w:rPr>
        <w:t> </w:t>
      </w:r>
      <w:r>
        <w:rPr/>
        <w:t>本公司下属分公司有北京分公司、长沙分公司。</w:t>
      </w:r>
    </w:p>
    <w:p>
      <w:pPr>
        <w:pStyle w:val="BodyText"/>
        <w:spacing w:line="273" w:lineRule="auto" w:before="23"/>
        <w:ind w:left="572" w:right="106" w:firstLine="2"/>
        <w:jc w:val="left"/>
      </w:pPr>
      <w:r>
        <w:rPr>
          <w:rFonts w:ascii="宋体" w:hAnsi="宋体" w:cs="宋体" w:eastAsia="宋体" w:hint="default"/>
          <w:b/>
          <w:bCs/>
        </w:rPr>
        <w:t>（二）经营范围</w:t>
      </w:r>
      <w:r>
        <w:rPr>
          <w:rFonts w:ascii="宋体" w:hAnsi="宋体" w:cs="宋体" w:eastAsia="宋体" w:hint="default"/>
          <w:b/>
          <w:bCs/>
          <w:w w:val="100"/>
        </w:rPr>
        <w:t> </w:t>
      </w:r>
      <w:r>
        <w:rPr>
          <w:spacing w:val="-2"/>
        </w:rPr>
        <w:t>本公司主要的经营业务包括：计算机软、硬件、网络及教育软件和教学资源的开发、销售、咨询及其</w:t>
      </w:r>
    </w:p>
    <w:p>
      <w:pPr>
        <w:pStyle w:val="BodyText"/>
        <w:spacing w:line="266" w:lineRule="auto" w:before="7"/>
        <w:ind w:right="207"/>
        <w:jc w:val="both"/>
      </w:pPr>
      <w:r>
        <w:rPr>
          <w:spacing w:val="-3"/>
        </w:rPr>
        <w:t>技术服务；电子产品的开发、销售（不含二、三类医疗器械等需许可项目）；经营进出口业务（法律、行</w:t>
      </w:r>
      <w:r>
        <w:rPr>
          <w:spacing w:val="-7"/>
        </w:rPr>
        <w:t> </w:t>
      </w:r>
      <w:r>
        <w:rPr>
          <w:spacing w:val="-7"/>
        </w:rPr>
      </w:r>
      <w:r>
        <w:rPr>
          <w:spacing w:val="-2"/>
        </w:rPr>
        <w:t>政法规、国务院决定禁止的项目除外，限制的项目须取得许可后方可经营）；投资兴办实业（具体项目另</w:t>
      </w:r>
      <w:r>
        <w:rPr>
          <w:spacing w:val="-43"/>
        </w:rPr>
        <w:t> </w:t>
      </w:r>
      <w:r>
        <w:rPr>
          <w:spacing w:val="-43"/>
        </w:rPr>
      </w:r>
      <w:r>
        <w:rPr/>
        <w:t>行申报）；出版物零售；第二类增值电信业务中的信息服务业务（仅限互联网信息服务）（凭</w:t>
      </w:r>
      <w:r>
        <w:rPr>
          <w:rFonts w:ascii="Times New Roman" w:hAnsi="Times New Roman" w:cs="Times New Roman" w:eastAsia="Times New Roman" w:hint="default"/>
        </w:rPr>
        <w:t>“</w:t>
      </w:r>
      <w:r>
        <w:rPr/>
        <w:t>中华人民</w:t>
      </w:r>
      <w:r>
        <w:rPr>
          <w:spacing w:val="-17"/>
        </w:rPr>
        <w:t> </w:t>
      </w:r>
      <w:r>
        <w:rPr>
          <w:spacing w:val="-17"/>
        </w:rPr>
      </w:r>
      <w:r>
        <w:rPr/>
        <w:t>共和国增值电信业务经营许可证粤</w:t>
      </w:r>
      <w:r>
        <w:rPr>
          <w:rFonts w:ascii="Times New Roman" w:hAnsi="Times New Roman" w:cs="Times New Roman" w:eastAsia="Times New Roman" w:hint="default"/>
        </w:rPr>
        <w:t>B2-20110094</w:t>
      </w:r>
      <w:r>
        <w:rPr/>
        <w:t>经营）。</w:t>
      </w:r>
    </w:p>
    <w:p>
      <w:pPr>
        <w:spacing w:line="273" w:lineRule="auto" w:before="152"/>
        <w:ind w:left="572" w:right="4036" w:firstLine="2"/>
        <w:jc w:val="left"/>
        <w:rPr>
          <w:rFonts w:ascii="宋体" w:hAnsi="宋体" w:cs="宋体" w:eastAsia="宋体" w:hint="default"/>
          <w:sz w:val="21"/>
          <w:szCs w:val="21"/>
        </w:rPr>
      </w:pPr>
      <w:r>
        <w:rPr>
          <w:rFonts w:ascii="宋体" w:hAnsi="宋体" w:cs="宋体" w:eastAsia="宋体" w:hint="default"/>
          <w:b/>
          <w:bCs/>
          <w:sz w:val="21"/>
          <w:szCs w:val="21"/>
        </w:rPr>
        <w:t>（三）财务报表的批准报出</w:t>
      </w:r>
      <w:r>
        <w:rPr>
          <w:rFonts w:ascii="宋体" w:hAnsi="宋体" w:cs="宋体" w:eastAsia="宋体" w:hint="default"/>
          <w:b/>
          <w:bCs/>
          <w:w w:val="100"/>
          <w:sz w:val="21"/>
          <w:szCs w:val="21"/>
        </w:rPr>
        <w:t> </w:t>
      </w:r>
      <w:r>
        <w:rPr>
          <w:rFonts w:ascii="宋体" w:hAnsi="宋体" w:cs="宋体" w:eastAsia="宋体" w:hint="default"/>
          <w:spacing w:val="-2"/>
          <w:sz w:val="21"/>
          <w:szCs w:val="21"/>
        </w:rPr>
        <w:t>本财务报表业经本公司董事会于</w:t>
      </w:r>
      <w:r>
        <w:rPr>
          <w:rFonts w:ascii="Times New Roman" w:hAnsi="Times New Roman" w:cs="Times New Roman" w:eastAsia="Times New Roman" w:hint="default"/>
          <w:spacing w:val="-2"/>
          <w:sz w:val="21"/>
          <w:szCs w:val="21"/>
        </w:rPr>
        <w:t>2015</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4</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16</w:t>
      </w:r>
      <w:r>
        <w:rPr>
          <w:rFonts w:ascii="宋体" w:hAnsi="宋体" w:cs="宋体" w:eastAsia="宋体" w:hint="default"/>
          <w:spacing w:val="-2"/>
          <w:sz w:val="21"/>
          <w:szCs w:val="21"/>
        </w:rPr>
        <w:t>日批准报出。</w:t>
      </w:r>
    </w:p>
    <w:p>
      <w:pPr>
        <w:spacing w:line="240" w:lineRule="auto" w:before="3"/>
        <w:rPr>
          <w:rFonts w:ascii="宋体" w:hAnsi="宋体" w:cs="宋体" w:eastAsia="宋体" w:hint="default"/>
          <w:sz w:val="20"/>
          <w:szCs w:val="20"/>
        </w:rPr>
      </w:pPr>
    </w:p>
    <w:p>
      <w:pPr>
        <w:spacing w:line="273" w:lineRule="auto" w:before="36"/>
        <w:ind w:left="572" w:right="4036" w:firstLine="0"/>
        <w:jc w:val="left"/>
        <w:rPr>
          <w:rFonts w:ascii="宋体" w:hAnsi="宋体" w:cs="宋体" w:eastAsia="宋体" w:hint="default"/>
          <w:sz w:val="21"/>
          <w:szCs w:val="21"/>
        </w:rPr>
      </w:pPr>
      <w:r>
        <w:rPr>
          <w:rFonts w:ascii="宋体" w:hAnsi="宋体" w:cs="宋体" w:eastAsia="宋体" w:hint="default"/>
          <w:b/>
          <w:bCs/>
          <w:sz w:val="21"/>
          <w:szCs w:val="21"/>
        </w:rPr>
        <w:t>二、合并财务报表范围</w:t>
      </w:r>
      <w:r>
        <w:rPr>
          <w:rFonts w:ascii="宋体" w:hAnsi="宋体" w:cs="宋体" w:eastAsia="宋体" w:hint="default"/>
          <w:b/>
          <w:bCs/>
          <w:w w:val="100"/>
          <w:sz w:val="21"/>
          <w:szCs w:val="21"/>
        </w:rPr>
        <w:t> </w:t>
      </w:r>
      <w:r>
        <w:rPr>
          <w:rFonts w:ascii="宋体" w:hAnsi="宋体" w:cs="宋体" w:eastAsia="宋体" w:hint="default"/>
          <w:spacing w:val="-2"/>
          <w:sz w:val="21"/>
          <w:szCs w:val="21"/>
        </w:rPr>
        <w:t>本期纳入合并财务报表范围的子公司共一户，主要包括：</w:t>
      </w:r>
    </w:p>
    <w:p>
      <w:pPr>
        <w:pStyle w:val="BodyText"/>
        <w:spacing w:line="240" w:lineRule="auto" w:before="10"/>
        <w:ind w:left="0" w:right="650"/>
        <w:jc w:val="right"/>
      </w:pPr>
      <w:r>
        <w:rPr/>
        <w:pict>
          <v:shape style="position:absolute;margin-left:56.279999pt;margin-top:1.003679pt;width:457.6pt;height:32.5500pt;mso-position-horizontal-relative:page;mso-position-vertical-relative:paragraph;z-index:30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753"/>
                    <w:gridCol w:w="1826"/>
                    <w:gridCol w:w="1392"/>
                    <w:gridCol w:w="1572"/>
                    <w:gridCol w:w="1572"/>
                  </w:tblGrid>
                  <w:tr>
                    <w:trPr>
                      <w:trHeight w:val="314" w:hRule="exact"/>
                    </w:trPr>
                    <w:tc>
                      <w:tcPr>
                        <w:tcW w:w="2753"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left="4" w:right="0"/>
                          <w:jc w:val="center"/>
                          <w:rPr>
                            <w:rFonts w:ascii="宋体" w:hAnsi="宋体" w:cs="宋体" w:eastAsia="宋体" w:hint="default"/>
                            <w:sz w:val="21"/>
                            <w:szCs w:val="21"/>
                          </w:rPr>
                        </w:pPr>
                        <w:r>
                          <w:rPr>
                            <w:rFonts w:ascii="宋体" w:hAnsi="宋体" w:cs="宋体" w:eastAsia="宋体" w:hint="default"/>
                            <w:sz w:val="21"/>
                            <w:szCs w:val="21"/>
                          </w:rPr>
                          <w:t>子公司名称</w:t>
                        </w:r>
                      </w:p>
                    </w:tc>
                    <w:tc>
                      <w:tcPr>
                        <w:tcW w:w="1826"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子公司类型</w:t>
                        </w:r>
                      </w:p>
                    </w:tc>
                    <w:tc>
                      <w:tcPr>
                        <w:tcW w:w="1392"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left="4" w:right="0"/>
                          <w:jc w:val="center"/>
                          <w:rPr>
                            <w:rFonts w:ascii="宋体" w:hAnsi="宋体" w:cs="宋体" w:eastAsia="宋体" w:hint="default"/>
                            <w:sz w:val="21"/>
                            <w:szCs w:val="21"/>
                          </w:rPr>
                        </w:pPr>
                        <w:r>
                          <w:rPr>
                            <w:rFonts w:ascii="宋体" w:hAnsi="宋体" w:cs="宋体" w:eastAsia="宋体" w:hint="default"/>
                            <w:sz w:val="21"/>
                            <w:szCs w:val="21"/>
                          </w:rPr>
                          <w:t>级次</w:t>
                        </w:r>
                      </w:p>
                    </w:tc>
                    <w:tc>
                      <w:tcPr>
                        <w:tcW w:w="1572" w:type="dxa"/>
                        <w:tcBorders>
                          <w:top w:val="single" w:sz="6" w:space="0" w:color="000000"/>
                          <w:left w:val="single" w:sz="6" w:space="0" w:color="000000"/>
                          <w:bottom w:val="single" w:sz="12" w:space="0" w:color="000000"/>
                          <w:right w:val="single" w:sz="6" w:space="0" w:color="000000"/>
                        </w:tcBorders>
                      </w:tcPr>
                      <w:p>
                        <w:pPr>
                          <w:pStyle w:val="TableParagraph"/>
                          <w:spacing w:line="266" w:lineRule="exact"/>
                          <w:ind w:right="59"/>
                          <w:jc w:val="right"/>
                          <w:rPr>
                            <w:rFonts w:ascii="宋体" w:hAnsi="宋体" w:cs="宋体" w:eastAsia="宋体" w:hint="default"/>
                            <w:sz w:val="21"/>
                            <w:szCs w:val="21"/>
                          </w:rPr>
                        </w:pPr>
                        <w:r>
                          <w:rPr>
                            <w:rFonts w:ascii="宋体" w:hAnsi="宋体" w:cs="宋体" w:eastAsia="宋体" w:hint="default"/>
                            <w:spacing w:val="-1"/>
                            <w:sz w:val="21"/>
                            <w:szCs w:val="21"/>
                          </w:rPr>
                          <w:t>持股比例（</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w:t>
                        </w:r>
                      </w:p>
                    </w:tc>
                    <w:tc>
                      <w:tcPr>
                        <w:tcW w:w="1572" w:type="dxa"/>
                        <w:tcBorders>
                          <w:top w:val="single" w:sz="6" w:space="0" w:color="000000"/>
                          <w:left w:val="single" w:sz="6" w:space="0" w:color="000000"/>
                          <w:bottom w:val="single" w:sz="12" w:space="0" w:color="000000"/>
                          <w:right w:val="nil" w:sz="6" w:space="0" w:color="auto"/>
                        </w:tcBorders>
                      </w:tcPr>
                      <w:p>
                        <w:pPr>
                          <w:pStyle w:val="TableParagraph"/>
                          <w:spacing w:line="266" w:lineRule="exact"/>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表决权比例（</w:t>
                        </w:r>
                        <w:r>
                          <w:rPr>
                            <w:rFonts w:ascii="Times New Roman" w:hAnsi="Times New Roman" w:cs="Times New Roman" w:eastAsia="Times New Roman" w:hint="default"/>
                            <w:sz w:val="21"/>
                            <w:szCs w:val="21"/>
                          </w:rPr>
                          <w:t>%</w:t>
                        </w:r>
                      </w:p>
                    </w:tc>
                  </w:tr>
                  <w:tr>
                    <w:trPr>
                      <w:trHeight w:val="314" w:hRule="exact"/>
                    </w:trPr>
                    <w:tc>
                      <w:tcPr>
                        <w:tcW w:w="2753"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4" w:right="-1"/>
                          <w:jc w:val="center"/>
                          <w:rPr>
                            <w:rFonts w:ascii="宋体" w:hAnsi="宋体" w:cs="宋体" w:eastAsia="宋体" w:hint="default"/>
                            <w:sz w:val="21"/>
                            <w:szCs w:val="21"/>
                          </w:rPr>
                        </w:pPr>
                        <w:r>
                          <w:rPr>
                            <w:rFonts w:ascii="宋体" w:hAnsi="宋体" w:cs="宋体" w:eastAsia="宋体" w:hint="default"/>
                            <w:spacing w:val="-2"/>
                            <w:sz w:val="21"/>
                            <w:szCs w:val="21"/>
                          </w:rPr>
                          <w:t>深圳市连邦信息技术有限公司</w:t>
                        </w:r>
                      </w:p>
                    </w:tc>
                    <w:tc>
                      <w:tcPr>
                        <w:tcW w:w="1826"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全资子公司</w:t>
                        </w:r>
                      </w:p>
                    </w:tc>
                    <w:tc>
                      <w:tcPr>
                        <w:tcW w:w="1392"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一级</w:t>
                        </w:r>
                      </w:p>
                    </w:tc>
                    <w:tc>
                      <w:tcPr>
                        <w:tcW w:w="1572"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z w:val="21"/>
                          </w:rPr>
                          <w:t>100.00</w:t>
                        </w:r>
                      </w:p>
                    </w:tc>
                    <w:tc>
                      <w:tcPr>
                        <w:tcW w:w="1572"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left="976" w:right="0"/>
                          <w:jc w:val="left"/>
                          <w:rPr>
                            <w:rFonts w:ascii="Times New Roman" w:hAnsi="Times New Roman" w:cs="Times New Roman" w:eastAsia="Times New Roman" w:hint="default"/>
                            <w:sz w:val="21"/>
                            <w:szCs w:val="21"/>
                          </w:rPr>
                        </w:pPr>
                        <w:r>
                          <w:rPr>
                            <w:rFonts w:ascii="Times New Roman"/>
                            <w:sz w:val="21"/>
                          </w:rPr>
                          <w:t>100.00</w:t>
                        </w:r>
                      </w:p>
                    </w:tc>
                  </w:tr>
                </w:tbl>
                <w:p>
                  <w:pPr/>
                </w:p>
              </w:txbxContent>
            </v:textbox>
            <w10:wrap type="none"/>
          </v:shape>
        </w:pict>
      </w:r>
      <w:r>
        <w:rPr>
          <w:w w:val="100"/>
        </w:rPr>
        <w:t>）</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pStyle w:val="BodyText"/>
        <w:spacing w:line="240" w:lineRule="auto" w:before="36"/>
        <w:ind w:left="656" w:right="106"/>
        <w:jc w:val="left"/>
      </w:pPr>
      <w:r>
        <w:rPr/>
        <w:t>本期纳入合并财务报表范围的主体较上期相比，未发生变化。</w:t>
      </w:r>
    </w:p>
    <w:p>
      <w:pPr>
        <w:spacing w:line="240" w:lineRule="auto" w:before="10"/>
        <w:rPr>
          <w:rFonts w:ascii="宋体" w:hAnsi="宋体" w:cs="宋体" w:eastAsia="宋体" w:hint="default"/>
          <w:sz w:val="14"/>
          <w:szCs w:val="14"/>
        </w:rPr>
      </w:pPr>
    </w:p>
    <w:p>
      <w:pPr>
        <w:pStyle w:val="BodyText"/>
        <w:spacing w:line="256" w:lineRule="auto"/>
        <w:ind w:left="153" w:right="106" w:firstLine="419"/>
        <w:jc w:val="left"/>
      </w:pPr>
      <w:r>
        <w:rPr>
          <w:spacing w:val="-6"/>
        </w:rPr>
        <w:t>本公司原持有深圳市连邦信息技术有限公司（原名为</w:t>
      </w:r>
      <w:r>
        <w:rPr>
          <w:rFonts w:ascii="Times New Roman" w:hAnsi="Times New Roman" w:cs="Times New Roman" w:eastAsia="Times New Roman" w:hint="default"/>
          <w:spacing w:val="-6"/>
        </w:rPr>
        <w:t>“</w:t>
      </w:r>
      <w:r>
        <w:rPr>
          <w:spacing w:val="-6"/>
        </w:rPr>
        <w:t>深圳市连邦软件有限公司</w:t>
      </w:r>
      <w:r>
        <w:rPr>
          <w:rFonts w:ascii="Times New Roman" w:hAnsi="Times New Roman" w:cs="Times New Roman" w:eastAsia="Times New Roman" w:hint="default"/>
          <w:spacing w:val="-6"/>
        </w:rPr>
        <w:t>”</w:t>
      </w:r>
      <w:r>
        <w:rPr>
          <w:spacing w:val="-6"/>
        </w:rPr>
        <w:t>）</w:t>
      </w:r>
      <w:r>
        <w:rPr>
          <w:rFonts w:ascii="Times New Roman" w:hAnsi="Times New Roman" w:cs="Times New Roman" w:eastAsia="Times New Roman" w:hint="default"/>
          <w:spacing w:val="-6"/>
        </w:rPr>
        <w:t>37.50%</w:t>
      </w:r>
      <w:r>
        <w:rPr>
          <w:spacing w:val="-6"/>
        </w:rPr>
        <w:t>的股权，</w:t>
      </w:r>
      <w:r>
        <w:rPr>
          <w:rFonts w:ascii="Times New Roman" w:hAnsi="Times New Roman" w:cs="Times New Roman" w:eastAsia="Times New Roman" w:hint="default"/>
          <w:spacing w:val="-6"/>
        </w:rPr>
        <w:t>2006</w:t>
      </w:r>
      <w:r>
        <w:rPr>
          <w:rFonts w:ascii="Times New Roman" w:hAnsi="Times New Roman" w:cs="Times New Roman" w:eastAsia="Times New Roman" w:hint="default"/>
          <w:w w:val="100"/>
        </w:rPr>
        <w:t> </w:t>
      </w:r>
      <w:r>
        <w:rPr>
          <w:spacing w:val="-4"/>
        </w:rPr>
        <w:t>年</w:t>
      </w:r>
      <w:r>
        <w:rPr>
          <w:rFonts w:ascii="Times New Roman" w:hAnsi="Times New Roman" w:cs="Times New Roman" w:eastAsia="Times New Roman" w:hint="default"/>
          <w:spacing w:val="-4"/>
        </w:rPr>
        <w:t>2</w:t>
      </w:r>
      <w:r>
        <w:rPr>
          <w:spacing w:val="-4"/>
        </w:rPr>
        <w:t>月</w:t>
      </w:r>
      <w:r>
        <w:rPr>
          <w:rFonts w:ascii="Times New Roman" w:hAnsi="Times New Roman" w:cs="Times New Roman" w:eastAsia="Times New Roman" w:hint="default"/>
          <w:spacing w:val="-4"/>
        </w:rPr>
        <w:t>27</w:t>
      </w:r>
      <w:r>
        <w:rPr>
          <w:spacing w:val="-4"/>
        </w:rPr>
        <w:t>日，经深圳国际高新技术产权交易所以</w:t>
      </w:r>
      <w:r>
        <w:rPr>
          <w:rFonts w:ascii="Times New Roman" w:hAnsi="Times New Roman" w:cs="Times New Roman" w:eastAsia="Times New Roman" w:hint="default"/>
          <w:spacing w:val="-4"/>
        </w:rPr>
        <w:t>“</w:t>
      </w:r>
      <w:r>
        <w:rPr>
          <w:spacing w:val="-4"/>
        </w:rPr>
        <w:t>深高交所见（</w:t>
      </w:r>
      <w:r>
        <w:rPr>
          <w:rFonts w:ascii="Times New Roman" w:hAnsi="Times New Roman" w:cs="Times New Roman" w:eastAsia="Times New Roman" w:hint="default"/>
          <w:spacing w:val="-4"/>
        </w:rPr>
        <w:t>2006</w:t>
      </w:r>
      <w:r>
        <w:rPr>
          <w:spacing w:val="-4"/>
        </w:rPr>
        <w:t>）字第</w:t>
      </w:r>
      <w:r>
        <w:rPr>
          <w:rFonts w:ascii="Times New Roman" w:hAnsi="Times New Roman" w:cs="Times New Roman" w:eastAsia="Times New Roman" w:hint="default"/>
          <w:spacing w:val="-4"/>
        </w:rPr>
        <w:t>688</w:t>
      </w:r>
      <w:r>
        <w:rPr>
          <w:spacing w:val="-4"/>
        </w:rPr>
        <w:t>号</w:t>
      </w:r>
      <w:r>
        <w:rPr>
          <w:rFonts w:ascii="Times New Roman" w:hAnsi="Times New Roman" w:cs="Times New Roman" w:eastAsia="Times New Roman" w:hint="default"/>
          <w:spacing w:val="-4"/>
        </w:rPr>
        <w:t>”</w:t>
      </w:r>
      <w:r>
        <w:rPr>
          <w:spacing w:val="-4"/>
        </w:rPr>
        <w:t>《股权转让见证书》见证，</w:t>
      </w:r>
      <w:r>
        <w:rPr>
          <w:spacing w:val="-15"/>
        </w:rPr>
        <w:t> </w:t>
      </w:r>
      <w:r>
        <w:rPr>
          <w:spacing w:val="-15"/>
        </w:rPr>
      </w:r>
      <w:r>
        <w:rPr>
          <w:spacing w:val="-4"/>
        </w:rPr>
        <w:t>刘浪（又名刘乙丁）将所持深圳市连邦信息技术有限公司</w:t>
      </w:r>
      <w:r>
        <w:rPr>
          <w:rFonts w:ascii="Times New Roman" w:hAnsi="Times New Roman" w:cs="Times New Roman" w:eastAsia="Times New Roman" w:hint="default"/>
          <w:spacing w:val="-4"/>
        </w:rPr>
        <w:t>37.50%</w:t>
      </w:r>
      <w:r>
        <w:rPr>
          <w:spacing w:val="-4"/>
        </w:rPr>
        <w:t>的股权以人民币</w:t>
      </w:r>
      <w:r>
        <w:rPr>
          <w:rFonts w:ascii="Times New Roman" w:hAnsi="Times New Roman" w:cs="Times New Roman" w:eastAsia="Times New Roman" w:hint="default"/>
          <w:spacing w:val="-4"/>
        </w:rPr>
        <w:t>15.00</w:t>
      </w:r>
      <w:r>
        <w:rPr>
          <w:spacing w:val="-4"/>
        </w:rPr>
        <w:t>万元的价格转让给本 </w:t>
      </w:r>
      <w:r>
        <w:rPr/>
        <w:t>公司，并于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29</w:t>
      </w:r>
      <w:r>
        <w:rPr/>
        <w:t>日完成股权转让的工商变更登记手续，变更后本公司持有深圳市连邦信息技术有</w:t>
      </w:r>
      <w:r>
        <w:rPr>
          <w:spacing w:val="-28"/>
        </w:rPr>
        <w:t> </w:t>
      </w:r>
      <w:r>
        <w:rPr>
          <w:spacing w:val="-28"/>
        </w:rPr>
      </w:r>
      <w:r>
        <w:rPr/>
        <w:t>限公司</w:t>
      </w:r>
      <w:r>
        <w:rPr>
          <w:rFonts w:ascii="Times New Roman" w:hAnsi="Times New Roman" w:cs="Times New Roman" w:eastAsia="Times New Roman" w:hint="default"/>
        </w:rPr>
        <w:t>75%</w:t>
      </w:r>
      <w:r>
        <w:rPr/>
        <w:t>的股权。</w:t>
      </w:r>
    </w:p>
    <w:p>
      <w:pPr>
        <w:pStyle w:val="BodyText"/>
        <w:spacing w:line="240" w:lineRule="auto" w:before="5"/>
        <w:ind w:left="573" w:right="106"/>
        <w:jc w:val="left"/>
      </w:pPr>
      <w:r>
        <w:rPr>
          <w:rFonts w:ascii="Times New Roman" w:hAnsi="Times New Roman" w:cs="Times New Roman" w:eastAsia="Times New Roman" w:hint="default"/>
          <w:spacing w:val="-4"/>
        </w:rPr>
        <w:t>2007</w:t>
      </w:r>
      <w:r>
        <w:rPr>
          <w:spacing w:val="-4"/>
        </w:rPr>
        <w:t>年</w:t>
      </w:r>
      <w:r>
        <w:rPr>
          <w:rFonts w:ascii="Times New Roman" w:hAnsi="Times New Roman" w:cs="Times New Roman" w:eastAsia="Times New Roman" w:hint="default"/>
          <w:spacing w:val="-4"/>
        </w:rPr>
        <w:t>5</w:t>
      </w:r>
      <w:r>
        <w:rPr>
          <w:spacing w:val="-4"/>
        </w:rPr>
        <w:t>月</w:t>
      </w:r>
      <w:r>
        <w:rPr>
          <w:rFonts w:ascii="Times New Roman" w:hAnsi="Times New Roman" w:cs="Times New Roman" w:eastAsia="Times New Roman" w:hint="default"/>
          <w:spacing w:val="-4"/>
        </w:rPr>
        <w:t>30</w:t>
      </w:r>
      <w:r>
        <w:rPr>
          <w:spacing w:val="-4"/>
        </w:rPr>
        <w:t>日，经深圳国际高新技术产权交易所以</w:t>
      </w:r>
      <w:r>
        <w:rPr>
          <w:rFonts w:ascii="Times New Roman" w:hAnsi="Times New Roman" w:cs="Times New Roman" w:eastAsia="Times New Roman" w:hint="default"/>
          <w:spacing w:val="-4"/>
        </w:rPr>
        <w:t>“</w:t>
      </w:r>
      <w:r>
        <w:rPr>
          <w:spacing w:val="-4"/>
        </w:rPr>
        <w:t>深高交所见（</w:t>
      </w:r>
      <w:r>
        <w:rPr>
          <w:rFonts w:ascii="Times New Roman" w:hAnsi="Times New Roman" w:cs="Times New Roman" w:eastAsia="Times New Roman" w:hint="default"/>
          <w:spacing w:val="-4"/>
        </w:rPr>
        <w:t>2007</w:t>
      </w:r>
      <w:r>
        <w:rPr>
          <w:spacing w:val="-4"/>
        </w:rPr>
        <w:t>）字第</w:t>
      </w:r>
      <w:r>
        <w:rPr>
          <w:rFonts w:ascii="Times New Roman" w:hAnsi="Times New Roman" w:cs="Times New Roman" w:eastAsia="Times New Roman" w:hint="default"/>
          <w:spacing w:val="-4"/>
        </w:rPr>
        <w:t>3225</w:t>
      </w:r>
      <w:r>
        <w:rPr>
          <w:spacing w:val="-4"/>
        </w:rPr>
        <w:t>号</w:t>
      </w:r>
      <w:r>
        <w:rPr>
          <w:rFonts w:ascii="Times New Roman" w:hAnsi="Times New Roman" w:cs="Times New Roman" w:eastAsia="Times New Roman" w:hint="default"/>
          <w:spacing w:val="-4"/>
        </w:rPr>
        <w:t>”</w:t>
      </w:r>
      <w:r>
        <w:rPr>
          <w:spacing w:val="-4"/>
        </w:rPr>
        <w:t>《股权转让见证</w:t>
      </w:r>
      <w:r>
        <w:rPr/>
      </w:r>
    </w:p>
    <w:p>
      <w:pPr>
        <w:spacing w:after="0" w:line="240" w:lineRule="auto"/>
        <w:jc w:val="left"/>
        <w:sectPr>
          <w:pgSz w:w="11910" w:h="16840"/>
          <w:pgMar w:header="880" w:footer="979" w:top="1120" w:bottom="1160" w:left="980" w:right="920"/>
        </w:sectPr>
      </w:pPr>
    </w:p>
    <w:p>
      <w:pPr>
        <w:spacing w:line="240" w:lineRule="auto" w:before="9"/>
        <w:rPr>
          <w:rFonts w:ascii="宋体" w:hAnsi="宋体" w:cs="宋体" w:eastAsia="宋体" w:hint="default"/>
          <w:sz w:val="20"/>
          <w:szCs w:val="20"/>
        </w:rPr>
      </w:pPr>
    </w:p>
    <w:p>
      <w:pPr>
        <w:pStyle w:val="BodyText"/>
        <w:spacing w:line="256" w:lineRule="auto" w:before="36"/>
        <w:ind w:right="106"/>
        <w:jc w:val="left"/>
      </w:pPr>
      <w:r>
        <w:rPr>
          <w:spacing w:val="-5"/>
        </w:rPr>
        <w:t>书》见证，缪洪将其持有深圳市连邦信息技术有限公司</w:t>
      </w:r>
      <w:r>
        <w:rPr>
          <w:rFonts w:ascii="Times New Roman" w:hAnsi="Times New Roman" w:cs="Times New Roman" w:eastAsia="Times New Roman" w:hint="default"/>
          <w:spacing w:val="-5"/>
        </w:rPr>
        <w:t>25%</w:t>
      </w:r>
      <w:r>
        <w:rPr>
          <w:spacing w:val="-5"/>
        </w:rPr>
        <w:t>的股权以人民币</w:t>
      </w:r>
      <w:r>
        <w:rPr>
          <w:rFonts w:ascii="Times New Roman" w:hAnsi="Times New Roman" w:cs="Times New Roman" w:eastAsia="Times New Roman" w:hint="default"/>
          <w:spacing w:val="-5"/>
        </w:rPr>
        <w:t>10.00</w:t>
      </w:r>
      <w:r>
        <w:rPr>
          <w:spacing w:val="-5"/>
        </w:rPr>
        <w:t>万元的价格转让给本公司，</w:t>
      </w:r>
      <w:r>
        <w:rPr>
          <w:spacing w:val="-9"/>
        </w:rPr>
        <w:t> </w:t>
      </w:r>
      <w:r>
        <w:rPr>
          <w:spacing w:val="-9"/>
        </w:rPr>
      </w:r>
      <w:r>
        <w:rPr>
          <w:spacing w:val="-2"/>
        </w:rPr>
        <w:t>并于</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6</w:t>
      </w:r>
      <w:r>
        <w:rPr>
          <w:spacing w:val="-2"/>
        </w:rPr>
        <w:t>日完成股权转让的工商变更登记手续。变更后深圳市连邦信息技术有限公司成为本公司的</w:t>
      </w:r>
      <w:r>
        <w:rPr>
          <w:spacing w:val="-37"/>
        </w:rPr>
        <w:t> </w:t>
      </w:r>
      <w:r>
        <w:rPr>
          <w:spacing w:val="-37"/>
        </w:rPr>
      </w:r>
      <w:r>
        <w:rPr/>
        <w:t>全资子公司。</w:t>
      </w:r>
    </w:p>
    <w:p>
      <w:pPr>
        <w:pStyle w:val="BodyText"/>
        <w:spacing w:line="256" w:lineRule="auto" w:before="22"/>
        <w:ind w:right="106" w:firstLine="420"/>
        <w:jc w:val="left"/>
      </w:pPr>
      <w:r>
        <w:rPr>
          <w:rFonts w:ascii="Times New Roman" w:hAnsi="Times New Roman" w:cs="Times New Roman" w:eastAsia="Times New Roman" w:hint="default"/>
          <w:spacing w:val="-3"/>
        </w:rPr>
        <w:t>2007</w:t>
      </w:r>
      <w:r>
        <w:rPr>
          <w:spacing w:val="-3"/>
        </w:rPr>
        <w:t>年</w:t>
      </w:r>
      <w:r>
        <w:rPr>
          <w:rFonts w:ascii="Times New Roman" w:hAnsi="Times New Roman" w:cs="Times New Roman" w:eastAsia="Times New Roman" w:hint="default"/>
          <w:spacing w:val="-3"/>
        </w:rPr>
        <w:t>6</w:t>
      </w:r>
      <w:r>
        <w:rPr>
          <w:spacing w:val="-3"/>
        </w:rPr>
        <w:t>月，本公司对深圳市连邦信息技术有限公司增资人民币</w:t>
      </w:r>
      <w:r>
        <w:rPr>
          <w:rFonts w:ascii="Times New Roman" w:hAnsi="Times New Roman" w:cs="Times New Roman" w:eastAsia="Times New Roman" w:hint="default"/>
          <w:spacing w:val="-3"/>
        </w:rPr>
        <w:t>160.00</w:t>
      </w:r>
      <w:r>
        <w:rPr>
          <w:spacing w:val="-3"/>
        </w:rPr>
        <w:t>万元，增资后深圳市连邦信息技</w:t>
      </w:r>
      <w:r>
        <w:rPr>
          <w:spacing w:val="-3"/>
          <w:w w:val="100"/>
        </w:rPr>
        <w:t> </w:t>
      </w:r>
      <w:r>
        <w:rPr/>
        <w:t>术有限公司注册资本变更为人民币</w:t>
      </w:r>
      <w:r>
        <w:rPr>
          <w:rFonts w:ascii="Times New Roman" w:hAnsi="Times New Roman" w:cs="Times New Roman" w:eastAsia="Times New Roman" w:hint="default"/>
        </w:rPr>
        <w:t>200.00</w:t>
      </w:r>
      <w:r>
        <w:rPr/>
        <w:t>万元。</w:t>
      </w:r>
    </w:p>
    <w:p>
      <w:pPr>
        <w:spacing w:line="240" w:lineRule="auto" w:before="3"/>
        <w:rPr>
          <w:rFonts w:ascii="宋体" w:hAnsi="宋体" w:cs="宋体" w:eastAsia="宋体" w:hint="default"/>
          <w:sz w:val="24"/>
          <w:szCs w:val="24"/>
        </w:rPr>
      </w:pPr>
    </w:p>
    <w:p>
      <w:pPr>
        <w:pStyle w:val="Heading5"/>
        <w:spacing w:line="240" w:lineRule="auto"/>
        <w:ind w:left="572" w:right="106"/>
        <w:jc w:val="left"/>
        <w:rPr>
          <w:b w:val="0"/>
          <w:bCs w:val="0"/>
        </w:rPr>
      </w:pPr>
      <w:r>
        <w:rPr/>
        <w:t>三、财务报表的编制基础</w:t>
      </w:r>
      <w:r>
        <w:rPr>
          <w:b w:val="0"/>
          <w:bCs w:val="0"/>
        </w:rPr>
      </w:r>
    </w:p>
    <w:p>
      <w:pPr>
        <w:spacing w:line="240" w:lineRule="auto" w:before="10"/>
        <w:rPr>
          <w:rFonts w:ascii="宋体" w:hAnsi="宋体" w:cs="宋体" w:eastAsia="宋体" w:hint="default"/>
          <w:b/>
          <w:bCs/>
          <w:sz w:val="14"/>
          <w:szCs w:val="14"/>
        </w:rPr>
      </w:pPr>
    </w:p>
    <w:p>
      <w:pPr>
        <w:spacing w:line="273" w:lineRule="auto" w:before="0"/>
        <w:ind w:left="572" w:right="106" w:firstLine="2"/>
        <w:jc w:val="left"/>
        <w:rPr>
          <w:rFonts w:ascii="宋体" w:hAnsi="宋体" w:cs="宋体" w:eastAsia="宋体" w:hint="default"/>
          <w:sz w:val="21"/>
          <w:szCs w:val="21"/>
        </w:rPr>
      </w:pPr>
      <w:r>
        <w:rPr>
          <w:rFonts w:ascii="宋体" w:hAnsi="宋体" w:cs="宋体" w:eastAsia="宋体" w:hint="default"/>
          <w:b/>
          <w:bCs/>
          <w:sz w:val="21"/>
          <w:szCs w:val="21"/>
        </w:rPr>
        <w:t>（一）财务报表的编制基础</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本公司以持续经营为基础，根据实际发生的交易和事项，按照财政部颁布的《企业会计准则</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基本</w:t>
      </w:r>
      <w:r>
        <w:rPr>
          <w:rFonts w:ascii="宋体" w:hAnsi="宋体" w:cs="宋体" w:eastAsia="宋体" w:hint="default"/>
          <w:sz w:val="21"/>
          <w:szCs w:val="21"/>
        </w:rPr>
      </w:r>
    </w:p>
    <w:p>
      <w:pPr>
        <w:pStyle w:val="BodyText"/>
        <w:spacing w:line="256" w:lineRule="auto"/>
        <w:ind w:right="209"/>
        <w:jc w:val="both"/>
      </w:pPr>
      <w:r>
        <w:rPr>
          <w:spacing w:val="-1"/>
        </w:rPr>
        <w:t>准则》和具体企业会计准则、企业会计准则应用指南、企业会计准则解释及其他相关规定</w:t>
      </w:r>
      <w:r>
        <w:rPr>
          <w:rFonts w:ascii="Times New Roman" w:hAnsi="Times New Roman" w:cs="Times New Roman" w:eastAsia="Times New Roman" w:hint="default"/>
          <w:spacing w:val="-1"/>
        </w:rPr>
        <w:t>(</w:t>
      </w:r>
      <w:r>
        <w:rPr>
          <w:spacing w:val="-1"/>
        </w:rPr>
        <w:t>以下合称</w:t>
      </w:r>
      <w:r>
        <w:rPr>
          <w:rFonts w:ascii="Times New Roman" w:hAnsi="Times New Roman" w:cs="Times New Roman" w:eastAsia="Times New Roman" w:hint="default"/>
          <w:spacing w:val="-1"/>
        </w:rPr>
        <w:t>“</w:t>
      </w:r>
      <w:r>
        <w:rPr>
          <w:spacing w:val="-1"/>
        </w:rPr>
        <w:t>企业</w:t>
      </w:r>
      <w:r>
        <w:rPr>
          <w:spacing w:val="-38"/>
        </w:rPr>
        <w:t> </w:t>
      </w:r>
      <w:r>
        <w:rPr>
          <w:spacing w:val="-1"/>
        </w:rPr>
        <w:t>会计准则</w:t>
      </w:r>
      <w:r>
        <w:rPr>
          <w:rFonts w:ascii="Times New Roman" w:hAnsi="Times New Roman" w:cs="Times New Roman" w:eastAsia="Times New Roman" w:hint="default"/>
          <w:spacing w:val="-1"/>
        </w:rPr>
        <w:t>”)</w:t>
      </w:r>
      <w:r>
        <w:rPr>
          <w:spacing w:val="-1"/>
        </w:rPr>
        <w:t>进行确认和计量，在此基础上，结合中国证券监督管理委员会《公开发行证券的公司信息披露</w:t>
      </w:r>
      <w:r>
        <w:rPr>
          <w:spacing w:val="-38"/>
        </w:rPr>
        <w:t> </w:t>
      </w:r>
      <w:r>
        <w:rPr>
          <w:spacing w:val="-38"/>
        </w:rPr>
      </w:r>
      <w:r>
        <w:rPr/>
        <w:t>编报规则第</w:t>
      </w:r>
      <w:r>
        <w:rPr>
          <w:rFonts w:ascii="Times New Roman" w:hAnsi="Times New Roman" w:cs="Times New Roman" w:eastAsia="Times New Roman" w:hint="default"/>
        </w:rPr>
        <w:t>15</w:t>
      </w:r>
      <w:r>
        <w:rPr/>
        <w:t>号</w:t>
      </w:r>
      <w:r>
        <w:rPr>
          <w:rFonts w:ascii="Times New Roman" w:hAnsi="Times New Roman" w:cs="Times New Roman" w:eastAsia="Times New Roman" w:hint="default"/>
        </w:rPr>
        <w:t>——</w:t>
      </w:r>
      <w:r>
        <w:rPr/>
        <w:t>财务报告的一般规定》</w:t>
      </w:r>
      <w:r>
        <w:rPr>
          <w:rFonts w:ascii="Times New Roman" w:hAnsi="Times New Roman" w:cs="Times New Roman" w:eastAsia="Times New Roman" w:hint="default"/>
        </w:rPr>
        <w:t>(2014</w:t>
      </w:r>
      <w:r>
        <w:rPr/>
        <w:t>年修订</w:t>
      </w:r>
      <w:r>
        <w:rPr>
          <w:rFonts w:ascii="Times New Roman" w:hAnsi="Times New Roman" w:cs="Times New Roman" w:eastAsia="Times New Roman" w:hint="default"/>
        </w:rPr>
        <w:t>)</w:t>
      </w:r>
      <w:r>
        <w:rPr/>
        <w:t>的规定，编制财务报表。</w:t>
      </w:r>
    </w:p>
    <w:p>
      <w:pPr>
        <w:pStyle w:val="BodyText"/>
        <w:spacing w:line="273" w:lineRule="auto" w:before="161"/>
        <w:ind w:left="572" w:right="106" w:firstLine="2"/>
        <w:jc w:val="left"/>
      </w:pPr>
      <w:r>
        <w:rPr>
          <w:rFonts w:ascii="宋体" w:hAnsi="宋体" w:cs="宋体" w:eastAsia="宋体" w:hint="default"/>
          <w:b/>
          <w:bCs/>
        </w:rPr>
        <w:t>（二）持续经营</w:t>
      </w:r>
      <w:r>
        <w:rPr>
          <w:rFonts w:ascii="宋体" w:hAnsi="宋体" w:cs="宋体" w:eastAsia="宋体" w:hint="default"/>
          <w:b/>
          <w:bCs/>
          <w:w w:val="100"/>
        </w:rPr>
        <w:t> </w:t>
      </w:r>
      <w:r>
        <w:rPr>
          <w:spacing w:val="-2"/>
        </w:rPr>
        <w:t>本公司自报告期末起</w:t>
      </w:r>
      <w:r>
        <w:rPr>
          <w:rFonts w:ascii="Times New Roman" w:hAnsi="Times New Roman" w:cs="Times New Roman" w:eastAsia="Times New Roman" w:hint="default"/>
          <w:spacing w:val="-2"/>
        </w:rPr>
        <w:t>12</w:t>
      </w:r>
      <w:r>
        <w:rPr>
          <w:spacing w:val="-2"/>
        </w:rPr>
        <w:t>个月不存在对本公司持续经营能力产生重大疑虑的事项或情况。</w:t>
      </w:r>
    </w:p>
    <w:p>
      <w:pPr>
        <w:spacing w:line="240" w:lineRule="auto" w:before="13"/>
        <w:rPr>
          <w:rFonts w:ascii="宋体" w:hAnsi="宋体" w:cs="宋体" w:eastAsia="宋体" w:hint="default"/>
          <w:sz w:val="22"/>
          <w:szCs w:val="22"/>
        </w:rPr>
      </w:pPr>
    </w:p>
    <w:p>
      <w:pPr>
        <w:pStyle w:val="Heading5"/>
        <w:spacing w:line="240" w:lineRule="auto"/>
        <w:ind w:left="575" w:right="106"/>
        <w:jc w:val="left"/>
        <w:rPr>
          <w:b w:val="0"/>
          <w:bCs w:val="0"/>
        </w:rPr>
      </w:pPr>
      <w:r>
        <w:rPr/>
        <w:t>四、重要会计政策、会计估计</w:t>
      </w:r>
      <w:r>
        <w:rPr>
          <w:b w:val="0"/>
          <w:bCs w:val="0"/>
        </w:rPr>
      </w:r>
    </w:p>
    <w:p>
      <w:pPr>
        <w:spacing w:line="240" w:lineRule="auto" w:before="10"/>
        <w:rPr>
          <w:rFonts w:ascii="宋体" w:hAnsi="宋体" w:cs="宋体" w:eastAsia="宋体" w:hint="default"/>
          <w:b/>
          <w:bCs/>
          <w:sz w:val="14"/>
          <w:szCs w:val="14"/>
        </w:rPr>
      </w:pPr>
    </w:p>
    <w:p>
      <w:pPr>
        <w:spacing w:line="273" w:lineRule="auto" w:before="0"/>
        <w:ind w:left="572" w:right="106" w:firstLine="2"/>
        <w:jc w:val="left"/>
        <w:rPr>
          <w:rFonts w:ascii="宋体" w:hAnsi="宋体" w:cs="宋体" w:eastAsia="宋体" w:hint="default"/>
          <w:sz w:val="21"/>
          <w:szCs w:val="21"/>
        </w:rPr>
      </w:pPr>
      <w:r>
        <w:rPr>
          <w:rFonts w:ascii="宋体" w:hAnsi="宋体" w:cs="宋体" w:eastAsia="宋体" w:hint="default"/>
          <w:b/>
          <w:bCs/>
          <w:sz w:val="21"/>
          <w:szCs w:val="21"/>
        </w:rPr>
        <w:t>（一）遵循企业会计准则的声明</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本公司所编制的财务报表符合企业会计准则的要求，真实、完整地反映了报告期公司的财务状况、经</w:t>
      </w:r>
    </w:p>
    <w:p>
      <w:pPr>
        <w:pStyle w:val="BodyText"/>
        <w:spacing w:line="240" w:lineRule="auto" w:before="7"/>
        <w:ind w:right="0"/>
        <w:jc w:val="both"/>
      </w:pPr>
      <w:r>
        <w:rPr/>
        <w:t>营成果、现金流量等有关信息。</w:t>
      </w:r>
    </w:p>
    <w:p>
      <w:pPr>
        <w:spacing w:line="240" w:lineRule="auto" w:before="10"/>
        <w:rPr>
          <w:rFonts w:ascii="宋体" w:hAnsi="宋体" w:cs="宋体" w:eastAsia="宋体" w:hint="default"/>
          <w:sz w:val="14"/>
          <w:szCs w:val="14"/>
        </w:rPr>
      </w:pPr>
    </w:p>
    <w:p>
      <w:pPr>
        <w:pStyle w:val="BodyText"/>
        <w:spacing w:line="273" w:lineRule="auto"/>
        <w:ind w:left="572" w:right="106" w:firstLine="2"/>
        <w:jc w:val="left"/>
      </w:pPr>
      <w:r>
        <w:rPr>
          <w:rFonts w:ascii="宋体" w:hAnsi="宋体" w:cs="宋体" w:eastAsia="宋体" w:hint="default"/>
          <w:b/>
          <w:bCs/>
        </w:rPr>
        <w:t>（二）会计期间</w:t>
      </w:r>
      <w:r>
        <w:rPr>
          <w:rFonts w:ascii="宋体" w:hAnsi="宋体" w:cs="宋体" w:eastAsia="宋体" w:hint="default"/>
          <w:b/>
          <w:bCs/>
          <w:w w:val="100"/>
        </w:rPr>
        <w:t> </w:t>
      </w:r>
      <w:r>
        <w:rPr>
          <w:spacing w:val="-2"/>
        </w:rPr>
        <w:t>本公司采用公历年度为会计期间，即自每年一月一日至十二月三十一日止为一个会计期间。</w:t>
      </w:r>
    </w:p>
    <w:p>
      <w:pPr>
        <w:pStyle w:val="BodyText"/>
        <w:spacing w:line="273" w:lineRule="auto" w:before="164"/>
        <w:ind w:left="572" w:right="2314" w:firstLine="2"/>
        <w:jc w:val="left"/>
      </w:pPr>
      <w:r>
        <w:rPr>
          <w:rFonts w:ascii="宋体" w:hAnsi="宋体" w:cs="宋体" w:eastAsia="宋体" w:hint="default"/>
          <w:b/>
          <w:bCs/>
        </w:rPr>
        <w:t>（三）营业周期</w:t>
      </w:r>
      <w:r>
        <w:rPr>
          <w:rFonts w:ascii="宋体" w:hAnsi="宋体" w:cs="宋体" w:eastAsia="宋体" w:hint="default"/>
          <w:b/>
          <w:bCs/>
          <w:w w:val="100"/>
        </w:rPr>
        <w:t> </w:t>
      </w:r>
      <w:r>
        <w:rPr>
          <w:spacing w:val="-2"/>
        </w:rPr>
        <w:t>本公司营业周期为</w:t>
      </w:r>
      <w:r>
        <w:rPr>
          <w:rFonts w:ascii="Times New Roman" w:hAnsi="Times New Roman" w:cs="Times New Roman" w:eastAsia="Times New Roman" w:hint="default"/>
          <w:spacing w:val="-2"/>
        </w:rPr>
        <w:t>12</w:t>
      </w:r>
      <w:r>
        <w:rPr>
          <w:spacing w:val="-2"/>
        </w:rPr>
        <w:t>个月，并以营业周期作为资产和负债的流动性划分标准。</w:t>
      </w:r>
    </w:p>
    <w:p>
      <w:pPr>
        <w:spacing w:line="273" w:lineRule="auto" w:before="145"/>
        <w:ind w:left="572" w:right="4853" w:firstLine="2"/>
        <w:jc w:val="left"/>
        <w:rPr>
          <w:rFonts w:ascii="宋体" w:hAnsi="宋体" w:cs="宋体" w:eastAsia="宋体" w:hint="default"/>
          <w:sz w:val="21"/>
          <w:szCs w:val="21"/>
        </w:rPr>
      </w:pPr>
      <w:r>
        <w:rPr>
          <w:rFonts w:ascii="宋体" w:hAnsi="宋体" w:cs="宋体" w:eastAsia="宋体" w:hint="default"/>
          <w:b/>
          <w:bCs/>
          <w:sz w:val="21"/>
          <w:szCs w:val="21"/>
        </w:rPr>
        <w:t>（四）记账本位币</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本公司以人民币为记账本位币。</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Heading5"/>
        <w:spacing w:line="240" w:lineRule="auto"/>
        <w:ind w:left="575" w:right="106"/>
        <w:jc w:val="left"/>
        <w:rPr>
          <w:b w:val="0"/>
          <w:bCs w:val="0"/>
        </w:rPr>
      </w:pPr>
      <w:r>
        <w:rPr/>
        <w:t>（五）同一控制下和非同一控制下企业合并的会计处理方法</w:t>
      </w:r>
      <w:r>
        <w:rPr>
          <w:b w:val="0"/>
          <w:bCs w:val="0"/>
        </w:rPr>
      </w:r>
    </w:p>
    <w:p>
      <w:pPr>
        <w:pStyle w:val="Heading5"/>
        <w:spacing w:line="256" w:lineRule="auto" w:before="37"/>
        <w:ind w:right="106" w:firstLine="422"/>
        <w:jc w:val="left"/>
        <w:rPr>
          <w:b w:val="0"/>
          <w:bCs w:val="0"/>
        </w:rPr>
      </w:pPr>
      <w:r>
        <w:rPr>
          <w:rFonts w:ascii="Times New Roman" w:hAnsi="Times New Roman" w:cs="Times New Roman" w:eastAsia="Times New Roman" w:hint="default"/>
        </w:rPr>
        <w:t>1</w:t>
      </w:r>
      <w:r>
        <w:rPr/>
        <w:t>、分步实现企业合并过程中的各项交易的条款、条件以及经济影响符合以下一种或多种情况，将多</w:t>
      </w:r>
      <w:r>
        <w:rPr>
          <w:w w:val="100"/>
        </w:rPr>
        <w:t> </w:t>
      </w:r>
      <w:r>
        <w:rPr/>
        <w:t>次交易事项作为一揽子交易进行会计处理：</w:t>
      </w:r>
      <w:r>
        <w:rPr>
          <w:b w:val="0"/>
          <w:bCs w:val="0"/>
        </w:rPr>
      </w:r>
    </w:p>
    <w:p>
      <w:pPr>
        <w:pStyle w:val="BodyText"/>
        <w:spacing w:line="240" w:lineRule="auto" w:before="22"/>
        <w:ind w:right="0"/>
        <w:jc w:val="both"/>
      </w:pPr>
      <w:r>
        <w:rPr>
          <w:rFonts w:ascii="宋体" w:hAnsi="宋体" w:cs="宋体" w:eastAsia="宋体" w:hint="default"/>
        </w:rPr>
        <w:t>1.</w:t>
      </w:r>
      <w:r>
        <w:rPr>
          <w:rFonts w:ascii="宋体" w:hAnsi="宋体" w:cs="宋体" w:eastAsia="宋体" w:hint="default"/>
          <w:spacing w:val="44"/>
        </w:rPr>
        <w:t> </w:t>
      </w:r>
      <w:r>
        <w:rPr/>
        <w:t>这些交易是同时或者在考虑了彼此影响的情况下订立的；</w:t>
      </w:r>
    </w:p>
    <w:p>
      <w:pPr>
        <w:pStyle w:val="BodyText"/>
        <w:spacing w:line="240" w:lineRule="auto" w:before="37"/>
        <w:ind w:right="0"/>
        <w:jc w:val="both"/>
      </w:pPr>
      <w:r>
        <w:rPr>
          <w:rFonts w:ascii="宋体" w:hAnsi="宋体" w:cs="宋体" w:eastAsia="宋体" w:hint="default"/>
        </w:rPr>
        <w:t>2.</w:t>
      </w:r>
      <w:r>
        <w:rPr>
          <w:rFonts w:ascii="宋体" w:hAnsi="宋体" w:cs="宋体" w:eastAsia="宋体" w:hint="default"/>
          <w:spacing w:val="44"/>
        </w:rPr>
        <w:t> </w:t>
      </w:r>
      <w:r>
        <w:rPr/>
        <w:t>这些交易整体才能达成一项完整的商业结果；</w:t>
      </w:r>
    </w:p>
    <w:p>
      <w:pPr>
        <w:pStyle w:val="BodyText"/>
        <w:spacing w:line="240" w:lineRule="auto" w:before="37"/>
        <w:ind w:left="153" w:right="0"/>
        <w:jc w:val="both"/>
      </w:pPr>
      <w:r>
        <w:rPr>
          <w:rFonts w:ascii="宋体" w:hAnsi="宋体" w:cs="宋体" w:eastAsia="宋体" w:hint="default"/>
        </w:rPr>
        <w:t>3.</w:t>
      </w:r>
      <w:r>
        <w:rPr>
          <w:rFonts w:ascii="宋体" w:hAnsi="宋体" w:cs="宋体" w:eastAsia="宋体" w:hint="default"/>
          <w:spacing w:val="43"/>
        </w:rPr>
        <w:t> </w:t>
      </w:r>
      <w:r>
        <w:rPr/>
        <w:t>一项交易的发生取决于其他至少一项交易的发生；</w:t>
      </w:r>
    </w:p>
    <w:p>
      <w:pPr>
        <w:pStyle w:val="BodyText"/>
        <w:spacing w:line="240" w:lineRule="auto" w:before="37"/>
        <w:ind w:left="153" w:right="0"/>
        <w:jc w:val="both"/>
      </w:pPr>
      <w:r>
        <w:rPr>
          <w:rFonts w:ascii="宋体" w:hAnsi="宋体" w:cs="宋体" w:eastAsia="宋体" w:hint="default"/>
        </w:rPr>
        <w:t>4.</w:t>
      </w:r>
      <w:r>
        <w:rPr>
          <w:rFonts w:ascii="宋体" w:hAnsi="宋体" w:cs="宋体" w:eastAsia="宋体" w:hint="default"/>
          <w:spacing w:val="41"/>
        </w:rPr>
        <w:t> </w:t>
      </w:r>
      <w:r>
        <w:rPr/>
        <w:t>一项交易单独看是不经济的，但是和其他交易一并考虑时是经济的。</w:t>
      </w:r>
    </w:p>
    <w:p>
      <w:pPr>
        <w:pStyle w:val="Heading5"/>
        <w:spacing w:line="240" w:lineRule="auto" w:before="37"/>
        <w:ind w:left="575" w:right="106"/>
        <w:jc w:val="left"/>
        <w:rPr>
          <w:b w:val="0"/>
          <w:bCs w:val="0"/>
        </w:rPr>
      </w:pPr>
      <w:r>
        <w:rPr>
          <w:rFonts w:ascii="Times New Roman" w:hAnsi="Times New Roman" w:cs="Times New Roman" w:eastAsia="Times New Roman" w:hint="default"/>
        </w:rPr>
        <w:t>2</w:t>
      </w:r>
      <w:r>
        <w:rPr/>
        <w:t>、同一控制下的企业合并</w:t>
      </w:r>
      <w:r>
        <w:rPr>
          <w:b w:val="0"/>
          <w:bCs w:val="0"/>
        </w:rPr>
      </w:r>
    </w:p>
    <w:p>
      <w:pPr>
        <w:pStyle w:val="BodyText"/>
        <w:spacing w:line="256" w:lineRule="auto" w:before="21"/>
        <w:ind w:left="572" w:right="106"/>
        <w:jc w:val="left"/>
      </w:pPr>
      <w:r>
        <w:rPr/>
        <w:t>（</w:t>
      </w:r>
      <w:r>
        <w:rPr>
          <w:rFonts w:ascii="Times New Roman" w:hAnsi="Times New Roman" w:cs="Times New Roman" w:eastAsia="Times New Roman" w:hint="default"/>
        </w:rPr>
        <w:t>1</w:t>
      </w:r>
      <w:r>
        <w:rPr/>
        <w:t>）个别财务报表</w:t>
      </w:r>
      <w:r>
        <w:rPr>
          <w:w w:val="100"/>
        </w:rPr>
        <w:t> </w:t>
      </w:r>
      <w:r>
        <w:rPr>
          <w:spacing w:val="-2"/>
        </w:rPr>
        <w:t>公司以支付现金、转让非现金资产、承担债务方式或以发行权益性证券作为合并对价的，在合并日按</w:t>
      </w:r>
    </w:p>
    <w:p>
      <w:pPr>
        <w:pStyle w:val="BodyText"/>
        <w:spacing w:line="273" w:lineRule="auto" w:before="22"/>
        <w:ind w:right="207"/>
        <w:jc w:val="both"/>
      </w:pPr>
      <w:r>
        <w:rPr>
          <w:spacing w:val="2"/>
        </w:rPr>
        <w:t>照被合并方所有者权益在最终控制方合并财务报表中的账面价值的份额作为长期股权投资的初始投资成</w:t>
      </w:r>
      <w:r>
        <w:rPr>
          <w:spacing w:val="-28"/>
        </w:rPr>
        <w:t> </w:t>
      </w:r>
      <w:r>
        <w:rPr>
          <w:spacing w:val="-28"/>
        </w:rPr>
      </w:r>
      <w:r>
        <w:rPr>
          <w:spacing w:val="-2"/>
        </w:rPr>
        <w:t>本。长期股权投资初始投资成本与支付合并对价之间的差额，调整资本公积；资本公积不足冲减的，调整</w:t>
      </w:r>
      <w:r>
        <w:rPr>
          <w:spacing w:val="-47"/>
        </w:rPr>
        <w:t> </w:t>
      </w:r>
      <w:r>
        <w:rPr>
          <w:spacing w:val="-47"/>
        </w:rPr>
      </w:r>
      <w:r>
        <w:rPr>
          <w:spacing w:val="-2"/>
        </w:rPr>
        <w:t>留存收益。如果存在或有对价并需要确认预计负债或资产，该预计负债或资产金额与后续或有对价结算金</w:t>
      </w:r>
      <w:r>
        <w:rPr>
          <w:spacing w:val="-43"/>
        </w:rPr>
        <w:t> </w:t>
      </w:r>
      <w:r>
        <w:rPr>
          <w:spacing w:val="-43"/>
        </w:rPr>
      </w:r>
      <w:r>
        <w:rPr/>
        <w:t>额的差额，调整资本公积（资本溢价或股本溢价），资本公积不足的，调整留存收益。</w:t>
      </w:r>
    </w:p>
    <w:p>
      <w:pPr>
        <w:pStyle w:val="BodyText"/>
        <w:spacing w:line="240" w:lineRule="auto" w:before="8"/>
        <w:ind w:left="572" w:right="106"/>
        <w:jc w:val="left"/>
      </w:pPr>
      <w:r>
        <w:rPr/>
        <w:t>对于通过多次交易最终实现企业合并的，属于一揽子交易的，将各项交易作为一项取得控制权的交易</w:t>
      </w:r>
    </w:p>
    <w:p>
      <w:pPr>
        <w:spacing w:after="0" w:line="240" w:lineRule="auto"/>
        <w:jc w:val="left"/>
        <w:sectPr>
          <w:pgSz w:w="11910" w:h="16840"/>
          <w:pgMar w:header="880" w:footer="979" w:top="1120" w:bottom="1160" w:left="980" w:right="920"/>
        </w:sectPr>
      </w:pPr>
    </w:p>
    <w:p>
      <w:pPr>
        <w:spacing w:line="240" w:lineRule="auto" w:before="9"/>
        <w:rPr>
          <w:rFonts w:ascii="宋体" w:hAnsi="宋体" w:cs="宋体" w:eastAsia="宋体" w:hint="default"/>
          <w:sz w:val="20"/>
          <w:szCs w:val="20"/>
        </w:rPr>
      </w:pPr>
    </w:p>
    <w:p>
      <w:pPr>
        <w:pStyle w:val="BodyText"/>
        <w:spacing w:line="273" w:lineRule="auto" w:before="36"/>
        <w:ind w:right="185"/>
        <w:jc w:val="both"/>
      </w:pPr>
      <w:r>
        <w:rPr>
          <w:spacing w:val="-2"/>
        </w:rPr>
        <w:t>进行会计处理；不属于一揽子交易的，在取得控制权日，长期股权投资初始投资成本，与达到合并前的长</w:t>
      </w:r>
      <w:r>
        <w:rPr>
          <w:spacing w:val="-50"/>
        </w:rPr>
        <w:t> </w:t>
      </w:r>
      <w:r>
        <w:rPr>
          <w:spacing w:val="-50"/>
        </w:rPr>
      </w:r>
      <w:r>
        <w:rPr>
          <w:spacing w:val="-2"/>
        </w:rPr>
        <w:t>期股权投资账面价值加上合并日进一步取得股份新支付对价的账面价值之和的差额，调整资本公积；资本</w:t>
      </w:r>
      <w:r>
        <w:rPr>
          <w:spacing w:val="-43"/>
        </w:rPr>
        <w:t> </w:t>
      </w:r>
      <w:r>
        <w:rPr>
          <w:spacing w:val="-43"/>
        </w:rPr>
      </w:r>
      <w:r>
        <w:rPr>
          <w:spacing w:val="-2"/>
        </w:rPr>
        <w:t>公积不足冲减的，调整留存收益。对于合并日之前持有的股权投资，因采用权益法核算或金融工具确认和</w:t>
      </w:r>
      <w:r>
        <w:rPr>
          <w:spacing w:val="-44"/>
        </w:rPr>
        <w:t> </w:t>
      </w:r>
      <w:r>
        <w:rPr>
          <w:spacing w:val="-44"/>
        </w:rPr>
      </w:r>
      <w:r>
        <w:rPr>
          <w:spacing w:val="-2"/>
        </w:rPr>
        <w:t>计量准则核算而确认的其他综合收益，暂不进行会计处理，直至处置该项投资时采用与被投资单位直接处</w:t>
      </w:r>
      <w:r>
        <w:rPr>
          <w:spacing w:val="-44"/>
        </w:rPr>
        <w:t> </w:t>
      </w:r>
      <w:r>
        <w:rPr>
          <w:spacing w:val="-44"/>
        </w:rPr>
      </w:r>
      <w:r>
        <w:rPr>
          <w:spacing w:val="-2"/>
        </w:rPr>
        <w:t>置相关资产或负债相同的基础进行会计处理；因采用权益法核算而确认的被投资单位净资产中除净损益、</w:t>
      </w:r>
      <w:r>
        <w:rPr>
          <w:spacing w:val="-21"/>
        </w:rPr>
        <w:t> </w:t>
      </w:r>
      <w:r>
        <w:rPr>
          <w:spacing w:val="-21"/>
        </w:rPr>
      </w:r>
      <w:r>
        <w:rPr>
          <w:spacing w:val="-2"/>
        </w:rPr>
        <w:t>其他综合收益和利润分配以外的所有者权益其他变动，暂不进行会计处理，直至处置该项投资时转入当期</w:t>
      </w:r>
      <w:r>
        <w:rPr>
          <w:spacing w:val="-43"/>
        </w:rPr>
        <w:t> </w:t>
      </w:r>
      <w:r>
        <w:rPr>
          <w:spacing w:val="-43"/>
        </w:rPr>
      </w:r>
      <w:r>
        <w:rPr/>
        <w:t>损益。</w:t>
      </w:r>
    </w:p>
    <w:p>
      <w:pPr>
        <w:pStyle w:val="BodyText"/>
        <w:spacing w:line="273" w:lineRule="auto" w:before="7"/>
        <w:ind w:left="153" w:right="206" w:firstLine="419"/>
        <w:jc w:val="both"/>
      </w:pPr>
      <w:r>
        <w:rPr>
          <w:spacing w:val="-2"/>
        </w:rPr>
        <w:t>合并发生的各项直接相关费用，包括为进行合并而支付的审计费用、评估费用、法律服务费用等，于</w:t>
      </w:r>
      <w:r>
        <w:rPr>
          <w:w w:val="100"/>
        </w:rPr>
        <w:t> </w:t>
      </w:r>
      <w:r>
        <w:rPr>
          <w:spacing w:val="-2"/>
        </w:rPr>
        <w:t>发生时计入当期损益；与发行权益性工具作为合并对价直接相关的交易费用，冲减资本公积，资本公积不</w:t>
      </w:r>
      <w:r>
        <w:rPr>
          <w:spacing w:val="-44"/>
        </w:rPr>
        <w:t> </w:t>
      </w:r>
      <w:r>
        <w:rPr>
          <w:spacing w:val="-44"/>
        </w:rPr>
      </w:r>
      <w:r>
        <w:rPr>
          <w:spacing w:val="-2"/>
        </w:rPr>
        <w:t>足冲减的，依次冲减盈余公积和未分配利润；与发行债务性工具作为合并对价直接相关的交易费用，作为</w:t>
      </w:r>
      <w:r>
        <w:rPr>
          <w:spacing w:val="-43"/>
        </w:rPr>
        <w:t> </w:t>
      </w:r>
      <w:r>
        <w:rPr>
          <w:spacing w:val="-43"/>
        </w:rPr>
      </w:r>
      <w:r>
        <w:rPr/>
        <w:t>计入债务性工具的初始确认金额。</w:t>
      </w:r>
    </w:p>
    <w:p>
      <w:pPr>
        <w:pStyle w:val="BodyText"/>
        <w:spacing w:line="273" w:lineRule="auto" w:before="7"/>
        <w:ind w:right="206" w:firstLine="420"/>
        <w:jc w:val="both"/>
      </w:pPr>
      <w:r>
        <w:rPr>
          <w:spacing w:val="-2"/>
        </w:rPr>
        <w:t>被合并方存在合并财务报表，则以合并日被合并方合并财务报表中归属于母公司的所有者权益为基础</w:t>
      </w:r>
      <w:r>
        <w:rPr>
          <w:w w:val="100"/>
        </w:rPr>
        <w:t> </w:t>
      </w:r>
      <w:r>
        <w:rPr/>
        <w:t>确定长期股权投资的初始投资成本。</w:t>
      </w:r>
    </w:p>
    <w:p>
      <w:pPr>
        <w:pStyle w:val="BodyText"/>
        <w:spacing w:line="256" w:lineRule="auto" w:before="7"/>
        <w:ind w:left="572" w:right="106"/>
        <w:jc w:val="left"/>
      </w:pPr>
      <w:r>
        <w:rPr/>
        <w:t>（</w:t>
      </w:r>
      <w:r>
        <w:rPr>
          <w:rFonts w:ascii="Times New Roman" w:hAnsi="Times New Roman" w:cs="Times New Roman" w:eastAsia="Times New Roman" w:hint="default"/>
        </w:rPr>
        <w:t>2</w:t>
      </w:r>
      <w:r>
        <w:rPr/>
        <w:t>）合并财务报表</w:t>
      </w:r>
      <w:r>
        <w:rPr>
          <w:w w:val="100"/>
        </w:rPr>
        <w:t> </w:t>
      </w:r>
      <w:r>
        <w:rPr>
          <w:spacing w:val="-2"/>
        </w:rPr>
        <w:t>合并方在企业合并中取得的资产和负债，按照合并日在被合并方所有者权益在最终控制方合并财务报</w:t>
      </w:r>
    </w:p>
    <w:p>
      <w:pPr>
        <w:pStyle w:val="BodyText"/>
        <w:spacing w:line="273" w:lineRule="auto" w:before="22"/>
        <w:ind w:left="572" w:right="106" w:hanging="421"/>
        <w:jc w:val="left"/>
      </w:pPr>
      <w:r>
        <w:rPr/>
        <w:t>表中的账面价值计量。</w:t>
      </w:r>
      <w:r>
        <w:rPr>
          <w:spacing w:val="-3"/>
          <w:w w:val="100"/>
        </w:rPr>
        <w:t> </w:t>
      </w:r>
      <w:r>
        <w:rPr>
          <w:spacing w:val="-2"/>
        </w:rPr>
        <w:t>对于通过多次交易最终实现企业合并的，属于一揽子交易的，将各项交易作为一项取得控制权的交易</w:t>
      </w:r>
    </w:p>
    <w:p>
      <w:pPr>
        <w:pStyle w:val="BodyText"/>
        <w:spacing w:line="273" w:lineRule="auto" w:before="7"/>
        <w:ind w:right="207"/>
        <w:jc w:val="both"/>
      </w:pPr>
      <w:r>
        <w:rPr>
          <w:spacing w:val="-2"/>
        </w:rPr>
        <w:t>进行会计处理；不属于一揽子交易的，合并方在达到合并之前持有的长期股权投资，在取得日与合并方与</w:t>
      </w:r>
      <w:r>
        <w:rPr>
          <w:spacing w:val="-43"/>
        </w:rPr>
        <w:t> </w:t>
      </w:r>
      <w:r>
        <w:rPr>
          <w:spacing w:val="-43"/>
        </w:rPr>
      </w:r>
      <w:r>
        <w:rPr>
          <w:spacing w:val="-2"/>
        </w:rPr>
        <w:t>被合并方同处于同一方最终控制之日孰晚日与合并日之间已确认有关损益、其他综合收益和其他所有者权</w:t>
      </w:r>
      <w:r>
        <w:rPr>
          <w:spacing w:val="-43"/>
        </w:rPr>
        <w:t> </w:t>
      </w:r>
      <w:r>
        <w:rPr>
          <w:spacing w:val="-43"/>
        </w:rPr>
      </w:r>
      <w:r>
        <w:rPr/>
        <w:t>益变动，分别冲减比较报表期间的期初留存收益或当期损益。</w:t>
      </w:r>
    </w:p>
    <w:p>
      <w:pPr>
        <w:pStyle w:val="BodyText"/>
        <w:spacing w:line="273" w:lineRule="auto" w:before="7"/>
        <w:ind w:right="207" w:firstLine="420"/>
        <w:jc w:val="both"/>
      </w:pPr>
      <w:r>
        <w:rPr>
          <w:spacing w:val="-2"/>
        </w:rPr>
        <w:t>被合并各方采用的会计政策与本公司不一致的，本公司在合并日按照本公司会计政策进行调整，在此</w:t>
      </w:r>
      <w:r>
        <w:rPr>
          <w:w w:val="100"/>
        </w:rPr>
        <w:t> </w:t>
      </w:r>
      <w:r>
        <w:rPr/>
        <w:t>基础上按照企业会计准则规定确认。</w:t>
      </w:r>
    </w:p>
    <w:p>
      <w:pPr>
        <w:spacing w:line="256" w:lineRule="auto" w:before="9"/>
        <w:ind w:left="572" w:right="106"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非同一控制下的企业合并</w:t>
      </w:r>
      <w:r>
        <w:rPr>
          <w:rFonts w:ascii="宋体" w:hAnsi="宋体" w:cs="宋体" w:eastAsia="宋体" w:hint="default"/>
          <w:b/>
          <w:bCs/>
          <w:w w:val="100"/>
          <w:sz w:val="21"/>
          <w:szCs w:val="21"/>
        </w:rPr>
        <w:t> </w:t>
      </w:r>
      <w:r>
        <w:rPr>
          <w:rFonts w:ascii="宋体" w:hAnsi="宋体" w:cs="宋体" w:eastAsia="宋体" w:hint="default"/>
          <w:spacing w:val="2"/>
          <w:sz w:val="21"/>
          <w:szCs w:val="21"/>
        </w:rPr>
        <w:t>对于非同一控制下的企业合并，合并成本为本公司在购买日为取得对被购买方的控制权而付出的资</w:t>
      </w:r>
    </w:p>
    <w:p>
      <w:pPr>
        <w:pStyle w:val="BodyText"/>
        <w:spacing w:line="273" w:lineRule="auto" w:before="22"/>
        <w:ind w:right="206"/>
        <w:jc w:val="both"/>
      </w:pPr>
      <w:r>
        <w:rPr>
          <w:spacing w:val="-2"/>
        </w:rPr>
        <w:t>产、发生或承担的负债以及发行的权益性工具或债务性工具的公允价值。在合并合同中对可能影响合并成</w:t>
      </w:r>
      <w:r>
        <w:rPr>
          <w:spacing w:val="-44"/>
        </w:rPr>
        <w:t> </w:t>
      </w:r>
      <w:r>
        <w:rPr>
          <w:spacing w:val="-44"/>
        </w:rPr>
      </w:r>
      <w:r>
        <w:rPr>
          <w:spacing w:val="-2"/>
        </w:rPr>
        <w:t>本的未来事项作出约定的，购买日如果估计未来事项很可能发生并且对合并成本的影响金额能够可靠计量</w:t>
      </w:r>
      <w:r>
        <w:rPr>
          <w:spacing w:val="-43"/>
        </w:rPr>
        <w:t> </w:t>
      </w:r>
      <w:r>
        <w:rPr>
          <w:spacing w:val="-43"/>
        </w:rPr>
      </w:r>
      <w:r>
        <w:rPr/>
        <w:t>的，也计入合并成本。</w:t>
      </w:r>
    </w:p>
    <w:p>
      <w:pPr>
        <w:pStyle w:val="BodyText"/>
        <w:spacing w:line="273" w:lineRule="auto" w:before="7"/>
        <w:ind w:right="206" w:firstLine="420"/>
        <w:jc w:val="both"/>
      </w:pPr>
      <w:r>
        <w:rPr>
          <w:spacing w:val="-2"/>
        </w:rPr>
        <w:t>本公司为进行企业合并发生的审计、法律服务、评估咨询等中介费用以及其他相关管理费用，于发生</w:t>
      </w:r>
      <w:r>
        <w:rPr>
          <w:w w:val="100"/>
        </w:rPr>
        <w:t> </w:t>
      </w:r>
      <w:r>
        <w:rPr>
          <w:spacing w:val="-2"/>
        </w:rPr>
        <w:t>时计入当期损益；本公司作为合并对价发行的权益性工具或债务性工具的交易费用，计入权益性工具或债</w:t>
      </w:r>
      <w:r>
        <w:rPr>
          <w:spacing w:val="-44"/>
        </w:rPr>
        <w:t> </w:t>
      </w:r>
      <w:r>
        <w:rPr>
          <w:spacing w:val="-44"/>
        </w:rPr>
      </w:r>
      <w:r>
        <w:rPr/>
        <w:t>务性工具的初始确认金额。</w:t>
      </w:r>
    </w:p>
    <w:p>
      <w:pPr>
        <w:pStyle w:val="BodyText"/>
        <w:spacing w:line="273" w:lineRule="auto" w:before="7"/>
        <w:ind w:right="207" w:firstLine="420"/>
        <w:jc w:val="both"/>
      </w:pPr>
      <w:r>
        <w:rPr>
          <w:spacing w:val="-2"/>
        </w:rPr>
        <w:t>本公司对合并成本大于合并中取得的被购买方可辨认净资产公允价值份额的差额，确认为商誉。本公</w:t>
      </w:r>
      <w:r>
        <w:rPr>
          <w:w w:val="100"/>
        </w:rPr>
        <w:t> </w:t>
      </w:r>
      <w:r>
        <w:rPr>
          <w:spacing w:val="-2"/>
        </w:rPr>
        <w:t>司对合并成本小于合并中取得的被购买方可辨认净资产公允价值份额的，经复核后合并成本仍小于合并中</w:t>
      </w:r>
      <w:r>
        <w:rPr>
          <w:spacing w:val="-43"/>
        </w:rPr>
        <w:t> </w:t>
      </w:r>
      <w:r>
        <w:rPr>
          <w:spacing w:val="-43"/>
        </w:rPr>
      </w:r>
      <w:r>
        <w:rPr/>
        <w:t>取得的被购买方可辨认净资产公允价值份额的差额，计入当期损益。</w:t>
      </w:r>
    </w:p>
    <w:p>
      <w:pPr>
        <w:pStyle w:val="BodyText"/>
        <w:spacing w:line="273" w:lineRule="auto" w:before="7"/>
        <w:ind w:right="106" w:firstLine="420"/>
        <w:jc w:val="left"/>
      </w:pPr>
      <w:r>
        <w:rPr/>
        <w:t>通过多次交换交易分步实现的非同一控制下企业合并，属于一揽子交易的，将各项交易作为一项取得</w:t>
      </w:r>
      <w:r>
        <w:rPr>
          <w:w w:val="100"/>
        </w:rPr>
        <w:t> </w:t>
      </w:r>
      <w:r>
        <w:rPr>
          <w:spacing w:val="-5"/>
        </w:rPr>
        <w:t>控制权的交易进行会计处理；不属于一揽子交易的，区分个别财务报表和合并财务报表进行相关会计处理：</w:t>
      </w:r>
    </w:p>
    <w:p>
      <w:pPr>
        <w:pStyle w:val="BodyText"/>
        <w:spacing w:line="266" w:lineRule="auto" w:before="7"/>
        <w:ind w:right="207" w:firstLine="420"/>
        <w:jc w:val="both"/>
      </w:pPr>
      <w:r>
        <w:rPr/>
        <w:t>（</w:t>
      </w:r>
      <w:r>
        <w:rPr>
          <w:rFonts w:ascii="Times New Roman" w:hAnsi="Times New Roman" w:cs="Times New Roman" w:eastAsia="Times New Roman" w:hint="default"/>
        </w:rPr>
        <w:t>1</w:t>
      </w:r>
      <w:r>
        <w:rPr/>
        <w:t>）在个别财务报表中，合并日之前持有的股权投资采用权益法核算的，以购买日之前所持被购买</w:t>
      </w:r>
      <w:r>
        <w:rPr>
          <w:w w:val="100"/>
        </w:rPr>
        <w:t> </w:t>
      </w:r>
      <w:r>
        <w:rPr>
          <w:spacing w:val="-2"/>
        </w:rPr>
        <w:t>方的股权投资的账面价值与购买日新增投资成本之和，作为该项投资的初始投资成本；购买日之前持有的</w:t>
      </w:r>
      <w:r>
        <w:rPr>
          <w:spacing w:val="-43"/>
        </w:rPr>
        <w:t> </w:t>
      </w:r>
      <w:r>
        <w:rPr>
          <w:spacing w:val="-43"/>
        </w:rPr>
      </w:r>
      <w:r>
        <w:rPr>
          <w:spacing w:val="-2"/>
        </w:rPr>
        <w:t>股权投资因采用权益法核算而确认的其他综合收益，在处置该项投资时采用与被投资单位直接处置相关资</w:t>
      </w:r>
      <w:r>
        <w:rPr>
          <w:spacing w:val="-43"/>
        </w:rPr>
        <w:t> </w:t>
      </w:r>
      <w:r>
        <w:rPr>
          <w:spacing w:val="-43"/>
        </w:rPr>
      </w:r>
      <w:r>
        <w:rPr/>
        <w:t>产或负债相同的基础进行会计处理。</w:t>
      </w:r>
    </w:p>
    <w:p>
      <w:pPr>
        <w:pStyle w:val="BodyText"/>
        <w:spacing w:line="273" w:lineRule="auto" w:before="14"/>
        <w:ind w:right="207" w:firstLine="420"/>
        <w:jc w:val="both"/>
      </w:pPr>
      <w:r>
        <w:rPr>
          <w:spacing w:val="-2"/>
        </w:rPr>
        <w:t>合并日之前持有的股权投资采用金融工具确认和计量准则核算的，以该股权投资在合并日的公允价值</w:t>
      </w:r>
      <w:r>
        <w:rPr>
          <w:w w:val="100"/>
        </w:rPr>
        <w:t> </w:t>
      </w:r>
      <w:r>
        <w:rPr>
          <w:spacing w:val="-2"/>
        </w:rPr>
        <w:t>加上新增投资成本之和，作为合并日的初始投资成本。原持有股权的公允价值与账面价值之间的差额以及</w:t>
      </w:r>
      <w:r>
        <w:rPr>
          <w:spacing w:val="-43"/>
        </w:rPr>
        <w:t> </w:t>
      </w:r>
      <w:r>
        <w:rPr>
          <w:spacing w:val="-43"/>
        </w:rPr>
      </w:r>
      <w:r>
        <w:rPr/>
        <w:t>原计入其他综合收益的累计公允价值变动应全部转入合并日当期的投资收益。</w:t>
      </w:r>
    </w:p>
    <w:p>
      <w:pPr>
        <w:pStyle w:val="BodyText"/>
        <w:spacing w:line="256" w:lineRule="auto" w:before="9"/>
        <w:ind w:right="207" w:firstLine="420"/>
        <w:jc w:val="both"/>
      </w:pPr>
      <w:r>
        <w:rPr/>
        <w:t>（</w:t>
      </w:r>
      <w:r>
        <w:rPr>
          <w:rFonts w:ascii="Times New Roman" w:hAnsi="Times New Roman" w:cs="Times New Roman" w:eastAsia="Times New Roman" w:hint="default"/>
        </w:rPr>
        <w:t>2</w:t>
      </w:r>
      <w:r>
        <w:rPr/>
        <w:t>）在合并财务报表中，对于购买日之前持有的被购买方的股权，按照该股权在购买日的公允价值</w:t>
      </w:r>
      <w:r>
        <w:rPr>
          <w:w w:val="100"/>
        </w:rPr>
        <w:t> </w:t>
      </w:r>
      <w:r>
        <w:rPr>
          <w:spacing w:val="-2"/>
        </w:rPr>
        <w:t>进行重新计量，公允价值与其账面价值的差额计入当期投资收益；购买日之前持有的被购买方的股权涉及</w:t>
      </w:r>
    </w:p>
    <w:p>
      <w:pPr>
        <w:spacing w:after="0" w:line="256" w:lineRule="auto"/>
        <w:jc w:val="both"/>
        <w:sectPr>
          <w:pgSz w:w="11910" w:h="16840"/>
          <w:pgMar w:header="880" w:footer="979" w:top="1120" w:bottom="1160" w:left="980" w:right="920"/>
        </w:sectPr>
      </w:pPr>
    </w:p>
    <w:p>
      <w:pPr>
        <w:spacing w:line="240" w:lineRule="auto" w:before="9"/>
        <w:rPr>
          <w:rFonts w:ascii="宋体" w:hAnsi="宋体" w:cs="宋体" w:eastAsia="宋体" w:hint="default"/>
          <w:sz w:val="20"/>
          <w:szCs w:val="20"/>
        </w:rPr>
      </w:pPr>
    </w:p>
    <w:p>
      <w:pPr>
        <w:pStyle w:val="BodyText"/>
        <w:spacing w:line="240" w:lineRule="auto" w:before="36"/>
        <w:ind w:right="0"/>
        <w:jc w:val="left"/>
      </w:pPr>
      <w:r>
        <w:rPr/>
        <w:t>权益法核算下的其他综合收益等的，与其相关的其他综合收益等转为购买日所属当期投资收益。</w:t>
      </w:r>
    </w:p>
    <w:p>
      <w:pPr>
        <w:spacing w:line="240" w:lineRule="auto" w:before="10"/>
        <w:rPr>
          <w:rFonts w:ascii="宋体" w:hAnsi="宋体" w:cs="宋体" w:eastAsia="宋体" w:hint="default"/>
          <w:sz w:val="14"/>
          <w:szCs w:val="14"/>
        </w:rPr>
      </w:pPr>
    </w:p>
    <w:p>
      <w:pPr>
        <w:spacing w:line="273" w:lineRule="auto" w:before="0"/>
        <w:ind w:left="572" w:right="0" w:firstLine="2"/>
        <w:jc w:val="left"/>
        <w:rPr>
          <w:rFonts w:ascii="宋体" w:hAnsi="宋体" w:cs="宋体" w:eastAsia="宋体" w:hint="default"/>
          <w:sz w:val="21"/>
          <w:szCs w:val="21"/>
        </w:rPr>
      </w:pPr>
      <w:r>
        <w:rPr>
          <w:rFonts w:ascii="宋体" w:hAnsi="宋体" w:cs="宋体" w:eastAsia="宋体" w:hint="default"/>
          <w:b/>
          <w:bCs/>
          <w:sz w:val="21"/>
          <w:szCs w:val="21"/>
        </w:rPr>
        <w:t>（六）合并财务报表的编制方法</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本公司合并财务报表的合并范围以控制为基础确定，所有子公司（包括母公司所控制的单独主体）均</w:t>
      </w:r>
    </w:p>
    <w:p>
      <w:pPr>
        <w:pStyle w:val="BodyText"/>
        <w:spacing w:line="273" w:lineRule="auto" w:before="7"/>
        <w:ind w:left="572" w:right="0" w:hanging="421"/>
        <w:jc w:val="left"/>
      </w:pPr>
      <w:r>
        <w:rPr/>
        <w:t>纳入合并财务报表。</w:t>
      </w:r>
      <w:r>
        <w:rPr>
          <w:w w:val="100"/>
        </w:rPr>
        <w:t> </w:t>
      </w:r>
      <w:r>
        <w:rPr>
          <w:spacing w:val="-2"/>
        </w:rPr>
        <w:t>所有纳入合并财务报表合并范围的子公司所采用的会计政策、会计期间与本公司一致，如子公司采用</w:t>
      </w:r>
    </w:p>
    <w:p>
      <w:pPr>
        <w:pStyle w:val="BodyText"/>
        <w:spacing w:line="273" w:lineRule="auto" w:before="7"/>
        <w:ind w:right="151"/>
        <w:jc w:val="both"/>
      </w:pPr>
      <w:r>
        <w:rPr>
          <w:spacing w:val="-2"/>
        </w:rPr>
        <w:t>的会计政策、会计期间与本公司不一致的，在编制合并财务报表时，按本公司的会计政策、会计期间进行</w:t>
      </w:r>
      <w:r>
        <w:rPr>
          <w:spacing w:val="-50"/>
        </w:rPr>
        <w:t> </w:t>
      </w:r>
      <w:r>
        <w:rPr>
          <w:spacing w:val="-50"/>
        </w:rPr>
      </w:r>
      <w:r>
        <w:rPr/>
        <w:t>必要的调整。</w:t>
      </w:r>
    </w:p>
    <w:p>
      <w:pPr>
        <w:pStyle w:val="BodyText"/>
        <w:spacing w:line="273" w:lineRule="auto" w:before="7"/>
        <w:ind w:left="572" w:right="0"/>
        <w:jc w:val="left"/>
      </w:pPr>
      <w:r>
        <w:rPr/>
        <w:t>合并财务报表以本公司及子公司的财务报表为基础，根据其他有关资料由本公司编制。</w:t>
      </w:r>
      <w:r>
        <w:rPr>
          <w:w w:val="100"/>
        </w:rPr>
        <w:t> </w:t>
      </w:r>
      <w:r>
        <w:rPr>
          <w:spacing w:val="-2"/>
        </w:rPr>
        <w:t>合并财务报表时抵销本公司与各子公司、各子公司相互之间发生的内部交易对合并资产负债表、合并</w:t>
      </w:r>
    </w:p>
    <w:p>
      <w:pPr>
        <w:pStyle w:val="BodyText"/>
        <w:spacing w:line="273" w:lineRule="auto" w:before="7"/>
        <w:ind w:left="572" w:right="0" w:hanging="421"/>
        <w:jc w:val="left"/>
      </w:pPr>
      <w:r>
        <w:rPr/>
        <w:t>利润表、合并现金流量表、合并股东权益变动表的影响。</w:t>
      </w:r>
      <w:r>
        <w:rPr>
          <w:w w:val="100"/>
        </w:rPr>
        <w:t> </w:t>
      </w:r>
      <w:r>
        <w:rPr>
          <w:spacing w:val="-2"/>
        </w:rPr>
        <w:t>子公司少数股东分担的当期亏损超过了少数股东在该子公司期初所有者权益中所享有的份额的，其余</w:t>
      </w:r>
    </w:p>
    <w:p>
      <w:pPr>
        <w:pStyle w:val="BodyText"/>
        <w:spacing w:line="273" w:lineRule="auto" w:before="7"/>
        <w:ind w:left="572" w:right="0" w:hanging="421"/>
        <w:jc w:val="left"/>
      </w:pPr>
      <w:r>
        <w:rPr/>
        <w:t>额仍应当冲减少数股东权益。</w:t>
      </w:r>
      <w:r>
        <w:rPr>
          <w:w w:val="100"/>
        </w:rPr>
        <w:t> </w:t>
      </w:r>
      <w:r>
        <w:rPr>
          <w:spacing w:val="-2"/>
        </w:rPr>
        <w:t>在报告期内，若因同一控制下企业合并增加子公司以及业务的，则调整合并资产负债表的期初数；将</w:t>
      </w:r>
    </w:p>
    <w:p>
      <w:pPr>
        <w:pStyle w:val="BodyText"/>
        <w:spacing w:line="273" w:lineRule="auto" w:before="7"/>
        <w:ind w:right="150"/>
        <w:jc w:val="both"/>
      </w:pPr>
      <w:r>
        <w:rPr>
          <w:spacing w:val="-2"/>
        </w:rPr>
        <w:t>子公司以及业务合并当期期初至报告期末的收入、费用、利润纳入合并利润表；将子公司以及业务合并当</w:t>
      </w:r>
      <w:r>
        <w:rPr>
          <w:spacing w:val="-47"/>
        </w:rPr>
        <w:t> </w:t>
      </w:r>
      <w:r>
        <w:rPr>
          <w:spacing w:val="-47"/>
        </w:rPr>
      </w:r>
      <w:r>
        <w:rPr/>
        <w:t>期期初至报告期末的现金流量纳入合并现金流量表。</w:t>
      </w:r>
    </w:p>
    <w:p>
      <w:pPr>
        <w:pStyle w:val="BodyText"/>
        <w:spacing w:line="273" w:lineRule="auto" w:before="7"/>
        <w:ind w:right="125" w:firstLine="420"/>
        <w:jc w:val="both"/>
      </w:pPr>
      <w:r>
        <w:rPr>
          <w:spacing w:val="-2"/>
        </w:rPr>
        <w:t>在报告期内，若因非同一控制下企业合并增加子公司以及业务的，则不调整合并资产负债表期初数；</w:t>
      </w:r>
      <w:r>
        <w:rPr>
          <w:w w:val="100"/>
        </w:rPr>
        <w:t> </w:t>
      </w:r>
      <w:r>
        <w:rPr>
          <w:spacing w:val="-2"/>
        </w:rPr>
        <w:t>将子公司以及业务自购买日至报告期末的收入、费用、利润纳入合并利润表；该子公司以及业务自购买日</w:t>
      </w:r>
      <w:r>
        <w:rPr>
          <w:spacing w:val="-44"/>
        </w:rPr>
        <w:t> </w:t>
      </w:r>
      <w:r>
        <w:rPr>
          <w:spacing w:val="-44"/>
        </w:rPr>
      </w:r>
      <w:r>
        <w:rPr/>
        <w:t>至报告期末的现金流量纳入合并现金流量表。</w:t>
      </w:r>
    </w:p>
    <w:p>
      <w:pPr>
        <w:pStyle w:val="BodyText"/>
        <w:spacing w:line="273" w:lineRule="auto" w:before="7"/>
        <w:ind w:right="149" w:firstLine="420"/>
        <w:jc w:val="both"/>
      </w:pPr>
      <w:r>
        <w:rPr>
          <w:spacing w:val="-2"/>
        </w:rPr>
        <w:t>在报告期内，本公司处置子公司以及业务，则该子公司以及业务期初至处置日的收入、费用、利润纳</w:t>
      </w:r>
      <w:r>
        <w:rPr>
          <w:w w:val="100"/>
        </w:rPr>
        <w:t> </w:t>
      </w:r>
      <w:r>
        <w:rPr/>
        <w:t>入合并利润表；该子公司以及业务期初至处置日的现金流量纳入合并现金流量表。</w:t>
      </w:r>
    </w:p>
    <w:p>
      <w:pPr>
        <w:pStyle w:val="BodyText"/>
        <w:spacing w:line="273" w:lineRule="auto" w:before="7"/>
        <w:ind w:right="125" w:firstLine="419"/>
        <w:jc w:val="both"/>
      </w:pPr>
      <w:r>
        <w:rPr>
          <w:spacing w:val="-2"/>
        </w:rPr>
        <w:t>本公司因处置部分股权投资或其他原因丧失了对原有子公司控制权的，在合并财务报表中，对于剩余</w:t>
      </w:r>
      <w:r>
        <w:rPr>
          <w:w w:val="100"/>
        </w:rPr>
        <w:t> </w:t>
      </w:r>
      <w:r>
        <w:rPr>
          <w:spacing w:val="-2"/>
        </w:rPr>
        <w:t>股权，按照其在丧失控制权日的公允价值进行重新计量。处置股权取得的对价与剩余股权公允价值之和，</w:t>
      </w:r>
      <w:r>
        <w:rPr>
          <w:spacing w:val="-21"/>
        </w:rPr>
        <w:t> </w:t>
      </w:r>
      <w:r>
        <w:rPr>
          <w:spacing w:val="-21"/>
        </w:rPr>
      </w:r>
      <w:r>
        <w:rPr>
          <w:spacing w:val="-2"/>
        </w:rPr>
        <w:t>减去按原持股比例计算应享有原有子公司自购买日开始持续计算的净资产的份额之间的差额，计入丧失控</w:t>
      </w:r>
      <w:r>
        <w:rPr>
          <w:spacing w:val="-43"/>
        </w:rPr>
        <w:t> </w:t>
      </w:r>
      <w:r>
        <w:rPr>
          <w:spacing w:val="-43"/>
        </w:rPr>
      </w:r>
      <w:r>
        <w:rPr>
          <w:spacing w:val="-2"/>
        </w:rPr>
        <w:t>制权当期的投资收益。与原有子公司股权投资相关的其他综合收益，应当在丧失控制权时转为当期投资收</w:t>
      </w:r>
      <w:r>
        <w:rPr>
          <w:spacing w:val="-44"/>
        </w:rPr>
        <w:t> </w:t>
      </w:r>
      <w:r>
        <w:rPr>
          <w:spacing w:val="-44"/>
        </w:rPr>
      </w:r>
      <w:r>
        <w:rPr/>
        <w:t>益。</w:t>
      </w:r>
    </w:p>
    <w:p>
      <w:pPr>
        <w:spacing w:line="273" w:lineRule="auto" w:before="165"/>
        <w:ind w:left="572" w:right="0" w:firstLine="3"/>
        <w:jc w:val="left"/>
        <w:rPr>
          <w:rFonts w:ascii="宋体" w:hAnsi="宋体" w:cs="宋体" w:eastAsia="宋体" w:hint="default"/>
          <w:sz w:val="21"/>
          <w:szCs w:val="21"/>
        </w:rPr>
      </w:pPr>
      <w:r>
        <w:rPr>
          <w:rFonts w:ascii="宋体" w:hAnsi="宋体" w:cs="宋体" w:eastAsia="宋体" w:hint="default"/>
          <w:b/>
          <w:bCs/>
          <w:sz w:val="21"/>
          <w:szCs w:val="21"/>
        </w:rPr>
        <w:t>（七）现金及现金等价物的确定标准</w:t>
      </w:r>
      <w:r>
        <w:rPr>
          <w:rFonts w:ascii="宋体" w:hAnsi="宋体" w:cs="宋体" w:eastAsia="宋体" w:hint="default"/>
          <w:b/>
          <w:bCs/>
          <w:w w:val="100"/>
          <w:sz w:val="21"/>
          <w:szCs w:val="21"/>
        </w:rPr>
        <w:t> </w:t>
      </w:r>
      <w:r>
        <w:rPr>
          <w:rFonts w:ascii="宋体" w:hAnsi="宋体" w:cs="宋体" w:eastAsia="宋体" w:hint="default"/>
          <w:spacing w:val="-2"/>
          <w:sz w:val="21"/>
          <w:szCs w:val="21"/>
        </w:rPr>
        <w:t>在编制现金流量表时，将本公司库存现金以及可以随时用于支付的存款确认为现金。将同时具备期限</w:t>
      </w:r>
    </w:p>
    <w:p>
      <w:pPr>
        <w:pStyle w:val="BodyText"/>
        <w:spacing w:line="273" w:lineRule="auto" w:before="7"/>
        <w:ind w:right="148"/>
        <w:jc w:val="both"/>
      </w:pPr>
      <w:r>
        <w:rPr>
          <w:spacing w:val="-2"/>
        </w:rPr>
        <w:t>短（一般从购买日起，三个月内到期）、流动性强、易于转换为已知金额的现金、价值变动风险很小四个</w:t>
      </w:r>
      <w:r>
        <w:rPr>
          <w:spacing w:val="-42"/>
        </w:rPr>
        <w:t> </w:t>
      </w:r>
      <w:r>
        <w:rPr>
          <w:spacing w:val="-42"/>
        </w:rPr>
      </w:r>
      <w:r>
        <w:rPr/>
        <w:t>条件的投资，确定为现金等价物。</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Heading5"/>
        <w:spacing w:line="240" w:lineRule="auto"/>
        <w:ind w:left="575" w:right="0"/>
        <w:jc w:val="left"/>
        <w:rPr>
          <w:b w:val="0"/>
          <w:bCs w:val="0"/>
        </w:rPr>
      </w:pPr>
      <w:r>
        <w:rPr/>
        <w:t>（八）外币业务和外币财务报表的折算核算方法</w:t>
      </w:r>
      <w:r>
        <w:rPr>
          <w:b w:val="0"/>
          <w:bCs w:val="0"/>
        </w:rPr>
      </w:r>
    </w:p>
    <w:p>
      <w:pPr>
        <w:pStyle w:val="BodyText"/>
        <w:spacing w:line="264" w:lineRule="auto" w:before="37"/>
        <w:ind w:left="572" w:right="0" w:firstLine="2"/>
        <w:jc w:val="left"/>
      </w:pPr>
      <w:r>
        <w:rPr>
          <w:rFonts w:ascii="Times New Roman" w:hAnsi="Times New Roman" w:cs="Times New Roman" w:eastAsia="Times New Roman" w:hint="default"/>
          <w:b/>
          <w:bCs/>
        </w:rPr>
        <w:t>1</w:t>
      </w:r>
      <w:r>
        <w:rPr>
          <w:rFonts w:ascii="宋体" w:hAnsi="宋体" w:cs="宋体" w:eastAsia="宋体" w:hint="default"/>
          <w:b/>
          <w:bCs/>
        </w:rPr>
        <w:t>、外币业务</w:t>
      </w:r>
      <w:r>
        <w:rPr>
          <w:rFonts w:ascii="宋体" w:hAnsi="宋体" w:cs="宋体" w:eastAsia="宋体" w:hint="default"/>
          <w:b/>
          <w:bCs/>
          <w:w w:val="100"/>
        </w:rPr>
        <w:t> </w:t>
      </w:r>
      <w:r>
        <w:rPr/>
        <w:t>外币业务交易在初始确认时，采用交易发生日的即期汇率作为折算汇率折合成人民币记账。</w:t>
      </w:r>
      <w:r>
        <w:rPr>
          <w:w w:val="100"/>
        </w:rPr>
        <w:t> </w:t>
      </w:r>
      <w:r>
        <w:rPr>
          <w:spacing w:val="-2"/>
        </w:rPr>
        <w:t>资产负债表日，外币货币性项目按资产负债表日即期汇率折算，由此产生的汇兑差额，除属于与购建</w:t>
      </w:r>
    </w:p>
    <w:p>
      <w:pPr>
        <w:pStyle w:val="BodyText"/>
        <w:spacing w:line="273" w:lineRule="auto" w:before="16"/>
        <w:ind w:right="146"/>
        <w:jc w:val="both"/>
      </w:pPr>
      <w:r>
        <w:rPr>
          <w:spacing w:val="-2"/>
        </w:rPr>
        <w:t>符合资本化条件的资产相关的外币专门借款产生的汇兑差额按照借款费用资本化的原则处理外，均计入当</w:t>
      </w:r>
      <w:r>
        <w:rPr>
          <w:spacing w:val="-43"/>
        </w:rPr>
        <w:t> </w:t>
      </w:r>
      <w:r>
        <w:rPr>
          <w:spacing w:val="-43"/>
        </w:rPr>
      </w:r>
      <w:r>
        <w:rPr>
          <w:spacing w:val="-2"/>
        </w:rPr>
        <w:t>期损益。以历史成本计量的外币非货币性项目，仍采用交易发生日的即期汇率折算，不改变其记账本位币</w:t>
      </w:r>
      <w:r>
        <w:rPr>
          <w:spacing w:val="-43"/>
        </w:rPr>
        <w:t> </w:t>
      </w:r>
      <w:r>
        <w:rPr>
          <w:spacing w:val="-43"/>
        </w:rPr>
      </w:r>
      <w:r>
        <w:rPr/>
        <w:t>金额。</w:t>
      </w:r>
    </w:p>
    <w:p>
      <w:pPr>
        <w:pStyle w:val="BodyText"/>
        <w:spacing w:line="273" w:lineRule="auto" w:before="7"/>
        <w:ind w:right="146" w:firstLine="419"/>
        <w:jc w:val="both"/>
      </w:pPr>
      <w:r>
        <w:rPr>
          <w:spacing w:val="-2"/>
        </w:rPr>
        <w:t>以公允价值计量的外币非货币性项目，采用公允价值确定日的即期汇率折算，由此产生的汇兑差额作</w:t>
      </w:r>
      <w:r>
        <w:rPr>
          <w:w w:val="100"/>
        </w:rPr>
        <w:t> </w:t>
      </w:r>
      <w:r>
        <w:rPr>
          <w:spacing w:val="-2"/>
        </w:rPr>
        <w:t>为公允价值变动损益计入当期损益。如属于可供出售外币非货币性项目的，形成的汇兑差额计入其他综合</w:t>
      </w:r>
      <w:r>
        <w:rPr>
          <w:spacing w:val="-42"/>
        </w:rPr>
        <w:t> </w:t>
      </w:r>
      <w:r>
        <w:rPr>
          <w:spacing w:val="-42"/>
        </w:rPr>
      </w:r>
      <w:r>
        <w:rPr/>
        <w:t>收益。</w:t>
      </w:r>
    </w:p>
    <w:p>
      <w:pPr>
        <w:pStyle w:val="BodyText"/>
        <w:spacing w:line="256" w:lineRule="auto" w:before="8"/>
        <w:ind w:left="572" w:right="0" w:firstLine="2"/>
        <w:jc w:val="left"/>
      </w:pPr>
      <w:r>
        <w:rPr>
          <w:rFonts w:ascii="Times New Roman" w:hAnsi="Times New Roman" w:cs="Times New Roman" w:eastAsia="Times New Roman" w:hint="default"/>
          <w:b/>
          <w:bCs/>
        </w:rPr>
        <w:t>2</w:t>
      </w:r>
      <w:r>
        <w:rPr>
          <w:rFonts w:ascii="宋体" w:hAnsi="宋体" w:cs="宋体" w:eastAsia="宋体" w:hint="default"/>
          <w:b/>
          <w:bCs/>
        </w:rPr>
        <w:t>、外币财务报表折算</w:t>
      </w:r>
      <w:r>
        <w:rPr>
          <w:rFonts w:ascii="宋体" w:hAnsi="宋体" w:cs="宋体" w:eastAsia="宋体" w:hint="default"/>
          <w:b/>
          <w:bCs/>
          <w:w w:val="100"/>
        </w:rPr>
        <w:t> </w:t>
      </w:r>
      <w:r>
        <w:rPr/>
        <w:t>资产负债表中的资产和负债项目，采用资产负债表日的即期汇率折算；所有者权益项目除</w:t>
      </w:r>
      <w:r>
        <w:rPr>
          <w:rFonts w:ascii="Times New Roman" w:hAnsi="Times New Roman" w:cs="Times New Roman" w:eastAsia="Times New Roman" w:hint="default"/>
        </w:rPr>
        <w:t>“</w:t>
      </w:r>
      <w:r>
        <w:rPr/>
        <w:t>未分配利</w:t>
      </w:r>
    </w:p>
    <w:p>
      <w:pPr>
        <w:pStyle w:val="BodyText"/>
        <w:spacing w:line="240" w:lineRule="auto" w:before="5"/>
        <w:ind w:right="0"/>
        <w:jc w:val="left"/>
      </w:pPr>
      <w:r>
        <w:rPr/>
        <w:t>润</w:t>
      </w:r>
      <w:r>
        <w:rPr>
          <w:rFonts w:ascii="Times New Roman" w:hAnsi="Times New Roman" w:cs="Times New Roman" w:eastAsia="Times New Roman" w:hint="default"/>
        </w:rPr>
        <w:t>”</w:t>
      </w:r>
      <w:r>
        <w:rPr/>
        <w:t>项目外，其他项目采用发生时的即期汇率折算。利润表中的收入和费用项目，采用交易发生日的即期</w:t>
      </w:r>
    </w:p>
    <w:p>
      <w:pPr>
        <w:spacing w:after="0" w:line="240" w:lineRule="auto"/>
        <w:jc w:val="left"/>
        <w:sectPr>
          <w:pgSz w:w="11910" w:h="16840"/>
          <w:pgMar w:header="880" w:footer="979" w:top="1120" w:bottom="1160" w:left="980" w:right="980"/>
        </w:sectPr>
      </w:pPr>
    </w:p>
    <w:p>
      <w:pPr>
        <w:spacing w:line="240" w:lineRule="auto" w:before="9"/>
        <w:rPr>
          <w:rFonts w:ascii="宋体" w:hAnsi="宋体" w:cs="宋体" w:eastAsia="宋体" w:hint="default"/>
          <w:sz w:val="20"/>
          <w:szCs w:val="20"/>
        </w:rPr>
      </w:pPr>
    </w:p>
    <w:p>
      <w:pPr>
        <w:pStyle w:val="BodyText"/>
        <w:spacing w:line="273" w:lineRule="auto" w:before="36"/>
        <w:ind w:left="572" w:right="0" w:hanging="421"/>
        <w:jc w:val="left"/>
      </w:pPr>
      <w:r>
        <w:rPr/>
        <w:t>汇率折算。按照上述折算产生的外币财务报表折算差额计入其他综合收益。</w:t>
      </w:r>
      <w:r>
        <w:rPr>
          <w:w w:val="100"/>
        </w:rPr>
        <w:t> </w:t>
      </w:r>
      <w:r>
        <w:rPr>
          <w:spacing w:val="-2"/>
        </w:rPr>
        <w:t>处置境外经营时，将资产负债表中其他综合收益项目中列示的、与该境外经营相关的外币财务报表折</w:t>
      </w:r>
    </w:p>
    <w:p>
      <w:pPr>
        <w:pStyle w:val="BodyText"/>
        <w:spacing w:line="273" w:lineRule="auto" w:before="7"/>
        <w:ind w:right="146"/>
        <w:jc w:val="both"/>
      </w:pPr>
      <w:r>
        <w:rPr>
          <w:spacing w:val="-2"/>
        </w:rPr>
        <w:t>算差额，自其他综合收益项目转入处置当期损益；部分处置境外经营的，按处置的比例计算处置部分的外</w:t>
      </w:r>
      <w:r>
        <w:rPr>
          <w:spacing w:val="-43"/>
        </w:rPr>
        <w:t> </w:t>
      </w:r>
      <w:r>
        <w:rPr>
          <w:spacing w:val="-43"/>
        </w:rPr>
      </w:r>
      <w:r>
        <w:rPr/>
        <w:t>币财务报表折算差额，转入处置当期损益。</w:t>
      </w:r>
    </w:p>
    <w:p>
      <w:pPr>
        <w:spacing w:line="273" w:lineRule="auto" w:before="164"/>
        <w:ind w:left="572" w:right="3800" w:firstLine="2"/>
        <w:jc w:val="left"/>
        <w:rPr>
          <w:rFonts w:ascii="宋体" w:hAnsi="宋体" w:cs="宋体" w:eastAsia="宋体" w:hint="default"/>
          <w:sz w:val="21"/>
          <w:szCs w:val="21"/>
        </w:rPr>
      </w:pPr>
      <w:r>
        <w:rPr>
          <w:rFonts w:ascii="宋体" w:hAnsi="宋体" w:cs="宋体" w:eastAsia="宋体" w:hint="default"/>
          <w:b/>
          <w:bCs/>
          <w:sz w:val="21"/>
          <w:szCs w:val="21"/>
        </w:rPr>
        <w:t>（九）金融工具</w:t>
      </w:r>
      <w:r>
        <w:rPr>
          <w:rFonts w:ascii="宋体" w:hAnsi="宋体" w:cs="宋体" w:eastAsia="宋体" w:hint="default"/>
          <w:b/>
          <w:bCs/>
          <w:w w:val="100"/>
          <w:sz w:val="21"/>
          <w:szCs w:val="21"/>
        </w:rPr>
        <w:t> </w:t>
      </w:r>
      <w:r>
        <w:rPr>
          <w:rFonts w:ascii="宋体" w:hAnsi="宋体" w:cs="宋体" w:eastAsia="宋体" w:hint="default"/>
          <w:spacing w:val="-2"/>
          <w:sz w:val="21"/>
          <w:szCs w:val="21"/>
        </w:rPr>
        <w:t>金融工具包括金融资产、金融负债和权益工具。</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、金融工具的分类</w:t>
      </w:r>
      <w:r>
        <w:rPr>
          <w:rFonts w:ascii="宋体" w:hAnsi="宋体" w:cs="宋体" w:eastAsia="宋体" w:hint="default"/>
          <w:sz w:val="21"/>
          <w:szCs w:val="21"/>
        </w:rPr>
      </w:r>
    </w:p>
    <w:p>
      <w:pPr>
        <w:pStyle w:val="BodyText"/>
        <w:spacing w:line="273" w:lineRule="auto"/>
        <w:ind w:right="146" w:firstLine="420"/>
        <w:jc w:val="both"/>
      </w:pPr>
      <w:r>
        <w:rPr>
          <w:spacing w:val="-2"/>
        </w:rPr>
        <w:t>管理层根据所发行金融工具的合同条款及其所反映的经济实质而非仅以法律形式，结合取得持有金融</w:t>
      </w:r>
      <w:r>
        <w:rPr>
          <w:w w:val="100"/>
        </w:rPr>
        <w:t> </w:t>
      </w:r>
      <w:r>
        <w:rPr>
          <w:spacing w:val="-2"/>
        </w:rPr>
        <w:t>资产和承担金融负债的目的，将金融资产和金融负债分为不同类别：以公允价值计量且其变动计入当期损</w:t>
      </w:r>
      <w:r>
        <w:rPr>
          <w:spacing w:val="-44"/>
        </w:rPr>
        <w:t> </w:t>
      </w:r>
      <w:r>
        <w:rPr>
          <w:spacing w:val="-44"/>
        </w:rPr>
      </w:r>
      <w:r>
        <w:rPr/>
        <w:t>益的金融资产（或金融负债）；持有至到期投资；应收款项；可供出售金融资产；其他金融负债等。</w:t>
      </w:r>
    </w:p>
    <w:p>
      <w:pPr>
        <w:pStyle w:val="Heading5"/>
        <w:spacing w:line="240" w:lineRule="auto" w:before="8"/>
        <w:ind w:left="575" w:right="0"/>
        <w:jc w:val="left"/>
        <w:rPr>
          <w:b w:val="0"/>
          <w:bCs w:val="0"/>
        </w:rPr>
      </w:pPr>
      <w:r>
        <w:rPr>
          <w:rFonts w:ascii="Times New Roman" w:hAnsi="Times New Roman" w:cs="Times New Roman" w:eastAsia="Times New Roman" w:hint="default"/>
        </w:rPr>
        <w:t>2</w:t>
      </w:r>
      <w:r>
        <w:rPr/>
        <w:t>、金融工具的确认依据和计量方法</w:t>
      </w:r>
      <w:r>
        <w:rPr>
          <w:b w:val="0"/>
          <w:bCs w:val="0"/>
        </w:rPr>
      </w:r>
    </w:p>
    <w:p>
      <w:pPr>
        <w:pStyle w:val="BodyText"/>
        <w:spacing w:line="256" w:lineRule="auto" w:before="21"/>
        <w:ind w:left="572" w:right="0"/>
        <w:jc w:val="left"/>
      </w:pPr>
      <w:r>
        <w:rPr/>
        <w:t>（</w:t>
      </w:r>
      <w:r>
        <w:rPr>
          <w:rFonts w:ascii="Times New Roman" w:hAnsi="Times New Roman" w:cs="Times New Roman" w:eastAsia="Times New Roman" w:hint="default"/>
        </w:rPr>
        <w:t>1</w:t>
      </w:r>
      <w:r>
        <w:rPr/>
        <w:t>）以公允价值计量且其变动计入当期损益的金融资产（金融负债）</w:t>
      </w:r>
      <w:r>
        <w:rPr>
          <w:spacing w:val="-3"/>
          <w:w w:val="100"/>
        </w:rPr>
        <w:t> </w:t>
      </w:r>
      <w:r>
        <w:rPr>
          <w:spacing w:val="-2"/>
        </w:rPr>
        <w:t>以公允价值计量且其变动计入当期损益的金融资产或金融负债，包括交易性金融资产或金融负债和直</w:t>
      </w:r>
    </w:p>
    <w:p>
      <w:pPr>
        <w:pStyle w:val="BodyText"/>
        <w:spacing w:line="273" w:lineRule="auto" w:before="22"/>
        <w:ind w:left="572" w:right="0" w:hanging="421"/>
        <w:jc w:val="left"/>
      </w:pPr>
      <w:r>
        <w:rPr/>
        <w:t>接指定为以公允价值计量且其变动计入当期损益的金融资产或金融负债。</w:t>
      </w:r>
      <w:r>
        <w:rPr>
          <w:w w:val="100"/>
        </w:rPr>
        <w:t> </w:t>
      </w:r>
      <w:r>
        <w:rPr>
          <w:spacing w:val="-2"/>
        </w:rPr>
        <w:t>交易性金融资产或金融负债是指满足下列条件之一的金融资产或金融负债：</w:t>
      </w:r>
      <w:r>
        <w:rPr>
          <w:w w:val="100"/>
        </w:rPr>
        <w:t> </w:t>
      </w:r>
      <w:r>
        <w:rPr>
          <w:rFonts w:ascii="Times New Roman" w:hAnsi="Times New Roman" w:cs="Times New Roman" w:eastAsia="Times New Roman" w:hint="default"/>
        </w:rPr>
        <w:t>1</w:t>
      </w:r>
      <w:r>
        <w:rPr/>
        <w:t>）取得该金融资产或金融负债的目的是为了在短期内出售、回购或赎回；</w:t>
      </w:r>
    </w:p>
    <w:p>
      <w:pPr>
        <w:pStyle w:val="BodyText"/>
        <w:spacing w:line="256" w:lineRule="auto"/>
        <w:ind w:right="154" w:firstLine="420"/>
        <w:jc w:val="both"/>
      </w:pPr>
      <w:r>
        <w:rPr>
          <w:rFonts w:ascii="Times New Roman" w:hAnsi="Times New Roman" w:cs="Times New Roman" w:eastAsia="Times New Roman" w:hint="default"/>
        </w:rPr>
        <w:t>2</w:t>
      </w:r>
      <w:r>
        <w:rPr/>
        <w:t>）属于进行集中管理的可辨认金融工具组合的一部分，且有客观证据表明本公司近期采用短期获利</w:t>
      </w:r>
      <w:r>
        <w:rPr>
          <w:w w:val="100"/>
        </w:rPr>
        <w:t> </w:t>
      </w:r>
      <w:r>
        <w:rPr/>
        <w:t>方式对该组合进行管理；</w:t>
      </w:r>
    </w:p>
    <w:p>
      <w:pPr>
        <w:pStyle w:val="BodyText"/>
        <w:spacing w:line="264" w:lineRule="auto" w:before="22"/>
        <w:ind w:right="152" w:firstLine="420"/>
        <w:jc w:val="both"/>
      </w:pPr>
      <w:r>
        <w:rPr>
          <w:rFonts w:ascii="Times New Roman" w:hAnsi="Times New Roman" w:cs="Times New Roman" w:eastAsia="Times New Roman" w:hint="default"/>
        </w:rPr>
        <w:t>3</w:t>
      </w:r>
      <w:r>
        <w:rPr/>
        <w:t>）属于衍生金融工具，但是被指定为有效套期工具的衍生工具、属于财务担保合同的衍生工具、与</w:t>
      </w:r>
      <w:r>
        <w:rPr>
          <w:w w:val="100"/>
        </w:rPr>
        <w:t> </w:t>
      </w:r>
      <w:r>
        <w:rPr>
          <w:spacing w:val="2"/>
        </w:rPr>
        <w:t>在活跃市场中没有报价且其公允价值不能可靠计量的权益工具投资挂钩并须通过交付该权益工具结算的</w:t>
      </w:r>
      <w:r>
        <w:rPr>
          <w:spacing w:val="-28"/>
        </w:rPr>
        <w:t> </w:t>
      </w:r>
      <w:r>
        <w:rPr>
          <w:spacing w:val="-28"/>
        </w:rPr>
      </w:r>
      <w:r>
        <w:rPr/>
        <w:t>衍生工具除外。</w:t>
      </w:r>
    </w:p>
    <w:p>
      <w:pPr>
        <w:pStyle w:val="BodyText"/>
        <w:spacing w:line="273" w:lineRule="auto" w:before="16"/>
        <w:ind w:right="147" w:firstLine="420"/>
        <w:jc w:val="both"/>
      </w:pPr>
      <w:r>
        <w:rPr>
          <w:spacing w:val="-2"/>
        </w:rPr>
        <w:t>只有符合以下条件之一，金融资产或金融负债才可在初始计量时指定为以公允价值计量且其变动计入</w:t>
      </w:r>
      <w:r>
        <w:rPr>
          <w:w w:val="100"/>
        </w:rPr>
        <w:t> </w:t>
      </w:r>
      <w:r>
        <w:rPr/>
        <w:t>损益的金融资产或金融负债：</w:t>
      </w:r>
    </w:p>
    <w:p>
      <w:pPr>
        <w:pStyle w:val="BodyText"/>
        <w:spacing w:line="256" w:lineRule="auto" w:before="7"/>
        <w:ind w:right="154" w:firstLine="420"/>
        <w:jc w:val="both"/>
      </w:pPr>
      <w:r>
        <w:rPr>
          <w:rFonts w:ascii="Times New Roman" w:hAnsi="Times New Roman" w:cs="Times New Roman" w:eastAsia="Times New Roman" w:hint="default"/>
        </w:rPr>
        <w:t>1</w:t>
      </w:r>
      <w:r>
        <w:rPr/>
        <w:t>）该项指定可以消除或明显减少由于金融资产或金融负债的计量基础不同所导致的相关利得或损失</w:t>
      </w:r>
      <w:r>
        <w:rPr>
          <w:w w:val="100"/>
        </w:rPr>
        <w:t> </w:t>
      </w:r>
      <w:r>
        <w:rPr/>
        <w:t>在确认或计量方面不一致的情况；</w:t>
      </w:r>
    </w:p>
    <w:p>
      <w:pPr>
        <w:pStyle w:val="BodyText"/>
        <w:spacing w:line="256" w:lineRule="auto" w:before="22"/>
        <w:ind w:right="154" w:firstLine="420"/>
        <w:jc w:val="both"/>
      </w:pPr>
      <w:r>
        <w:rPr>
          <w:rFonts w:ascii="Times New Roman" w:hAnsi="Times New Roman" w:cs="Times New Roman" w:eastAsia="Times New Roman" w:hint="default"/>
        </w:rPr>
        <w:t>2</w:t>
      </w:r>
      <w:r>
        <w:rPr/>
        <w:t>）风险管理或投资策略的正式书面文件已载明，该金融资产组合、该金融负债组合、或该金融资产</w:t>
      </w:r>
      <w:r>
        <w:rPr>
          <w:w w:val="100"/>
        </w:rPr>
        <w:t> </w:t>
      </w:r>
      <w:r>
        <w:rPr/>
        <w:t>和金融负债组合，以公允价值为基础进行管理、评价并向关键管理人员报告；</w:t>
      </w:r>
    </w:p>
    <w:p>
      <w:pPr>
        <w:pStyle w:val="BodyText"/>
        <w:spacing w:line="256" w:lineRule="auto" w:before="22"/>
        <w:ind w:right="154" w:firstLine="420"/>
        <w:jc w:val="both"/>
      </w:pPr>
      <w:r>
        <w:rPr>
          <w:rFonts w:ascii="Times New Roman" w:hAnsi="Times New Roman" w:cs="Times New Roman" w:eastAsia="Times New Roman" w:hint="default"/>
        </w:rPr>
        <w:t>3</w:t>
      </w:r>
      <w:r>
        <w:rPr/>
        <w:t>）包含一项或多项嵌入衍生工具的混合工具，除非嵌入衍生工具对混合工具的现金流量没有重大改</w:t>
      </w:r>
      <w:r>
        <w:rPr>
          <w:w w:val="100"/>
        </w:rPr>
        <w:t> </w:t>
      </w:r>
      <w:r>
        <w:rPr/>
        <w:t>变，或所嵌入的衍生工具明显不应当从相关混合工具中分拆；</w:t>
      </w:r>
    </w:p>
    <w:p>
      <w:pPr>
        <w:pStyle w:val="BodyText"/>
        <w:spacing w:line="256" w:lineRule="auto" w:before="22"/>
        <w:ind w:right="154" w:firstLine="420"/>
        <w:jc w:val="both"/>
      </w:pPr>
      <w:r>
        <w:rPr>
          <w:rFonts w:ascii="Times New Roman" w:hAnsi="Times New Roman" w:cs="Times New Roman" w:eastAsia="Times New Roman" w:hint="default"/>
        </w:rPr>
        <w:t>4</w:t>
      </w:r>
      <w:r>
        <w:rPr/>
        <w:t>）包含需要分拆但无法在取得时或后续的资产负债表日对其进行单独计量的嵌入衍生工具的混合工</w:t>
      </w:r>
      <w:r>
        <w:rPr>
          <w:w w:val="100"/>
        </w:rPr>
        <w:t> </w:t>
      </w:r>
      <w:r>
        <w:rPr/>
        <w:t>具。</w:t>
      </w:r>
    </w:p>
    <w:p>
      <w:pPr>
        <w:pStyle w:val="BodyText"/>
        <w:spacing w:line="273" w:lineRule="auto" w:before="22"/>
        <w:ind w:right="128" w:firstLine="420"/>
        <w:jc w:val="both"/>
      </w:pPr>
      <w:r>
        <w:rPr>
          <w:spacing w:val="-2"/>
        </w:rPr>
        <w:t>本公司对以公允价值计量且其变动计入当期损益的金融资产或金融负债，在取得时以公允价值（扣除</w:t>
      </w:r>
      <w:r>
        <w:rPr>
          <w:w w:val="100"/>
        </w:rPr>
        <w:t> </w:t>
      </w:r>
      <w:r>
        <w:rPr>
          <w:spacing w:val="-2"/>
        </w:rPr>
        <w:t>已宣告但尚未发放的现金股利或已到付息期但尚未领取的债券利息）作为初始确认金额，相关的交易费用</w:t>
      </w:r>
      <w:r>
        <w:rPr>
          <w:spacing w:val="-44"/>
        </w:rPr>
        <w:t> </w:t>
      </w:r>
      <w:r>
        <w:rPr>
          <w:spacing w:val="-44"/>
        </w:rPr>
      </w:r>
      <w:r>
        <w:rPr>
          <w:spacing w:val="-2"/>
        </w:rPr>
        <w:t>计入当期损益。持有期间将取得的利息或现金股利确认为投资收益，期末将公允价值变动计入当期损益。</w:t>
      </w:r>
      <w:r>
        <w:rPr>
          <w:spacing w:val="-24"/>
        </w:rPr>
        <w:t> </w:t>
      </w:r>
      <w:r>
        <w:rPr>
          <w:spacing w:val="-24"/>
        </w:rPr>
      </w:r>
      <w:r>
        <w:rPr/>
        <w:t>处置时，其公允价值与初始入账金额之间的差额确认为投资收益，同时调整公允价值变动损益。</w:t>
      </w:r>
    </w:p>
    <w:p>
      <w:pPr>
        <w:pStyle w:val="BodyText"/>
        <w:spacing w:line="256" w:lineRule="auto" w:before="7"/>
        <w:ind w:left="572" w:right="0"/>
        <w:jc w:val="left"/>
      </w:pPr>
      <w:r>
        <w:rPr/>
        <w:t>（</w:t>
      </w:r>
      <w:r>
        <w:rPr>
          <w:rFonts w:ascii="Times New Roman" w:hAnsi="Times New Roman" w:cs="Times New Roman" w:eastAsia="Times New Roman" w:hint="default"/>
        </w:rPr>
        <w:t>2</w:t>
      </w:r>
      <w:r>
        <w:rPr/>
        <w:t>）持有至到期投资</w:t>
      </w:r>
      <w:r>
        <w:rPr>
          <w:spacing w:val="-3"/>
          <w:w w:val="100"/>
        </w:rPr>
        <w:t> </w:t>
      </w:r>
      <w:r>
        <w:rPr>
          <w:spacing w:val="-2"/>
        </w:rPr>
        <w:t>持有至到期投资是指到期日固定、回收金额固定或可确定，且本公司有明确意图和能力持有至到期的</w:t>
      </w:r>
    </w:p>
    <w:p>
      <w:pPr>
        <w:pStyle w:val="BodyText"/>
        <w:spacing w:line="273" w:lineRule="auto" w:before="22"/>
        <w:ind w:left="572" w:right="0" w:hanging="421"/>
        <w:jc w:val="left"/>
      </w:pPr>
      <w:r>
        <w:rPr/>
        <w:t>非衍生性金融资产。</w:t>
      </w:r>
      <w:r>
        <w:rPr>
          <w:w w:val="100"/>
        </w:rPr>
        <w:t> </w:t>
      </w:r>
      <w:r>
        <w:rPr>
          <w:spacing w:val="-2"/>
        </w:rPr>
        <w:t>本公司对持有至到期投资，在取得时按公允价值（扣除已到付息期但尚未领取的债券利息）和相关交</w:t>
      </w:r>
    </w:p>
    <w:p>
      <w:pPr>
        <w:pStyle w:val="BodyText"/>
        <w:spacing w:line="273" w:lineRule="auto" w:before="7"/>
        <w:ind w:right="147"/>
        <w:jc w:val="both"/>
      </w:pPr>
      <w:r>
        <w:rPr>
          <w:spacing w:val="-2"/>
        </w:rPr>
        <w:t>易费用之和作为初始确认金额。持有期间按照摊余成本和实际利率计算确认利息收入，计入投资收益。实</w:t>
      </w:r>
      <w:r>
        <w:rPr>
          <w:spacing w:val="-44"/>
        </w:rPr>
        <w:t> </w:t>
      </w:r>
      <w:r>
        <w:rPr>
          <w:spacing w:val="-44"/>
        </w:rPr>
      </w:r>
      <w:r>
        <w:rPr>
          <w:spacing w:val="-2"/>
        </w:rPr>
        <w:t>际利率在取得时确定，在该预期存续期间或适用的更短期间内保持不变。处置时，将所取得价款与该投资</w:t>
      </w:r>
      <w:r>
        <w:rPr>
          <w:spacing w:val="-49"/>
        </w:rPr>
        <w:t> </w:t>
      </w:r>
      <w:r>
        <w:rPr>
          <w:spacing w:val="-49"/>
        </w:rPr>
      </w:r>
      <w:r>
        <w:rPr/>
        <w:t>账面价值之间的差额计入投资收益。</w:t>
      </w:r>
    </w:p>
    <w:p>
      <w:pPr>
        <w:pStyle w:val="BodyText"/>
        <w:spacing w:line="273" w:lineRule="auto" w:before="9"/>
        <w:ind w:right="146" w:firstLine="420"/>
        <w:jc w:val="both"/>
      </w:pPr>
      <w:r>
        <w:rPr>
          <w:spacing w:val="-2"/>
        </w:rPr>
        <w:t>如果持有至到期投资处置或重分类为其他类金融资产的金额，相对于本公司全部持有至到期投资在出</w:t>
      </w:r>
      <w:r>
        <w:rPr>
          <w:w w:val="100"/>
        </w:rPr>
        <w:t> </w:t>
      </w:r>
      <w:r>
        <w:rPr>
          <w:spacing w:val="-2"/>
        </w:rPr>
        <w:t>售或重分类前的总额较大，在处置或重分类后应立即将其剩余的持有至到期投资重分类为可供出售金融资</w:t>
      </w:r>
    </w:p>
    <w:p>
      <w:pPr>
        <w:spacing w:after="0" w:line="273" w:lineRule="auto"/>
        <w:jc w:val="both"/>
        <w:sectPr>
          <w:pgSz w:w="11910" w:h="16840"/>
          <w:pgMar w:header="880" w:footer="979" w:top="1120" w:bottom="1160" w:left="980" w:right="980"/>
        </w:sectPr>
      </w:pPr>
    </w:p>
    <w:p>
      <w:pPr>
        <w:spacing w:line="240" w:lineRule="auto" w:before="9"/>
        <w:rPr>
          <w:rFonts w:ascii="宋体" w:hAnsi="宋体" w:cs="宋体" w:eastAsia="宋体" w:hint="default"/>
          <w:sz w:val="20"/>
          <w:szCs w:val="20"/>
        </w:rPr>
      </w:pPr>
    </w:p>
    <w:p>
      <w:pPr>
        <w:pStyle w:val="BodyText"/>
        <w:spacing w:line="273" w:lineRule="auto" w:before="36"/>
        <w:ind w:right="146"/>
        <w:jc w:val="both"/>
      </w:pPr>
      <w:r>
        <w:rPr>
          <w:spacing w:val="-2"/>
        </w:rPr>
        <w:t>产；重分类日，该投资的账面价值与其公允价值之间的差额计入其他综合收益，在该可供出售金融资产发</w:t>
      </w:r>
      <w:r>
        <w:rPr>
          <w:spacing w:val="-43"/>
        </w:rPr>
        <w:t> </w:t>
      </w:r>
      <w:r>
        <w:rPr>
          <w:spacing w:val="-43"/>
        </w:rPr>
      </w:r>
      <w:r>
        <w:rPr/>
        <w:t>生减值或终止确认时转出，计入当期损益。但是，遇到下列情况可以除外：</w:t>
      </w:r>
    </w:p>
    <w:p>
      <w:pPr>
        <w:pStyle w:val="BodyText"/>
        <w:spacing w:line="256" w:lineRule="auto" w:before="7"/>
        <w:ind w:left="153" w:right="0" w:firstLine="419"/>
        <w:jc w:val="left"/>
      </w:pPr>
      <w:r>
        <w:rPr>
          <w:rFonts w:ascii="Times New Roman" w:hAnsi="Times New Roman" w:cs="Times New Roman" w:eastAsia="Times New Roman" w:hint="default"/>
          <w:spacing w:val="-3"/>
        </w:rPr>
        <w:t>1</w:t>
      </w:r>
      <w:r>
        <w:rPr>
          <w:spacing w:val="-3"/>
        </w:rPr>
        <w:t>）出售日或重分类日距离该项投资到期日或赎回日较近</w:t>
      </w:r>
      <w:r>
        <w:rPr>
          <w:rFonts w:ascii="Times New Roman" w:hAnsi="Times New Roman" w:cs="Times New Roman" w:eastAsia="Times New Roman" w:hint="default"/>
          <w:spacing w:val="-3"/>
        </w:rPr>
        <w:t>(</w:t>
      </w:r>
      <w:r>
        <w:rPr>
          <w:spacing w:val="-3"/>
        </w:rPr>
        <w:t>如到期前三个月内</w:t>
      </w:r>
      <w:r>
        <w:rPr>
          <w:rFonts w:ascii="Times New Roman" w:hAnsi="Times New Roman" w:cs="Times New Roman" w:eastAsia="Times New Roman" w:hint="default"/>
          <w:spacing w:val="-3"/>
        </w:rPr>
        <w:t>)</w:t>
      </w:r>
      <w:r>
        <w:rPr>
          <w:spacing w:val="-3"/>
        </w:rPr>
        <w:t>，且市场利率变化对该项</w:t>
      </w:r>
      <w:r>
        <w:rPr>
          <w:w w:val="100"/>
        </w:rPr>
        <w:t> </w:t>
      </w:r>
      <w:r>
        <w:rPr/>
        <w:t>投资的公允价值没有显著影响。</w:t>
      </w:r>
    </w:p>
    <w:p>
      <w:pPr>
        <w:pStyle w:val="BodyText"/>
        <w:spacing w:line="240" w:lineRule="auto" w:before="22"/>
        <w:ind w:left="573" w:right="0"/>
        <w:jc w:val="left"/>
      </w:pPr>
      <w:r>
        <w:rPr>
          <w:rFonts w:ascii="Times New Roman" w:hAnsi="Times New Roman" w:cs="Times New Roman" w:eastAsia="Times New Roman" w:hint="default"/>
        </w:rPr>
        <w:t>2</w:t>
      </w:r>
      <w:r>
        <w:rPr/>
        <w:t>）根据合同约定的偿付方式，企业已收回几乎所有初始本金。</w:t>
      </w:r>
    </w:p>
    <w:p>
      <w:pPr>
        <w:pStyle w:val="BodyText"/>
        <w:spacing w:line="240" w:lineRule="auto" w:before="21"/>
        <w:ind w:left="573" w:right="0"/>
        <w:jc w:val="left"/>
      </w:pPr>
      <w:r>
        <w:rPr>
          <w:rFonts w:ascii="Times New Roman" w:hAnsi="Times New Roman" w:cs="Times New Roman" w:eastAsia="Times New Roman" w:hint="default"/>
        </w:rPr>
        <w:t>3</w:t>
      </w:r>
      <w:r>
        <w:rPr/>
        <w:t>）出售或重分类是由于企业无法控制、预期不会重复发生且难以合理预计的独立事件所引起。</w:t>
      </w:r>
    </w:p>
    <w:p>
      <w:pPr>
        <w:pStyle w:val="BodyText"/>
        <w:spacing w:line="256" w:lineRule="auto" w:before="21"/>
        <w:ind w:left="573" w:right="0"/>
        <w:jc w:val="left"/>
      </w:pPr>
      <w:r>
        <w:rPr/>
        <w:t>（</w:t>
      </w:r>
      <w:r>
        <w:rPr>
          <w:rFonts w:ascii="Times New Roman" w:hAnsi="Times New Roman" w:cs="Times New Roman" w:eastAsia="Times New Roman" w:hint="default"/>
        </w:rPr>
        <w:t>3</w:t>
      </w:r>
      <w:r>
        <w:rPr/>
        <w:t>）应收款项</w:t>
      </w:r>
      <w:r>
        <w:rPr>
          <w:w w:val="100"/>
        </w:rPr>
        <w:t> </w:t>
      </w:r>
      <w:r>
        <w:rPr>
          <w:spacing w:val="-2"/>
        </w:rPr>
        <w:t>本公司对外销售商品或提供劳务形成的应收债权，以及公司持有的其他企业的不包括在活跃市场上有</w:t>
      </w:r>
    </w:p>
    <w:p>
      <w:pPr>
        <w:pStyle w:val="BodyText"/>
        <w:spacing w:line="273" w:lineRule="auto" w:before="22"/>
        <w:ind w:left="153" w:right="146"/>
        <w:jc w:val="both"/>
      </w:pPr>
      <w:r>
        <w:rPr>
          <w:spacing w:val="-2"/>
        </w:rPr>
        <w:t>报价的债务工具的债权，包括应收账款、应收票据、预付款项、其他应收款等，以向购货方应收的合同或</w:t>
      </w:r>
      <w:r>
        <w:rPr>
          <w:spacing w:val="-43"/>
        </w:rPr>
        <w:t> </w:t>
      </w:r>
      <w:r>
        <w:rPr>
          <w:spacing w:val="-43"/>
        </w:rPr>
      </w:r>
      <w:r>
        <w:rPr/>
        <w:t>协议价款作为初始确认金额；具有融资性质的，按其现值进行初始确认。</w:t>
      </w:r>
    </w:p>
    <w:p>
      <w:pPr>
        <w:pStyle w:val="BodyText"/>
        <w:spacing w:line="240" w:lineRule="auto" w:before="7"/>
        <w:ind w:left="573" w:right="0"/>
        <w:jc w:val="left"/>
      </w:pPr>
      <w:r>
        <w:rPr/>
        <w:t>收回或处置时，将取得的价款与该应收款项账面价值之间的差额计入当期损益。</w:t>
      </w:r>
    </w:p>
    <w:p>
      <w:pPr>
        <w:pStyle w:val="BodyText"/>
        <w:spacing w:line="256" w:lineRule="auto" w:before="37"/>
        <w:ind w:left="573" w:right="0"/>
        <w:jc w:val="left"/>
      </w:pPr>
      <w:r>
        <w:rPr/>
        <w:t>（</w:t>
      </w:r>
      <w:r>
        <w:rPr>
          <w:rFonts w:ascii="Times New Roman" w:hAnsi="Times New Roman" w:cs="Times New Roman" w:eastAsia="Times New Roman" w:hint="default"/>
        </w:rPr>
        <w:t>4</w:t>
      </w:r>
      <w:r>
        <w:rPr/>
        <w:t>）可供出售金融资产</w:t>
      </w:r>
      <w:r>
        <w:rPr>
          <w:w w:val="100"/>
        </w:rPr>
        <w:t> </w:t>
      </w:r>
      <w:r>
        <w:rPr>
          <w:spacing w:val="-2"/>
        </w:rPr>
        <w:t>可供出售金融资产，是指初始确认时即指定为可供出售的非衍生金融资产，以及除其他金融资产类别</w:t>
      </w:r>
    </w:p>
    <w:p>
      <w:pPr>
        <w:pStyle w:val="BodyText"/>
        <w:spacing w:line="273" w:lineRule="auto" w:before="22"/>
        <w:ind w:left="573" w:right="0" w:hanging="421"/>
        <w:jc w:val="left"/>
      </w:pPr>
      <w:r>
        <w:rPr/>
        <w:t>以外的金融资产。</w:t>
      </w:r>
      <w:r>
        <w:rPr>
          <w:w w:val="100"/>
        </w:rPr>
        <w:t> </w:t>
      </w:r>
      <w:r>
        <w:rPr>
          <w:spacing w:val="-2"/>
        </w:rPr>
        <w:t>本公司对可供出售金融资产，在取得时按公允价值（扣除已宣告但尚未发放的现金股利或已到付息期</w:t>
      </w:r>
    </w:p>
    <w:p>
      <w:pPr>
        <w:pStyle w:val="BodyText"/>
        <w:spacing w:line="273" w:lineRule="auto" w:before="7"/>
        <w:ind w:left="153" w:right="146"/>
        <w:jc w:val="both"/>
      </w:pPr>
      <w:r>
        <w:rPr>
          <w:spacing w:val="-2"/>
        </w:rPr>
        <w:t>但尚未领取的债券利息）和相关交易费用之和作为初始确认金额。持有期间将取得的利息或现金股利确认</w:t>
      </w:r>
      <w:r>
        <w:rPr>
          <w:spacing w:val="-42"/>
        </w:rPr>
        <w:t> </w:t>
      </w:r>
      <w:r>
        <w:rPr>
          <w:spacing w:val="-42"/>
        </w:rPr>
      </w:r>
      <w:r>
        <w:rPr>
          <w:spacing w:val="-2"/>
        </w:rPr>
        <w:t>为投资收益。可供出售金融资产的公允价值变动形成的利得或损失，除减值损失和外币货币性金融资产形</w:t>
      </w:r>
      <w:r>
        <w:rPr>
          <w:spacing w:val="-44"/>
        </w:rPr>
        <w:t> </w:t>
      </w:r>
      <w:r>
        <w:rPr>
          <w:spacing w:val="-44"/>
        </w:rPr>
      </w:r>
      <w:r>
        <w:rPr>
          <w:spacing w:val="-2"/>
        </w:rPr>
        <w:t>成的汇兑差额外，直接计入其他综合收益。处置可供出售金融资产时，将取得的价款与该金融资产账面价</w:t>
      </w:r>
      <w:r>
        <w:rPr>
          <w:spacing w:val="-44"/>
        </w:rPr>
        <w:t> </w:t>
      </w:r>
      <w:r>
        <w:rPr>
          <w:spacing w:val="-44"/>
        </w:rPr>
      </w:r>
      <w:r>
        <w:rPr>
          <w:spacing w:val="-2"/>
        </w:rPr>
        <w:t>值之间的差额，计入投资损益；同时，将原直接计入其他综合收益的公允价值变动累计额对应处置部分的</w:t>
      </w:r>
      <w:r>
        <w:rPr>
          <w:spacing w:val="-45"/>
        </w:rPr>
        <w:t> </w:t>
      </w:r>
      <w:r>
        <w:rPr>
          <w:spacing w:val="-45"/>
        </w:rPr>
      </w:r>
      <w:r>
        <w:rPr/>
        <w:t>金额转出，计入投资损益。</w:t>
      </w:r>
    </w:p>
    <w:p>
      <w:pPr>
        <w:pStyle w:val="BodyText"/>
        <w:spacing w:line="273" w:lineRule="auto" w:before="7"/>
        <w:ind w:left="153" w:right="0" w:firstLine="420"/>
        <w:jc w:val="left"/>
      </w:pPr>
      <w:r>
        <w:rPr>
          <w:spacing w:val="-2"/>
        </w:rPr>
        <w:t>本公司对在活跃市场中没有报价且其公允价值不能可靠计量的权益工具投资，以及与该权益工具挂钩</w:t>
      </w:r>
      <w:r>
        <w:rPr>
          <w:w w:val="100"/>
        </w:rPr>
        <w:t> </w:t>
      </w:r>
      <w:r>
        <w:rPr/>
        <w:t>并须通过交付该权益工具结算的衍生金融资产，按照成本计量。</w:t>
      </w:r>
    </w:p>
    <w:p>
      <w:pPr>
        <w:pStyle w:val="BodyText"/>
        <w:spacing w:line="264" w:lineRule="auto" w:before="7"/>
        <w:ind w:left="572" w:right="0"/>
        <w:jc w:val="left"/>
      </w:pPr>
      <w:r>
        <w:rPr/>
        <w:t>（</w:t>
      </w:r>
      <w:r>
        <w:rPr>
          <w:rFonts w:ascii="Times New Roman" w:hAnsi="Times New Roman" w:cs="Times New Roman" w:eastAsia="Times New Roman" w:hint="default"/>
        </w:rPr>
        <w:t>5</w:t>
      </w:r>
      <w:r>
        <w:rPr/>
        <w:t>）其他金融负债</w:t>
      </w:r>
      <w:r>
        <w:rPr>
          <w:w w:val="100"/>
        </w:rPr>
        <w:t> </w:t>
      </w:r>
      <w:r>
        <w:rPr/>
        <w:t>按其公允价值和相关交易费用之和作为初始确认金额。采用摊余成本进行后续计量。</w:t>
      </w:r>
      <w:r>
        <w:rPr>
          <w:w w:val="100"/>
        </w:rPr>
        <w:t> </w:t>
      </w:r>
      <w:r>
        <w:rPr>
          <w:rFonts w:ascii="Times New Roman" w:hAnsi="Times New Roman" w:cs="Times New Roman" w:eastAsia="Times New Roman" w:hint="default"/>
          <w:b/>
          <w:bCs/>
        </w:rPr>
        <w:t>3</w:t>
      </w:r>
      <w:r>
        <w:rPr>
          <w:rFonts w:ascii="宋体" w:hAnsi="宋体" w:cs="宋体" w:eastAsia="宋体" w:hint="default"/>
          <w:b/>
          <w:bCs/>
        </w:rPr>
        <w:t>、金融资产转移的确认依据和计量方法</w:t>
      </w:r>
      <w:r>
        <w:rPr>
          <w:rFonts w:ascii="宋体" w:hAnsi="宋体" w:cs="宋体" w:eastAsia="宋体" w:hint="default"/>
          <w:b/>
          <w:bCs/>
          <w:w w:val="100"/>
        </w:rPr>
        <w:t> </w:t>
      </w:r>
      <w:r>
        <w:rPr>
          <w:spacing w:val="-2"/>
        </w:rPr>
        <w:t>本公司发生金融资产转移时，如已将金融资产所有权上几乎所有的风险和报酬转移给转入方，则终止</w:t>
      </w:r>
    </w:p>
    <w:p>
      <w:pPr>
        <w:pStyle w:val="BodyText"/>
        <w:spacing w:line="273" w:lineRule="auto" w:before="16"/>
        <w:ind w:left="572" w:right="0" w:hanging="421"/>
        <w:jc w:val="left"/>
      </w:pPr>
      <w:r>
        <w:rPr/>
        <w:t>确认该金融资产；如保留了金融资产所有权上几乎所有的风险和报酬的，则不终止确认该金融资产。</w:t>
      </w:r>
      <w:r>
        <w:rPr>
          <w:w w:val="100"/>
        </w:rPr>
        <w:t> </w:t>
      </w:r>
      <w:r>
        <w:rPr>
          <w:spacing w:val="-2"/>
        </w:rPr>
        <w:t>在判断金融资产转移是否满足上述金融资产终止确认条件时，采用实质重于形式的原则。公司将金融</w:t>
      </w:r>
    </w:p>
    <w:p>
      <w:pPr>
        <w:pStyle w:val="BodyText"/>
        <w:spacing w:line="273" w:lineRule="auto" w:before="7"/>
        <w:ind w:right="147"/>
        <w:jc w:val="both"/>
      </w:pPr>
      <w:r>
        <w:rPr>
          <w:spacing w:val="-2"/>
        </w:rPr>
        <w:t>资产转移区分为金融资产整体转移和部分转移。金融资产整体转移满足终止确认条件的，将下列两项金额</w:t>
      </w:r>
      <w:r>
        <w:rPr>
          <w:spacing w:val="-44"/>
        </w:rPr>
        <w:t> </w:t>
      </w:r>
      <w:r>
        <w:rPr>
          <w:spacing w:val="-44"/>
        </w:rPr>
      </w:r>
      <w:r>
        <w:rPr/>
        <w:t>的差额计入当期损益：</w:t>
      </w:r>
    </w:p>
    <w:p>
      <w:pPr>
        <w:pStyle w:val="BodyText"/>
        <w:spacing w:line="240" w:lineRule="auto" w:before="7"/>
        <w:ind w:left="572" w:right="0"/>
        <w:jc w:val="left"/>
      </w:pPr>
      <w:r>
        <w:rPr/>
        <w:t>（</w:t>
      </w:r>
      <w:r>
        <w:rPr>
          <w:rFonts w:ascii="Times New Roman" w:hAnsi="Times New Roman" w:cs="Times New Roman" w:eastAsia="Times New Roman" w:hint="default"/>
        </w:rPr>
        <w:t>1</w:t>
      </w:r>
      <w:r>
        <w:rPr/>
        <w:t>）所转移金融资产的账面价值；</w:t>
      </w:r>
    </w:p>
    <w:p>
      <w:pPr>
        <w:pStyle w:val="BodyText"/>
        <w:spacing w:line="256" w:lineRule="auto" w:before="21"/>
        <w:ind w:right="0" w:firstLine="420"/>
        <w:jc w:val="left"/>
      </w:pPr>
      <w:r>
        <w:rPr/>
        <w:t>（</w:t>
      </w:r>
      <w:r>
        <w:rPr>
          <w:rFonts w:ascii="Times New Roman" w:hAnsi="Times New Roman" w:cs="Times New Roman" w:eastAsia="Times New Roman" w:hint="default"/>
        </w:rPr>
        <w:t>2</w:t>
      </w:r>
      <w:r>
        <w:rPr/>
        <w:t>）因转移而收到的对价，与原直接计入所有者权益的公允价值变动累计额（涉及转移的金融资产</w:t>
      </w:r>
      <w:r>
        <w:rPr>
          <w:w w:val="100"/>
        </w:rPr>
        <w:t> </w:t>
      </w:r>
      <w:r>
        <w:rPr/>
        <w:t>为可供出售金融资产的情形）之和。</w:t>
      </w:r>
    </w:p>
    <w:p>
      <w:pPr>
        <w:pStyle w:val="BodyText"/>
        <w:spacing w:line="273" w:lineRule="auto" w:before="22"/>
        <w:ind w:right="0" w:firstLine="420"/>
        <w:jc w:val="left"/>
      </w:pPr>
      <w:r>
        <w:rPr>
          <w:spacing w:val="-2"/>
        </w:rPr>
        <w:t>金融资产部分转移满足终止确认条件的，将所转移金融资产整体的账面价值，在终止确认部分和未终</w:t>
      </w:r>
      <w:r>
        <w:rPr>
          <w:w w:val="100"/>
        </w:rPr>
        <w:t> </w:t>
      </w:r>
      <w:r>
        <w:rPr/>
        <w:t>止确认部分之间，按照各自的相对公允价值进行分摊，并将下列两项金额的差额计入当期损益：</w:t>
      </w:r>
    </w:p>
    <w:p>
      <w:pPr>
        <w:pStyle w:val="BodyText"/>
        <w:spacing w:line="240" w:lineRule="auto" w:before="7"/>
        <w:ind w:left="572" w:right="0"/>
        <w:jc w:val="left"/>
      </w:pPr>
      <w:r>
        <w:rPr/>
        <w:t>（</w:t>
      </w:r>
      <w:r>
        <w:rPr>
          <w:rFonts w:ascii="Times New Roman" w:hAnsi="Times New Roman" w:cs="Times New Roman" w:eastAsia="Times New Roman" w:hint="default"/>
        </w:rPr>
        <w:t>1</w:t>
      </w:r>
      <w:r>
        <w:rPr/>
        <w:t>）终止确认部分的账面价值；</w:t>
      </w:r>
    </w:p>
    <w:p>
      <w:pPr>
        <w:pStyle w:val="BodyText"/>
        <w:spacing w:line="256" w:lineRule="auto" w:before="21"/>
        <w:ind w:right="0" w:firstLine="420"/>
        <w:jc w:val="left"/>
      </w:pPr>
      <w:r>
        <w:rPr/>
        <w:t>（</w:t>
      </w:r>
      <w:r>
        <w:rPr>
          <w:rFonts w:ascii="Times New Roman" w:hAnsi="Times New Roman" w:cs="Times New Roman" w:eastAsia="Times New Roman" w:hint="default"/>
        </w:rPr>
        <w:t>2</w:t>
      </w:r>
      <w:r>
        <w:rPr/>
        <w:t>）终止确认部分的对价，与原直接计入所有者权益的公允价值变动累计额中对应终止确认部分的</w:t>
      </w:r>
      <w:r>
        <w:rPr>
          <w:w w:val="100"/>
        </w:rPr>
        <w:t> </w:t>
      </w:r>
      <w:r>
        <w:rPr/>
        <w:t>金额（涉及转移的金融资产为可供出售金融资产的情形）之和。</w:t>
      </w:r>
    </w:p>
    <w:p>
      <w:pPr>
        <w:pStyle w:val="BodyText"/>
        <w:spacing w:line="266" w:lineRule="auto" w:before="22"/>
        <w:ind w:left="572" w:right="0" w:hanging="1"/>
        <w:jc w:val="left"/>
      </w:pPr>
      <w:r>
        <w:rPr/>
        <w:t>金融资产转移不满足终止确认条件的，继续确认该金融资产，所收到的对价确认为一项金融负债。</w:t>
      </w:r>
      <w:r>
        <w:rPr>
          <w:w w:val="100"/>
        </w:rPr>
        <w:t> </w:t>
      </w:r>
      <w:r>
        <w:rPr>
          <w:rFonts w:ascii="Times New Roman" w:hAnsi="Times New Roman" w:cs="Times New Roman" w:eastAsia="Times New Roman" w:hint="default"/>
          <w:b/>
          <w:bCs/>
        </w:rPr>
        <w:t>4</w:t>
      </w:r>
      <w:r>
        <w:rPr>
          <w:rFonts w:ascii="宋体" w:hAnsi="宋体" w:cs="宋体" w:eastAsia="宋体" w:hint="default"/>
          <w:b/>
          <w:bCs/>
        </w:rPr>
        <w:t>、金融负债终止确认条件</w:t>
      </w:r>
      <w:r>
        <w:rPr>
          <w:rFonts w:ascii="宋体" w:hAnsi="宋体" w:cs="宋体" w:eastAsia="宋体" w:hint="default"/>
          <w:b/>
          <w:bCs/>
          <w:w w:val="100"/>
        </w:rPr>
        <w:t> </w:t>
      </w:r>
      <w:r>
        <w:rPr>
          <w:spacing w:val="-2"/>
        </w:rPr>
        <w:t>金融负债的现时义务全部或部分已经解除的，则终止确认该金融负债或其一部分；本公司若与债权人</w:t>
      </w:r>
    </w:p>
    <w:p>
      <w:pPr>
        <w:pStyle w:val="BodyText"/>
        <w:spacing w:line="273" w:lineRule="auto" w:before="14"/>
        <w:ind w:right="147"/>
        <w:jc w:val="both"/>
      </w:pPr>
      <w:r>
        <w:rPr>
          <w:spacing w:val="-2"/>
        </w:rPr>
        <w:t>签定协议，以承担新金融负债方式替换现存金融负债，且新金融负债与现存金融负债的合同条款实质上不</w:t>
      </w:r>
      <w:r>
        <w:rPr>
          <w:spacing w:val="-43"/>
        </w:rPr>
        <w:t> </w:t>
      </w:r>
      <w:r>
        <w:rPr>
          <w:spacing w:val="-43"/>
        </w:rPr>
      </w:r>
      <w:r>
        <w:rPr/>
        <w:t>同的，则终止确认现存金融负债，并同时确认新金融负债。</w:t>
      </w:r>
    </w:p>
    <w:p>
      <w:pPr>
        <w:pStyle w:val="BodyText"/>
        <w:spacing w:line="240" w:lineRule="auto" w:before="8"/>
        <w:ind w:left="572" w:right="0"/>
        <w:jc w:val="left"/>
      </w:pPr>
      <w:r>
        <w:rPr/>
        <w:t>对现存金融负债全部或部分合同条款作出实质性修改的，则终止确认现存金融负债或其一部分，同时</w:t>
      </w:r>
    </w:p>
    <w:p>
      <w:pPr>
        <w:spacing w:after="0" w:line="240" w:lineRule="auto"/>
        <w:jc w:val="left"/>
        <w:sectPr>
          <w:pgSz w:w="11910" w:h="16840"/>
          <w:pgMar w:header="880" w:footer="979" w:top="1120" w:bottom="1160" w:left="980" w:right="980"/>
        </w:sectPr>
      </w:pPr>
    </w:p>
    <w:p>
      <w:pPr>
        <w:spacing w:line="240" w:lineRule="auto" w:before="9"/>
        <w:rPr>
          <w:rFonts w:ascii="宋体" w:hAnsi="宋体" w:cs="宋体" w:eastAsia="宋体" w:hint="default"/>
          <w:sz w:val="20"/>
          <w:szCs w:val="20"/>
        </w:rPr>
      </w:pPr>
    </w:p>
    <w:p>
      <w:pPr>
        <w:pStyle w:val="BodyText"/>
        <w:spacing w:line="273" w:lineRule="auto" w:before="36"/>
        <w:ind w:left="572" w:right="106" w:hanging="420"/>
        <w:jc w:val="left"/>
      </w:pPr>
      <w:r>
        <w:rPr/>
        <w:t>将修改条款后的金融负债确认为一项新金融负债。</w:t>
      </w:r>
      <w:r>
        <w:rPr>
          <w:w w:val="100"/>
        </w:rPr>
        <w:t> </w:t>
      </w:r>
      <w:r>
        <w:rPr>
          <w:spacing w:val="-2"/>
        </w:rPr>
        <w:t>金融负债全部或部分终止确认时，终止确认的金融负债账面价值与支付对价（包括转出的非现金资产</w:t>
      </w:r>
    </w:p>
    <w:p>
      <w:pPr>
        <w:pStyle w:val="BodyText"/>
        <w:spacing w:line="273" w:lineRule="auto" w:before="7"/>
        <w:ind w:left="572" w:right="106" w:hanging="421"/>
        <w:jc w:val="left"/>
      </w:pPr>
      <w:r>
        <w:rPr/>
        <w:t>或承担的新金融负债）之间的差额，计入当期损益。</w:t>
      </w:r>
      <w:r>
        <w:rPr>
          <w:w w:val="100"/>
        </w:rPr>
        <w:t> </w:t>
      </w:r>
      <w:r>
        <w:rPr>
          <w:spacing w:val="-2"/>
        </w:rPr>
        <w:t>本公司若回购部分金融负债的，在回购日按照继续确认部分与终止确认部分的相对公允价值，将该金</w:t>
      </w:r>
    </w:p>
    <w:p>
      <w:pPr>
        <w:pStyle w:val="BodyText"/>
        <w:spacing w:line="273" w:lineRule="auto" w:before="7"/>
        <w:ind w:right="106"/>
        <w:jc w:val="left"/>
      </w:pPr>
      <w:r>
        <w:rPr>
          <w:spacing w:val="-2"/>
        </w:rPr>
        <w:t>融负债整体的账面价值进行分配。分配给终止确认部分的账面价值与支付的对价（包括转出的非现金资产</w:t>
      </w:r>
      <w:r>
        <w:rPr>
          <w:spacing w:val="-44"/>
        </w:rPr>
        <w:t> </w:t>
      </w:r>
      <w:r>
        <w:rPr>
          <w:spacing w:val="-44"/>
        </w:rPr>
      </w:r>
      <w:r>
        <w:rPr/>
        <w:t>或承担的新金融负债）之间的差额，计入当期损益。</w:t>
      </w:r>
    </w:p>
    <w:p>
      <w:pPr>
        <w:spacing w:line="256" w:lineRule="auto" w:before="8"/>
        <w:ind w:left="572" w:right="106"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、金融资产和金融负债公允价值的确定方法</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本公司采用公允价值计量的金融资产和金融负债存在活跃市场的金融资产或金融负债，以活跃市场的</w:t>
      </w:r>
    </w:p>
    <w:p>
      <w:pPr>
        <w:pStyle w:val="BodyText"/>
        <w:spacing w:line="273" w:lineRule="auto" w:before="22"/>
        <w:ind w:right="206"/>
        <w:jc w:val="both"/>
      </w:pPr>
      <w:r>
        <w:rPr>
          <w:spacing w:val="-2"/>
        </w:rPr>
        <w:t>报价确定其公允价值；不存在活跃市场的金融资产或金融负债，采用估值技术（包括参考熟悉情况并自愿</w:t>
      </w:r>
      <w:r>
        <w:rPr>
          <w:spacing w:val="-44"/>
        </w:rPr>
        <w:t> </w:t>
      </w:r>
      <w:r>
        <w:rPr>
          <w:spacing w:val="-44"/>
        </w:rPr>
      </w:r>
      <w:r>
        <w:rPr>
          <w:spacing w:val="-2"/>
        </w:rPr>
        <w:t>交易的各方最近进行的市场交易中使用的价格、参照实质上相同的其他金融工具的当前公允价值、现金流</w:t>
      </w:r>
      <w:r>
        <w:rPr>
          <w:spacing w:val="-44"/>
        </w:rPr>
        <w:t> </w:t>
      </w:r>
      <w:r>
        <w:rPr>
          <w:spacing w:val="-44"/>
        </w:rPr>
      </w:r>
      <w:r>
        <w:rPr>
          <w:spacing w:val="-2"/>
        </w:rPr>
        <w:t>量折现法和期权定价模型等）确定其公允价值；初始取得或源生的金融资产或承担的金融负债，以市场交</w:t>
      </w:r>
      <w:r>
        <w:rPr>
          <w:spacing w:val="-42"/>
        </w:rPr>
        <w:t> </w:t>
      </w:r>
      <w:r>
        <w:rPr>
          <w:spacing w:val="-42"/>
        </w:rPr>
      </w:r>
      <w:r>
        <w:rPr/>
        <w:t>易价格作为确定其公允价值的基础。</w:t>
      </w:r>
    </w:p>
    <w:p>
      <w:pPr>
        <w:spacing w:line="256" w:lineRule="auto" w:before="8"/>
        <w:ind w:left="572" w:right="106"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、金融资产（不含应收款项）减值准备计提</w:t>
      </w:r>
      <w:r>
        <w:rPr>
          <w:rFonts w:ascii="宋体" w:hAnsi="宋体" w:cs="宋体" w:eastAsia="宋体" w:hint="default"/>
          <w:b/>
          <w:bCs/>
          <w:w w:val="100"/>
          <w:sz w:val="21"/>
          <w:szCs w:val="21"/>
        </w:rPr>
        <w:t> </w:t>
      </w:r>
      <w:r>
        <w:rPr>
          <w:rFonts w:ascii="宋体" w:hAnsi="宋体" w:cs="宋体" w:eastAsia="宋体" w:hint="default"/>
          <w:spacing w:val="2"/>
          <w:sz w:val="21"/>
          <w:szCs w:val="21"/>
        </w:rPr>
        <w:t>资产负债表日对以公允价值计量且其变动计入当期损益的金融资产以外的金融资产的账面价值进行</w:t>
      </w:r>
    </w:p>
    <w:p>
      <w:pPr>
        <w:pStyle w:val="BodyText"/>
        <w:spacing w:line="273" w:lineRule="auto" w:before="22"/>
        <w:ind w:left="572" w:right="106" w:hanging="420"/>
        <w:jc w:val="left"/>
      </w:pPr>
      <w:r>
        <w:rPr>
          <w:spacing w:val="-2"/>
        </w:rPr>
        <w:t>检查，如有客观证据表明该金融资产发生减值的，计提减值准备。</w:t>
      </w:r>
      <w:r>
        <w:rPr>
          <w:spacing w:val="-49"/>
        </w:rPr>
        <w:t> </w:t>
      </w:r>
      <w:r>
        <w:rPr>
          <w:spacing w:val="-49"/>
        </w:rPr>
      </w:r>
      <w:r>
        <w:rPr/>
        <w:t>金融资产发生减值的客观证据，包括但不限于：</w:t>
      </w:r>
    </w:p>
    <w:p>
      <w:pPr>
        <w:pStyle w:val="BodyText"/>
        <w:spacing w:line="240" w:lineRule="auto" w:before="7"/>
        <w:ind w:left="572" w:right="106"/>
        <w:jc w:val="left"/>
      </w:pPr>
      <w:r>
        <w:rPr/>
        <w:t>（</w:t>
      </w:r>
      <w:r>
        <w:rPr>
          <w:rFonts w:ascii="Times New Roman" w:hAnsi="Times New Roman" w:cs="Times New Roman" w:eastAsia="Times New Roman" w:hint="default"/>
        </w:rPr>
        <w:t>1</w:t>
      </w:r>
      <w:r>
        <w:rPr/>
        <w:t>）发行方或债务人发生严重财务困难；</w:t>
      </w:r>
    </w:p>
    <w:p>
      <w:pPr>
        <w:pStyle w:val="BodyText"/>
        <w:spacing w:line="240" w:lineRule="auto" w:before="21"/>
        <w:ind w:left="572" w:right="106"/>
        <w:jc w:val="left"/>
      </w:pPr>
      <w:r>
        <w:rPr/>
        <w:t>（</w:t>
      </w:r>
      <w:r>
        <w:rPr>
          <w:rFonts w:ascii="Times New Roman" w:hAnsi="Times New Roman" w:cs="Times New Roman" w:eastAsia="Times New Roman" w:hint="default"/>
        </w:rPr>
        <w:t>2</w:t>
      </w:r>
      <w:r>
        <w:rPr/>
        <w:t>）债务人违反了合同条款，如偿付利息或本金发生违约或逾期等；</w:t>
      </w:r>
    </w:p>
    <w:p>
      <w:pPr>
        <w:pStyle w:val="BodyText"/>
        <w:spacing w:line="240" w:lineRule="auto" w:before="21"/>
        <w:ind w:left="572" w:right="106"/>
        <w:jc w:val="left"/>
      </w:pPr>
      <w:r>
        <w:rPr/>
        <w:t>（</w:t>
      </w:r>
      <w:r>
        <w:rPr>
          <w:rFonts w:ascii="Times New Roman" w:hAnsi="Times New Roman" w:cs="Times New Roman" w:eastAsia="Times New Roman" w:hint="default"/>
        </w:rPr>
        <w:t>3</w:t>
      </w:r>
      <w:r>
        <w:rPr/>
        <w:t>）债权人出于经济或法律等方面因素的考虑，对发生财务困难的债务人作出让步；</w:t>
      </w:r>
    </w:p>
    <w:p>
      <w:pPr>
        <w:pStyle w:val="BodyText"/>
        <w:spacing w:line="240" w:lineRule="auto" w:before="21"/>
        <w:ind w:left="572" w:right="106"/>
        <w:jc w:val="left"/>
      </w:pPr>
      <w:r>
        <w:rPr/>
        <w:t>（</w:t>
      </w:r>
      <w:r>
        <w:rPr>
          <w:rFonts w:ascii="Times New Roman" w:hAnsi="Times New Roman" w:cs="Times New Roman" w:eastAsia="Times New Roman" w:hint="default"/>
        </w:rPr>
        <w:t>4</w:t>
      </w:r>
      <w:r>
        <w:rPr/>
        <w:t>）债务人很可能倒闭或进行其他财务重组；</w:t>
      </w:r>
    </w:p>
    <w:p>
      <w:pPr>
        <w:pStyle w:val="BodyText"/>
        <w:spacing w:line="240" w:lineRule="auto" w:before="21"/>
        <w:ind w:left="572" w:right="106"/>
        <w:jc w:val="left"/>
      </w:pPr>
      <w:r>
        <w:rPr/>
        <w:t>（</w:t>
      </w:r>
      <w:r>
        <w:rPr>
          <w:rFonts w:ascii="Times New Roman" w:hAnsi="Times New Roman" w:cs="Times New Roman" w:eastAsia="Times New Roman" w:hint="default"/>
        </w:rPr>
        <w:t>5</w:t>
      </w:r>
      <w:r>
        <w:rPr/>
        <w:t>）因发行方发生重大财务困难，该金融资产无法在活跃市场继续交易；</w:t>
      </w:r>
    </w:p>
    <w:p>
      <w:pPr>
        <w:pStyle w:val="BodyText"/>
        <w:spacing w:line="266" w:lineRule="auto" w:before="21"/>
        <w:ind w:right="185" w:firstLine="420"/>
        <w:jc w:val="both"/>
      </w:pPr>
      <w:r>
        <w:rPr/>
        <w:t>（</w:t>
      </w:r>
      <w:r>
        <w:rPr>
          <w:rFonts w:ascii="Times New Roman" w:hAnsi="Times New Roman" w:cs="Times New Roman" w:eastAsia="Times New Roman" w:hint="default"/>
        </w:rPr>
        <w:t>6</w:t>
      </w:r>
      <w:r>
        <w:rPr/>
        <w:t>）无法辨认一组金融资产中的某项资产的现金流量是否已经减少，但根据公开的数据对其进行总</w:t>
      </w:r>
      <w:r>
        <w:rPr>
          <w:w w:val="100"/>
        </w:rPr>
        <w:t> </w:t>
      </w:r>
      <w:r>
        <w:rPr>
          <w:spacing w:val="-2"/>
        </w:rPr>
        <w:t>体评价后发现，该组金融资产自初始确认以来的预计未来现金流量确已减少且可计量，如该组金融资产的</w:t>
      </w:r>
      <w:r>
        <w:rPr>
          <w:spacing w:val="-42"/>
        </w:rPr>
        <w:t> </w:t>
      </w:r>
      <w:r>
        <w:rPr>
          <w:spacing w:val="-42"/>
        </w:rPr>
      </w:r>
      <w:r>
        <w:rPr>
          <w:spacing w:val="-2"/>
        </w:rPr>
        <w:t>债务人支付能力逐步恶化，或债务人所在国家或地区失业率提高、担保物在其所在地区的价格明显下降、</w:t>
      </w:r>
      <w:r>
        <w:rPr>
          <w:spacing w:val="-21"/>
        </w:rPr>
        <w:t> </w:t>
      </w:r>
      <w:r>
        <w:rPr>
          <w:spacing w:val="-21"/>
        </w:rPr>
      </w:r>
      <w:r>
        <w:rPr/>
        <w:t>所处行业不景气等；</w:t>
      </w:r>
    </w:p>
    <w:p>
      <w:pPr>
        <w:pStyle w:val="BodyText"/>
        <w:spacing w:line="256" w:lineRule="auto" w:before="14"/>
        <w:ind w:right="214" w:firstLine="420"/>
        <w:jc w:val="both"/>
      </w:pPr>
      <w:r>
        <w:rPr/>
        <w:t>（</w:t>
      </w:r>
      <w:r>
        <w:rPr>
          <w:rFonts w:ascii="Times New Roman" w:hAnsi="Times New Roman" w:cs="Times New Roman" w:eastAsia="Times New Roman" w:hint="default"/>
        </w:rPr>
        <w:t>7</w:t>
      </w:r>
      <w:r>
        <w:rPr/>
        <w:t>）权益工具发行方经营所处的技术、市场、经济或法律环境等发生重大不利变化，使权益工具投</w:t>
      </w:r>
      <w:r>
        <w:rPr>
          <w:w w:val="100"/>
        </w:rPr>
        <w:t> </w:t>
      </w:r>
      <w:r>
        <w:rPr/>
        <w:t>资人可能无法收回投资成本；</w:t>
      </w:r>
    </w:p>
    <w:p>
      <w:pPr>
        <w:pStyle w:val="BodyText"/>
        <w:spacing w:line="256" w:lineRule="auto" w:before="22"/>
        <w:ind w:left="572" w:right="4036"/>
        <w:jc w:val="left"/>
      </w:pPr>
      <w:r>
        <w:rPr>
          <w:spacing w:val="-2"/>
        </w:rPr>
        <w:t>（</w:t>
      </w:r>
      <w:r>
        <w:rPr>
          <w:rFonts w:ascii="Times New Roman" w:hAnsi="Times New Roman" w:cs="Times New Roman" w:eastAsia="Times New Roman" w:hint="default"/>
          <w:spacing w:val="-2"/>
        </w:rPr>
        <w:t>8</w:t>
      </w:r>
      <w:r>
        <w:rPr>
          <w:spacing w:val="-2"/>
        </w:rPr>
        <w:t>）权益工具投资的公允价值发生严重或非暂时性下跌。</w:t>
      </w:r>
      <w:r>
        <w:rPr>
          <w:spacing w:val="-56"/>
        </w:rPr>
        <w:t> </w:t>
      </w:r>
      <w:r>
        <w:rPr>
          <w:spacing w:val="-56"/>
        </w:rPr>
      </w:r>
      <w:r>
        <w:rPr/>
        <w:t>金融资产的具体减值方法如下：</w:t>
      </w:r>
    </w:p>
    <w:p>
      <w:pPr>
        <w:pStyle w:val="BodyText"/>
        <w:spacing w:line="256" w:lineRule="auto" w:before="22"/>
        <w:ind w:left="572" w:right="106"/>
        <w:jc w:val="left"/>
      </w:pPr>
      <w:r>
        <w:rPr/>
        <w:t>（</w:t>
      </w:r>
      <w:r>
        <w:rPr>
          <w:rFonts w:ascii="Times New Roman" w:hAnsi="Times New Roman" w:cs="Times New Roman" w:eastAsia="Times New Roman" w:hint="default"/>
        </w:rPr>
        <w:t>1</w:t>
      </w:r>
      <w:r>
        <w:rPr/>
        <w:t>）可供出售金融资产的减值准备</w:t>
      </w:r>
      <w:r>
        <w:rPr>
          <w:spacing w:val="-3"/>
          <w:w w:val="100"/>
        </w:rPr>
        <w:t> </w:t>
      </w:r>
      <w:r>
        <w:rPr>
          <w:spacing w:val="-2"/>
        </w:rPr>
        <w:t>本公司于资产负债表日对各项可供出售权益工具投资单独进行检查，若该权益工具投资于资产负债表</w:t>
      </w:r>
    </w:p>
    <w:p>
      <w:pPr>
        <w:pStyle w:val="BodyText"/>
        <w:spacing w:line="256" w:lineRule="auto" w:before="22"/>
        <w:ind w:right="106"/>
        <w:jc w:val="left"/>
      </w:pPr>
      <w:r>
        <w:rPr>
          <w:spacing w:val="-3"/>
        </w:rPr>
        <w:t>日的公允价值低于其初始投资成本超过</w:t>
      </w:r>
      <w:r>
        <w:rPr>
          <w:rFonts w:ascii="Times New Roman" w:hAnsi="Times New Roman" w:cs="Times New Roman" w:eastAsia="Times New Roman" w:hint="default"/>
          <w:spacing w:val="-3"/>
        </w:rPr>
        <w:t>50%</w:t>
      </w:r>
      <w:r>
        <w:rPr>
          <w:spacing w:val="-3"/>
        </w:rPr>
        <w:t>（含</w:t>
      </w:r>
      <w:r>
        <w:rPr>
          <w:rFonts w:ascii="Times New Roman" w:hAnsi="Times New Roman" w:cs="Times New Roman" w:eastAsia="Times New Roman" w:hint="default"/>
          <w:spacing w:val="-3"/>
        </w:rPr>
        <w:t>50%</w:t>
      </w:r>
      <w:r>
        <w:rPr>
          <w:spacing w:val="-3"/>
        </w:rPr>
        <w:t>）或低于其初始投资成本持续时间超过一年（含一年）</w:t>
      </w:r>
      <w:r>
        <w:rPr>
          <w:spacing w:val="-24"/>
        </w:rPr>
        <w:t> </w:t>
      </w:r>
      <w:r>
        <w:rPr>
          <w:spacing w:val="-24"/>
        </w:rPr>
      </w:r>
      <w:r>
        <w:rPr/>
        <w:t>的，则表明其发生减值；若该权益工具投资于资产负债表日的公允价值低于其初始投资成本超过</w:t>
      </w:r>
      <w:r>
        <w:rPr>
          <w:rFonts w:ascii="Times New Roman" w:hAnsi="Times New Roman" w:cs="Times New Roman" w:eastAsia="Times New Roman" w:hint="default"/>
        </w:rPr>
        <w:t>20%</w:t>
      </w:r>
      <w:r>
        <w:rPr/>
        <w:t>（含</w:t>
      </w:r>
      <w:r>
        <w:rPr>
          <w:spacing w:val="-100"/>
        </w:rPr>
        <w:t> </w:t>
      </w:r>
      <w:r>
        <w:rPr>
          <w:rFonts w:ascii="Times New Roman" w:hAnsi="Times New Roman" w:cs="Times New Roman" w:eastAsia="Times New Roman" w:hint="default"/>
        </w:rPr>
        <w:t>20%</w:t>
      </w:r>
      <w:r>
        <w:rPr/>
        <w:t>）但尚未达到</w:t>
      </w:r>
      <w:r>
        <w:rPr>
          <w:rFonts w:ascii="Times New Roman" w:hAnsi="Times New Roman" w:cs="Times New Roman" w:eastAsia="Times New Roman" w:hint="default"/>
        </w:rPr>
        <w:t>50%</w:t>
      </w:r>
      <w:r>
        <w:rPr/>
        <w:t>的，本公司会综合考虑其他相关因素诸如价格波动率等，判断该权益工具投资是否</w:t>
      </w:r>
      <w:r>
        <w:rPr>
          <w:spacing w:val="-53"/>
        </w:rPr>
        <w:t> </w:t>
      </w:r>
      <w:r>
        <w:rPr/>
        <w:t>发生减值。</w:t>
      </w:r>
    </w:p>
    <w:p>
      <w:pPr>
        <w:pStyle w:val="BodyText"/>
        <w:spacing w:line="256" w:lineRule="auto" w:before="22"/>
        <w:ind w:right="207" w:firstLine="420"/>
        <w:jc w:val="both"/>
      </w:pPr>
      <w:r>
        <w:rPr>
          <w:spacing w:val="-2"/>
        </w:rPr>
        <w:t>上段所述</w:t>
      </w:r>
      <w:r>
        <w:rPr>
          <w:rFonts w:ascii="Times New Roman" w:hAnsi="Times New Roman" w:cs="Times New Roman" w:eastAsia="Times New Roman" w:hint="default"/>
          <w:spacing w:val="-2"/>
        </w:rPr>
        <w:t>“</w:t>
      </w:r>
      <w:r>
        <w:rPr>
          <w:spacing w:val="-2"/>
        </w:rPr>
        <w:t>成本</w:t>
      </w:r>
      <w:r>
        <w:rPr>
          <w:rFonts w:ascii="Times New Roman" w:hAnsi="Times New Roman" w:cs="Times New Roman" w:eastAsia="Times New Roman" w:hint="default"/>
          <w:spacing w:val="-2"/>
        </w:rPr>
        <w:t>”</w:t>
      </w:r>
      <w:r>
        <w:rPr>
          <w:spacing w:val="-2"/>
        </w:rPr>
        <w:t>按照可供出售权益工具投资的初始取得成本扣除已收回本金和已摊销金额、原已计入</w:t>
      </w:r>
      <w:r>
        <w:rPr>
          <w:w w:val="100"/>
        </w:rPr>
        <w:t> </w:t>
      </w:r>
      <w:r>
        <w:rPr/>
        <w:t>损益的减值损失确定。</w:t>
      </w:r>
    </w:p>
    <w:p>
      <w:pPr>
        <w:pStyle w:val="BodyText"/>
        <w:spacing w:line="273" w:lineRule="auto" w:before="22"/>
        <w:ind w:right="206" w:firstLine="419"/>
        <w:jc w:val="both"/>
      </w:pPr>
      <w:r>
        <w:rPr>
          <w:spacing w:val="-2"/>
        </w:rPr>
        <w:t>可供出售金融资产发生减值时，即使该金融资产没有终止确认，本公司将原直接计入其他综合收益的</w:t>
      </w:r>
      <w:r>
        <w:rPr>
          <w:w w:val="100"/>
        </w:rPr>
        <w:t> </w:t>
      </w:r>
      <w:r>
        <w:rPr>
          <w:spacing w:val="-2"/>
        </w:rPr>
        <w:t>因公允价值下降形成的累计损失从其他综合收益转出，计入当期损益。该转出的累计损失，等于可供出售</w:t>
      </w:r>
      <w:r>
        <w:rPr>
          <w:spacing w:val="-44"/>
        </w:rPr>
        <w:t> </w:t>
      </w:r>
      <w:r>
        <w:rPr>
          <w:spacing w:val="-44"/>
        </w:rPr>
      </w:r>
      <w:r>
        <w:rPr>
          <w:spacing w:val="-2"/>
        </w:rPr>
        <w:t>金融资产的初始取得成本扣除已收回本金和已摊余金额、当前公允价值和原已计入损益的减值损失后的余</w:t>
      </w:r>
      <w:r>
        <w:rPr>
          <w:spacing w:val="-43"/>
        </w:rPr>
        <w:t> </w:t>
      </w:r>
      <w:r>
        <w:rPr>
          <w:spacing w:val="-43"/>
        </w:rPr>
      </w:r>
      <w:r>
        <w:rPr/>
        <w:t>额。</w:t>
      </w:r>
    </w:p>
    <w:p>
      <w:pPr>
        <w:pStyle w:val="BodyText"/>
        <w:spacing w:line="273" w:lineRule="auto" w:before="9"/>
        <w:ind w:right="207" w:firstLine="420"/>
        <w:jc w:val="both"/>
      </w:pPr>
      <w:r>
        <w:rPr>
          <w:spacing w:val="-2"/>
        </w:rPr>
        <w:t>对于已确认减值损失的可供出售债务工具，在随后的会计期间公允价值已上升且客观上与确认原减值</w:t>
      </w:r>
      <w:r>
        <w:rPr>
          <w:w w:val="100"/>
        </w:rPr>
        <w:t> </w:t>
      </w:r>
      <w:r>
        <w:rPr>
          <w:spacing w:val="-2"/>
        </w:rPr>
        <w:t>损失后发生的事项有关的，原确认的减值损失予以转回计入当期损益；对于可供出售权益工具投资发生的</w:t>
      </w:r>
      <w:r>
        <w:rPr>
          <w:spacing w:val="-43"/>
        </w:rPr>
        <w:t> </w:t>
      </w:r>
      <w:r>
        <w:rPr>
          <w:spacing w:val="-43"/>
        </w:rPr>
      </w:r>
      <w:r>
        <w:rPr>
          <w:spacing w:val="-2"/>
        </w:rPr>
        <w:t>减值损失，在该权益工具价值回升时通过权益转回；但在活跃市场中没有报价且其公允价值不能可靠计量</w:t>
      </w:r>
    </w:p>
    <w:p>
      <w:pPr>
        <w:spacing w:after="0" w:line="273" w:lineRule="auto"/>
        <w:jc w:val="both"/>
        <w:sectPr>
          <w:pgSz w:w="11910" w:h="16840"/>
          <w:pgMar w:header="880" w:footer="979" w:top="1120" w:bottom="1160" w:left="980" w:right="920"/>
        </w:sectPr>
      </w:pPr>
    </w:p>
    <w:p>
      <w:pPr>
        <w:spacing w:line="240" w:lineRule="auto" w:before="9"/>
        <w:rPr>
          <w:rFonts w:ascii="宋体" w:hAnsi="宋体" w:cs="宋体" w:eastAsia="宋体" w:hint="default"/>
          <w:sz w:val="20"/>
          <w:szCs w:val="20"/>
        </w:rPr>
      </w:pPr>
    </w:p>
    <w:p>
      <w:pPr>
        <w:pStyle w:val="BodyText"/>
        <w:spacing w:line="273" w:lineRule="auto" w:before="36"/>
        <w:ind w:right="0"/>
        <w:jc w:val="left"/>
      </w:pPr>
      <w:r>
        <w:rPr>
          <w:spacing w:val="-2"/>
        </w:rPr>
        <w:t>的权益工具投资，或与该权益工具挂钩并须通过交付该权益工具结算的衍生金融资产发生的减值损失，不</w:t>
      </w:r>
      <w:r>
        <w:rPr>
          <w:spacing w:val="-44"/>
        </w:rPr>
        <w:t> </w:t>
      </w:r>
      <w:r>
        <w:rPr>
          <w:spacing w:val="-44"/>
        </w:rPr>
      </w:r>
      <w:r>
        <w:rPr/>
        <w:t>得转回。</w:t>
      </w:r>
    </w:p>
    <w:p>
      <w:pPr>
        <w:pStyle w:val="BodyText"/>
        <w:spacing w:line="256" w:lineRule="auto" w:before="7"/>
        <w:ind w:left="572" w:right="0"/>
        <w:jc w:val="left"/>
      </w:pPr>
      <w:r>
        <w:rPr/>
        <w:t>（</w:t>
      </w:r>
      <w:r>
        <w:rPr>
          <w:rFonts w:ascii="Times New Roman" w:hAnsi="Times New Roman" w:cs="Times New Roman" w:eastAsia="Times New Roman" w:hint="default"/>
        </w:rPr>
        <w:t>2</w:t>
      </w:r>
      <w:r>
        <w:rPr/>
        <w:t>）持有至到期投资的减值准备</w:t>
      </w:r>
      <w:r>
        <w:rPr>
          <w:w w:val="100"/>
        </w:rPr>
        <w:t> </w:t>
      </w:r>
      <w:r>
        <w:rPr>
          <w:spacing w:val="-2"/>
        </w:rPr>
        <w:t>对于持有至到期投资，有客观证据表明其发生了减值的，根据其账面价值与预计未来现金流量现值之</w:t>
      </w:r>
    </w:p>
    <w:p>
      <w:pPr>
        <w:pStyle w:val="BodyText"/>
        <w:spacing w:line="273" w:lineRule="auto" w:before="22"/>
        <w:ind w:right="0"/>
        <w:jc w:val="left"/>
      </w:pPr>
      <w:r>
        <w:rPr>
          <w:spacing w:val="-2"/>
        </w:rPr>
        <w:t>间差额计算确认减值损失；计提后如有证据表明其价值已恢复，原确认的减值损失可予以转回，记入当期</w:t>
      </w:r>
      <w:r>
        <w:rPr>
          <w:spacing w:val="-43"/>
        </w:rPr>
        <w:t> </w:t>
      </w:r>
      <w:r>
        <w:rPr>
          <w:spacing w:val="-43"/>
        </w:rPr>
      </w:r>
      <w:r>
        <w:rPr/>
        <w:t>损益，但该转回的账面价值不超过假定不计提减值准备情况下该金融资产在转回日的摊余成本。</w:t>
      </w:r>
    </w:p>
    <w:p>
      <w:pPr>
        <w:spacing w:line="256" w:lineRule="auto" w:before="8"/>
        <w:ind w:left="572"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、金融资产及金融负债的抵销</w:t>
      </w:r>
      <w:r>
        <w:rPr>
          <w:rFonts w:ascii="宋体" w:hAnsi="宋体" w:cs="宋体" w:eastAsia="宋体" w:hint="default"/>
          <w:b/>
          <w:bCs/>
          <w:w w:val="100"/>
          <w:sz w:val="21"/>
          <w:szCs w:val="21"/>
        </w:rPr>
        <w:t> </w:t>
      </w:r>
      <w:r>
        <w:rPr>
          <w:rFonts w:ascii="宋体" w:hAnsi="宋体" w:cs="宋体" w:eastAsia="宋体" w:hint="default"/>
          <w:spacing w:val="-3"/>
          <w:sz w:val="21"/>
          <w:szCs w:val="21"/>
        </w:rPr>
        <w:t>金融资产和金融负债在资产负债表内分别列示，没有相互抵销。但是，同时满足下列条件的，以相互</w:t>
      </w:r>
      <w:r>
        <w:rPr>
          <w:rFonts w:ascii="宋体" w:hAnsi="宋体" w:cs="宋体" w:eastAsia="宋体" w:hint="default"/>
          <w:sz w:val="21"/>
          <w:szCs w:val="21"/>
        </w:rPr>
      </w:r>
    </w:p>
    <w:p>
      <w:pPr>
        <w:pStyle w:val="BodyText"/>
        <w:spacing w:line="240" w:lineRule="auto" w:before="22"/>
        <w:ind w:right="0"/>
        <w:jc w:val="left"/>
      </w:pPr>
      <w:r>
        <w:rPr/>
        <w:t>抵销后的净额在资产负债表内列示：</w:t>
      </w:r>
    </w:p>
    <w:p>
      <w:pPr>
        <w:pStyle w:val="BodyText"/>
        <w:spacing w:line="240" w:lineRule="auto" w:before="37"/>
        <w:ind w:left="572" w:right="0"/>
        <w:jc w:val="left"/>
      </w:pPr>
      <w:r>
        <w:rPr/>
        <w:t>（</w:t>
      </w:r>
      <w:r>
        <w:rPr>
          <w:rFonts w:ascii="Times New Roman" w:hAnsi="Times New Roman" w:cs="Times New Roman" w:eastAsia="Times New Roman" w:hint="default"/>
        </w:rPr>
        <w:t>1</w:t>
      </w:r>
      <w:r>
        <w:rPr/>
        <w:t>）本公司具有抵销已确认金额的法定权利，且该种法定权利是当前可执行的；</w:t>
      </w:r>
    </w:p>
    <w:p>
      <w:pPr>
        <w:pStyle w:val="BodyText"/>
        <w:spacing w:line="240" w:lineRule="auto" w:before="21"/>
        <w:ind w:left="572" w:right="0"/>
        <w:jc w:val="left"/>
      </w:pPr>
      <w:r>
        <w:rPr/>
        <w:t>（</w:t>
      </w:r>
      <w:r>
        <w:rPr>
          <w:rFonts w:ascii="Times New Roman" w:hAnsi="Times New Roman" w:cs="Times New Roman" w:eastAsia="Times New Roman" w:hint="default"/>
        </w:rPr>
        <w:t>2</w:t>
      </w:r>
      <w:r>
        <w:rPr/>
        <w:t>）本公司计划以净额结算，或同时变现该金融资产和清偿该金融负债。</w:t>
      </w:r>
    </w:p>
    <w:p>
      <w:pPr>
        <w:spacing w:line="264" w:lineRule="auto" w:before="177"/>
        <w:ind w:left="572" w:right="3800" w:firstLine="2"/>
        <w:jc w:val="left"/>
        <w:rPr>
          <w:rFonts w:ascii="宋体" w:hAnsi="宋体" w:cs="宋体" w:eastAsia="宋体" w:hint="default"/>
          <w:sz w:val="21"/>
          <w:szCs w:val="21"/>
        </w:rPr>
      </w:pPr>
      <w:r>
        <w:rPr>
          <w:rFonts w:ascii="宋体" w:hAnsi="宋体" w:cs="宋体" w:eastAsia="宋体" w:hint="default"/>
          <w:b/>
          <w:bCs/>
          <w:sz w:val="21"/>
          <w:szCs w:val="21"/>
        </w:rPr>
        <w:t>（十）应收款项</w:t>
      </w:r>
      <w:r>
        <w:rPr>
          <w:rFonts w:ascii="宋体" w:hAnsi="宋体" w:cs="宋体" w:eastAsia="宋体" w:hint="default"/>
          <w:b/>
          <w:bCs/>
          <w:w w:val="100"/>
          <w:sz w:val="21"/>
          <w:szCs w:val="21"/>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、单项金额重大并单项计提坏账准备的应收款项</w:t>
      </w:r>
      <w:r>
        <w:rPr>
          <w:rFonts w:ascii="宋体" w:hAnsi="宋体" w:cs="宋体" w:eastAsia="宋体" w:hint="default"/>
          <w:b/>
          <w:bCs/>
          <w:w w:val="100"/>
          <w:sz w:val="21"/>
          <w:szCs w:val="21"/>
        </w:rPr>
        <w:t> </w:t>
      </w:r>
      <w:r>
        <w:rPr>
          <w:rFonts w:ascii="宋体" w:hAnsi="宋体" w:cs="宋体" w:eastAsia="宋体" w:hint="default"/>
          <w:spacing w:val="-2"/>
          <w:sz w:val="21"/>
          <w:szCs w:val="21"/>
        </w:rPr>
        <w:t>单项金额重大并单项计提坏账准备的应收款项的确认标准：</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应收账款：单项金额在</w:t>
      </w:r>
      <w:r>
        <w:rPr>
          <w:rFonts w:ascii="Times New Roman" w:hAnsi="Times New Roman" w:cs="Times New Roman" w:eastAsia="Times New Roman" w:hint="default"/>
          <w:sz w:val="21"/>
          <w:szCs w:val="21"/>
        </w:rPr>
        <w:t>50</w:t>
      </w:r>
      <w:r>
        <w:rPr>
          <w:rFonts w:ascii="宋体" w:hAnsi="宋体" w:cs="宋体" w:eastAsia="宋体" w:hint="default"/>
          <w:sz w:val="21"/>
          <w:szCs w:val="21"/>
        </w:rPr>
        <w:t>万元（含</w:t>
      </w:r>
      <w:r>
        <w:rPr>
          <w:rFonts w:ascii="Times New Roman" w:hAnsi="Times New Roman" w:cs="Times New Roman" w:eastAsia="Times New Roman" w:hint="default"/>
          <w:sz w:val="21"/>
          <w:szCs w:val="21"/>
        </w:rPr>
        <w:t>50</w:t>
      </w:r>
      <w:r>
        <w:rPr>
          <w:rFonts w:ascii="宋体" w:hAnsi="宋体" w:cs="宋体" w:eastAsia="宋体" w:hint="default"/>
          <w:sz w:val="21"/>
          <w:szCs w:val="21"/>
        </w:rPr>
        <w:t>万元）以上。</w:t>
      </w:r>
      <w:r>
        <w:rPr>
          <w:rFonts w:ascii="宋体" w:hAnsi="宋体" w:cs="宋体" w:eastAsia="宋体" w:hint="default"/>
          <w:w w:val="100"/>
          <w:sz w:val="21"/>
          <w:szCs w:val="21"/>
        </w:rPr>
        <w:t> </w:t>
      </w:r>
      <w:r>
        <w:rPr>
          <w:rFonts w:ascii="宋体" w:hAnsi="宋体" w:cs="宋体" w:eastAsia="宋体" w:hint="default"/>
          <w:sz w:val="21"/>
          <w:szCs w:val="21"/>
        </w:rPr>
        <w:t>其他应收款：单项金额在</w:t>
      </w:r>
      <w:r>
        <w:rPr>
          <w:rFonts w:ascii="Times New Roman" w:hAnsi="Times New Roman" w:cs="Times New Roman" w:eastAsia="Times New Roman" w:hint="default"/>
          <w:sz w:val="21"/>
          <w:szCs w:val="21"/>
        </w:rPr>
        <w:t>50</w:t>
      </w:r>
      <w:r>
        <w:rPr>
          <w:rFonts w:ascii="宋体" w:hAnsi="宋体" w:cs="宋体" w:eastAsia="宋体" w:hint="default"/>
          <w:sz w:val="21"/>
          <w:szCs w:val="21"/>
        </w:rPr>
        <w:t>万元（含</w:t>
      </w:r>
      <w:r>
        <w:rPr>
          <w:rFonts w:ascii="Times New Roman" w:hAnsi="Times New Roman" w:cs="Times New Roman" w:eastAsia="Times New Roman" w:hint="default"/>
          <w:sz w:val="21"/>
          <w:szCs w:val="21"/>
        </w:rPr>
        <w:t>50</w:t>
      </w:r>
      <w:r>
        <w:rPr>
          <w:rFonts w:ascii="宋体" w:hAnsi="宋体" w:cs="宋体" w:eastAsia="宋体" w:hint="default"/>
          <w:sz w:val="21"/>
          <w:szCs w:val="21"/>
        </w:rPr>
        <w:t>万元）以上。</w:t>
      </w:r>
      <w:r>
        <w:rPr>
          <w:rFonts w:ascii="宋体" w:hAnsi="宋体" w:cs="宋体" w:eastAsia="宋体" w:hint="default"/>
          <w:spacing w:val="-3"/>
          <w:w w:val="100"/>
          <w:sz w:val="21"/>
          <w:szCs w:val="21"/>
        </w:rPr>
        <w:t> </w:t>
      </w:r>
      <w:r>
        <w:rPr>
          <w:rFonts w:ascii="宋体" w:hAnsi="宋体" w:cs="宋体" w:eastAsia="宋体" w:hint="default"/>
          <w:sz w:val="21"/>
          <w:szCs w:val="21"/>
        </w:rPr>
        <w:t>单项金额重大的应收款项坏账准备的计提方法：</w:t>
      </w:r>
    </w:p>
    <w:p>
      <w:pPr>
        <w:pStyle w:val="BodyText"/>
        <w:spacing w:line="273" w:lineRule="auto" w:before="16"/>
        <w:ind w:right="0" w:firstLine="420"/>
        <w:jc w:val="left"/>
      </w:pPr>
      <w:r>
        <w:rPr>
          <w:spacing w:val="-2"/>
        </w:rPr>
        <w:t>单独进行减值测试，按预计未来现金流量现值低于其账面价值的差额计提坏账准备，计入当期损益。</w:t>
      </w:r>
      <w:r>
        <w:rPr>
          <w:spacing w:val="-3"/>
          <w:w w:val="100"/>
        </w:rPr>
        <w:t> </w:t>
      </w:r>
      <w:r>
        <w:rPr/>
        <w:t>单独测试未发生减值的应收款项，将其归入相应组合计提坏账准备。</w:t>
      </w:r>
    </w:p>
    <w:p>
      <w:pPr>
        <w:pStyle w:val="Heading5"/>
        <w:spacing w:line="240" w:lineRule="auto" w:before="8"/>
        <w:ind w:left="575" w:right="0"/>
        <w:jc w:val="left"/>
        <w:rPr>
          <w:b w:val="0"/>
          <w:bCs w:val="0"/>
        </w:rPr>
      </w:pPr>
      <w:r>
        <w:rPr>
          <w:rFonts w:ascii="Times New Roman" w:hAnsi="Times New Roman" w:cs="Times New Roman" w:eastAsia="Times New Roman" w:hint="default"/>
        </w:rPr>
        <w:t>2</w:t>
      </w:r>
      <w:r>
        <w:rPr/>
        <w:t>、按组合计提坏账准备应收款项</w:t>
      </w:r>
      <w:r>
        <w:rPr>
          <w:b w:val="0"/>
          <w:bCs w:val="0"/>
        </w:rPr>
      </w:r>
    </w:p>
    <w:p>
      <w:pPr>
        <w:pStyle w:val="BodyText"/>
        <w:spacing w:line="264" w:lineRule="auto" w:before="21"/>
        <w:ind w:left="572" w:right="0"/>
        <w:jc w:val="left"/>
      </w:pPr>
      <w:r>
        <w:rPr/>
        <w:t>（</w:t>
      </w:r>
      <w:r>
        <w:rPr>
          <w:rFonts w:ascii="Times New Roman" w:hAnsi="Times New Roman" w:cs="Times New Roman" w:eastAsia="Times New Roman" w:hint="default"/>
        </w:rPr>
        <w:t>1</w:t>
      </w:r>
      <w:r>
        <w:rPr/>
        <w:t>）确认组合的依据及坏账准备的计提方法：</w:t>
      </w:r>
      <w:r>
        <w:rPr>
          <w:w w:val="100"/>
        </w:rPr>
        <w:t> </w:t>
      </w:r>
      <w:r>
        <w:rPr>
          <w:spacing w:val="-2"/>
        </w:rPr>
        <w:t>确认组合的依据：以账龄特征划分为若干应收款项组合。</w:t>
      </w:r>
      <w:r>
        <w:rPr>
          <w:spacing w:val="-55"/>
        </w:rPr>
        <w:t> </w:t>
      </w:r>
      <w:r>
        <w:rPr>
          <w:spacing w:val="-55"/>
        </w:rPr>
      </w:r>
      <w:r>
        <w:rPr/>
        <w:t>按组合计提坏账准备的计提方法：账龄分析法。</w:t>
      </w:r>
    </w:p>
    <w:p>
      <w:pPr>
        <w:pStyle w:val="BodyText"/>
        <w:spacing w:line="240" w:lineRule="auto" w:before="16"/>
        <w:ind w:left="572" w:right="0"/>
        <w:jc w:val="left"/>
      </w:pPr>
      <w:r>
        <w:rPr/>
        <w:t>（</w:t>
      </w:r>
      <w:r>
        <w:rPr>
          <w:rFonts w:ascii="Times New Roman" w:hAnsi="Times New Roman" w:cs="Times New Roman" w:eastAsia="Times New Roman" w:hint="default"/>
        </w:rPr>
        <w:t>2</w:t>
      </w:r>
      <w:r>
        <w:rPr/>
        <w:t>）组合中，采用账龄分析法计提坏账准备的：</w:t>
      </w:r>
    </w:p>
    <w:p>
      <w:pPr>
        <w:spacing w:line="240" w:lineRule="auto" w:before="8"/>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4111"/>
        <w:gridCol w:w="4106"/>
      </w:tblGrid>
      <w:tr>
        <w:trPr>
          <w:trHeight w:val="314" w:hRule="exact"/>
        </w:trPr>
        <w:tc>
          <w:tcPr>
            <w:tcW w:w="4111"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left="7" w:right="0"/>
              <w:jc w:val="center"/>
              <w:rPr>
                <w:rFonts w:ascii="宋体" w:hAnsi="宋体" w:cs="宋体" w:eastAsia="宋体" w:hint="default"/>
                <w:sz w:val="21"/>
                <w:szCs w:val="21"/>
              </w:rPr>
            </w:pPr>
            <w:r>
              <w:rPr>
                <w:rFonts w:ascii="宋体" w:hAnsi="宋体" w:cs="宋体" w:eastAsia="宋体" w:hint="default"/>
                <w:sz w:val="21"/>
                <w:szCs w:val="21"/>
              </w:rPr>
              <w:t>应收款项账龄</w:t>
            </w:r>
          </w:p>
        </w:tc>
        <w:tc>
          <w:tcPr>
            <w:tcW w:w="4106" w:type="dxa"/>
            <w:tcBorders>
              <w:top w:val="single" w:sz="6" w:space="0" w:color="000000"/>
              <w:left w:val="single" w:sz="6" w:space="0" w:color="000000"/>
              <w:bottom w:val="single" w:sz="12" w:space="0" w:color="000000"/>
              <w:right w:val="nil" w:sz="6" w:space="0" w:color="auto"/>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提取比例</w:t>
            </w:r>
          </w:p>
        </w:tc>
      </w:tr>
      <w:tr>
        <w:trPr>
          <w:trHeight w:val="314" w:hRule="exact"/>
        </w:trPr>
        <w:tc>
          <w:tcPr>
            <w:tcW w:w="4111" w:type="dxa"/>
            <w:tcBorders>
              <w:top w:val="single" w:sz="12" w:space="0" w:color="000000"/>
              <w:left w:val="single" w:sz="6" w:space="0" w:color="000000"/>
              <w:bottom w:val="single" w:sz="12" w:space="0" w:color="000000"/>
              <w:right w:val="single" w:sz="6" w:space="0" w:color="000000"/>
            </w:tcBorders>
          </w:tcPr>
          <w:p>
            <w:pPr>
              <w:pStyle w:val="TableParagraph"/>
              <w:spacing w:line="259"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年以内（含</w:t>
            </w:r>
            <w:r>
              <w:rPr>
                <w:rFonts w:ascii="Times New Roman" w:hAnsi="Times New Roman" w:cs="Times New Roman" w:eastAsia="Times New Roman" w:hint="default"/>
                <w:sz w:val="21"/>
                <w:szCs w:val="21"/>
              </w:rPr>
              <w:t>1</w:t>
            </w:r>
            <w:r>
              <w:rPr>
                <w:rFonts w:ascii="宋体" w:hAnsi="宋体" w:cs="宋体" w:eastAsia="宋体" w:hint="default"/>
                <w:sz w:val="21"/>
                <w:szCs w:val="21"/>
              </w:rPr>
              <w:t>年）</w:t>
            </w:r>
          </w:p>
        </w:tc>
        <w:tc>
          <w:tcPr>
            <w:tcW w:w="4106"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1"/>
              <w:jc w:val="center"/>
              <w:rPr>
                <w:rFonts w:ascii="Times New Roman" w:hAnsi="Times New Roman" w:cs="Times New Roman" w:eastAsia="Times New Roman" w:hint="default"/>
                <w:sz w:val="21"/>
                <w:szCs w:val="21"/>
              </w:rPr>
            </w:pPr>
            <w:r>
              <w:rPr>
                <w:rFonts w:ascii="Times New Roman"/>
                <w:sz w:val="21"/>
              </w:rPr>
              <w:t>1%</w:t>
            </w:r>
          </w:p>
        </w:tc>
      </w:tr>
      <w:tr>
        <w:trPr>
          <w:trHeight w:val="312" w:hRule="exact"/>
        </w:trPr>
        <w:tc>
          <w:tcPr>
            <w:tcW w:w="4111" w:type="dxa"/>
            <w:tcBorders>
              <w:top w:val="single" w:sz="12" w:space="0" w:color="000000"/>
              <w:left w:val="single" w:sz="6" w:space="0" w:color="000000"/>
              <w:bottom w:val="single" w:sz="12" w:space="0" w:color="000000"/>
              <w:right w:val="single" w:sz="6" w:space="0" w:color="000000"/>
            </w:tcBorders>
          </w:tcPr>
          <w:p>
            <w:pPr>
              <w:pStyle w:val="TableParagraph"/>
              <w:spacing w:line="257"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年（含</w:t>
            </w:r>
            <w:r>
              <w:rPr>
                <w:rFonts w:ascii="Times New Roman" w:hAnsi="Times New Roman" w:cs="Times New Roman" w:eastAsia="Times New Roman" w:hint="default"/>
                <w:sz w:val="21"/>
                <w:szCs w:val="21"/>
              </w:rPr>
              <w:t>2</w:t>
            </w:r>
            <w:r>
              <w:rPr>
                <w:rFonts w:ascii="宋体" w:hAnsi="宋体" w:cs="宋体" w:eastAsia="宋体" w:hint="default"/>
                <w:sz w:val="21"/>
                <w:szCs w:val="21"/>
              </w:rPr>
              <w:t>年）</w:t>
            </w:r>
          </w:p>
        </w:tc>
        <w:tc>
          <w:tcPr>
            <w:tcW w:w="4106"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1"/>
              <w:jc w:val="center"/>
              <w:rPr>
                <w:rFonts w:ascii="Times New Roman" w:hAnsi="Times New Roman" w:cs="Times New Roman" w:eastAsia="Times New Roman" w:hint="default"/>
                <w:sz w:val="21"/>
                <w:szCs w:val="21"/>
              </w:rPr>
            </w:pPr>
            <w:r>
              <w:rPr>
                <w:rFonts w:ascii="Times New Roman"/>
                <w:sz w:val="21"/>
              </w:rPr>
              <w:t>10%</w:t>
            </w:r>
          </w:p>
        </w:tc>
      </w:tr>
      <w:tr>
        <w:trPr>
          <w:trHeight w:val="314" w:hRule="exact"/>
        </w:trPr>
        <w:tc>
          <w:tcPr>
            <w:tcW w:w="4111" w:type="dxa"/>
            <w:tcBorders>
              <w:top w:val="single" w:sz="12" w:space="0" w:color="000000"/>
              <w:left w:val="single" w:sz="6" w:space="0" w:color="000000"/>
              <w:bottom w:val="single" w:sz="12" w:space="0" w:color="000000"/>
              <w:right w:val="single" w:sz="6" w:space="0" w:color="000000"/>
            </w:tcBorders>
          </w:tcPr>
          <w:p>
            <w:pPr>
              <w:pStyle w:val="TableParagraph"/>
              <w:spacing w:line="259"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年（含</w:t>
            </w:r>
            <w:r>
              <w:rPr>
                <w:rFonts w:ascii="Times New Roman" w:hAnsi="Times New Roman" w:cs="Times New Roman" w:eastAsia="Times New Roman" w:hint="default"/>
                <w:sz w:val="21"/>
                <w:szCs w:val="21"/>
              </w:rPr>
              <w:t>3</w:t>
            </w:r>
            <w:r>
              <w:rPr>
                <w:rFonts w:ascii="宋体" w:hAnsi="宋体" w:cs="宋体" w:eastAsia="宋体" w:hint="default"/>
                <w:sz w:val="21"/>
                <w:szCs w:val="21"/>
              </w:rPr>
              <w:t>年）</w:t>
            </w:r>
          </w:p>
        </w:tc>
        <w:tc>
          <w:tcPr>
            <w:tcW w:w="4106"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1"/>
              <w:jc w:val="center"/>
              <w:rPr>
                <w:rFonts w:ascii="Times New Roman" w:hAnsi="Times New Roman" w:cs="Times New Roman" w:eastAsia="Times New Roman" w:hint="default"/>
                <w:sz w:val="21"/>
                <w:szCs w:val="21"/>
              </w:rPr>
            </w:pPr>
            <w:r>
              <w:rPr>
                <w:rFonts w:ascii="Times New Roman"/>
                <w:sz w:val="21"/>
              </w:rPr>
              <w:t>30%</w:t>
            </w:r>
          </w:p>
        </w:tc>
      </w:tr>
      <w:tr>
        <w:trPr>
          <w:trHeight w:val="312" w:hRule="exact"/>
        </w:trPr>
        <w:tc>
          <w:tcPr>
            <w:tcW w:w="4111" w:type="dxa"/>
            <w:tcBorders>
              <w:top w:val="single" w:sz="12" w:space="0" w:color="000000"/>
              <w:left w:val="single" w:sz="6" w:space="0" w:color="000000"/>
              <w:bottom w:val="single" w:sz="12" w:space="0" w:color="000000"/>
              <w:right w:val="single" w:sz="6" w:space="0" w:color="000000"/>
            </w:tcBorders>
          </w:tcPr>
          <w:p>
            <w:pPr>
              <w:pStyle w:val="TableParagraph"/>
              <w:spacing w:line="257"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年以上</w:t>
            </w:r>
          </w:p>
        </w:tc>
        <w:tc>
          <w:tcPr>
            <w:tcW w:w="4106"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1"/>
              <w:jc w:val="center"/>
              <w:rPr>
                <w:rFonts w:ascii="Times New Roman" w:hAnsi="Times New Roman" w:cs="Times New Roman" w:eastAsia="Times New Roman" w:hint="default"/>
                <w:sz w:val="21"/>
                <w:szCs w:val="21"/>
              </w:rPr>
            </w:pPr>
            <w:r>
              <w:rPr>
                <w:rFonts w:ascii="Times New Roman"/>
                <w:sz w:val="21"/>
              </w:rPr>
              <w:t>100%</w:t>
            </w:r>
          </w:p>
        </w:tc>
      </w:tr>
    </w:tbl>
    <w:p>
      <w:pPr>
        <w:spacing w:line="240" w:lineRule="auto" w:before="3"/>
        <w:rPr>
          <w:rFonts w:ascii="宋体" w:hAnsi="宋体" w:cs="宋体" w:eastAsia="宋体" w:hint="default"/>
          <w:sz w:val="8"/>
          <w:szCs w:val="8"/>
        </w:rPr>
      </w:pPr>
    </w:p>
    <w:p>
      <w:pPr>
        <w:spacing w:line="256" w:lineRule="auto" w:before="36"/>
        <w:ind w:left="572"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、单项金额虽不重大但单项计提坏账准备的应收款项</w:t>
      </w:r>
      <w:r>
        <w:rPr>
          <w:rFonts w:ascii="宋体" w:hAnsi="宋体" w:cs="宋体" w:eastAsia="宋体" w:hint="default"/>
          <w:b/>
          <w:bCs/>
          <w:w w:val="100"/>
          <w:sz w:val="21"/>
          <w:szCs w:val="21"/>
        </w:rPr>
        <w:t> </w:t>
      </w:r>
      <w:r>
        <w:rPr>
          <w:rFonts w:ascii="宋体" w:hAnsi="宋体" w:cs="宋体" w:eastAsia="宋体" w:hint="default"/>
          <w:spacing w:val="-2"/>
          <w:sz w:val="21"/>
          <w:szCs w:val="21"/>
        </w:rPr>
        <w:t>单项计提坏账准备的理由：有客观证据表明可能发生了减值，如债务人出现撤销、破产或死亡，以其</w:t>
      </w:r>
    </w:p>
    <w:p>
      <w:pPr>
        <w:pStyle w:val="BodyText"/>
        <w:spacing w:line="273" w:lineRule="auto" w:before="22"/>
        <w:ind w:left="572" w:right="0" w:hanging="421"/>
        <w:jc w:val="left"/>
      </w:pPr>
      <w:r>
        <w:rPr/>
        <w:t>破产财产或遗产清偿后，仍不能收回、现金流量严重不足等情况的。</w:t>
      </w:r>
      <w:r>
        <w:rPr>
          <w:w w:val="100"/>
        </w:rPr>
        <w:t> </w:t>
      </w:r>
      <w:r>
        <w:rPr>
          <w:spacing w:val="-2"/>
        </w:rPr>
        <w:t>坏账准备的计提方法：对有客观证据表明可能发生了减值的应收款项，将其从相关组合中分离出来，</w:t>
      </w:r>
    </w:p>
    <w:p>
      <w:pPr>
        <w:pStyle w:val="BodyText"/>
        <w:spacing w:line="240" w:lineRule="auto" w:before="7"/>
        <w:ind w:right="0"/>
        <w:jc w:val="left"/>
      </w:pPr>
      <w:r>
        <w:rPr/>
        <w:t>单独进行减值测试，确认减值损失。</w:t>
      </w:r>
    </w:p>
    <w:p>
      <w:pPr>
        <w:spacing w:line="240" w:lineRule="auto" w:before="10"/>
        <w:rPr>
          <w:rFonts w:ascii="宋体" w:hAnsi="宋体" w:cs="宋体" w:eastAsia="宋体" w:hint="default"/>
          <w:sz w:val="14"/>
          <w:szCs w:val="14"/>
        </w:rPr>
      </w:pPr>
    </w:p>
    <w:p>
      <w:pPr>
        <w:pStyle w:val="Heading5"/>
        <w:spacing w:line="240" w:lineRule="auto"/>
        <w:ind w:left="575" w:right="0"/>
        <w:jc w:val="left"/>
        <w:rPr>
          <w:b w:val="0"/>
          <w:bCs w:val="0"/>
        </w:rPr>
      </w:pPr>
      <w:r>
        <w:rPr/>
        <w:t>（十一）存货</w:t>
      </w:r>
      <w:r>
        <w:rPr>
          <w:b w:val="0"/>
          <w:bCs w:val="0"/>
        </w:rPr>
      </w:r>
    </w:p>
    <w:p>
      <w:pPr>
        <w:pStyle w:val="BodyText"/>
        <w:spacing w:line="273" w:lineRule="auto" w:before="37"/>
        <w:ind w:left="572" w:right="0" w:hanging="420"/>
        <w:jc w:val="left"/>
      </w:pPr>
      <w:r>
        <w:rPr>
          <w:rFonts w:ascii="宋体" w:hAnsi="宋体" w:cs="宋体" w:eastAsia="宋体" w:hint="default"/>
          <w:b/>
          <w:bCs/>
        </w:rPr>
        <w:t>1.</w:t>
      </w:r>
      <w:r>
        <w:rPr>
          <w:rFonts w:ascii="宋体" w:hAnsi="宋体" w:cs="宋体" w:eastAsia="宋体" w:hint="default"/>
          <w:b/>
          <w:bCs/>
          <w:spacing w:val="41"/>
        </w:rPr>
        <w:t> </w:t>
      </w:r>
      <w:r>
        <w:rPr>
          <w:rFonts w:ascii="宋体" w:hAnsi="宋体" w:cs="宋体" w:eastAsia="宋体" w:hint="default"/>
          <w:b/>
          <w:bCs/>
        </w:rPr>
        <w:t>存货的分类</w:t>
      </w:r>
      <w:r>
        <w:rPr>
          <w:rFonts w:ascii="宋体" w:hAnsi="宋体" w:cs="宋体" w:eastAsia="宋体" w:hint="default"/>
          <w:b/>
          <w:bCs/>
          <w:w w:val="100"/>
        </w:rPr>
        <w:t> </w:t>
      </w:r>
      <w:r>
        <w:rPr>
          <w:spacing w:val="2"/>
        </w:rPr>
        <w:t>存货是指本公司在日常活动中持有以备出售的商品、已发送至客户但不符合收入确认条件的发出商</w:t>
      </w:r>
    </w:p>
    <w:p>
      <w:pPr>
        <w:pStyle w:val="BodyText"/>
        <w:spacing w:line="240" w:lineRule="auto" w:before="7"/>
        <w:ind w:right="0"/>
        <w:jc w:val="left"/>
      </w:pPr>
      <w:r>
        <w:rPr/>
        <w:t>品、在生产过程或提供劳务过程中耗用的材料和物料等。主要包括原材料、库存商品等。</w:t>
      </w:r>
    </w:p>
    <w:p>
      <w:pPr>
        <w:pStyle w:val="BodyText"/>
        <w:spacing w:line="256" w:lineRule="auto" w:before="37"/>
        <w:ind w:left="572" w:right="0" w:firstLine="2"/>
        <w:jc w:val="left"/>
      </w:pPr>
      <w:r>
        <w:rPr>
          <w:rFonts w:ascii="Times New Roman" w:hAnsi="Times New Roman" w:cs="Times New Roman" w:eastAsia="Times New Roman" w:hint="default"/>
          <w:b/>
          <w:bCs/>
        </w:rPr>
        <w:t>2</w:t>
      </w:r>
      <w:r>
        <w:rPr>
          <w:rFonts w:ascii="宋体" w:hAnsi="宋体" w:cs="宋体" w:eastAsia="宋体" w:hint="default"/>
          <w:b/>
          <w:bCs/>
        </w:rPr>
        <w:t>、</w:t>
      </w:r>
      <w:r>
        <w:rPr>
          <w:rFonts w:ascii="宋体" w:hAnsi="宋体" w:cs="宋体" w:eastAsia="宋体" w:hint="default"/>
          <w:b/>
          <w:bCs/>
          <w:spacing w:val="5"/>
        </w:rPr>
        <w:t> </w:t>
      </w:r>
      <w:r>
        <w:rPr>
          <w:rFonts w:ascii="宋体" w:hAnsi="宋体" w:cs="宋体" w:eastAsia="宋体" w:hint="default"/>
          <w:b/>
          <w:bCs/>
        </w:rPr>
        <w:t>存货的计价方法</w:t>
      </w:r>
      <w:r>
        <w:rPr>
          <w:rFonts w:ascii="宋体" w:hAnsi="宋体" w:cs="宋体" w:eastAsia="宋体" w:hint="default"/>
          <w:b/>
          <w:bCs/>
          <w:w w:val="100"/>
        </w:rPr>
        <w:t> </w:t>
      </w:r>
      <w:r>
        <w:rPr>
          <w:spacing w:val="-3"/>
        </w:rPr>
        <w:t>存货在取得时，按成本进行初始计量，包括采购成本、加工成本和其他成本。存货发出时按移动加权</w:t>
      </w:r>
      <w:r>
        <w:rPr/>
      </w:r>
    </w:p>
    <w:p>
      <w:pPr>
        <w:pStyle w:val="BodyText"/>
        <w:spacing w:line="240" w:lineRule="auto" w:before="22"/>
        <w:ind w:right="0"/>
        <w:jc w:val="left"/>
      </w:pPr>
      <w:r>
        <w:rPr/>
        <w:t>平均法计价。</w:t>
      </w:r>
    </w:p>
    <w:p>
      <w:pPr>
        <w:spacing w:line="256" w:lineRule="auto" w:before="37"/>
        <w:ind w:left="572"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存货可变现净值的确定依据及存货跌价准备的计提方法</w:t>
      </w:r>
      <w:r>
        <w:rPr>
          <w:rFonts w:ascii="宋体" w:hAnsi="宋体" w:cs="宋体" w:eastAsia="宋体" w:hint="default"/>
          <w:b/>
          <w:bCs/>
          <w:w w:val="100"/>
          <w:sz w:val="21"/>
          <w:szCs w:val="21"/>
        </w:rPr>
        <w:t> </w:t>
      </w:r>
      <w:r>
        <w:rPr>
          <w:rFonts w:ascii="宋体" w:hAnsi="宋体" w:cs="宋体" w:eastAsia="宋体" w:hint="default"/>
          <w:spacing w:val="-2"/>
          <w:sz w:val="21"/>
          <w:szCs w:val="21"/>
        </w:rPr>
        <w:t>期末对存货进行全面清查后，按存货的成本与可变现净值孰低提取或调整存货跌价准备。库存商品和</w:t>
      </w:r>
    </w:p>
    <w:p>
      <w:pPr>
        <w:spacing w:after="0" w:line="256" w:lineRule="auto"/>
        <w:jc w:val="left"/>
        <w:rPr>
          <w:rFonts w:ascii="宋体" w:hAnsi="宋体" w:cs="宋体" w:eastAsia="宋体" w:hint="default"/>
          <w:sz w:val="21"/>
          <w:szCs w:val="21"/>
        </w:rPr>
        <w:sectPr>
          <w:pgSz w:w="11910" w:h="16840"/>
          <w:pgMar w:header="880" w:footer="979" w:top="1120" w:bottom="1160" w:left="980" w:right="980"/>
        </w:sectPr>
      </w:pPr>
    </w:p>
    <w:p>
      <w:pPr>
        <w:spacing w:line="240" w:lineRule="auto" w:before="9"/>
        <w:rPr>
          <w:rFonts w:ascii="宋体" w:hAnsi="宋体" w:cs="宋体" w:eastAsia="宋体" w:hint="default"/>
          <w:sz w:val="20"/>
          <w:szCs w:val="20"/>
        </w:rPr>
      </w:pPr>
    </w:p>
    <w:p>
      <w:pPr>
        <w:pStyle w:val="BodyText"/>
        <w:spacing w:line="273" w:lineRule="auto" w:before="36"/>
        <w:ind w:right="146"/>
        <w:jc w:val="both"/>
      </w:pPr>
      <w:r>
        <w:rPr>
          <w:spacing w:val="-2"/>
        </w:rPr>
        <w:t>用于出售的材料等直接用于出售的商品存货，在正常生产经营过程中，以该存货的估计售价减去估计的销</w:t>
      </w:r>
      <w:r>
        <w:rPr>
          <w:spacing w:val="-42"/>
        </w:rPr>
        <w:t> </w:t>
      </w:r>
      <w:r>
        <w:rPr>
          <w:spacing w:val="-42"/>
        </w:rPr>
      </w:r>
      <w:r>
        <w:rPr>
          <w:spacing w:val="-2"/>
        </w:rPr>
        <w:t>售费用和相关税费后的金额，确定其可变现净值；需要经过加工的材料存货，在正常生产经营过程中，以</w:t>
      </w:r>
      <w:r>
        <w:rPr>
          <w:spacing w:val="-44"/>
        </w:rPr>
        <w:t> </w:t>
      </w:r>
      <w:r>
        <w:rPr>
          <w:spacing w:val="-44"/>
        </w:rPr>
      </w:r>
      <w:r>
        <w:rPr>
          <w:spacing w:val="-2"/>
        </w:rPr>
        <w:t>所生产的产成品的估计售价减去至完工时估计将要发生的成本、估计的销售费用和相关税费后的金额，确</w:t>
      </w:r>
      <w:r>
        <w:rPr>
          <w:spacing w:val="-44"/>
        </w:rPr>
        <w:t> </w:t>
      </w:r>
      <w:r>
        <w:rPr>
          <w:spacing w:val="-44"/>
        </w:rPr>
      </w:r>
      <w:r>
        <w:rPr>
          <w:spacing w:val="-2"/>
        </w:rPr>
        <w:t>定其可变现净值；为执行销售合同或者劳务合同而持有的存货，其可变现净值以合同价格为基础计算，若</w:t>
      </w:r>
      <w:r>
        <w:rPr>
          <w:spacing w:val="-43"/>
        </w:rPr>
        <w:t> </w:t>
      </w:r>
      <w:r>
        <w:rPr>
          <w:spacing w:val="-43"/>
        </w:rPr>
      </w:r>
      <w:r>
        <w:rPr/>
        <w:t>持有存货的数量多于销售合同订购数量的，超出部分的存货的可变现净值以一般销售价格为基础计算。</w:t>
      </w:r>
    </w:p>
    <w:p>
      <w:pPr>
        <w:pStyle w:val="BodyText"/>
        <w:spacing w:line="273" w:lineRule="auto" w:before="7"/>
        <w:ind w:right="146" w:firstLine="420"/>
        <w:jc w:val="both"/>
      </w:pPr>
      <w:r>
        <w:rPr>
          <w:spacing w:val="-2"/>
        </w:rPr>
        <w:t>期末按照单个存货项目计提存货跌价准备；但对于数量繁多、单价较低的存货，按照存货类别计提存</w:t>
      </w:r>
      <w:r>
        <w:rPr>
          <w:w w:val="100"/>
        </w:rPr>
        <w:t> </w:t>
      </w:r>
      <w:r>
        <w:rPr>
          <w:spacing w:val="-2"/>
        </w:rPr>
        <w:t>货跌价准备；与在同一地区生产和销售的产品系列相关、具有相同或类似最终用途或目的，且难以与其他</w:t>
      </w:r>
      <w:r>
        <w:rPr>
          <w:spacing w:val="-44"/>
        </w:rPr>
        <w:t> </w:t>
      </w:r>
      <w:r>
        <w:rPr>
          <w:spacing w:val="-44"/>
        </w:rPr>
      </w:r>
      <w:r>
        <w:rPr/>
        <w:t>项目分开计量的存货，则合并计提存货跌价准备。</w:t>
      </w:r>
    </w:p>
    <w:p>
      <w:pPr>
        <w:pStyle w:val="BodyText"/>
        <w:spacing w:line="273" w:lineRule="auto" w:before="7"/>
        <w:ind w:right="147" w:firstLine="420"/>
        <w:jc w:val="both"/>
      </w:pPr>
      <w:r>
        <w:rPr>
          <w:spacing w:val="-2"/>
        </w:rPr>
        <w:t>以前减记存货价值的影响因素已经消失的，减记的金额予以恢复，并在原已计提的存货跌价准备金额</w:t>
      </w:r>
      <w:r>
        <w:rPr>
          <w:w w:val="100"/>
        </w:rPr>
        <w:t> </w:t>
      </w:r>
      <w:r>
        <w:rPr/>
        <w:t>内转回，转回的金额计入当期损益。</w:t>
      </w:r>
    </w:p>
    <w:p>
      <w:pPr>
        <w:spacing w:line="256" w:lineRule="auto" w:before="8"/>
        <w:ind w:left="572" w:right="5692"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存货的盘存制度</w:t>
      </w:r>
      <w:r>
        <w:rPr>
          <w:rFonts w:ascii="宋体" w:hAnsi="宋体" w:cs="宋体" w:eastAsia="宋体" w:hint="default"/>
          <w:b/>
          <w:bCs/>
          <w:w w:val="100"/>
          <w:sz w:val="21"/>
          <w:szCs w:val="21"/>
        </w:rPr>
        <w:t> </w:t>
      </w:r>
      <w:r>
        <w:rPr>
          <w:rFonts w:ascii="宋体" w:hAnsi="宋体" w:cs="宋体" w:eastAsia="宋体" w:hint="default"/>
          <w:spacing w:val="-2"/>
          <w:sz w:val="21"/>
          <w:szCs w:val="21"/>
        </w:rPr>
        <w:t>存货采用永续盘存制。</w:t>
      </w:r>
    </w:p>
    <w:p>
      <w:pPr>
        <w:pStyle w:val="Heading5"/>
        <w:spacing w:line="240" w:lineRule="auto" w:before="178"/>
        <w:ind w:left="575" w:right="0"/>
        <w:jc w:val="left"/>
        <w:rPr>
          <w:b w:val="0"/>
          <w:bCs w:val="0"/>
        </w:rPr>
      </w:pPr>
      <w:r>
        <w:rPr/>
        <w:t>（十二）长期股权投资</w:t>
      </w:r>
      <w:r>
        <w:rPr>
          <w:b w:val="0"/>
          <w:bCs w:val="0"/>
        </w:rPr>
      </w:r>
    </w:p>
    <w:p>
      <w:pPr>
        <w:pStyle w:val="Heading5"/>
        <w:spacing w:line="240" w:lineRule="auto" w:before="37"/>
        <w:ind w:left="575" w:right="0"/>
        <w:jc w:val="left"/>
        <w:rPr>
          <w:b w:val="0"/>
          <w:bCs w:val="0"/>
        </w:rPr>
      </w:pPr>
      <w:r>
        <w:rPr>
          <w:rFonts w:ascii="Times New Roman" w:hAnsi="Times New Roman" w:cs="Times New Roman" w:eastAsia="Times New Roman" w:hint="default"/>
        </w:rPr>
        <w:t>1</w:t>
      </w:r>
      <w:r>
        <w:rPr/>
        <w:t>、投资成本的确定</w:t>
      </w:r>
      <w:r>
        <w:rPr>
          <w:b w:val="0"/>
          <w:bCs w:val="0"/>
        </w:rPr>
      </w:r>
    </w:p>
    <w:p>
      <w:pPr>
        <w:pStyle w:val="BodyText"/>
        <w:spacing w:line="256" w:lineRule="auto" w:before="21"/>
        <w:ind w:right="154" w:firstLine="420"/>
        <w:jc w:val="both"/>
      </w:pPr>
      <w:r>
        <w:rPr/>
        <w:t>（</w:t>
      </w:r>
      <w:r>
        <w:rPr>
          <w:rFonts w:ascii="Times New Roman" w:hAnsi="Times New Roman" w:cs="Times New Roman" w:eastAsia="Times New Roman" w:hint="default"/>
        </w:rPr>
        <w:t>1</w:t>
      </w:r>
      <w:r>
        <w:rPr/>
        <w:t>）企业合并形成的长期股权投资，具体会计政策详见本附注四（五）同一控制下和非同一控制下</w:t>
      </w:r>
      <w:r>
        <w:rPr>
          <w:w w:val="100"/>
        </w:rPr>
        <w:t> </w:t>
      </w:r>
      <w:r>
        <w:rPr/>
        <w:t>企业合并的会计处理方法</w:t>
      </w:r>
    </w:p>
    <w:p>
      <w:pPr>
        <w:pStyle w:val="BodyText"/>
        <w:spacing w:line="256" w:lineRule="auto" w:before="22"/>
        <w:ind w:left="572" w:right="0"/>
        <w:jc w:val="left"/>
      </w:pPr>
      <w:r>
        <w:rPr/>
        <w:t>（</w:t>
      </w:r>
      <w:r>
        <w:rPr>
          <w:rFonts w:ascii="Times New Roman" w:hAnsi="Times New Roman" w:cs="Times New Roman" w:eastAsia="Times New Roman" w:hint="default"/>
        </w:rPr>
        <w:t>2</w:t>
      </w:r>
      <w:r>
        <w:rPr/>
        <w:t>）其他方式取得的长期股权投资</w:t>
      </w:r>
      <w:r>
        <w:rPr>
          <w:spacing w:val="-3"/>
          <w:w w:val="100"/>
        </w:rPr>
        <w:t> </w:t>
      </w:r>
      <w:r>
        <w:rPr>
          <w:spacing w:val="-2"/>
        </w:rPr>
        <w:t>以支付现金方式取得的长期股权投资，按照实际支付的购买价款作为初始投资成本。初始投资成本包</w:t>
      </w:r>
    </w:p>
    <w:p>
      <w:pPr>
        <w:pStyle w:val="BodyText"/>
        <w:spacing w:line="273" w:lineRule="auto" w:before="22"/>
        <w:ind w:left="572" w:right="0" w:hanging="420"/>
        <w:jc w:val="left"/>
      </w:pPr>
      <w:r>
        <w:rPr/>
        <w:t>括与取得长期股权投资直接相关的费用、税金及其他必要支出。</w:t>
      </w:r>
      <w:r>
        <w:rPr>
          <w:w w:val="100"/>
        </w:rPr>
        <w:t> </w:t>
      </w:r>
      <w:r>
        <w:rPr>
          <w:spacing w:val="-2"/>
        </w:rPr>
        <w:t>以发行权益性证券取得的长期股权投资，按照发行权益性证券的公允价值作为初始投资成本；发行或</w:t>
      </w:r>
    </w:p>
    <w:p>
      <w:pPr>
        <w:pStyle w:val="BodyText"/>
        <w:spacing w:line="273" w:lineRule="auto" w:before="7"/>
        <w:ind w:left="572" w:right="0" w:hanging="420"/>
        <w:jc w:val="left"/>
      </w:pPr>
      <w:r>
        <w:rPr/>
        <w:t>取得自身权益工具时发生的交易费用，可直接归属于权益性交易的从权益中扣减。</w:t>
      </w:r>
      <w:r>
        <w:rPr>
          <w:w w:val="100"/>
        </w:rPr>
        <w:t> </w:t>
      </w:r>
      <w:r>
        <w:rPr>
          <w:spacing w:val="-2"/>
        </w:rPr>
        <w:t>在非货币性资产交换具备商业实质和换入资产或换出资产的公允价值能够可靠计量的前提下，非货币</w:t>
      </w:r>
    </w:p>
    <w:p>
      <w:pPr>
        <w:pStyle w:val="BodyText"/>
        <w:spacing w:line="273" w:lineRule="auto" w:before="7"/>
        <w:ind w:right="147"/>
        <w:jc w:val="both"/>
      </w:pPr>
      <w:r>
        <w:rPr>
          <w:spacing w:val="-2"/>
        </w:rPr>
        <w:t>性资产交换换入的长期股权投资以换出资产的公允价值为基础确定其初始投资成本，除非有确凿证据表明</w:t>
      </w:r>
      <w:r>
        <w:rPr>
          <w:spacing w:val="-43"/>
        </w:rPr>
        <w:t> </w:t>
      </w:r>
      <w:r>
        <w:rPr>
          <w:spacing w:val="-43"/>
        </w:rPr>
      </w:r>
      <w:r>
        <w:rPr>
          <w:spacing w:val="-2"/>
        </w:rPr>
        <w:t>换入资产的公允价值更加可靠；不满足上述前提的非货币性资产交换，以换出资产的账面价值和应支付的</w:t>
      </w:r>
      <w:r>
        <w:rPr>
          <w:spacing w:val="-42"/>
        </w:rPr>
        <w:t> </w:t>
      </w:r>
      <w:r>
        <w:rPr>
          <w:spacing w:val="-42"/>
        </w:rPr>
      </w:r>
      <w:r>
        <w:rPr/>
        <w:t>相关税费作为换入长期股权投资的初始投资成本。</w:t>
      </w:r>
    </w:p>
    <w:p>
      <w:pPr>
        <w:pStyle w:val="BodyText"/>
        <w:spacing w:line="240" w:lineRule="auto" w:before="7"/>
        <w:ind w:left="572" w:right="0"/>
        <w:jc w:val="left"/>
      </w:pPr>
      <w:r>
        <w:rPr/>
        <w:t>通过债务重组取得的长期股权投资，其初始投资成本按照公允价值为基础确定。</w:t>
      </w:r>
    </w:p>
    <w:p>
      <w:pPr>
        <w:pStyle w:val="Heading5"/>
        <w:spacing w:line="240" w:lineRule="auto" w:before="38"/>
        <w:ind w:left="574" w:right="0"/>
        <w:jc w:val="left"/>
        <w:rPr>
          <w:b w:val="0"/>
          <w:bCs w:val="0"/>
        </w:rPr>
      </w:pPr>
      <w:r>
        <w:rPr>
          <w:rFonts w:ascii="Times New Roman" w:hAnsi="Times New Roman" w:cs="Times New Roman" w:eastAsia="Times New Roman" w:hint="default"/>
        </w:rPr>
        <w:t>2</w:t>
      </w:r>
      <w:r>
        <w:rPr/>
        <w:t>、后续计量及损益确认</w:t>
      </w:r>
      <w:r>
        <w:rPr>
          <w:b w:val="0"/>
          <w:bCs w:val="0"/>
        </w:rPr>
      </w:r>
    </w:p>
    <w:p>
      <w:pPr>
        <w:pStyle w:val="BodyText"/>
        <w:spacing w:line="256" w:lineRule="auto" w:before="21"/>
        <w:ind w:left="572" w:right="0"/>
        <w:jc w:val="left"/>
      </w:pPr>
      <w:r>
        <w:rPr/>
        <w:t>（</w:t>
      </w:r>
      <w:r>
        <w:rPr>
          <w:rFonts w:ascii="Times New Roman" w:hAnsi="Times New Roman" w:cs="Times New Roman" w:eastAsia="Times New Roman" w:hint="default"/>
        </w:rPr>
        <w:t>1</w:t>
      </w:r>
      <w:r>
        <w:rPr/>
        <w:t>）成本法</w:t>
      </w:r>
      <w:r>
        <w:rPr>
          <w:spacing w:val="-3"/>
          <w:w w:val="100"/>
        </w:rPr>
        <w:t> </w:t>
      </w:r>
      <w:r>
        <w:rPr>
          <w:spacing w:val="-2"/>
        </w:rPr>
        <w:t>本公司能够对被投资单位实施控制的长期股权投资采用成本法核算，并按照初始投资成本计价，追加</w:t>
      </w:r>
    </w:p>
    <w:p>
      <w:pPr>
        <w:pStyle w:val="BodyText"/>
        <w:spacing w:line="273" w:lineRule="auto" w:before="22"/>
        <w:ind w:left="572" w:right="0" w:hanging="421"/>
        <w:jc w:val="left"/>
      </w:pPr>
      <w:r>
        <w:rPr/>
        <w:t>或收回投资调整长期股权投资的成本。</w:t>
      </w:r>
      <w:r>
        <w:rPr>
          <w:w w:val="100"/>
        </w:rPr>
        <w:t> </w:t>
      </w:r>
      <w:r>
        <w:rPr>
          <w:spacing w:val="-2"/>
        </w:rPr>
        <w:t>除取得投资时实际支付的价款或对价中包含的已宣告但尚未发放的现金股利或利润外，本公司按照享</w:t>
      </w:r>
    </w:p>
    <w:p>
      <w:pPr>
        <w:pStyle w:val="BodyText"/>
        <w:spacing w:line="240" w:lineRule="auto" w:before="7"/>
        <w:ind w:right="0"/>
        <w:jc w:val="both"/>
      </w:pPr>
      <w:r>
        <w:rPr/>
        <w:t>有被投资单位宣告分派的现金股利或利润确认为当期投资收益。</w:t>
      </w:r>
    </w:p>
    <w:p>
      <w:pPr>
        <w:pStyle w:val="BodyText"/>
        <w:spacing w:line="256" w:lineRule="auto" w:before="37"/>
        <w:ind w:left="572" w:right="0"/>
        <w:jc w:val="left"/>
      </w:pPr>
      <w:r>
        <w:rPr/>
        <w:t>（</w:t>
      </w:r>
      <w:r>
        <w:rPr>
          <w:rFonts w:ascii="Times New Roman" w:hAnsi="Times New Roman" w:cs="Times New Roman" w:eastAsia="Times New Roman" w:hint="default"/>
        </w:rPr>
        <w:t>2</w:t>
      </w:r>
      <w:r>
        <w:rPr/>
        <w:t>）权益法</w:t>
      </w:r>
      <w:r>
        <w:rPr>
          <w:spacing w:val="-3"/>
          <w:w w:val="100"/>
        </w:rPr>
        <w:t> </w:t>
      </w:r>
      <w:r>
        <w:rPr>
          <w:spacing w:val="-2"/>
        </w:rPr>
        <w:t>本公司对联营企业和合营企业的长期股权投资采用权益法核算；对于其中一部分通过风险投资机构、</w:t>
      </w:r>
    </w:p>
    <w:p>
      <w:pPr>
        <w:pStyle w:val="BodyText"/>
        <w:spacing w:line="273" w:lineRule="auto" w:before="22"/>
        <w:ind w:right="147"/>
        <w:jc w:val="both"/>
      </w:pPr>
      <w:r>
        <w:rPr>
          <w:spacing w:val="-2"/>
        </w:rPr>
        <w:t>共同基金、信托公司或包括投连险基金在内的类似主体间接持有的联营企业的权益性投资，采用公允价值</w:t>
      </w:r>
      <w:r>
        <w:rPr>
          <w:spacing w:val="-42"/>
        </w:rPr>
        <w:t> </w:t>
      </w:r>
      <w:r>
        <w:rPr>
          <w:spacing w:val="-42"/>
        </w:rPr>
      </w:r>
      <w:r>
        <w:rPr/>
        <w:t>计量且其变动计入损益。</w:t>
      </w:r>
    </w:p>
    <w:p>
      <w:pPr>
        <w:pStyle w:val="BodyText"/>
        <w:spacing w:line="273" w:lineRule="auto" w:before="7"/>
        <w:ind w:right="147" w:firstLine="420"/>
        <w:jc w:val="both"/>
      </w:pPr>
      <w:r>
        <w:rPr>
          <w:spacing w:val="-2"/>
        </w:rPr>
        <w:t>长期股权投资的初始投资成本大于投资时应享有被投资单位可辨认净资产公允价值份额的差额，不调</w:t>
      </w:r>
      <w:r>
        <w:rPr>
          <w:spacing w:val="-3"/>
          <w:w w:val="100"/>
        </w:rPr>
        <w:t> </w:t>
      </w:r>
      <w:r>
        <w:rPr>
          <w:spacing w:val="-2"/>
        </w:rPr>
        <w:t>整长期股权投资的初始投资成本；初始投资成本小于投资时应享有被投资单位可辨认净资产公允价值份额</w:t>
      </w:r>
      <w:r>
        <w:rPr>
          <w:spacing w:val="-43"/>
        </w:rPr>
        <w:t> </w:t>
      </w:r>
      <w:r>
        <w:rPr>
          <w:spacing w:val="-43"/>
        </w:rPr>
      </w:r>
      <w:r>
        <w:rPr/>
        <w:t>的差额，计入当期损益。</w:t>
      </w:r>
    </w:p>
    <w:p>
      <w:pPr>
        <w:pStyle w:val="BodyText"/>
        <w:spacing w:line="273" w:lineRule="auto" w:before="7"/>
        <w:ind w:right="147" w:firstLine="420"/>
        <w:jc w:val="both"/>
      </w:pPr>
      <w:r>
        <w:rPr>
          <w:spacing w:val="2"/>
        </w:rPr>
        <w:t>本公司取得长期股权投资后，按照应享有或应分担的被投资单位实现的净损益和其他综合收益的份</w:t>
      </w:r>
      <w:r>
        <w:rPr>
          <w:w w:val="100"/>
        </w:rPr>
        <w:t> </w:t>
      </w:r>
      <w:r>
        <w:rPr>
          <w:spacing w:val="-2"/>
        </w:rPr>
        <w:t>额，分别确认投资收益和其他综合收益，同时调整长期股权投资的账面价值；并按照被投资单位宣告分派</w:t>
      </w:r>
      <w:r>
        <w:rPr>
          <w:spacing w:val="-44"/>
        </w:rPr>
        <w:t> </w:t>
      </w:r>
      <w:r>
        <w:rPr>
          <w:spacing w:val="-44"/>
        </w:rPr>
      </w:r>
      <w:r>
        <w:rPr>
          <w:spacing w:val="-2"/>
        </w:rPr>
        <w:t>的利润或现金股利计算应享有的部分，相应减少长期股权投资的账面价值；对于被投资单位除净损益、其</w:t>
      </w:r>
      <w:r>
        <w:rPr>
          <w:spacing w:val="-42"/>
        </w:rPr>
        <w:t> </w:t>
      </w:r>
      <w:r>
        <w:rPr>
          <w:spacing w:val="-42"/>
        </w:rPr>
      </w:r>
      <w:r>
        <w:rPr/>
        <w:t>他综合收益和利润分配以外所有者权益的其他变动，调整长期股权投资的账面价值并计入所有者权益。</w:t>
      </w:r>
    </w:p>
    <w:p>
      <w:pPr>
        <w:pStyle w:val="BodyText"/>
        <w:spacing w:line="240" w:lineRule="auto" w:before="8"/>
        <w:ind w:left="572" w:right="0"/>
        <w:jc w:val="left"/>
      </w:pPr>
      <w:r>
        <w:rPr/>
        <w:t>本公司在确认应享有被投资单位净损益的份额时，以取得投资时被投资单位各项可辨认资产等的公允</w:t>
      </w:r>
    </w:p>
    <w:p>
      <w:pPr>
        <w:spacing w:after="0" w:line="240" w:lineRule="auto"/>
        <w:jc w:val="left"/>
        <w:sectPr>
          <w:pgSz w:w="11910" w:h="16840"/>
          <w:pgMar w:header="880" w:footer="979" w:top="1120" w:bottom="1160" w:left="980" w:right="980"/>
        </w:sectPr>
      </w:pPr>
    </w:p>
    <w:p>
      <w:pPr>
        <w:spacing w:line="240" w:lineRule="auto" w:before="9"/>
        <w:rPr>
          <w:rFonts w:ascii="宋体" w:hAnsi="宋体" w:cs="宋体" w:eastAsia="宋体" w:hint="default"/>
          <w:sz w:val="20"/>
          <w:szCs w:val="20"/>
        </w:rPr>
      </w:pPr>
    </w:p>
    <w:p>
      <w:pPr>
        <w:pStyle w:val="BodyText"/>
        <w:spacing w:line="273" w:lineRule="auto" w:before="36"/>
        <w:ind w:right="207"/>
        <w:jc w:val="both"/>
      </w:pPr>
      <w:r>
        <w:rPr>
          <w:spacing w:val="-2"/>
        </w:rPr>
        <w:t>价值为基础，对被投资单位的净利润进行调整后确认。本公司与联营企业、合营企业之间发生的未实现内</w:t>
      </w:r>
      <w:r>
        <w:rPr>
          <w:spacing w:val="-42"/>
        </w:rPr>
        <w:t> </w:t>
      </w:r>
      <w:r>
        <w:rPr>
          <w:spacing w:val="-42"/>
        </w:rPr>
      </w:r>
      <w:r>
        <w:rPr/>
        <w:t>部交易损益按照应享有的比例计算归属于本公司的部分予以抵销，在此基础上确认投资损益。</w:t>
      </w:r>
    </w:p>
    <w:p>
      <w:pPr>
        <w:pStyle w:val="BodyText"/>
        <w:spacing w:line="273" w:lineRule="auto" w:before="7"/>
        <w:ind w:right="206" w:firstLine="420"/>
        <w:jc w:val="both"/>
      </w:pPr>
      <w:r>
        <w:rPr>
          <w:spacing w:val="-2"/>
        </w:rPr>
        <w:t>本公司确认应分担被投资单位发生的亏损时，按照以下顺序进行处理：首先，冲减长期股权投资的账</w:t>
      </w:r>
      <w:r>
        <w:rPr>
          <w:w w:val="100"/>
        </w:rPr>
        <w:t> </w:t>
      </w:r>
      <w:r>
        <w:rPr>
          <w:spacing w:val="-2"/>
        </w:rPr>
        <w:t>面价值。其次，长期股权投资的账面价值不足以冲减的，以其他实质上构成对被投资单位净投资的长期权</w:t>
      </w:r>
      <w:r>
        <w:rPr>
          <w:spacing w:val="-44"/>
        </w:rPr>
        <w:t> </w:t>
      </w:r>
      <w:r>
        <w:rPr>
          <w:spacing w:val="-44"/>
        </w:rPr>
      </w:r>
      <w:r>
        <w:rPr>
          <w:spacing w:val="-2"/>
        </w:rPr>
        <w:t>益账面价值为限继续确认投资损失，冲减长期应收项目等的账面价值。最后，经过上述处理，按照投资合</w:t>
      </w:r>
      <w:r>
        <w:rPr>
          <w:spacing w:val="-47"/>
        </w:rPr>
        <w:t> </w:t>
      </w:r>
      <w:r>
        <w:rPr>
          <w:spacing w:val="-47"/>
        </w:rPr>
      </w:r>
      <w:r>
        <w:rPr/>
        <w:t>同或协议约定企业仍承担额外义务的，按预计承担的义务确认预计负债，计入当期投资损失。</w:t>
      </w:r>
    </w:p>
    <w:p>
      <w:pPr>
        <w:pStyle w:val="BodyText"/>
        <w:spacing w:line="273" w:lineRule="auto" w:before="7"/>
        <w:ind w:right="206" w:firstLine="420"/>
        <w:jc w:val="both"/>
      </w:pPr>
      <w:r>
        <w:rPr>
          <w:spacing w:val="-2"/>
        </w:rPr>
        <w:t>被投资单位以后期间实现盈利的，公司在扣除未确认的亏损分担额后，按与上述相反的顺序处理，减</w:t>
      </w:r>
      <w:r>
        <w:rPr>
          <w:w w:val="100"/>
        </w:rPr>
        <w:t> </w:t>
      </w:r>
      <w:r>
        <w:rPr>
          <w:spacing w:val="-2"/>
        </w:rPr>
        <w:t>记已确认预计负债的账面余额、恢复其他实质上构成对被投资单位净投资的长期权益及长期股权投资的账</w:t>
      </w:r>
      <w:r>
        <w:rPr>
          <w:spacing w:val="-43"/>
        </w:rPr>
        <w:t> </w:t>
      </w:r>
      <w:r>
        <w:rPr>
          <w:spacing w:val="-43"/>
        </w:rPr>
      </w:r>
      <w:r>
        <w:rPr/>
        <w:t>面价值后，恢复确认投资收益。</w:t>
      </w:r>
    </w:p>
    <w:p>
      <w:pPr>
        <w:pStyle w:val="Heading5"/>
        <w:spacing w:line="240" w:lineRule="auto" w:before="8"/>
        <w:ind w:left="575" w:right="106"/>
        <w:jc w:val="left"/>
        <w:rPr>
          <w:b w:val="0"/>
          <w:bCs w:val="0"/>
        </w:rPr>
      </w:pPr>
      <w:r>
        <w:rPr>
          <w:rFonts w:ascii="Times New Roman" w:hAnsi="Times New Roman" w:cs="Times New Roman" w:eastAsia="Times New Roman" w:hint="default"/>
        </w:rPr>
        <w:t>3</w:t>
      </w:r>
      <w:r>
        <w:rPr/>
        <w:t>、长期股权投资核算方法的转换</w:t>
      </w:r>
      <w:r>
        <w:rPr>
          <w:b w:val="0"/>
          <w:bCs w:val="0"/>
        </w:rPr>
      </w:r>
    </w:p>
    <w:p>
      <w:pPr>
        <w:pStyle w:val="BodyText"/>
        <w:spacing w:line="256" w:lineRule="auto" w:before="21"/>
        <w:ind w:left="572" w:right="106"/>
        <w:jc w:val="left"/>
      </w:pPr>
      <w:r>
        <w:rPr/>
        <w:t>（</w:t>
      </w:r>
      <w:r>
        <w:rPr>
          <w:rFonts w:ascii="Times New Roman" w:hAnsi="Times New Roman" w:cs="Times New Roman" w:eastAsia="Times New Roman" w:hint="default"/>
        </w:rPr>
        <w:t>1</w:t>
      </w:r>
      <w:r>
        <w:rPr/>
        <w:t>）公允价值计量转权益法核算</w:t>
      </w:r>
      <w:r>
        <w:rPr>
          <w:w w:val="100"/>
        </w:rPr>
        <w:t> </w:t>
      </w:r>
      <w:r>
        <w:rPr>
          <w:spacing w:val="-2"/>
        </w:rPr>
        <w:t>本公司原持有的对被投资单位不具有控制、共同控制或重大影响的按金融工具确认和计量准则进行会</w:t>
      </w:r>
    </w:p>
    <w:p>
      <w:pPr>
        <w:pStyle w:val="BodyText"/>
        <w:spacing w:line="264" w:lineRule="auto" w:before="22"/>
        <w:ind w:right="207"/>
        <w:jc w:val="both"/>
      </w:pPr>
      <w:r>
        <w:rPr>
          <w:spacing w:val="2"/>
        </w:rPr>
        <w:t>计处理的权益性投资，因追加投资等原因能够对被投资单位施加重大影响或实施共同控制但不构成控制</w:t>
      </w:r>
      <w:r>
        <w:rPr>
          <w:spacing w:val="-28"/>
        </w:rPr>
        <w:t> </w:t>
      </w:r>
      <w:r>
        <w:rPr>
          <w:spacing w:val="-28"/>
        </w:rPr>
      </w:r>
      <w:r>
        <w:rPr>
          <w:spacing w:val="-2"/>
        </w:rPr>
        <w:t>的，按照《企业会计准则第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金融工具确认和计量》确定的原持有的股权投资的公允价值加上新增</w:t>
      </w:r>
      <w:r>
        <w:rPr>
          <w:spacing w:val="-40"/>
        </w:rPr>
        <w:t> </w:t>
      </w:r>
      <w:r>
        <w:rPr>
          <w:spacing w:val="-40"/>
        </w:rPr>
      </w:r>
      <w:r>
        <w:rPr/>
        <w:t>投资成本之和，作为改按权益法核算的初始投资成本。</w:t>
      </w:r>
    </w:p>
    <w:p>
      <w:pPr>
        <w:pStyle w:val="BodyText"/>
        <w:spacing w:line="273" w:lineRule="auto" w:before="16"/>
        <w:ind w:right="206" w:firstLine="420"/>
        <w:jc w:val="both"/>
      </w:pPr>
      <w:r>
        <w:rPr>
          <w:spacing w:val="-2"/>
        </w:rPr>
        <w:t>原持有的股权投资分类为可供出售金融资产的，其公允价值与账面价值之间的差额，以及原计入其他</w:t>
      </w:r>
      <w:r>
        <w:rPr>
          <w:w w:val="100"/>
        </w:rPr>
        <w:t> </w:t>
      </w:r>
      <w:r>
        <w:rPr/>
        <w:t>综合收益的累计公允价值变动转入改按权益法核算的当期损益。</w:t>
      </w:r>
    </w:p>
    <w:p>
      <w:pPr>
        <w:pStyle w:val="BodyText"/>
        <w:spacing w:line="273" w:lineRule="auto" w:before="7"/>
        <w:ind w:right="207" w:firstLine="420"/>
        <w:jc w:val="both"/>
      </w:pPr>
      <w:r>
        <w:rPr>
          <w:spacing w:val="2"/>
        </w:rPr>
        <w:t>按权益法核算的初始投资成本小于按照追加投资后全新的持股比例计算确定的应享有被投资单位在</w:t>
      </w:r>
      <w:r>
        <w:rPr>
          <w:w w:val="100"/>
        </w:rPr>
        <w:t> </w:t>
      </w:r>
      <w:r>
        <w:rPr>
          <w:spacing w:val="-2"/>
        </w:rPr>
        <w:t>追加投资日可辨认净资产公允价值份额之间的差额，调整长期股权投资的账面价值，并计入当期营业外收</w:t>
      </w:r>
      <w:r>
        <w:rPr>
          <w:spacing w:val="-44"/>
        </w:rPr>
        <w:t> </w:t>
      </w:r>
      <w:r>
        <w:rPr>
          <w:spacing w:val="-44"/>
        </w:rPr>
      </w:r>
      <w:r>
        <w:rPr/>
        <w:t>入。</w:t>
      </w:r>
    </w:p>
    <w:p>
      <w:pPr>
        <w:pStyle w:val="BodyText"/>
        <w:spacing w:line="256" w:lineRule="auto" w:before="7"/>
        <w:ind w:left="572" w:right="106"/>
        <w:jc w:val="left"/>
      </w:pPr>
      <w:r>
        <w:rPr/>
        <w:t>（</w:t>
      </w:r>
      <w:r>
        <w:rPr>
          <w:rFonts w:ascii="Times New Roman" w:hAnsi="Times New Roman" w:cs="Times New Roman" w:eastAsia="Times New Roman" w:hint="default"/>
        </w:rPr>
        <w:t>2</w:t>
      </w:r>
      <w:r>
        <w:rPr/>
        <w:t>）公允价值计量或权益法核算转成本法核算</w:t>
      </w:r>
      <w:r>
        <w:rPr>
          <w:w w:val="100"/>
        </w:rPr>
        <w:t> </w:t>
      </w:r>
      <w:r>
        <w:rPr>
          <w:spacing w:val="-2"/>
        </w:rPr>
        <w:t>本公司原持有的对被投资单位不具有控制、共同控制或重大影响的按金融工具确认和计量准则进行会</w:t>
      </w:r>
    </w:p>
    <w:p>
      <w:pPr>
        <w:pStyle w:val="BodyText"/>
        <w:spacing w:line="273" w:lineRule="auto" w:before="22"/>
        <w:ind w:right="206"/>
        <w:jc w:val="both"/>
      </w:pPr>
      <w:r>
        <w:rPr>
          <w:spacing w:val="-2"/>
        </w:rPr>
        <w:t>计处理的权益性投资，或原持有对联营企业、合营企业的长期股权投资，因追加投资等原因能够对非同一</w:t>
      </w:r>
      <w:r>
        <w:rPr>
          <w:spacing w:val="-44"/>
        </w:rPr>
        <w:t> </w:t>
      </w:r>
      <w:r>
        <w:rPr>
          <w:spacing w:val="-44"/>
        </w:rPr>
      </w:r>
      <w:r>
        <w:rPr>
          <w:spacing w:val="-2"/>
        </w:rPr>
        <w:t>控制下的被投资单位实施控制的，在编制个别财务报表时，按照原持有的股权投资账面价值加上新增投资</w:t>
      </w:r>
      <w:r>
        <w:rPr>
          <w:spacing w:val="-44"/>
        </w:rPr>
        <w:t> </w:t>
      </w:r>
      <w:r>
        <w:rPr>
          <w:spacing w:val="-44"/>
        </w:rPr>
      </w:r>
      <w:r>
        <w:rPr/>
        <w:t>成本之和，作为改按成本法核算的初始投资成本。</w:t>
      </w:r>
    </w:p>
    <w:p>
      <w:pPr>
        <w:pStyle w:val="BodyText"/>
        <w:spacing w:line="273" w:lineRule="auto" w:before="7"/>
        <w:ind w:right="207" w:firstLine="420"/>
        <w:jc w:val="both"/>
      </w:pPr>
      <w:r>
        <w:rPr>
          <w:spacing w:val="-2"/>
        </w:rPr>
        <w:t>购买日之前持有的股权投资因采用权益法核算而确认的其他综合收益，在处置该项投资时采用与被投</w:t>
      </w:r>
      <w:r>
        <w:rPr>
          <w:w w:val="100"/>
        </w:rPr>
        <w:t> </w:t>
      </w:r>
      <w:r>
        <w:rPr/>
        <w:t>资单位直接处置相关资产或负债相同的基础进行会计处理。</w:t>
      </w:r>
    </w:p>
    <w:p>
      <w:pPr>
        <w:pStyle w:val="BodyText"/>
        <w:spacing w:line="256" w:lineRule="auto" w:before="7"/>
        <w:ind w:right="212" w:firstLine="419"/>
        <w:jc w:val="both"/>
      </w:pPr>
      <w:r>
        <w:rPr>
          <w:spacing w:val="-2"/>
        </w:rPr>
        <w:t>购买日之前持有的股权投资按照《企业会计准则第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金融工具确认和计量》的有关规定进行会</w:t>
      </w:r>
      <w:r>
        <w:rPr>
          <w:spacing w:val="-3"/>
          <w:w w:val="100"/>
        </w:rPr>
        <w:t> </w:t>
      </w:r>
      <w:r>
        <w:rPr/>
        <w:t>计处理的，原计入其他综合收益的累计公允价值变动在改按成本法核算时转入当期损益。</w:t>
      </w:r>
    </w:p>
    <w:p>
      <w:pPr>
        <w:pStyle w:val="BodyText"/>
        <w:spacing w:line="256" w:lineRule="auto" w:before="22"/>
        <w:ind w:left="572" w:right="106"/>
        <w:jc w:val="left"/>
      </w:pPr>
      <w:r>
        <w:rPr/>
        <w:t>（</w:t>
      </w:r>
      <w:r>
        <w:rPr>
          <w:rFonts w:ascii="Times New Roman" w:hAnsi="Times New Roman" w:cs="Times New Roman" w:eastAsia="Times New Roman" w:hint="default"/>
        </w:rPr>
        <w:t>3</w:t>
      </w:r>
      <w:r>
        <w:rPr/>
        <w:t>）权益法核算转公允价值计量</w:t>
      </w:r>
      <w:r>
        <w:rPr>
          <w:w w:val="100"/>
        </w:rPr>
        <w:t> </w:t>
      </w:r>
      <w:r>
        <w:rPr>
          <w:spacing w:val="-2"/>
        </w:rPr>
        <w:t>本公司因处置部分股权投资等原因丧失了对被投资单位的共同控制或重大影响的，处置后的剩余股权</w:t>
      </w:r>
    </w:p>
    <w:p>
      <w:pPr>
        <w:pStyle w:val="BodyText"/>
        <w:spacing w:line="256" w:lineRule="auto" w:before="22"/>
        <w:ind w:right="207"/>
        <w:jc w:val="both"/>
      </w:pPr>
      <w:r>
        <w:rPr>
          <w:spacing w:val="-2"/>
        </w:rPr>
        <w:t>改按《企业会计准则第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金融工具确认和计量》核算，其在丧失共同控制或重大影响之日的公允价</w:t>
      </w:r>
      <w:r>
        <w:rPr>
          <w:spacing w:val="-41"/>
        </w:rPr>
        <w:t> </w:t>
      </w:r>
      <w:r>
        <w:rPr>
          <w:spacing w:val="-41"/>
        </w:rPr>
      </w:r>
      <w:r>
        <w:rPr/>
        <w:t>值与账面价值之间的差额计入当期损益。</w:t>
      </w:r>
    </w:p>
    <w:p>
      <w:pPr>
        <w:pStyle w:val="BodyText"/>
        <w:spacing w:line="273" w:lineRule="auto" w:before="22"/>
        <w:ind w:right="207" w:firstLine="420"/>
        <w:jc w:val="both"/>
      </w:pPr>
      <w:r>
        <w:rPr>
          <w:spacing w:val="-2"/>
        </w:rPr>
        <w:t>原股权投资因采用权益法核算而确认的其他综合收益，在终止采用权益法核算时采用与被投资单位直</w:t>
      </w:r>
      <w:r>
        <w:rPr>
          <w:w w:val="100"/>
        </w:rPr>
        <w:t> </w:t>
      </w:r>
      <w:r>
        <w:rPr/>
        <w:t>接处置相关资产或负债相同的基础进行会计处理。</w:t>
      </w:r>
    </w:p>
    <w:p>
      <w:pPr>
        <w:pStyle w:val="BodyText"/>
        <w:spacing w:line="256" w:lineRule="auto" w:before="7"/>
        <w:ind w:left="572" w:right="106"/>
        <w:jc w:val="left"/>
      </w:pPr>
      <w:r>
        <w:rPr/>
        <w:t>（</w:t>
      </w:r>
      <w:r>
        <w:rPr>
          <w:rFonts w:ascii="Times New Roman" w:hAnsi="Times New Roman" w:cs="Times New Roman" w:eastAsia="Times New Roman" w:hint="default"/>
        </w:rPr>
        <w:t>4</w:t>
      </w:r>
      <w:r>
        <w:rPr/>
        <w:t>）成本法转权益法</w:t>
      </w:r>
      <w:r>
        <w:rPr>
          <w:spacing w:val="-3"/>
          <w:w w:val="100"/>
        </w:rPr>
        <w:t> </w:t>
      </w:r>
      <w:r>
        <w:rPr>
          <w:spacing w:val="-2"/>
        </w:rPr>
        <w:t>本公司因处置部分权益性投资等原因丧失了对被投资单位的控制的，在编制个别财务报表时，处置后</w:t>
      </w:r>
    </w:p>
    <w:p>
      <w:pPr>
        <w:pStyle w:val="BodyText"/>
        <w:spacing w:line="273" w:lineRule="auto" w:before="22"/>
        <w:ind w:right="207"/>
        <w:jc w:val="both"/>
      </w:pPr>
      <w:r>
        <w:rPr>
          <w:spacing w:val="-2"/>
        </w:rPr>
        <w:t>的剩余股权能够对被投资单位实施共同控制或施加重大影响的，改按权益法核算，并对该剩余股权视同自</w:t>
      </w:r>
      <w:r>
        <w:rPr>
          <w:spacing w:val="-43"/>
        </w:rPr>
        <w:t> </w:t>
      </w:r>
      <w:r>
        <w:rPr>
          <w:spacing w:val="-43"/>
        </w:rPr>
      </w:r>
      <w:r>
        <w:rPr/>
        <w:t>取得时即采用权益法核算进行调整。</w:t>
      </w:r>
    </w:p>
    <w:p>
      <w:pPr>
        <w:pStyle w:val="BodyText"/>
        <w:spacing w:line="256" w:lineRule="auto" w:before="7"/>
        <w:ind w:left="571" w:right="106"/>
        <w:jc w:val="left"/>
      </w:pPr>
      <w:r>
        <w:rPr/>
        <w:t>（</w:t>
      </w:r>
      <w:r>
        <w:rPr>
          <w:rFonts w:ascii="Times New Roman" w:hAnsi="Times New Roman" w:cs="Times New Roman" w:eastAsia="Times New Roman" w:hint="default"/>
        </w:rPr>
        <w:t>5</w:t>
      </w:r>
      <w:r>
        <w:rPr/>
        <w:t>）成本法转公允价值计量</w:t>
      </w:r>
      <w:r>
        <w:rPr>
          <w:spacing w:val="-3"/>
          <w:w w:val="100"/>
        </w:rPr>
        <w:t> </w:t>
      </w:r>
      <w:r>
        <w:rPr>
          <w:spacing w:val="-2"/>
        </w:rPr>
        <w:t>本公司因处置部分权益性投资等原因丧失了对被投资单位的控制的，在编制个别财务报表时，处置后</w:t>
      </w:r>
    </w:p>
    <w:p>
      <w:pPr>
        <w:pStyle w:val="BodyText"/>
        <w:spacing w:line="256" w:lineRule="auto" w:before="22"/>
        <w:ind w:right="106" w:hanging="1"/>
        <w:jc w:val="left"/>
      </w:pPr>
      <w:r>
        <w:rPr>
          <w:spacing w:val="-2"/>
        </w:rPr>
        <w:t>的剩余股权不能对被投资单位实施共同控制或施加重大影响的，改按《企业会计准则第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w:t>
      </w:r>
      <w:r>
        <w:rPr>
          <w:spacing w:val="-43"/>
        </w:rPr>
        <w:t> </w:t>
      </w:r>
      <w:r>
        <w:rPr>
          <w:spacing w:val="-43"/>
        </w:rPr>
      </w:r>
      <w:r>
        <w:rPr>
          <w:spacing w:val="-5"/>
        </w:rPr>
        <w:t>确认和计量》的有关规定进行会计处理，其在丧失控制之日的公允价值与账面价值间的差额计入当期损益。</w:t>
      </w:r>
      <w:r>
        <w:rPr/>
      </w:r>
    </w:p>
    <w:p>
      <w:pPr>
        <w:pStyle w:val="Heading5"/>
        <w:spacing w:line="240" w:lineRule="auto" w:before="24"/>
        <w:ind w:left="574" w:right="106"/>
        <w:jc w:val="left"/>
        <w:rPr>
          <w:b w:val="0"/>
          <w:bCs w:val="0"/>
        </w:rPr>
      </w:pPr>
      <w:r>
        <w:rPr>
          <w:rFonts w:ascii="Times New Roman" w:hAnsi="Times New Roman" w:cs="Times New Roman" w:eastAsia="Times New Roman" w:hint="default"/>
        </w:rPr>
        <w:t>4</w:t>
      </w:r>
      <w:r>
        <w:rPr/>
        <w:t>、长期股权投资的处置</w:t>
      </w:r>
      <w:r>
        <w:rPr>
          <w:b w:val="0"/>
          <w:bCs w:val="0"/>
        </w:rPr>
      </w:r>
    </w:p>
    <w:p>
      <w:pPr>
        <w:spacing w:after="0" w:line="240" w:lineRule="auto"/>
        <w:jc w:val="left"/>
        <w:sectPr>
          <w:pgSz w:w="11910" w:h="16840"/>
          <w:pgMar w:header="880" w:footer="979" w:top="1120" w:bottom="1160" w:left="980" w:right="920"/>
        </w:sectPr>
      </w:pPr>
    </w:p>
    <w:p>
      <w:pPr>
        <w:spacing w:line="240" w:lineRule="auto" w:before="9"/>
        <w:rPr>
          <w:rFonts w:ascii="宋体" w:hAnsi="宋体" w:cs="宋体" w:eastAsia="宋体" w:hint="default"/>
          <w:b/>
          <w:bCs/>
          <w:sz w:val="20"/>
          <w:szCs w:val="20"/>
        </w:rPr>
      </w:pPr>
    </w:p>
    <w:p>
      <w:pPr>
        <w:pStyle w:val="BodyText"/>
        <w:spacing w:line="273" w:lineRule="auto" w:before="36"/>
        <w:ind w:right="146" w:firstLine="420"/>
        <w:jc w:val="both"/>
      </w:pPr>
      <w:r>
        <w:rPr>
          <w:spacing w:val="-2"/>
        </w:rPr>
        <w:t>处置长期股权投资，其账面价值与实际取得价款之间的差额，应当计入当期损益。采用权益法核算的</w:t>
      </w:r>
      <w:r>
        <w:rPr>
          <w:w w:val="100"/>
        </w:rPr>
        <w:t> </w:t>
      </w:r>
      <w:r>
        <w:rPr>
          <w:spacing w:val="-2"/>
        </w:rPr>
        <w:t>长期股权投资，在处置该项投资时，采用与被投资单位直接处置相关资产或负债相同的基础，按相应比例</w:t>
      </w:r>
      <w:r>
        <w:rPr>
          <w:spacing w:val="-48"/>
        </w:rPr>
        <w:t> </w:t>
      </w:r>
      <w:r>
        <w:rPr>
          <w:spacing w:val="-48"/>
        </w:rPr>
      </w:r>
      <w:r>
        <w:rPr/>
        <w:t>对原计入其他综合收益的部分进行会计处理。</w:t>
      </w:r>
    </w:p>
    <w:p>
      <w:pPr>
        <w:pStyle w:val="BodyText"/>
        <w:spacing w:line="273" w:lineRule="auto" w:before="7"/>
        <w:ind w:right="147" w:firstLine="420"/>
        <w:jc w:val="both"/>
      </w:pPr>
      <w:r>
        <w:rPr>
          <w:spacing w:val="-2"/>
        </w:rPr>
        <w:t>处置对子公司股权投资的各项交易的条款、条件以及经济影响符合以下一种或多种情况，将多次交易</w:t>
      </w:r>
      <w:r>
        <w:rPr>
          <w:w w:val="100"/>
        </w:rPr>
        <w:t> </w:t>
      </w:r>
      <w:r>
        <w:rPr/>
        <w:t>事项作为一揽子交易进行会计处理：</w:t>
      </w:r>
    </w:p>
    <w:p>
      <w:pPr>
        <w:pStyle w:val="BodyText"/>
        <w:spacing w:line="240" w:lineRule="auto" w:before="7"/>
        <w:ind w:left="572" w:right="0"/>
        <w:jc w:val="left"/>
      </w:pPr>
      <w:r>
        <w:rPr/>
        <w:t>（</w:t>
      </w:r>
      <w:r>
        <w:rPr>
          <w:rFonts w:ascii="Times New Roman" w:hAnsi="Times New Roman" w:cs="Times New Roman" w:eastAsia="Times New Roman" w:hint="default"/>
        </w:rPr>
        <w:t>1</w:t>
      </w:r>
      <w:r>
        <w:rPr/>
        <w:t>）这些交易是同时或者在考虑了彼此影响的情况下订立的；</w:t>
      </w:r>
    </w:p>
    <w:p>
      <w:pPr>
        <w:pStyle w:val="BodyText"/>
        <w:spacing w:line="240" w:lineRule="auto" w:before="21"/>
        <w:ind w:left="572" w:right="0"/>
        <w:jc w:val="left"/>
      </w:pPr>
      <w:r>
        <w:rPr/>
        <w:t>（</w:t>
      </w:r>
      <w:r>
        <w:rPr>
          <w:rFonts w:ascii="Times New Roman" w:hAnsi="Times New Roman" w:cs="Times New Roman" w:eastAsia="Times New Roman" w:hint="default"/>
        </w:rPr>
        <w:t>2</w:t>
      </w:r>
      <w:r>
        <w:rPr/>
        <w:t>）这些交易整体才能达成一项完整的商业结果；</w:t>
      </w:r>
    </w:p>
    <w:p>
      <w:pPr>
        <w:pStyle w:val="BodyText"/>
        <w:spacing w:line="240" w:lineRule="auto" w:before="21"/>
        <w:ind w:left="572" w:right="0"/>
        <w:jc w:val="left"/>
      </w:pPr>
      <w:r>
        <w:rPr/>
        <w:t>（</w:t>
      </w:r>
      <w:r>
        <w:rPr>
          <w:rFonts w:ascii="Times New Roman" w:hAnsi="Times New Roman" w:cs="Times New Roman" w:eastAsia="Times New Roman" w:hint="default"/>
        </w:rPr>
        <w:t>3</w:t>
      </w:r>
      <w:r>
        <w:rPr/>
        <w:t>）一项交易的发生取决于其他至少一项交易的发生；</w:t>
      </w:r>
    </w:p>
    <w:p>
      <w:pPr>
        <w:pStyle w:val="BodyText"/>
        <w:spacing w:line="256" w:lineRule="auto" w:before="21"/>
        <w:ind w:left="572" w:right="0"/>
        <w:jc w:val="left"/>
      </w:pPr>
      <w:r>
        <w:rPr/>
        <w:t>（</w:t>
      </w:r>
      <w:r>
        <w:rPr>
          <w:rFonts w:ascii="Times New Roman" w:hAnsi="Times New Roman" w:cs="Times New Roman" w:eastAsia="Times New Roman" w:hint="default"/>
        </w:rPr>
        <w:t>4</w:t>
      </w:r>
      <w:r>
        <w:rPr/>
        <w:t>）一项交易单独看是不经济的，但是和其他交易一并考虑时是经济的。</w:t>
      </w:r>
      <w:r>
        <w:rPr>
          <w:spacing w:val="-3"/>
          <w:w w:val="100"/>
        </w:rPr>
        <w:t> </w:t>
      </w:r>
      <w:r>
        <w:rPr>
          <w:spacing w:val="-2"/>
        </w:rPr>
        <w:t>因处置部分股权投资或其他原因丧失了对原有子公司控制权的，不属于一揽子交易的，应当区分个别</w:t>
      </w:r>
    </w:p>
    <w:p>
      <w:pPr>
        <w:pStyle w:val="BodyText"/>
        <w:spacing w:line="240" w:lineRule="auto" w:before="22"/>
        <w:ind w:right="0"/>
        <w:jc w:val="left"/>
      </w:pPr>
      <w:r>
        <w:rPr/>
        <w:t>财务报表和合并财务报表进行相关会计处理：</w:t>
      </w:r>
    </w:p>
    <w:p>
      <w:pPr>
        <w:pStyle w:val="BodyText"/>
        <w:spacing w:line="264" w:lineRule="auto" w:before="37"/>
        <w:ind w:right="147" w:firstLine="420"/>
        <w:jc w:val="both"/>
      </w:pPr>
      <w:r>
        <w:rPr/>
        <w:t>（</w:t>
      </w:r>
      <w:r>
        <w:rPr>
          <w:rFonts w:ascii="Times New Roman" w:hAnsi="Times New Roman" w:cs="Times New Roman" w:eastAsia="Times New Roman" w:hint="default"/>
        </w:rPr>
        <w:t>1</w:t>
      </w:r>
      <w:r>
        <w:rPr/>
        <w:t>）在个别财务报表中，对于处置的股权，其账面价值与实际取得价款之间的差额计入当期损益。</w:t>
      </w:r>
      <w:r>
        <w:rPr>
          <w:w w:val="100"/>
        </w:rPr>
        <w:t> </w:t>
      </w:r>
      <w:r>
        <w:rPr>
          <w:spacing w:val="-2"/>
        </w:rPr>
        <w:t>处置后的剩余股权能够对被投资单位实施共同控制或施加重大影响的，改按权益法核算，并对该剩余股权</w:t>
      </w:r>
      <w:r>
        <w:rPr>
          <w:spacing w:val="-43"/>
        </w:rPr>
        <w:t> </w:t>
      </w:r>
      <w:r>
        <w:rPr>
          <w:spacing w:val="-43"/>
        </w:rPr>
      </w:r>
      <w:r>
        <w:rPr>
          <w:spacing w:val="-2"/>
        </w:rPr>
        <w:t>视同自取得时即采用权益法核算进行调整；处置后的剩余股权不能对被投资单位实施共同控制或施加重大</w:t>
      </w:r>
      <w:r>
        <w:rPr>
          <w:spacing w:val="-44"/>
        </w:rPr>
        <w:t> </w:t>
      </w:r>
      <w:r>
        <w:rPr>
          <w:spacing w:val="-44"/>
        </w:rPr>
      </w:r>
      <w:r>
        <w:rPr>
          <w:spacing w:val="-2"/>
        </w:rPr>
        <w:t>影响的，改按《企业会计准则第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金融工具确认和计量》的有关规定进行会计处理，其在丧失控制</w:t>
      </w:r>
      <w:r>
        <w:rPr>
          <w:spacing w:val="-45"/>
        </w:rPr>
        <w:t> </w:t>
      </w:r>
      <w:r>
        <w:rPr>
          <w:spacing w:val="-45"/>
        </w:rPr>
      </w:r>
      <w:r>
        <w:rPr/>
        <w:t>之日的公允价值与账面价值间的差额计入当期损益。</w:t>
      </w:r>
    </w:p>
    <w:p>
      <w:pPr>
        <w:pStyle w:val="BodyText"/>
        <w:spacing w:line="268" w:lineRule="auto" w:before="16"/>
        <w:ind w:right="125" w:firstLine="420"/>
        <w:jc w:val="both"/>
      </w:pPr>
      <w:r>
        <w:rPr/>
        <w:t>（</w:t>
      </w:r>
      <w:r>
        <w:rPr>
          <w:rFonts w:ascii="Times New Roman" w:hAnsi="Times New Roman" w:cs="Times New Roman" w:eastAsia="Times New Roman" w:hint="default"/>
        </w:rPr>
        <w:t>2</w:t>
      </w:r>
      <w:r>
        <w:rPr/>
        <w:t>）在合并财务报表中，对于在丧失对子公司控制权以前的各项交易，处置价款与处置长期股权投</w:t>
      </w:r>
      <w:r>
        <w:rPr>
          <w:w w:val="100"/>
        </w:rPr>
        <w:t> </w:t>
      </w:r>
      <w:r>
        <w:rPr>
          <w:spacing w:val="2"/>
        </w:rPr>
        <w:t>资相应对享有子公司自购买日或合并日开始持续计算的净资产份额之间的差额，调整资本公积（股本溢</w:t>
      </w:r>
      <w:r>
        <w:rPr>
          <w:spacing w:val="-28"/>
        </w:rPr>
        <w:t> </w:t>
      </w:r>
      <w:r>
        <w:rPr>
          <w:spacing w:val="-28"/>
        </w:rPr>
      </w:r>
      <w:r>
        <w:rPr>
          <w:spacing w:val="-2"/>
        </w:rPr>
        <w:t>价），资本公积不足冲减的，调整留存收益；在丧失对子公司控制权时，对于剩余股权，按照其在丧失控</w:t>
      </w:r>
      <w:r>
        <w:rPr>
          <w:spacing w:val="-42"/>
        </w:rPr>
        <w:t> </w:t>
      </w:r>
      <w:r>
        <w:rPr>
          <w:spacing w:val="-42"/>
        </w:rPr>
      </w:r>
      <w:r>
        <w:rPr>
          <w:spacing w:val="-2"/>
        </w:rPr>
        <w:t>制权日的公允价值进行重新计量。处置股权取得的对价与剩余股权公允价值之和，减去按原持股比例计算</w:t>
      </w:r>
      <w:r>
        <w:rPr>
          <w:spacing w:val="-44"/>
        </w:rPr>
        <w:t> </w:t>
      </w:r>
      <w:r>
        <w:rPr>
          <w:spacing w:val="-44"/>
        </w:rPr>
      </w:r>
      <w:r>
        <w:rPr>
          <w:spacing w:val="-2"/>
        </w:rPr>
        <w:t>应享有原有子公司自购买日开始持续计算的净资产的份额之间的差额，计入丧失控制权当期的投资收益，</w:t>
      </w:r>
      <w:r>
        <w:rPr>
          <w:spacing w:val="-21"/>
        </w:rPr>
        <w:t> </w:t>
      </w:r>
      <w:r>
        <w:rPr>
          <w:spacing w:val="-21"/>
        </w:rPr>
      </w:r>
      <w:r>
        <w:rPr/>
        <w:t>同时冲减商誉。与原有子公司股权投资相关的其他综合收益等，在丧失控制权时转为当期投资收益。</w:t>
      </w:r>
    </w:p>
    <w:p>
      <w:pPr>
        <w:pStyle w:val="BodyText"/>
        <w:spacing w:line="273" w:lineRule="auto" w:before="12"/>
        <w:ind w:right="146" w:firstLine="420"/>
        <w:jc w:val="both"/>
      </w:pPr>
      <w:r>
        <w:rPr>
          <w:spacing w:val="-2"/>
        </w:rPr>
        <w:t>处置对子公司股权投资直至丧失控制权的各项交易属于一揽子交易的，将各项交易作为一项处置子公</w:t>
      </w:r>
      <w:r>
        <w:rPr>
          <w:w w:val="100"/>
        </w:rPr>
        <w:t> </w:t>
      </w:r>
      <w:r>
        <w:rPr/>
        <w:t>司股权投资并丧失控制权的交易进行会计处理，区分个别财务报表和合并财务报表进行相关会计处理：</w:t>
      </w:r>
    </w:p>
    <w:p>
      <w:pPr>
        <w:pStyle w:val="BodyText"/>
        <w:spacing w:line="256" w:lineRule="auto" w:before="7"/>
        <w:ind w:right="154" w:firstLine="420"/>
        <w:jc w:val="both"/>
      </w:pPr>
      <w:r>
        <w:rPr/>
        <w:t>（</w:t>
      </w:r>
      <w:r>
        <w:rPr>
          <w:rFonts w:ascii="Times New Roman" w:hAnsi="Times New Roman" w:cs="Times New Roman" w:eastAsia="Times New Roman" w:hint="default"/>
        </w:rPr>
        <w:t>1</w:t>
      </w:r>
      <w:r>
        <w:rPr/>
        <w:t>）在个别财务报表中，在丧失控制权之前每一次处置价款与处置的股权对应的长期股权投资账面</w:t>
      </w:r>
      <w:r>
        <w:rPr>
          <w:w w:val="100"/>
        </w:rPr>
        <w:t> </w:t>
      </w:r>
      <w:r>
        <w:rPr/>
        <w:t>价值之间的差额，确认为其他综合收益，在丧失控制权时一并转入丧失控制权当期的损益。</w:t>
      </w:r>
    </w:p>
    <w:p>
      <w:pPr>
        <w:pStyle w:val="BodyText"/>
        <w:spacing w:line="256" w:lineRule="auto" w:before="22"/>
        <w:ind w:right="154" w:firstLine="420"/>
        <w:jc w:val="both"/>
      </w:pPr>
      <w:r>
        <w:rPr/>
        <w:t>（</w:t>
      </w:r>
      <w:r>
        <w:rPr>
          <w:rFonts w:ascii="Times New Roman" w:hAnsi="Times New Roman" w:cs="Times New Roman" w:eastAsia="Times New Roman" w:hint="default"/>
        </w:rPr>
        <w:t>2</w:t>
      </w:r>
      <w:r>
        <w:rPr/>
        <w:t>）在合并财务报表中，在丧失控制权之前每一次处置价款与处置投资对应的享有该子公司净资产</w:t>
      </w:r>
      <w:r>
        <w:rPr>
          <w:w w:val="100"/>
        </w:rPr>
        <w:t> </w:t>
      </w:r>
      <w:r>
        <w:rPr/>
        <w:t>份额的差额，确认为其他综合收益，在丧失控制权时一并转入丧失控制权当期的损益。</w:t>
      </w:r>
    </w:p>
    <w:p>
      <w:pPr>
        <w:spacing w:line="256" w:lineRule="auto" w:before="24"/>
        <w:ind w:left="572"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、共同控制、重大影响的判断标准</w:t>
      </w:r>
      <w:r>
        <w:rPr>
          <w:rFonts w:ascii="宋体" w:hAnsi="宋体" w:cs="宋体" w:eastAsia="宋体" w:hint="default"/>
          <w:b/>
          <w:bCs/>
          <w:w w:val="100"/>
          <w:sz w:val="21"/>
          <w:szCs w:val="21"/>
        </w:rPr>
        <w:t> </w:t>
      </w:r>
      <w:r>
        <w:rPr>
          <w:rFonts w:ascii="宋体" w:hAnsi="宋体" w:cs="宋体" w:eastAsia="宋体" w:hint="default"/>
          <w:spacing w:val="-2"/>
          <w:sz w:val="21"/>
          <w:szCs w:val="21"/>
        </w:rPr>
        <w:t>如果本公司按照相关约定与其他参与方集体控制某项安排，并且对该安排回报具有重大影响的活动决</w:t>
      </w:r>
    </w:p>
    <w:p>
      <w:pPr>
        <w:pStyle w:val="BodyText"/>
        <w:spacing w:line="273" w:lineRule="auto" w:before="22"/>
        <w:ind w:right="0"/>
        <w:jc w:val="left"/>
      </w:pPr>
      <w:r>
        <w:rPr>
          <w:spacing w:val="-2"/>
        </w:rPr>
        <w:t>策，需要经过分享控制权的参与方一致同意时才存在，则视为本公司与其他参与方共同控制某项安排，该</w:t>
      </w:r>
      <w:r>
        <w:rPr>
          <w:spacing w:val="-42"/>
        </w:rPr>
        <w:t> </w:t>
      </w:r>
      <w:r>
        <w:rPr>
          <w:spacing w:val="-42"/>
        </w:rPr>
      </w:r>
      <w:r>
        <w:rPr/>
        <w:t>安排即属于合营安排。</w:t>
      </w:r>
    </w:p>
    <w:p>
      <w:pPr>
        <w:pStyle w:val="BodyText"/>
        <w:spacing w:line="273" w:lineRule="auto" w:before="7"/>
        <w:ind w:right="147" w:firstLine="420"/>
        <w:jc w:val="both"/>
      </w:pPr>
      <w:r>
        <w:rPr>
          <w:spacing w:val="-2"/>
        </w:rPr>
        <w:t>合营安排通过单独主体达成的，根据相关约定判断本公司对该单独主体的净资产享有权利时，将该单</w:t>
      </w:r>
      <w:r>
        <w:rPr>
          <w:w w:val="100"/>
        </w:rPr>
        <w:t> </w:t>
      </w:r>
      <w:r>
        <w:rPr>
          <w:spacing w:val="-2"/>
        </w:rPr>
        <w:t>独主体作为合营企业，采用权益法核算。若根据相关约定判断本公司并非对该单独主体的净资产享有权利</w:t>
      </w:r>
      <w:r>
        <w:rPr>
          <w:spacing w:val="-43"/>
        </w:rPr>
        <w:t> </w:t>
      </w:r>
      <w:r>
        <w:rPr>
          <w:spacing w:val="-43"/>
        </w:rPr>
      </w:r>
      <w:r>
        <w:rPr>
          <w:spacing w:val="-2"/>
        </w:rPr>
        <w:t>时，该单独主体作为共同经营，本公司确认与共同经营利益份额相关的项目，并按照相关企业会计准则的</w:t>
      </w:r>
      <w:r>
        <w:rPr>
          <w:spacing w:val="-44"/>
        </w:rPr>
        <w:t> </w:t>
      </w:r>
      <w:r>
        <w:rPr>
          <w:spacing w:val="-44"/>
        </w:rPr>
      </w:r>
      <w:r>
        <w:rPr/>
        <w:t>规定进行会计处理。</w:t>
      </w:r>
    </w:p>
    <w:p>
      <w:pPr>
        <w:pStyle w:val="BodyText"/>
        <w:spacing w:line="264" w:lineRule="auto" w:before="7"/>
        <w:ind w:right="147" w:firstLine="420"/>
        <w:jc w:val="both"/>
      </w:pPr>
      <w:r>
        <w:rPr>
          <w:spacing w:val="-2"/>
        </w:rPr>
        <w:t>重大影响，是指投资方对被投资单位的财务和经营政策有参与决策的权力，但并不能够控制或者与其</w:t>
      </w:r>
      <w:r>
        <w:rPr>
          <w:w w:val="100"/>
        </w:rPr>
        <w:t> </w:t>
      </w:r>
      <w:r>
        <w:rPr>
          <w:spacing w:val="-2"/>
        </w:rPr>
        <w:t>他方一起共同控制这些政策的制定。本公司通过以下一种或多种情形，并综合考虑所有事实和情况后，判</w:t>
      </w:r>
      <w:r>
        <w:rPr>
          <w:spacing w:val="-43"/>
        </w:rPr>
        <w:t> </w:t>
      </w:r>
      <w:r>
        <w:rPr>
          <w:spacing w:val="-43"/>
        </w:rPr>
      </w:r>
      <w:r>
        <w:rPr>
          <w:spacing w:val="-2"/>
        </w:rPr>
        <w:t>断对被投资单位具有重大影响。（</w:t>
      </w:r>
      <w:r>
        <w:rPr>
          <w:rFonts w:ascii="Times New Roman" w:hAnsi="Times New Roman" w:cs="Times New Roman" w:eastAsia="Times New Roman" w:hint="default"/>
          <w:spacing w:val="-2"/>
        </w:rPr>
        <w:t>1</w:t>
      </w:r>
      <w:r>
        <w:rPr>
          <w:spacing w:val="-2"/>
        </w:rPr>
        <w:t>）在被投资单位的董事会或类似权力机构中派有代表；（</w:t>
      </w:r>
      <w:r>
        <w:rPr>
          <w:rFonts w:ascii="Times New Roman" w:hAnsi="Times New Roman" w:cs="Times New Roman" w:eastAsia="Times New Roman" w:hint="default"/>
          <w:spacing w:val="-2"/>
        </w:rPr>
        <w:t>2</w:t>
      </w:r>
      <w:r>
        <w:rPr>
          <w:spacing w:val="-2"/>
        </w:rPr>
        <w:t>）参与被投</w:t>
      </w:r>
      <w:r>
        <w:rPr>
          <w:spacing w:val="-49"/>
        </w:rPr>
        <w:t> </w:t>
      </w:r>
      <w:r>
        <w:rPr>
          <w:spacing w:val="-49"/>
        </w:rPr>
      </w:r>
      <w:r>
        <w:rPr>
          <w:spacing w:val="-2"/>
        </w:rPr>
        <w:t>资单位财务和经营政策制定过程；（</w:t>
      </w:r>
      <w:r>
        <w:rPr>
          <w:rFonts w:ascii="Times New Roman" w:hAnsi="Times New Roman" w:cs="Times New Roman" w:eastAsia="Times New Roman" w:hint="default"/>
          <w:spacing w:val="-2"/>
        </w:rPr>
        <w:t>3</w:t>
      </w:r>
      <w:r>
        <w:rPr>
          <w:spacing w:val="-2"/>
        </w:rPr>
        <w:t>）与被投资单位之间发生重要交易；（</w:t>
      </w:r>
      <w:r>
        <w:rPr>
          <w:rFonts w:ascii="Times New Roman" w:hAnsi="Times New Roman" w:cs="Times New Roman" w:eastAsia="Times New Roman" w:hint="default"/>
          <w:spacing w:val="-2"/>
        </w:rPr>
        <w:t>4</w:t>
      </w:r>
      <w:r>
        <w:rPr>
          <w:spacing w:val="-2"/>
        </w:rPr>
        <w:t>）向被投资单位派出管理人</w:t>
      </w:r>
      <w:r>
        <w:rPr>
          <w:spacing w:val="-49"/>
        </w:rPr>
        <w:t> </w:t>
      </w:r>
      <w:r>
        <w:rPr>
          <w:spacing w:val="-49"/>
        </w:rPr>
      </w:r>
      <w:r>
        <w:rPr/>
        <w:t>员；（</w:t>
      </w:r>
      <w:r>
        <w:rPr>
          <w:rFonts w:ascii="Times New Roman" w:hAnsi="Times New Roman" w:cs="Times New Roman" w:eastAsia="Times New Roman" w:hint="default"/>
        </w:rPr>
        <w:t>5</w:t>
      </w:r>
      <w:r>
        <w:rPr/>
        <w:t>）向被投资单位提供关键技术资料。</w:t>
      </w:r>
    </w:p>
    <w:p>
      <w:pPr>
        <w:pStyle w:val="Heading5"/>
        <w:spacing w:line="240" w:lineRule="auto" w:before="154"/>
        <w:ind w:left="575" w:right="0"/>
        <w:jc w:val="left"/>
        <w:rPr>
          <w:b w:val="0"/>
          <w:bCs w:val="0"/>
        </w:rPr>
      </w:pPr>
      <w:r>
        <w:rPr/>
        <w:t>（十三）固定资产</w:t>
      </w:r>
      <w:r>
        <w:rPr>
          <w:b w:val="0"/>
          <w:bCs w:val="0"/>
        </w:rPr>
      </w:r>
    </w:p>
    <w:p>
      <w:pPr>
        <w:pStyle w:val="Heading5"/>
        <w:spacing w:line="240" w:lineRule="auto" w:before="37"/>
        <w:ind w:right="0"/>
        <w:jc w:val="left"/>
        <w:rPr>
          <w:b w:val="0"/>
          <w:bCs w:val="0"/>
        </w:rPr>
      </w:pPr>
      <w:r>
        <w:rPr>
          <w:rFonts w:ascii="宋体" w:hAnsi="宋体" w:cs="宋体" w:eastAsia="宋体" w:hint="default"/>
        </w:rPr>
        <w:t>1.</w:t>
      </w:r>
      <w:r>
        <w:rPr>
          <w:rFonts w:ascii="宋体" w:hAnsi="宋体" w:cs="宋体" w:eastAsia="宋体" w:hint="default"/>
          <w:spacing w:val="38"/>
        </w:rPr>
        <w:t> </w:t>
      </w:r>
      <w:r>
        <w:rPr/>
        <w:t>固定资产确认条件</w:t>
      </w:r>
      <w:r>
        <w:rPr>
          <w:b w:val="0"/>
          <w:bCs w:val="0"/>
        </w:rPr>
      </w:r>
    </w:p>
    <w:p>
      <w:pPr>
        <w:pStyle w:val="BodyText"/>
        <w:spacing w:line="240" w:lineRule="auto" w:before="37"/>
        <w:ind w:left="932" w:right="0"/>
        <w:jc w:val="left"/>
      </w:pPr>
      <w:r>
        <w:rPr/>
        <w:t>固定资产指为生产商品、提供劳务、出租或经营管理而持有，并且使用寿命超过一个会计年度的</w:t>
      </w:r>
    </w:p>
    <w:p>
      <w:pPr>
        <w:spacing w:after="0" w:line="240" w:lineRule="auto"/>
        <w:jc w:val="left"/>
        <w:sectPr>
          <w:pgSz w:w="11910" w:h="16840"/>
          <w:pgMar w:header="880" w:footer="979" w:top="1120" w:bottom="1160" w:left="980" w:right="980"/>
        </w:sectPr>
      </w:pPr>
    </w:p>
    <w:p>
      <w:pPr>
        <w:spacing w:line="240" w:lineRule="auto" w:before="9"/>
        <w:rPr>
          <w:rFonts w:ascii="宋体" w:hAnsi="宋体" w:cs="宋体" w:eastAsia="宋体" w:hint="default"/>
          <w:sz w:val="20"/>
          <w:szCs w:val="20"/>
        </w:rPr>
      </w:pPr>
    </w:p>
    <w:p>
      <w:pPr>
        <w:pStyle w:val="BodyText"/>
        <w:spacing w:line="240" w:lineRule="auto" w:before="36"/>
        <w:ind w:left="512" w:right="106"/>
        <w:jc w:val="left"/>
      </w:pPr>
      <w:r>
        <w:rPr/>
        <w:t>有形资产。固定资产在同时满足下列条件时予以确认：</w:t>
      </w:r>
    </w:p>
    <w:p>
      <w:pPr>
        <w:pStyle w:val="BodyText"/>
        <w:spacing w:line="240" w:lineRule="auto" w:before="37"/>
        <w:ind w:left="932" w:right="106"/>
        <w:jc w:val="left"/>
      </w:pPr>
      <w:r>
        <w:rPr/>
        <w:t>（</w:t>
      </w:r>
      <w:r>
        <w:rPr>
          <w:rFonts w:ascii="Times New Roman" w:hAnsi="Times New Roman" w:cs="Times New Roman" w:eastAsia="Times New Roman" w:hint="default"/>
        </w:rPr>
        <w:t>1</w:t>
      </w:r>
      <w:r>
        <w:rPr/>
        <w:t>）与该固定资产有关的经济利益很可能流入企业；</w:t>
      </w:r>
    </w:p>
    <w:p>
      <w:pPr>
        <w:pStyle w:val="BodyText"/>
        <w:spacing w:line="240" w:lineRule="auto" w:before="21"/>
        <w:ind w:left="932" w:right="106"/>
        <w:jc w:val="left"/>
      </w:pPr>
      <w:r>
        <w:rPr/>
        <w:t>（</w:t>
      </w:r>
      <w:r>
        <w:rPr>
          <w:rFonts w:ascii="Times New Roman" w:hAnsi="Times New Roman" w:cs="Times New Roman" w:eastAsia="Times New Roman" w:hint="default"/>
        </w:rPr>
        <w:t>2</w:t>
      </w:r>
      <w:r>
        <w:rPr/>
        <w:t>）该固定资产的成本能够可靠地计量。</w:t>
      </w:r>
    </w:p>
    <w:p>
      <w:pPr>
        <w:pStyle w:val="Heading5"/>
        <w:spacing w:line="240" w:lineRule="auto" w:before="21"/>
        <w:ind w:right="106"/>
        <w:jc w:val="left"/>
        <w:rPr>
          <w:b w:val="0"/>
          <w:bCs w:val="0"/>
        </w:rPr>
      </w:pPr>
      <w:r>
        <w:rPr>
          <w:rFonts w:ascii="宋体" w:hAnsi="宋体" w:cs="宋体" w:eastAsia="宋体" w:hint="default"/>
        </w:rPr>
        <w:t>1.</w:t>
      </w:r>
      <w:r>
        <w:rPr>
          <w:rFonts w:ascii="宋体" w:hAnsi="宋体" w:cs="宋体" w:eastAsia="宋体" w:hint="default"/>
          <w:spacing w:val="38"/>
        </w:rPr>
        <w:t> </w:t>
      </w:r>
      <w:r>
        <w:rPr/>
        <w:t>固定资产初始计量</w:t>
      </w:r>
      <w:r>
        <w:rPr>
          <w:b w:val="0"/>
          <w:bCs w:val="0"/>
        </w:rPr>
      </w:r>
    </w:p>
    <w:p>
      <w:pPr>
        <w:pStyle w:val="BodyText"/>
        <w:spacing w:line="273" w:lineRule="auto" w:before="37"/>
        <w:ind w:left="512" w:right="106" w:firstLine="420"/>
        <w:jc w:val="left"/>
      </w:pPr>
      <w:r>
        <w:rPr/>
        <w:t>本公司固定资产按成本进行初始计量。其中，外购的固定资产的成本包括买价、进口关税等相关</w:t>
      </w:r>
      <w:r>
        <w:rPr>
          <w:w w:val="100"/>
        </w:rPr>
        <w:t> </w:t>
      </w:r>
      <w:r>
        <w:rPr/>
        <w:t>税费，以及为使固定资产达到预定可使用状态前所发生的可直接归属于该资产的其他支出。自行建造</w:t>
      </w:r>
      <w:r>
        <w:rPr>
          <w:spacing w:val="-65"/>
        </w:rPr>
        <w:t> </w:t>
      </w:r>
      <w:r>
        <w:rPr>
          <w:spacing w:val="-65"/>
        </w:rPr>
      </w:r>
      <w:r>
        <w:rPr/>
        <w:t>固定资产的成本，由建造该项资产达到预定可使用状态前所发生的必要支出构成。投资者投入的固定</w:t>
      </w:r>
      <w:r>
        <w:rPr>
          <w:spacing w:val="-65"/>
        </w:rPr>
        <w:t> </w:t>
      </w:r>
      <w:r>
        <w:rPr>
          <w:spacing w:val="-65"/>
        </w:rPr>
      </w:r>
      <w:r>
        <w:rPr>
          <w:spacing w:val="-3"/>
        </w:rPr>
        <w:t>资产，按投资合同或协议约定的价值作为入账价值，但合同或协议约定价值不公允的按公允价值入账。</w:t>
      </w:r>
      <w:r>
        <w:rPr>
          <w:spacing w:val="-44"/>
        </w:rPr>
        <w:t> </w:t>
      </w:r>
      <w:r>
        <w:rPr>
          <w:spacing w:val="-44"/>
        </w:rPr>
      </w:r>
      <w:r>
        <w:rPr/>
        <w:t>购买固定资产的价款超过正常信用条件延期支付，实质上具有融资性质的，固定资产的成本以购买价</w:t>
      </w:r>
      <w:r>
        <w:rPr>
          <w:spacing w:val="-65"/>
        </w:rPr>
        <w:t> </w:t>
      </w:r>
      <w:r>
        <w:rPr>
          <w:spacing w:val="-65"/>
        </w:rPr>
      </w:r>
      <w:r>
        <w:rPr/>
        <w:t>款的现值为基础确定。实际支付的价款与购买价款的现值之间的差额，除应予资本化的以外，在信用</w:t>
      </w:r>
      <w:r>
        <w:rPr>
          <w:spacing w:val="-65"/>
        </w:rPr>
        <w:t> </w:t>
      </w:r>
      <w:r>
        <w:rPr>
          <w:spacing w:val="-65"/>
        </w:rPr>
      </w:r>
      <w:r>
        <w:rPr/>
        <w:t>期间内计入当期损益。</w:t>
      </w:r>
    </w:p>
    <w:p>
      <w:pPr>
        <w:pStyle w:val="Heading5"/>
        <w:spacing w:line="240" w:lineRule="auto" w:before="8"/>
        <w:ind w:right="106"/>
        <w:jc w:val="left"/>
        <w:rPr>
          <w:b w:val="0"/>
          <w:bCs w:val="0"/>
        </w:rPr>
      </w:pPr>
      <w:r>
        <w:rPr>
          <w:rFonts w:ascii="宋体" w:hAnsi="宋体" w:cs="宋体" w:eastAsia="宋体" w:hint="default"/>
        </w:rPr>
        <w:t>1.</w:t>
      </w:r>
      <w:r>
        <w:rPr>
          <w:rFonts w:ascii="宋体" w:hAnsi="宋体" w:cs="宋体" w:eastAsia="宋体" w:hint="default"/>
          <w:spacing w:val="36"/>
        </w:rPr>
        <w:t> </w:t>
      </w:r>
      <w:r>
        <w:rPr/>
        <w:t>固定资产后续计量及处置</w:t>
      </w:r>
      <w:r>
        <w:rPr>
          <w:b w:val="0"/>
          <w:bCs w:val="0"/>
        </w:rPr>
      </w:r>
    </w:p>
    <w:p>
      <w:pPr>
        <w:pStyle w:val="BodyText"/>
        <w:spacing w:line="256" w:lineRule="auto" w:before="37"/>
        <w:ind w:left="572" w:right="106" w:firstLine="2"/>
        <w:jc w:val="left"/>
      </w:pPr>
      <w:r>
        <w:rPr/>
        <w:t>（</w:t>
      </w:r>
      <w:r>
        <w:rPr>
          <w:rFonts w:ascii="Times New Roman" w:hAnsi="Times New Roman" w:cs="Times New Roman" w:eastAsia="Times New Roman" w:hint="default"/>
        </w:rPr>
        <w:t>1</w:t>
      </w:r>
      <w:r>
        <w:rPr/>
        <w:t>）固定资产折旧</w:t>
      </w:r>
      <w:r>
        <w:rPr>
          <w:w w:val="100"/>
        </w:rPr>
        <w:t> </w:t>
      </w:r>
      <w:r>
        <w:rPr>
          <w:spacing w:val="2"/>
        </w:rPr>
        <w:t>固定资产折旧按其入账价值减去预计净残值后在预计使用寿命内计提。对计提了减值准备的固定资</w:t>
      </w:r>
    </w:p>
    <w:p>
      <w:pPr>
        <w:pStyle w:val="BodyText"/>
        <w:spacing w:line="273" w:lineRule="auto" w:before="22"/>
        <w:ind w:left="572" w:right="106" w:hanging="420"/>
        <w:jc w:val="left"/>
      </w:pPr>
      <w:r>
        <w:rPr/>
        <w:t>产，则在未来期间按扣除减值准备后的账面价值及依据尚可使用年限确定折旧额。</w:t>
      </w:r>
      <w:r>
        <w:rPr>
          <w:w w:val="100"/>
        </w:rPr>
        <w:t> </w:t>
      </w:r>
      <w:r>
        <w:rPr>
          <w:spacing w:val="-2"/>
        </w:rPr>
        <w:t>本公司根据固定资产的性质和使用情况，确定固定资产的使用寿命和预计净残值。并在年度终了，对</w:t>
      </w:r>
    </w:p>
    <w:p>
      <w:pPr>
        <w:pStyle w:val="BodyText"/>
        <w:spacing w:line="273" w:lineRule="auto" w:before="7"/>
        <w:ind w:left="572" w:right="106" w:hanging="420"/>
        <w:jc w:val="left"/>
      </w:pPr>
      <w:r>
        <w:rPr>
          <w:spacing w:val="-2"/>
        </w:rPr>
        <w:t>固定资产的使用寿命、预计净残值和折旧方法进行复核，如与原先估计数存在差异的，进行相应的调整。</w:t>
      </w:r>
      <w:r>
        <w:rPr>
          <w:spacing w:val="-24"/>
        </w:rPr>
        <w:t> </w:t>
      </w:r>
      <w:r>
        <w:rPr>
          <w:spacing w:val="-24"/>
        </w:rPr>
      </w:r>
      <w:r>
        <w:rPr/>
        <w:t>各类固定资产的折旧方法、折旧年限和年折旧率如下：</w:t>
      </w:r>
    </w:p>
    <w:tbl>
      <w:tblPr>
        <w:tblW w:w="0" w:type="auto"/>
        <w:jc w:val="left"/>
        <w:tblInd w:w="145" w:type="dxa"/>
        <w:tblLayout w:type="fixed"/>
        <w:tblCellMar>
          <w:top w:w="0" w:type="dxa"/>
          <w:left w:w="0" w:type="dxa"/>
          <w:bottom w:w="0" w:type="dxa"/>
          <w:right w:w="0" w:type="dxa"/>
        </w:tblCellMar>
        <w:tblLook w:val="01E0"/>
      </w:tblPr>
      <w:tblGrid>
        <w:gridCol w:w="1999"/>
        <w:gridCol w:w="1694"/>
        <w:gridCol w:w="1694"/>
        <w:gridCol w:w="1572"/>
        <w:gridCol w:w="1716"/>
      </w:tblGrid>
      <w:tr>
        <w:trPr>
          <w:trHeight w:val="314" w:hRule="exact"/>
        </w:trPr>
        <w:tc>
          <w:tcPr>
            <w:tcW w:w="1999"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left="7"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694"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left="2" w:right="0"/>
              <w:jc w:val="center"/>
              <w:rPr>
                <w:rFonts w:ascii="宋体" w:hAnsi="宋体" w:cs="宋体" w:eastAsia="宋体" w:hint="default"/>
                <w:sz w:val="21"/>
                <w:szCs w:val="21"/>
              </w:rPr>
            </w:pPr>
            <w:r>
              <w:rPr>
                <w:rFonts w:ascii="宋体" w:hAnsi="宋体" w:cs="宋体" w:eastAsia="宋体" w:hint="default"/>
                <w:sz w:val="21"/>
                <w:szCs w:val="21"/>
              </w:rPr>
              <w:t>折旧方法</w:t>
            </w:r>
          </w:p>
        </w:tc>
        <w:tc>
          <w:tcPr>
            <w:tcW w:w="1694" w:type="dxa"/>
            <w:tcBorders>
              <w:top w:val="single" w:sz="6" w:space="0" w:color="000000"/>
              <w:left w:val="single" w:sz="6" w:space="0" w:color="000000"/>
              <w:bottom w:val="single" w:sz="12" w:space="0" w:color="000000"/>
              <w:right w:val="single" w:sz="6" w:space="0" w:color="000000"/>
            </w:tcBorders>
          </w:tcPr>
          <w:p>
            <w:pPr>
              <w:pStyle w:val="TableParagraph"/>
              <w:spacing w:line="266"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净残值率</w:t>
            </w:r>
            <w:r>
              <w:rPr>
                <w:rFonts w:ascii="Times New Roman" w:hAnsi="Times New Roman" w:cs="Times New Roman" w:eastAsia="Times New Roman" w:hint="default"/>
                <w:sz w:val="21"/>
                <w:szCs w:val="21"/>
              </w:rPr>
              <w:t>(%)</w:t>
            </w:r>
          </w:p>
        </w:tc>
        <w:tc>
          <w:tcPr>
            <w:tcW w:w="1572" w:type="dxa"/>
            <w:tcBorders>
              <w:top w:val="single" w:sz="6" w:space="0" w:color="000000"/>
              <w:left w:val="single" w:sz="6" w:space="0" w:color="000000"/>
              <w:bottom w:val="single" w:sz="12" w:space="0" w:color="000000"/>
              <w:right w:val="single" w:sz="6" w:space="0" w:color="000000"/>
            </w:tcBorders>
          </w:tcPr>
          <w:p>
            <w:pPr>
              <w:pStyle w:val="TableParagraph"/>
              <w:spacing w:line="266"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折旧年限</w:t>
            </w:r>
            <w:r>
              <w:rPr>
                <w:rFonts w:ascii="Times New Roman" w:hAnsi="Times New Roman" w:cs="Times New Roman" w:eastAsia="Times New Roman" w:hint="default"/>
                <w:sz w:val="21"/>
                <w:szCs w:val="21"/>
              </w:rPr>
              <w:t>(</w:t>
            </w:r>
            <w:r>
              <w:rPr>
                <w:rFonts w:ascii="宋体" w:hAnsi="宋体" w:cs="宋体" w:eastAsia="宋体" w:hint="default"/>
                <w:sz w:val="21"/>
                <w:szCs w:val="21"/>
              </w:rPr>
              <w:t>年</w:t>
            </w:r>
            <w:r>
              <w:rPr>
                <w:rFonts w:ascii="Times New Roman" w:hAnsi="Times New Roman" w:cs="Times New Roman" w:eastAsia="Times New Roman" w:hint="default"/>
                <w:sz w:val="21"/>
                <w:szCs w:val="21"/>
              </w:rPr>
              <w:t>)</w:t>
            </w:r>
          </w:p>
        </w:tc>
        <w:tc>
          <w:tcPr>
            <w:tcW w:w="1716" w:type="dxa"/>
            <w:tcBorders>
              <w:top w:val="single" w:sz="6" w:space="0" w:color="000000"/>
              <w:left w:val="single" w:sz="6" w:space="0" w:color="000000"/>
              <w:bottom w:val="single" w:sz="12" w:space="0" w:color="000000"/>
              <w:right w:val="nil" w:sz="6" w:space="0" w:color="auto"/>
            </w:tcBorders>
          </w:tcPr>
          <w:p>
            <w:pPr>
              <w:pStyle w:val="TableParagraph"/>
              <w:spacing w:line="266" w:lineRule="exact"/>
              <w:ind w:left="27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年折旧率</w:t>
            </w:r>
            <w:r>
              <w:rPr>
                <w:rFonts w:ascii="Times New Roman" w:hAnsi="Times New Roman" w:cs="Times New Roman" w:eastAsia="Times New Roman" w:hint="default"/>
                <w:sz w:val="21"/>
                <w:szCs w:val="21"/>
              </w:rPr>
              <w:t>(%)</w:t>
            </w:r>
          </w:p>
        </w:tc>
      </w:tr>
      <w:tr>
        <w:trPr>
          <w:trHeight w:val="314" w:hRule="exact"/>
        </w:trPr>
        <w:tc>
          <w:tcPr>
            <w:tcW w:w="1999"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4"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694"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年限平均法</w:t>
            </w:r>
          </w:p>
        </w:tc>
        <w:tc>
          <w:tcPr>
            <w:tcW w:w="1694"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2"/>
              <w:jc w:val="center"/>
              <w:rPr>
                <w:rFonts w:ascii="Times New Roman" w:hAnsi="Times New Roman" w:cs="Times New Roman" w:eastAsia="Times New Roman" w:hint="default"/>
                <w:sz w:val="21"/>
                <w:szCs w:val="21"/>
              </w:rPr>
            </w:pPr>
            <w:r>
              <w:rPr>
                <w:rFonts w:ascii="Times New Roman"/>
                <w:w w:val="100"/>
                <w:sz w:val="21"/>
              </w:rPr>
              <w:t>5</w:t>
            </w:r>
          </w:p>
        </w:tc>
        <w:tc>
          <w:tcPr>
            <w:tcW w:w="1572"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0"/>
              <w:jc w:val="center"/>
              <w:rPr>
                <w:rFonts w:ascii="Times New Roman" w:hAnsi="Times New Roman" w:cs="Times New Roman" w:eastAsia="Times New Roman" w:hint="default"/>
                <w:sz w:val="21"/>
                <w:szCs w:val="21"/>
              </w:rPr>
            </w:pPr>
            <w:r>
              <w:rPr>
                <w:rFonts w:ascii="Times New Roman"/>
                <w:sz w:val="21"/>
              </w:rPr>
              <w:t>30</w:t>
            </w:r>
          </w:p>
        </w:tc>
        <w:tc>
          <w:tcPr>
            <w:tcW w:w="1716"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left="741" w:right="0"/>
              <w:jc w:val="left"/>
              <w:rPr>
                <w:rFonts w:ascii="Times New Roman" w:hAnsi="Times New Roman" w:cs="Times New Roman" w:eastAsia="Times New Roman" w:hint="default"/>
                <w:sz w:val="21"/>
                <w:szCs w:val="21"/>
              </w:rPr>
            </w:pPr>
            <w:r>
              <w:rPr>
                <w:rFonts w:ascii="Times New Roman"/>
                <w:sz w:val="21"/>
              </w:rPr>
              <w:t>3.167</w:t>
            </w:r>
          </w:p>
        </w:tc>
      </w:tr>
      <w:tr>
        <w:trPr>
          <w:trHeight w:val="312" w:hRule="exact"/>
        </w:trPr>
        <w:tc>
          <w:tcPr>
            <w:tcW w:w="1999"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4"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694"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年限平均法</w:t>
            </w:r>
          </w:p>
        </w:tc>
        <w:tc>
          <w:tcPr>
            <w:tcW w:w="1694"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2"/>
              <w:jc w:val="center"/>
              <w:rPr>
                <w:rFonts w:ascii="Times New Roman" w:hAnsi="Times New Roman" w:cs="Times New Roman" w:eastAsia="Times New Roman" w:hint="default"/>
                <w:sz w:val="21"/>
                <w:szCs w:val="21"/>
              </w:rPr>
            </w:pPr>
            <w:r>
              <w:rPr>
                <w:rFonts w:ascii="Times New Roman"/>
                <w:w w:val="100"/>
                <w:sz w:val="21"/>
              </w:rPr>
              <w:t>5</w:t>
            </w:r>
          </w:p>
        </w:tc>
        <w:tc>
          <w:tcPr>
            <w:tcW w:w="1572"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5</w:t>
            </w:r>
          </w:p>
        </w:tc>
        <w:tc>
          <w:tcPr>
            <w:tcW w:w="1716"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left="741" w:right="0"/>
              <w:jc w:val="left"/>
              <w:rPr>
                <w:rFonts w:ascii="Times New Roman" w:hAnsi="Times New Roman" w:cs="Times New Roman" w:eastAsia="Times New Roman" w:hint="default"/>
                <w:sz w:val="21"/>
                <w:szCs w:val="21"/>
              </w:rPr>
            </w:pPr>
            <w:r>
              <w:rPr>
                <w:rFonts w:ascii="Times New Roman"/>
                <w:sz w:val="21"/>
              </w:rPr>
              <w:t>19.00</w:t>
            </w:r>
          </w:p>
        </w:tc>
      </w:tr>
      <w:tr>
        <w:trPr>
          <w:trHeight w:val="314" w:hRule="exact"/>
        </w:trPr>
        <w:tc>
          <w:tcPr>
            <w:tcW w:w="1999"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4"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694"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年限平均法</w:t>
            </w:r>
          </w:p>
        </w:tc>
        <w:tc>
          <w:tcPr>
            <w:tcW w:w="1694"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2"/>
              <w:jc w:val="center"/>
              <w:rPr>
                <w:rFonts w:ascii="Times New Roman" w:hAnsi="Times New Roman" w:cs="Times New Roman" w:eastAsia="Times New Roman" w:hint="default"/>
                <w:sz w:val="21"/>
                <w:szCs w:val="21"/>
              </w:rPr>
            </w:pPr>
            <w:r>
              <w:rPr>
                <w:rFonts w:ascii="Times New Roman"/>
                <w:w w:val="100"/>
                <w:sz w:val="21"/>
              </w:rPr>
              <w:t>5</w:t>
            </w:r>
          </w:p>
        </w:tc>
        <w:tc>
          <w:tcPr>
            <w:tcW w:w="1572"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0"/>
              <w:jc w:val="center"/>
              <w:rPr>
                <w:rFonts w:ascii="Times New Roman" w:hAnsi="Times New Roman" w:cs="Times New Roman" w:eastAsia="Times New Roman" w:hint="default"/>
                <w:sz w:val="21"/>
                <w:szCs w:val="21"/>
              </w:rPr>
            </w:pPr>
            <w:r>
              <w:rPr>
                <w:rFonts w:ascii="Times New Roman"/>
                <w:w w:val="100"/>
                <w:sz w:val="21"/>
              </w:rPr>
              <w:t>5</w:t>
            </w:r>
          </w:p>
        </w:tc>
        <w:tc>
          <w:tcPr>
            <w:tcW w:w="1716"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left="700" w:right="0"/>
              <w:jc w:val="left"/>
              <w:rPr>
                <w:rFonts w:ascii="Times New Roman" w:hAnsi="Times New Roman" w:cs="Times New Roman" w:eastAsia="Times New Roman" w:hint="default"/>
                <w:sz w:val="21"/>
                <w:szCs w:val="21"/>
              </w:rPr>
            </w:pPr>
            <w:r>
              <w:rPr>
                <w:rFonts w:ascii="Times New Roman"/>
                <w:sz w:val="21"/>
              </w:rPr>
              <w:t>19.00</w:t>
            </w:r>
          </w:p>
        </w:tc>
      </w:tr>
      <w:tr>
        <w:trPr>
          <w:trHeight w:val="312" w:hRule="exact"/>
        </w:trPr>
        <w:tc>
          <w:tcPr>
            <w:tcW w:w="1999"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4"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694"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年限平均法</w:t>
            </w:r>
          </w:p>
        </w:tc>
        <w:tc>
          <w:tcPr>
            <w:tcW w:w="1694"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2"/>
              <w:jc w:val="center"/>
              <w:rPr>
                <w:rFonts w:ascii="Times New Roman" w:hAnsi="Times New Roman" w:cs="Times New Roman" w:eastAsia="Times New Roman" w:hint="default"/>
                <w:sz w:val="21"/>
                <w:szCs w:val="21"/>
              </w:rPr>
            </w:pPr>
            <w:r>
              <w:rPr>
                <w:rFonts w:ascii="Times New Roman"/>
                <w:w w:val="100"/>
                <w:sz w:val="21"/>
              </w:rPr>
              <w:t>5</w:t>
            </w:r>
          </w:p>
        </w:tc>
        <w:tc>
          <w:tcPr>
            <w:tcW w:w="1572"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5</w:t>
            </w:r>
          </w:p>
        </w:tc>
        <w:tc>
          <w:tcPr>
            <w:tcW w:w="1716"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left="700" w:right="0"/>
              <w:jc w:val="left"/>
              <w:rPr>
                <w:rFonts w:ascii="Times New Roman" w:hAnsi="Times New Roman" w:cs="Times New Roman" w:eastAsia="Times New Roman" w:hint="default"/>
                <w:sz w:val="21"/>
                <w:szCs w:val="21"/>
              </w:rPr>
            </w:pPr>
            <w:r>
              <w:rPr>
                <w:rFonts w:ascii="Times New Roman"/>
                <w:sz w:val="21"/>
              </w:rPr>
              <w:t>19.00</w:t>
            </w:r>
          </w:p>
        </w:tc>
      </w:tr>
    </w:tbl>
    <w:p>
      <w:pPr>
        <w:spacing w:line="240" w:lineRule="auto" w:before="10"/>
        <w:rPr>
          <w:rFonts w:ascii="宋体" w:hAnsi="宋体" w:cs="宋体" w:eastAsia="宋体" w:hint="default"/>
          <w:sz w:val="9"/>
          <w:szCs w:val="9"/>
        </w:rPr>
      </w:pPr>
    </w:p>
    <w:p>
      <w:pPr>
        <w:pStyle w:val="BodyText"/>
        <w:spacing w:line="256" w:lineRule="auto" w:before="36"/>
        <w:ind w:left="572" w:right="106"/>
        <w:jc w:val="left"/>
      </w:pPr>
      <w:r>
        <w:rPr/>
        <w:t>（</w:t>
      </w:r>
      <w:r>
        <w:rPr>
          <w:rFonts w:ascii="Times New Roman" w:hAnsi="Times New Roman" w:cs="Times New Roman" w:eastAsia="Times New Roman" w:hint="default"/>
        </w:rPr>
        <w:t>2</w:t>
      </w:r>
      <w:r>
        <w:rPr/>
        <w:t>）固定资产的后续支出</w:t>
      </w:r>
      <w:r>
        <w:rPr>
          <w:spacing w:val="-3"/>
          <w:w w:val="100"/>
        </w:rPr>
        <w:t> </w:t>
      </w:r>
      <w:r>
        <w:rPr>
          <w:spacing w:val="-2"/>
        </w:rPr>
        <w:t>与固定资产有关的后续支出，符合固定资产确认条件的，计入固定资产成本；不符合固定资产确认条</w:t>
      </w:r>
    </w:p>
    <w:p>
      <w:pPr>
        <w:pStyle w:val="BodyText"/>
        <w:spacing w:line="240" w:lineRule="auto" w:before="22"/>
        <w:ind w:right="106"/>
        <w:jc w:val="left"/>
      </w:pPr>
      <w:r>
        <w:rPr/>
        <w:t>件的，在发生时计入当期损益。</w:t>
      </w:r>
    </w:p>
    <w:p>
      <w:pPr>
        <w:pStyle w:val="BodyText"/>
        <w:spacing w:line="256" w:lineRule="auto" w:before="37"/>
        <w:ind w:left="572" w:right="106"/>
        <w:jc w:val="left"/>
      </w:pPr>
      <w:r>
        <w:rPr/>
        <w:t>（</w:t>
      </w:r>
      <w:r>
        <w:rPr>
          <w:rFonts w:ascii="Times New Roman" w:hAnsi="Times New Roman" w:cs="Times New Roman" w:eastAsia="Times New Roman" w:hint="default"/>
        </w:rPr>
        <w:t>3</w:t>
      </w:r>
      <w:r>
        <w:rPr/>
        <w:t>）固定资产处置</w:t>
      </w:r>
      <w:r>
        <w:rPr>
          <w:w w:val="100"/>
        </w:rPr>
        <w:t> </w:t>
      </w:r>
      <w:r>
        <w:rPr>
          <w:spacing w:val="-2"/>
        </w:rPr>
        <w:t>当固定资产被处置、或者预期通过使用或处置不能产生经济利益时，终止确认该固定资产。固定资产</w:t>
      </w:r>
    </w:p>
    <w:p>
      <w:pPr>
        <w:spacing w:line="264" w:lineRule="auto" w:before="22"/>
        <w:ind w:left="565" w:right="106" w:hanging="413"/>
        <w:jc w:val="left"/>
        <w:rPr>
          <w:rFonts w:ascii="宋体" w:hAnsi="宋体" w:cs="宋体" w:eastAsia="宋体" w:hint="default"/>
          <w:sz w:val="21"/>
          <w:szCs w:val="21"/>
        </w:rPr>
      </w:pPr>
      <w:r>
        <w:rPr>
          <w:rFonts w:ascii="宋体" w:hAnsi="宋体" w:cs="宋体" w:eastAsia="宋体" w:hint="default"/>
          <w:spacing w:val="-2"/>
          <w:sz w:val="21"/>
          <w:szCs w:val="21"/>
        </w:rPr>
        <w:t>出售、转让、报废或毁损的处置收入扣除其账面价值和相关税费后的金额计入当期损益。</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、融资租入固定资产的认定依据、计价和折旧方法</w:t>
      </w:r>
      <w:r>
        <w:rPr>
          <w:rFonts w:ascii="宋体" w:hAnsi="宋体" w:cs="宋体" w:eastAsia="宋体" w:hint="default"/>
          <w:b/>
          <w:bCs/>
          <w:w w:val="100"/>
          <w:sz w:val="21"/>
          <w:szCs w:val="21"/>
        </w:rPr>
        <w:t> </w:t>
      </w:r>
      <w:r>
        <w:rPr>
          <w:rFonts w:ascii="宋体" w:hAnsi="宋体" w:cs="宋体" w:eastAsia="宋体" w:hint="default"/>
          <w:sz w:val="21"/>
          <w:szCs w:val="21"/>
        </w:rPr>
        <w:t>当本公司租入的固定资产符合下列一项或数项标准时，确认为融资租入固定资产：</w:t>
      </w:r>
    </w:p>
    <w:p>
      <w:pPr>
        <w:pStyle w:val="BodyText"/>
        <w:spacing w:line="240" w:lineRule="auto" w:before="16"/>
        <w:ind w:left="572" w:right="106"/>
        <w:jc w:val="left"/>
      </w:pPr>
      <w:r>
        <w:rPr/>
        <w:t>（</w:t>
      </w:r>
      <w:r>
        <w:rPr>
          <w:rFonts w:ascii="Times New Roman" w:hAnsi="Times New Roman" w:cs="Times New Roman" w:eastAsia="Times New Roman" w:hint="default"/>
        </w:rPr>
        <w:t>1</w:t>
      </w:r>
      <w:r>
        <w:rPr/>
        <w:t>）在租赁期届满时，租赁资产的所有权转移给本公司。</w:t>
      </w:r>
    </w:p>
    <w:p>
      <w:pPr>
        <w:pStyle w:val="BodyText"/>
        <w:spacing w:line="256" w:lineRule="auto" w:before="21"/>
        <w:ind w:right="214" w:firstLine="420"/>
        <w:jc w:val="both"/>
      </w:pPr>
      <w:r>
        <w:rPr/>
        <w:t>（</w:t>
      </w:r>
      <w:r>
        <w:rPr>
          <w:rFonts w:ascii="Times New Roman" w:hAnsi="Times New Roman" w:cs="Times New Roman" w:eastAsia="Times New Roman" w:hint="default"/>
        </w:rPr>
        <w:t>2</w:t>
      </w:r>
      <w:r>
        <w:rPr/>
        <w:t>）本公司有购买租赁资产的选择权，所订立的购买价款预计将远低于行使选择权时租赁资产的公</w:t>
      </w:r>
      <w:r>
        <w:rPr>
          <w:w w:val="100"/>
        </w:rPr>
        <w:t> </w:t>
      </w:r>
      <w:r>
        <w:rPr/>
        <w:t>允价值，因而在租赁开始日就可以合理确定本公司将会行使这种选择权。</w:t>
      </w:r>
    </w:p>
    <w:p>
      <w:pPr>
        <w:pStyle w:val="BodyText"/>
        <w:spacing w:line="240" w:lineRule="auto" w:before="22"/>
        <w:ind w:left="572" w:right="106"/>
        <w:jc w:val="left"/>
      </w:pPr>
      <w:r>
        <w:rPr/>
        <w:t>（</w:t>
      </w:r>
      <w:r>
        <w:rPr>
          <w:rFonts w:ascii="Times New Roman" w:hAnsi="Times New Roman" w:cs="Times New Roman" w:eastAsia="Times New Roman" w:hint="default"/>
        </w:rPr>
        <w:t>3</w:t>
      </w:r>
      <w:r>
        <w:rPr/>
        <w:t>）即使资产的所有权不转移，但租赁期占租赁资产使用寿命的大部分。</w:t>
      </w:r>
    </w:p>
    <w:p>
      <w:pPr>
        <w:pStyle w:val="BodyText"/>
        <w:spacing w:line="240" w:lineRule="auto" w:before="21"/>
        <w:ind w:left="572" w:right="106"/>
        <w:jc w:val="left"/>
      </w:pPr>
      <w:r>
        <w:rPr/>
        <w:t>（</w:t>
      </w:r>
      <w:r>
        <w:rPr>
          <w:rFonts w:ascii="Times New Roman" w:hAnsi="Times New Roman" w:cs="Times New Roman" w:eastAsia="Times New Roman" w:hint="default"/>
        </w:rPr>
        <w:t>4</w:t>
      </w:r>
      <w:r>
        <w:rPr/>
        <w:t>）本公司在租赁开始日的最低租赁付款额现值，几乎相当于租赁开始日租赁资产公允价值。</w:t>
      </w:r>
    </w:p>
    <w:p>
      <w:pPr>
        <w:pStyle w:val="BodyText"/>
        <w:spacing w:line="256" w:lineRule="auto" w:before="21"/>
        <w:ind w:left="572" w:right="106"/>
        <w:jc w:val="left"/>
      </w:pPr>
      <w:r>
        <w:rPr/>
        <w:t>（</w:t>
      </w:r>
      <w:r>
        <w:rPr>
          <w:rFonts w:ascii="Times New Roman" w:hAnsi="Times New Roman" w:cs="Times New Roman" w:eastAsia="Times New Roman" w:hint="default"/>
        </w:rPr>
        <w:t>5</w:t>
      </w:r>
      <w:r>
        <w:rPr/>
        <w:t>）租赁资产性质特殊，如果不作较大改造，只有本公司才能使用。</w:t>
      </w:r>
      <w:r>
        <w:rPr>
          <w:spacing w:val="-3"/>
          <w:w w:val="100"/>
        </w:rPr>
        <w:t> </w:t>
      </w:r>
      <w:r>
        <w:rPr>
          <w:spacing w:val="-2"/>
        </w:rPr>
        <w:t>融资租赁租入的固定资产，按租赁开始日租赁资产公允价值与最低租赁付款额的现值两者中较低者，</w:t>
      </w:r>
    </w:p>
    <w:p>
      <w:pPr>
        <w:pStyle w:val="BodyText"/>
        <w:spacing w:line="273" w:lineRule="auto" w:before="22"/>
        <w:ind w:right="207"/>
        <w:jc w:val="both"/>
      </w:pPr>
      <w:r>
        <w:rPr>
          <w:spacing w:val="-2"/>
        </w:rPr>
        <w:t>作为入账价值。最低租赁付款额作为长期应付款的入账价值，其差额作为未确认融资费用。在租赁谈判和</w:t>
      </w:r>
      <w:r>
        <w:rPr>
          <w:spacing w:val="-48"/>
        </w:rPr>
        <w:t> </w:t>
      </w:r>
      <w:r>
        <w:rPr>
          <w:spacing w:val="-48"/>
        </w:rPr>
      </w:r>
      <w:r>
        <w:rPr>
          <w:spacing w:val="-2"/>
        </w:rPr>
        <w:t>签订租赁合同过程中发生的，可归属于租赁项目的手续费、律师费、差旅费、印花税等初始直接费用，计</w:t>
      </w:r>
      <w:r>
        <w:rPr>
          <w:spacing w:val="-43"/>
        </w:rPr>
        <w:t> </w:t>
      </w:r>
      <w:r>
        <w:rPr>
          <w:spacing w:val="-43"/>
        </w:rPr>
      </w:r>
      <w:r>
        <w:rPr/>
        <w:t>入租入资产价值。未确认融资费用在租赁期内各个期间采用实际利率法进行分摊。</w:t>
      </w:r>
    </w:p>
    <w:p>
      <w:pPr>
        <w:pStyle w:val="BodyText"/>
        <w:spacing w:line="273" w:lineRule="auto" w:before="7"/>
        <w:ind w:right="207" w:firstLine="420"/>
        <w:jc w:val="both"/>
      </w:pPr>
      <w:r>
        <w:rPr>
          <w:spacing w:val="-2"/>
        </w:rPr>
        <w:t>本公司采用与自有固定资产相一致的折旧政策计提融资租入固定资产折旧。能够合理确定租赁期届满</w:t>
      </w:r>
      <w:r>
        <w:rPr>
          <w:w w:val="100"/>
        </w:rPr>
        <w:t> </w:t>
      </w:r>
      <w:r>
        <w:rPr>
          <w:spacing w:val="-2"/>
        </w:rPr>
        <w:t>时取得租赁资产所有权的，在租赁资产使用寿命内计提折旧。无法合理确定租赁期届满时能够取得租赁资</w:t>
      </w:r>
      <w:r>
        <w:rPr>
          <w:spacing w:val="-43"/>
        </w:rPr>
        <w:t> </w:t>
      </w:r>
      <w:r>
        <w:rPr>
          <w:spacing w:val="-43"/>
        </w:rPr>
      </w:r>
      <w:r>
        <w:rPr/>
        <w:t>产所有权的，在租赁期与租赁资产使用寿命两者中较短的期间内计提折旧。</w:t>
      </w:r>
    </w:p>
    <w:p>
      <w:pPr>
        <w:spacing w:after="0" w:line="273" w:lineRule="auto"/>
        <w:jc w:val="both"/>
        <w:sectPr>
          <w:pgSz w:w="11910" w:h="16840"/>
          <w:pgMar w:header="880" w:footer="979" w:top="1120" w:bottom="1160" w:left="980" w:right="920"/>
        </w:sectPr>
      </w:pPr>
    </w:p>
    <w:p>
      <w:pPr>
        <w:spacing w:line="240" w:lineRule="auto" w:before="9"/>
        <w:rPr>
          <w:rFonts w:ascii="宋体" w:hAnsi="宋体" w:cs="宋体" w:eastAsia="宋体" w:hint="default"/>
          <w:sz w:val="20"/>
          <w:szCs w:val="20"/>
        </w:rPr>
      </w:pPr>
    </w:p>
    <w:p>
      <w:pPr>
        <w:pStyle w:val="Heading5"/>
        <w:spacing w:line="240" w:lineRule="auto" w:before="36"/>
        <w:ind w:left="575" w:right="106"/>
        <w:jc w:val="left"/>
        <w:rPr>
          <w:b w:val="0"/>
          <w:bCs w:val="0"/>
        </w:rPr>
      </w:pPr>
      <w:r>
        <w:rPr/>
        <w:t>（十四）在建工程</w:t>
      </w:r>
      <w:r>
        <w:rPr>
          <w:b w:val="0"/>
          <w:bCs w:val="0"/>
        </w:rPr>
      </w:r>
    </w:p>
    <w:p>
      <w:pPr>
        <w:pStyle w:val="Heading5"/>
        <w:spacing w:line="240" w:lineRule="auto" w:before="37"/>
        <w:ind w:right="106"/>
        <w:jc w:val="left"/>
        <w:rPr>
          <w:b w:val="0"/>
          <w:bCs w:val="0"/>
        </w:rPr>
      </w:pPr>
      <w:r>
        <w:rPr>
          <w:rFonts w:ascii="宋体" w:hAnsi="宋体" w:cs="宋体" w:eastAsia="宋体" w:hint="default"/>
        </w:rPr>
        <w:t>1.</w:t>
      </w:r>
      <w:r>
        <w:rPr>
          <w:rFonts w:ascii="宋体" w:hAnsi="宋体" w:cs="宋体" w:eastAsia="宋体" w:hint="default"/>
          <w:spacing w:val="38"/>
        </w:rPr>
        <w:t> </w:t>
      </w:r>
      <w:r>
        <w:rPr/>
        <w:t>在建工程的类别</w:t>
      </w:r>
      <w:r>
        <w:rPr>
          <w:b w:val="0"/>
          <w:bCs w:val="0"/>
        </w:rPr>
      </w:r>
    </w:p>
    <w:p>
      <w:pPr>
        <w:pStyle w:val="BodyText"/>
        <w:spacing w:line="273" w:lineRule="auto" w:before="37"/>
        <w:ind w:left="512" w:right="208" w:firstLine="420"/>
        <w:jc w:val="both"/>
      </w:pPr>
      <w:r>
        <w:rPr>
          <w:spacing w:val="-1"/>
        </w:rPr>
        <w:t>本公司自行建造的在建工程按实际成本计价，实际成本由建造该项资产达到预定可使用状态前所</w:t>
      </w:r>
      <w:r>
        <w:rPr>
          <w:w w:val="100"/>
        </w:rPr>
        <w:t> </w:t>
      </w:r>
      <w:r>
        <w:rPr>
          <w:spacing w:val="-1"/>
        </w:rPr>
        <w:t>发生的必要支出构成，包括工程用物资成本、人工成本、交纳的相关税费、应予资本化的借款费用以</w:t>
      </w:r>
      <w:r>
        <w:rPr>
          <w:spacing w:val="-21"/>
        </w:rPr>
        <w:t> </w:t>
      </w:r>
      <w:r>
        <w:rPr>
          <w:spacing w:val="-21"/>
        </w:rPr>
      </w:r>
      <w:r>
        <w:rPr/>
        <w:t>及应分摊的间接费用等。本公司的在建工程以项目分类核算。</w:t>
      </w:r>
    </w:p>
    <w:p>
      <w:pPr>
        <w:spacing w:line="273" w:lineRule="auto" w:before="8"/>
        <w:ind w:left="572" w:right="106" w:hanging="42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41"/>
          <w:sz w:val="21"/>
          <w:szCs w:val="21"/>
        </w:rPr>
        <w:t> </w:t>
      </w:r>
      <w:r>
        <w:rPr>
          <w:rFonts w:ascii="宋体" w:hAnsi="宋体" w:cs="宋体" w:eastAsia="宋体" w:hint="default"/>
          <w:b/>
          <w:bCs/>
          <w:sz w:val="21"/>
          <w:szCs w:val="21"/>
        </w:rPr>
        <w:t>在建工程结转为固定资产的标准和时点</w:t>
      </w:r>
      <w:r>
        <w:rPr>
          <w:rFonts w:ascii="宋体" w:hAnsi="宋体" w:cs="宋体" w:eastAsia="宋体" w:hint="default"/>
          <w:b/>
          <w:bCs/>
          <w:w w:val="100"/>
          <w:sz w:val="21"/>
          <w:szCs w:val="21"/>
        </w:rPr>
        <w:t> </w:t>
      </w:r>
      <w:r>
        <w:rPr>
          <w:rFonts w:ascii="宋体" w:hAnsi="宋体" w:cs="宋体" w:eastAsia="宋体" w:hint="default"/>
          <w:spacing w:val="-2"/>
          <w:sz w:val="21"/>
          <w:szCs w:val="21"/>
        </w:rPr>
        <w:t>在建工程项目按建造该项资产达到预定可使用状态前所发生的全部支出，作为固定资产的入账价值。</w:t>
      </w:r>
    </w:p>
    <w:p>
      <w:pPr>
        <w:pStyle w:val="BodyText"/>
        <w:spacing w:line="273" w:lineRule="auto" w:before="7"/>
        <w:ind w:right="206"/>
        <w:jc w:val="both"/>
      </w:pPr>
      <w:r>
        <w:rPr>
          <w:spacing w:val="-2"/>
        </w:rPr>
        <w:t>所建造的固定资产在建工程已达到预定可使用状态，但尚未办理竣工决算的，自达到预定可使用状态之日</w:t>
      </w:r>
      <w:r>
        <w:rPr>
          <w:spacing w:val="-44"/>
        </w:rPr>
        <w:t> </w:t>
      </w:r>
      <w:r>
        <w:rPr>
          <w:spacing w:val="-44"/>
        </w:rPr>
      </w:r>
      <w:r>
        <w:rPr>
          <w:spacing w:val="-2"/>
        </w:rPr>
        <w:t>起，根据工程预算、造价或者工程实际成本等，按估计的价值转入固定资产，并按本公司固定资产折旧政</w:t>
      </w:r>
      <w:r>
        <w:rPr>
          <w:spacing w:val="-47"/>
        </w:rPr>
        <w:t> </w:t>
      </w:r>
      <w:r>
        <w:rPr>
          <w:spacing w:val="-47"/>
        </w:rPr>
      </w:r>
      <w:r>
        <w:rPr>
          <w:spacing w:val="-2"/>
        </w:rPr>
        <w:t>策计提固定资产的折旧，待办理竣工决算后，再按实际成本调整原来的暂估价值，但不调整原已计提的折</w:t>
      </w:r>
      <w:r>
        <w:rPr>
          <w:spacing w:val="-43"/>
        </w:rPr>
        <w:t> </w:t>
      </w:r>
      <w:r>
        <w:rPr>
          <w:spacing w:val="-43"/>
        </w:rPr>
      </w:r>
      <w:r>
        <w:rPr/>
        <w:t>旧额。</w:t>
      </w:r>
    </w:p>
    <w:p>
      <w:pPr>
        <w:pStyle w:val="Heading5"/>
        <w:spacing w:line="240" w:lineRule="auto" w:before="164"/>
        <w:ind w:left="575" w:right="106"/>
        <w:jc w:val="left"/>
        <w:rPr>
          <w:b w:val="0"/>
          <w:bCs w:val="0"/>
        </w:rPr>
      </w:pPr>
      <w:r>
        <w:rPr/>
        <w:t>（十五）借款费用</w:t>
      </w:r>
      <w:r>
        <w:rPr>
          <w:b w:val="0"/>
          <w:bCs w:val="0"/>
        </w:rPr>
      </w:r>
    </w:p>
    <w:p>
      <w:pPr>
        <w:spacing w:line="273" w:lineRule="auto" w:before="37"/>
        <w:ind w:left="932" w:right="106" w:hanging="78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pacing w:val="41"/>
          <w:sz w:val="21"/>
          <w:szCs w:val="21"/>
        </w:rPr>
        <w:t> </w:t>
      </w:r>
      <w:r>
        <w:rPr>
          <w:rFonts w:ascii="宋体" w:hAnsi="宋体" w:cs="宋体" w:eastAsia="宋体" w:hint="default"/>
          <w:b/>
          <w:bCs/>
          <w:sz w:val="21"/>
          <w:szCs w:val="21"/>
        </w:rPr>
        <w:t>借款费用资本化的确认原则</w:t>
      </w:r>
      <w:r>
        <w:rPr>
          <w:rFonts w:ascii="宋体" w:hAnsi="宋体" w:cs="宋体" w:eastAsia="宋体" w:hint="default"/>
          <w:b/>
          <w:bCs/>
          <w:w w:val="100"/>
          <w:sz w:val="21"/>
          <w:szCs w:val="21"/>
        </w:rPr>
        <w:t> </w:t>
      </w:r>
      <w:r>
        <w:rPr>
          <w:rFonts w:ascii="宋体" w:hAnsi="宋体" w:cs="宋体" w:eastAsia="宋体" w:hint="default"/>
          <w:spacing w:val="-1"/>
          <w:sz w:val="21"/>
          <w:szCs w:val="21"/>
        </w:rPr>
        <w:t>公司发生的借款费用，可直接归属于符合资本化条件的资产的购建或者生产的，在符合资本化条</w:t>
      </w:r>
    </w:p>
    <w:p>
      <w:pPr>
        <w:pStyle w:val="BodyText"/>
        <w:spacing w:line="273" w:lineRule="auto" w:before="7"/>
        <w:ind w:left="512" w:right="106"/>
        <w:jc w:val="left"/>
      </w:pPr>
      <w:r>
        <w:rPr>
          <w:spacing w:val="-1"/>
        </w:rPr>
        <w:t>件的情况下开始资本化，计入相关资产成本；其他借款费用，在发生时根据其发生额确认为费用，计</w:t>
      </w:r>
      <w:r>
        <w:rPr>
          <w:spacing w:val="-21"/>
        </w:rPr>
        <w:t> </w:t>
      </w:r>
      <w:r>
        <w:rPr>
          <w:spacing w:val="-21"/>
        </w:rPr>
      </w:r>
      <w:r>
        <w:rPr/>
        <w:t>入当期损益。</w:t>
      </w:r>
    </w:p>
    <w:p>
      <w:pPr>
        <w:pStyle w:val="BodyText"/>
        <w:spacing w:line="273" w:lineRule="auto" w:before="7"/>
        <w:ind w:left="512" w:right="208" w:firstLine="420"/>
        <w:jc w:val="both"/>
      </w:pPr>
      <w:r>
        <w:rPr>
          <w:spacing w:val="-1"/>
        </w:rPr>
        <w:t>符合资本化条件的资产，是指需要经过相当长时间的购建或者生产活动才能达到预定可使用或者</w:t>
      </w:r>
      <w:r>
        <w:rPr>
          <w:w w:val="100"/>
        </w:rPr>
        <w:t> </w:t>
      </w:r>
      <w:r>
        <w:rPr/>
        <w:t>可销售状态的固定资产、投资性房地产和存货等资产。</w:t>
      </w:r>
    </w:p>
    <w:p>
      <w:pPr>
        <w:pStyle w:val="BodyText"/>
        <w:spacing w:line="240" w:lineRule="auto" w:before="7"/>
        <w:ind w:left="932" w:right="106"/>
        <w:jc w:val="left"/>
      </w:pPr>
      <w:r>
        <w:rPr/>
        <w:t>借款费用同时满足下列条件时开始资本化：</w:t>
      </w:r>
    </w:p>
    <w:p>
      <w:pPr>
        <w:pStyle w:val="BodyText"/>
        <w:spacing w:line="256" w:lineRule="auto" w:before="37"/>
        <w:ind w:left="512" w:right="207" w:firstLine="419"/>
        <w:jc w:val="both"/>
      </w:pPr>
      <w:r>
        <w:rPr>
          <w:spacing w:val="-3"/>
        </w:rPr>
        <w:t>（</w:t>
      </w:r>
      <w:r>
        <w:rPr>
          <w:rFonts w:ascii="Times New Roman" w:hAnsi="Times New Roman" w:cs="Times New Roman" w:eastAsia="Times New Roman" w:hint="default"/>
          <w:spacing w:val="-3"/>
        </w:rPr>
        <w:t>1</w:t>
      </w:r>
      <w:r>
        <w:rPr>
          <w:spacing w:val="-3"/>
        </w:rPr>
        <w:t>）资产支出已经发生，资产支出包括为购建或者生产符合资本化条件的资产而以支付现金、转</w:t>
      </w:r>
      <w:r>
        <w:rPr>
          <w:w w:val="100"/>
        </w:rPr>
        <w:t> </w:t>
      </w:r>
      <w:r>
        <w:rPr/>
        <w:t>移非现金资产或者承担带息债务形式发生的支出；</w:t>
      </w:r>
    </w:p>
    <w:p>
      <w:pPr>
        <w:pStyle w:val="BodyText"/>
        <w:spacing w:line="240" w:lineRule="auto" w:before="22"/>
        <w:ind w:left="933" w:right="106"/>
        <w:jc w:val="left"/>
      </w:pPr>
      <w:r>
        <w:rPr/>
        <w:t>（</w:t>
      </w:r>
      <w:r>
        <w:rPr>
          <w:rFonts w:ascii="Times New Roman" w:hAnsi="Times New Roman" w:cs="Times New Roman" w:eastAsia="Times New Roman" w:hint="default"/>
        </w:rPr>
        <w:t>2</w:t>
      </w:r>
      <w:r>
        <w:rPr/>
        <w:t>）借款费用已经发生；</w:t>
      </w:r>
    </w:p>
    <w:p>
      <w:pPr>
        <w:pStyle w:val="BodyText"/>
        <w:spacing w:line="240" w:lineRule="auto" w:before="21"/>
        <w:ind w:left="933" w:right="106"/>
        <w:jc w:val="left"/>
      </w:pPr>
      <w:r>
        <w:rPr/>
        <w:t>（</w:t>
      </w:r>
      <w:r>
        <w:rPr>
          <w:rFonts w:ascii="Times New Roman" w:hAnsi="Times New Roman" w:cs="Times New Roman" w:eastAsia="Times New Roman" w:hint="default"/>
        </w:rPr>
        <w:t>3</w:t>
      </w:r>
      <w:r>
        <w:rPr/>
        <w:t>）为使资产达到预定可使用或者可销售状态所必要的购建或者生产活动已经开始。</w:t>
      </w:r>
    </w:p>
    <w:p>
      <w:pPr>
        <w:pStyle w:val="Heading5"/>
        <w:spacing w:line="240" w:lineRule="auto" w:before="22"/>
        <w:ind w:right="106"/>
        <w:jc w:val="left"/>
        <w:rPr>
          <w:b w:val="0"/>
          <w:bCs w:val="0"/>
        </w:rPr>
      </w:pPr>
      <w:r>
        <w:rPr>
          <w:rFonts w:ascii="宋体" w:hAnsi="宋体" w:cs="宋体" w:eastAsia="宋体" w:hint="default"/>
        </w:rPr>
        <w:t>6.</w:t>
      </w:r>
      <w:r>
        <w:rPr>
          <w:rFonts w:ascii="宋体" w:hAnsi="宋体" w:cs="宋体" w:eastAsia="宋体" w:hint="default"/>
          <w:spacing w:val="36"/>
        </w:rPr>
        <w:t> </w:t>
      </w:r>
      <w:r>
        <w:rPr/>
        <w:t>借款费用资本化期间</w:t>
      </w:r>
      <w:r>
        <w:rPr>
          <w:b w:val="0"/>
          <w:bCs w:val="0"/>
        </w:rPr>
      </w:r>
    </w:p>
    <w:p>
      <w:pPr>
        <w:pStyle w:val="BodyText"/>
        <w:spacing w:line="273" w:lineRule="auto" w:before="37"/>
        <w:ind w:left="512" w:right="208" w:firstLine="420"/>
        <w:jc w:val="both"/>
      </w:pPr>
      <w:r>
        <w:rPr>
          <w:spacing w:val="-1"/>
        </w:rPr>
        <w:t>资本化期间，指从借款费用开始资本化时点到停止资本化时点的期间，借款费用暂停资本化的期</w:t>
      </w:r>
      <w:r>
        <w:rPr>
          <w:w w:val="100"/>
        </w:rPr>
        <w:t> </w:t>
      </w:r>
      <w:r>
        <w:rPr/>
        <w:t>间不包括在内。</w:t>
      </w:r>
    </w:p>
    <w:p>
      <w:pPr>
        <w:pStyle w:val="BodyText"/>
        <w:spacing w:line="273" w:lineRule="auto" w:before="7"/>
        <w:ind w:left="932" w:right="106"/>
        <w:jc w:val="left"/>
      </w:pPr>
      <w:r>
        <w:rPr>
          <w:spacing w:val="-3"/>
        </w:rPr>
        <w:t>当购建或者生产符合资本化条件的资产达到预定可使用或者可销售状态时，借款费用停止资本化。</w:t>
      </w:r>
      <w:r>
        <w:rPr>
          <w:spacing w:val="-52"/>
        </w:rPr>
        <w:t> </w:t>
      </w:r>
      <w:r>
        <w:rPr>
          <w:spacing w:val="-52"/>
        </w:rPr>
      </w:r>
      <w:r>
        <w:rPr/>
        <w:t>当购建或者生产符合资本化条件的资产中部分项目分别完工且可单独使用时，该部分资产借款费</w:t>
      </w:r>
    </w:p>
    <w:p>
      <w:pPr>
        <w:pStyle w:val="BodyText"/>
        <w:spacing w:line="273" w:lineRule="auto" w:before="7"/>
        <w:ind w:left="932" w:right="106" w:hanging="421"/>
        <w:jc w:val="left"/>
      </w:pPr>
      <w:r>
        <w:rPr/>
        <w:t>用停止资本化。</w:t>
      </w:r>
      <w:r>
        <w:rPr>
          <w:spacing w:val="-103"/>
        </w:rPr>
        <w:t> </w:t>
      </w:r>
      <w:r>
        <w:rPr>
          <w:spacing w:val="-103"/>
        </w:rPr>
      </w:r>
      <w:r>
        <w:rPr>
          <w:spacing w:val="-1"/>
        </w:rPr>
        <w:t>购建或者生产的资产的各部分分别完工，但必须等到整体完工后才可使用或可对外销售的，在该</w:t>
      </w:r>
    </w:p>
    <w:p>
      <w:pPr>
        <w:pStyle w:val="BodyText"/>
        <w:spacing w:line="240" w:lineRule="auto" w:before="7"/>
        <w:ind w:left="512" w:right="106"/>
        <w:jc w:val="left"/>
      </w:pPr>
      <w:r>
        <w:rPr/>
        <w:t>资产整体完工时停止借款费用资本化。</w:t>
      </w:r>
    </w:p>
    <w:p>
      <w:pPr>
        <w:pStyle w:val="Heading5"/>
        <w:spacing w:line="240" w:lineRule="auto" w:before="37"/>
        <w:ind w:right="106"/>
        <w:jc w:val="left"/>
        <w:rPr>
          <w:b w:val="0"/>
          <w:bCs w:val="0"/>
        </w:rPr>
      </w:pPr>
      <w:r>
        <w:rPr>
          <w:rFonts w:ascii="宋体" w:hAnsi="宋体" w:cs="宋体" w:eastAsia="宋体" w:hint="default"/>
        </w:rPr>
        <w:t>7.</w:t>
      </w:r>
      <w:r>
        <w:rPr>
          <w:rFonts w:ascii="宋体" w:hAnsi="宋体" w:cs="宋体" w:eastAsia="宋体" w:hint="default"/>
          <w:spacing w:val="38"/>
        </w:rPr>
        <w:t> </w:t>
      </w:r>
      <w:r>
        <w:rPr/>
        <w:t>暂停资本化期间</w:t>
      </w:r>
      <w:r>
        <w:rPr>
          <w:b w:val="0"/>
          <w:bCs w:val="0"/>
        </w:rPr>
      </w:r>
    </w:p>
    <w:p>
      <w:pPr>
        <w:pStyle w:val="BodyText"/>
        <w:spacing w:line="266" w:lineRule="auto" w:before="37"/>
        <w:ind w:left="512" w:right="207" w:firstLine="419"/>
        <w:jc w:val="both"/>
      </w:pPr>
      <w:r>
        <w:rPr>
          <w:spacing w:val="-3"/>
        </w:rPr>
        <w:t>符合资本化条件的资产在购建或生产过程中发生的非正常中断、且中断时间连续超过</w:t>
      </w:r>
      <w:r>
        <w:rPr>
          <w:rFonts w:ascii="Times New Roman" w:hAnsi="Times New Roman" w:cs="Times New Roman" w:eastAsia="Times New Roman" w:hint="default"/>
          <w:spacing w:val="-3"/>
        </w:rPr>
        <w:t>3</w:t>
      </w:r>
      <w:r>
        <w:rPr>
          <w:spacing w:val="-3"/>
        </w:rPr>
        <w:t>个月的，则</w:t>
      </w:r>
      <w:r>
        <w:rPr>
          <w:w w:val="100"/>
        </w:rPr>
        <w:t> </w:t>
      </w:r>
      <w:r>
        <w:rPr>
          <w:spacing w:val="-1"/>
        </w:rPr>
        <w:t>借款费用暂停资本化；该项中断如是所购建或生产的符合资本化条件的资产达到预定可使用状态或者</w:t>
      </w:r>
      <w:r>
        <w:rPr>
          <w:spacing w:val="-21"/>
        </w:rPr>
        <w:t> </w:t>
      </w:r>
      <w:r>
        <w:rPr>
          <w:spacing w:val="-21"/>
        </w:rPr>
      </w:r>
      <w:r>
        <w:rPr>
          <w:spacing w:val="-1"/>
        </w:rPr>
        <w:t>可销售状态必要的程序，则借款费用继续资本化。在中断期间发生的借款费用确认为当期损益，直至</w:t>
      </w:r>
      <w:r>
        <w:rPr>
          <w:spacing w:val="-21"/>
        </w:rPr>
        <w:t> </w:t>
      </w:r>
      <w:r>
        <w:rPr>
          <w:spacing w:val="-21"/>
        </w:rPr>
      </w:r>
      <w:r>
        <w:rPr/>
        <w:t>资产的购建或者生产活动重新开始后借款费用继续资本化。</w:t>
      </w:r>
    </w:p>
    <w:p>
      <w:pPr>
        <w:spacing w:line="273" w:lineRule="auto" w:before="14"/>
        <w:ind w:left="932" w:right="106" w:hanging="780"/>
        <w:jc w:val="left"/>
        <w:rPr>
          <w:rFonts w:ascii="宋体" w:hAnsi="宋体" w:cs="宋体" w:eastAsia="宋体" w:hint="default"/>
          <w:sz w:val="21"/>
          <w:szCs w:val="21"/>
        </w:rPr>
      </w:pPr>
      <w:r>
        <w:rPr>
          <w:rFonts w:ascii="宋体" w:hAnsi="宋体" w:cs="宋体" w:eastAsia="宋体" w:hint="default"/>
          <w:b/>
          <w:bCs/>
          <w:sz w:val="21"/>
          <w:szCs w:val="21"/>
        </w:rPr>
        <w:t>8.</w:t>
      </w:r>
      <w:r>
        <w:rPr>
          <w:rFonts w:ascii="宋体" w:hAnsi="宋体" w:cs="宋体" w:eastAsia="宋体" w:hint="default"/>
          <w:b/>
          <w:bCs/>
          <w:spacing w:val="41"/>
          <w:sz w:val="21"/>
          <w:szCs w:val="21"/>
        </w:rPr>
        <w:t> </w:t>
      </w:r>
      <w:r>
        <w:rPr>
          <w:rFonts w:ascii="宋体" w:hAnsi="宋体" w:cs="宋体" w:eastAsia="宋体" w:hint="default"/>
          <w:b/>
          <w:bCs/>
          <w:sz w:val="21"/>
          <w:szCs w:val="21"/>
        </w:rPr>
        <w:t>借款费用资本化金额的计算方法</w:t>
      </w:r>
      <w:r>
        <w:rPr>
          <w:rFonts w:ascii="宋体" w:hAnsi="宋体" w:cs="宋体" w:eastAsia="宋体" w:hint="default"/>
          <w:b/>
          <w:bCs/>
          <w:w w:val="100"/>
          <w:sz w:val="21"/>
          <w:szCs w:val="21"/>
        </w:rPr>
        <w:t> </w:t>
      </w:r>
      <w:r>
        <w:rPr>
          <w:rFonts w:ascii="宋体" w:hAnsi="宋体" w:cs="宋体" w:eastAsia="宋体" w:hint="default"/>
          <w:spacing w:val="-1"/>
          <w:sz w:val="21"/>
          <w:szCs w:val="21"/>
        </w:rPr>
        <w:t>专门借款的利息费用（扣除尚未动用的借款资金存入银行取得的利息收入或者进行暂时性投资取</w:t>
      </w:r>
    </w:p>
    <w:p>
      <w:pPr>
        <w:pStyle w:val="BodyText"/>
        <w:spacing w:line="273" w:lineRule="auto" w:before="7"/>
        <w:ind w:left="512" w:right="106"/>
        <w:jc w:val="left"/>
      </w:pPr>
      <w:r>
        <w:rPr>
          <w:spacing w:val="-1"/>
        </w:rPr>
        <w:t>得的投资收益）及其辅助费用在所购建或者生产的符合资本化条件的资产达到预定可使用或者可销售</w:t>
      </w:r>
      <w:r>
        <w:rPr>
          <w:spacing w:val="-21"/>
        </w:rPr>
        <w:t> </w:t>
      </w:r>
      <w:r>
        <w:rPr>
          <w:spacing w:val="-21"/>
        </w:rPr>
      </w:r>
      <w:r>
        <w:rPr/>
        <w:t>状态前，予以资本化。</w:t>
      </w:r>
    </w:p>
    <w:p>
      <w:pPr>
        <w:pStyle w:val="BodyText"/>
        <w:spacing w:line="273" w:lineRule="auto" w:before="7"/>
        <w:ind w:left="512" w:right="208" w:firstLine="420"/>
        <w:jc w:val="both"/>
      </w:pPr>
      <w:r>
        <w:rPr>
          <w:spacing w:val="-1"/>
        </w:rPr>
        <w:t>根据累计资产支出超过专门借款部分的资产支出加权平均数乘以所占用一般借款的资本化率，计</w:t>
      </w:r>
      <w:r>
        <w:rPr>
          <w:w w:val="100"/>
        </w:rPr>
        <w:t> </w:t>
      </w:r>
      <w:r>
        <w:rPr/>
        <w:t>算确定一般借款应予资本化的利息金额。资本化率根据一般借款加权平均利率计算确定。</w:t>
      </w:r>
    </w:p>
    <w:p>
      <w:pPr>
        <w:pStyle w:val="BodyText"/>
        <w:spacing w:line="273" w:lineRule="auto" w:before="7"/>
        <w:ind w:left="512" w:right="208" w:firstLine="420"/>
        <w:jc w:val="both"/>
      </w:pPr>
      <w:r>
        <w:rPr>
          <w:spacing w:val="-1"/>
        </w:rPr>
        <w:t>借款存在折价或者溢价的，按照实际利率法确定每一会计期间应摊销的折价或者溢价金额，调整</w:t>
      </w:r>
      <w:r>
        <w:rPr>
          <w:w w:val="100"/>
        </w:rPr>
        <w:t> </w:t>
      </w:r>
      <w:r>
        <w:rPr/>
        <w:t>每期利息金额。</w:t>
      </w:r>
    </w:p>
    <w:p>
      <w:pPr>
        <w:spacing w:after="0" w:line="273" w:lineRule="auto"/>
        <w:jc w:val="both"/>
        <w:sectPr>
          <w:pgSz w:w="11910" w:h="16840"/>
          <w:pgMar w:header="880" w:footer="979" w:top="1120" w:bottom="1160" w:left="980" w:right="920"/>
        </w:sectPr>
      </w:pPr>
    </w:p>
    <w:p>
      <w:pPr>
        <w:spacing w:line="240" w:lineRule="auto" w:before="9"/>
        <w:rPr>
          <w:rFonts w:ascii="宋体" w:hAnsi="宋体" w:cs="宋体" w:eastAsia="宋体" w:hint="default"/>
          <w:sz w:val="20"/>
          <w:szCs w:val="20"/>
        </w:rPr>
      </w:pPr>
    </w:p>
    <w:p>
      <w:pPr>
        <w:spacing w:line="273" w:lineRule="auto" w:before="36"/>
        <w:ind w:left="932" w:right="0" w:firstLine="2"/>
        <w:jc w:val="left"/>
        <w:rPr>
          <w:rFonts w:ascii="宋体" w:hAnsi="宋体" w:cs="宋体" w:eastAsia="宋体" w:hint="default"/>
          <w:sz w:val="21"/>
          <w:szCs w:val="21"/>
        </w:rPr>
      </w:pPr>
      <w:r>
        <w:rPr>
          <w:rFonts w:ascii="宋体" w:hAnsi="宋体" w:cs="宋体" w:eastAsia="宋体" w:hint="default"/>
          <w:b/>
          <w:bCs/>
          <w:sz w:val="21"/>
          <w:szCs w:val="21"/>
        </w:rPr>
        <w:t>（十六）无形资产与开发支出</w:t>
      </w:r>
      <w:r>
        <w:rPr>
          <w:rFonts w:ascii="宋体" w:hAnsi="宋体" w:cs="宋体" w:eastAsia="宋体" w:hint="default"/>
          <w:b/>
          <w:bCs/>
          <w:w w:val="100"/>
          <w:sz w:val="21"/>
          <w:szCs w:val="21"/>
        </w:rPr>
        <w:t> </w:t>
      </w:r>
      <w:r>
        <w:rPr>
          <w:rFonts w:ascii="宋体" w:hAnsi="宋体" w:cs="宋体" w:eastAsia="宋体" w:hint="default"/>
          <w:spacing w:val="-6"/>
          <w:w w:val="100"/>
          <w:sz w:val="21"/>
          <w:szCs w:val="21"/>
        </w:rPr>
        <w:t>无形资产是指本公司拥有或者控制的没有实物形态的可辨认非货币性资产，包括自行开发软件（同</w:t>
      </w:r>
    </w:p>
    <w:p>
      <w:pPr>
        <w:pStyle w:val="BodyText"/>
        <w:spacing w:line="240" w:lineRule="auto" w:before="7"/>
        <w:ind w:left="512" w:right="0"/>
        <w:jc w:val="left"/>
      </w:pPr>
      <w:r>
        <w:rPr/>
        <w:t>步课堂网络平台、分站式项目、中小学教材同步辅导、金太阳练习测评管理系统）、外购软件等。</w:t>
      </w:r>
    </w:p>
    <w:p>
      <w:pPr>
        <w:spacing w:line="273" w:lineRule="auto" w:before="37"/>
        <w:ind w:left="572" w:right="0" w:hanging="420"/>
        <w:jc w:val="left"/>
        <w:rPr>
          <w:rFonts w:ascii="宋体" w:hAnsi="宋体" w:cs="宋体" w:eastAsia="宋体" w:hint="default"/>
          <w:sz w:val="21"/>
          <w:szCs w:val="21"/>
        </w:rPr>
      </w:pPr>
      <w:r>
        <w:rPr>
          <w:rFonts w:ascii="宋体" w:hAnsi="宋体" w:cs="宋体" w:eastAsia="宋体" w:hint="default"/>
          <w:b/>
          <w:bCs/>
          <w:sz w:val="21"/>
          <w:szCs w:val="21"/>
        </w:rPr>
        <w:t>9.</w:t>
      </w:r>
      <w:r>
        <w:rPr>
          <w:rFonts w:ascii="宋体" w:hAnsi="宋体" w:cs="宋体" w:eastAsia="宋体" w:hint="default"/>
          <w:b/>
          <w:bCs/>
          <w:spacing w:val="41"/>
          <w:sz w:val="21"/>
          <w:szCs w:val="21"/>
        </w:rPr>
        <w:t> </w:t>
      </w:r>
      <w:r>
        <w:rPr>
          <w:rFonts w:ascii="宋体" w:hAnsi="宋体" w:cs="宋体" w:eastAsia="宋体" w:hint="default"/>
          <w:b/>
          <w:bCs/>
          <w:sz w:val="21"/>
          <w:szCs w:val="21"/>
        </w:rPr>
        <w:t>无形资产的初始计量</w:t>
      </w:r>
      <w:r>
        <w:rPr>
          <w:rFonts w:ascii="宋体" w:hAnsi="宋体" w:cs="宋体" w:eastAsia="宋体" w:hint="default"/>
          <w:b/>
          <w:bCs/>
          <w:w w:val="100"/>
          <w:sz w:val="21"/>
          <w:szCs w:val="21"/>
        </w:rPr>
        <w:t> </w:t>
      </w:r>
      <w:r>
        <w:rPr>
          <w:rFonts w:ascii="宋体" w:hAnsi="宋体" w:cs="宋体" w:eastAsia="宋体" w:hint="default"/>
          <w:spacing w:val="-2"/>
          <w:sz w:val="21"/>
          <w:szCs w:val="21"/>
        </w:rPr>
        <w:t>外购无形资产的成本，包括购买价款、相关税费以及直接归属于使该项资产达到预定用途所发生的其</w:t>
      </w:r>
    </w:p>
    <w:p>
      <w:pPr>
        <w:pStyle w:val="BodyText"/>
        <w:spacing w:line="273" w:lineRule="auto" w:before="7"/>
        <w:ind w:right="0"/>
        <w:jc w:val="left"/>
      </w:pPr>
      <w:r>
        <w:rPr>
          <w:spacing w:val="-2"/>
        </w:rPr>
        <w:t>他支出。购买无形资产的价款超过正常信用条件延期支付，实质上具有融资性质的，无形资产的成本以购</w:t>
      </w:r>
      <w:r>
        <w:rPr>
          <w:spacing w:val="-42"/>
        </w:rPr>
        <w:t> </w:t>
      </w:r>
      <w:r>
        <w:rPr>
          <w:spacing w:val="-42"/>
        </w:rPr>
      </w:r>
      <w:r>
        <w:rPr/>
        <w:t>买价款的现值为基础确定。</w:t>
      </w:r>
    </w:p>
    <w:p>
      <w:pPr>
        <w:pStyle w:val="BodyText"/>
        <w:spacing w:line="273" w:lineRule="auto" w:before="7"/>
        <w:ind w:right="147" w:firstLine="420"/>
        <w:jc w:val="both"/>
      </w:pPr>
      <w:r>
        <w:rPr>
          <w:spacing w:val="-2"/>
        </w:rPr>
        <w:t>债务重组取得债务人用以抵债的无形资产，以该无形资产的公允价值为基础确定其入账价值，并将重</w:t>
      </w:r>
      <w:r>
        <w:rPr>
          <w:w w:val="100"/>
        </w:rPr>
        <w:t> </w:t>
      </w:r>
      <w:r>
        <w:rPr/>
        <w:t>组债务的账面价值与该用以抵债的无形资产公允价值之间的差额，计入当期损益。</w:t>
      </w:r>
    </w:p>
    <w:p>
      <w:pPr>
        <w:pStyle w:val="BodyText"/>
        <w:spacing w:line="273" w:lineRule="auto" w:before="7"/>
        <w:ind w:right="147" w:firstLine="420"/>
        <w:jc w:val="both"/>
      </w:pPr>
      <w:r>
        <w:rPr>
          <w:spacing w:val="-2"/>
        </w:rPr>
        <w:t>在非货币性资产交换具备商业实质且换入资产或换出资产的公允价值能够可靠计量的前提下，非货币</w:t>
      </w:r>
      <w:r>
        <w:rPr>
          <w:w w:val="100"/>
        </w:rPr>
        <w:t> </w:t>
      </w:r>
      <w:r>
        <w:rPr>
          <w:spacing w:val="-2"/>
        </w:rPr>
        <w:t>性资产交换换入的无形资产以换出资产的公允价值为基础确定其入账价值，除非有确凿证据表明换入资产</w:t>
      </w:r>
      <w:r>
        <w:rPr>
          <w:spacing w:val="-43"/>
        </w:rPr>
        <w:t> </w:t>
      </w:r>
      <w:r>
        <w:rPr>
          <w:spacing w:val="-43"/>
        </w:rPr>
      </w:r>
      <w:r>
        <w:rPr>
          <w:spacing w:val="-2"/>
        </w:rPr>
        <w:t>的公允价值更加可靠；不满足上述前提的非货币性资产交换，以换出资产的账面价值和应支付的相关税费</w:t>
      </w:r>
      <w:r>
        <w:rPr>
          <w:spacing w:val="-43"/>
        </w:rPr>
        <w:t> </w:t>
      </w:r>
      <w:r>
        <w:rPr>
          <w:spacing w:val="-43"/>
        </w:rPr>
      </w:r>
      <w:r>
        <w:rPr/>
        <w:t>作为换入无形资产的成本，不确认损益。</w:t>
      </w:r>
    </w:p>
    <w:p>
      <w:pPr>
        <w:pStyle w:val="BodyText"/>
        <w:spacing w:line="273" w:lineRule="auto" w:before="7"/>
        <w:ind w:right="149" w:firstLine="419"/>
        <w:jc w:val="both"/>
      </w:pPr>
      <w:r>
        <w:rPr>
          <w:spacing w:val="-2"/>
        </w:rPr>
        <w:t>以同一控制下的企业吸收合并方式取得的无形资产按被合并方的账面价值确定其入账价值；以非同一</w:t>
      </w:r>
      <w:r>
        <w:rPr>
          <w:spacing w:val="-3"/>
          <w:w w:val="100"/>
        </w:rPr>
        <w:t> </w:t>
      </w:r>
      <w:r>
        <w:rPr/>
        <w:t>控制下的企业吸收合并方式取得的无形资产按公允价值确定其入账价值。</w:t>
      </w:r>
    </w:p>
    <w:p>
      <w:pPr>
        <w:pStyle w:val="BodyText"/>
        <w:spacing w:line="273" w:lineRule="auto" w:before="7"/>
        <w:ind w:right="147" w:firstLine="420"/>
        <w:jc w:val="both"/>
      </w:pPr>
      <w:r>
        <w:rPr>
          <w:spacing w:val="-2"/>
        </w:rPr>
        <w:t>内部自行开发的无形资产，其成本包括：开发该无形资产时耗用的材料、劳务成本、注册费、在开发</w:t>
      </w:r>
      <w:r>
        <w:rPr>
          <w:w w:val="100"/>
        </w:rPr>
        <w:t> </w:t>
      </w:r>
      <w:r>
        <w:rPr>
          <w:spacing w:val="-2"/>
        </w:rPr>
        <w:t>过程中使用的其他专利权和特许权的摊销以及满足资本化条件的利息费用，以及为使该无形资产达到预定</w:t>
      </w:r>
      <w:r>
        <w:rPr>
          <w:spacing w:val="-43"/>
        </w:rPr>
        <w:t> </w:t>
      </w:r>
      <w:r>
        <w:rPr>
          <w:spacing w:val="-43"/>
        </w:rPr>
      </w:r>
      <w:r>
        <w:rPr/>
        <w:t>用途前所发生的其他直接费用。</w:t>
      </w:r>
    </w:p>
    <w:p>
      <w:pPr>
        <w:spacing w:line="256" w:lineRule="auto" w:before="8"/>
        <w:ind w:left="572"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、无形资产的后续计量</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本公司在取得无形资产时分析判断其使用寿命，划分为使用寿命有限和使用寿命不确定的无形资产。</w:t>
      </w:r>
    </w:p>
    <w:p>
      <w:pPr>
        <w:pStyle w:val="BodyText"/>
        <w:spacing w:line="256" w:lineRule="auto" w:before="22"/>
        <w:ind w:left="572" w:right="0"/>
        <w:jc w:val="left"/>
      </w:pPr>
      <w:r>
        <w:rPr/>
        <w:t>（</w:t>
      </w:r>
      <w:r>
        <w:rPr>
          <w:rFonts w:ascii="Times New Roman" w:hAnsi="Times New Roman" w:cs="Times New Roman" w:eastAsia="Times New Roman" w:hint="default"/>
        </w:rPr>
        <w:t>1</w:t>
      </w:r>
      <w:r>
        <w:rPr/>
        <w:t>）使用寿命有限的无形资产</w:t>
      </w:r>
      <w:r>
        <w:rPr>
          <w:w w:val="100"/>
        </w:rPr>
        <w:t> </w:t>
      </w:r>
      <w:r>
        <w:rPr>
          <w:spacing w:val="-2"/>
        </w:rPr>
        <w:t>对于使用寿命有限的无形资产，在为企业带来经济利益的期限内按直线法摊销。使用寿命有限的无形</w:t>
      </w:r>
    </w:p>
    <w:p>
      <w:pPr>
        <w:pStyle w:val="BodyText"/>
        <w:spacing w:line="240" w:lineRule="auto" w:before="22"/>
        <w:ind w:right="0"/>
        <w:jc w:val="left"/>
      </w:pPr>
      <w:r>
        <w:rPr/>
        <w:t>资产预计寿命及依据如下：</w:t>
      </w:r>
    </w:p>
    <w:p>
      <w:pPr>
        <w:spacing w:line="240" w:lineRule="auto" w:before="11"/>
        <w:rPr>
          <w:rFonts w:ascii="宋体" w:hAnsi="宋体" w:cs="宋体" w:eastAsia="宋体" w:hint="default"/>
          <w:sz w:val="3"/>
          <w:szCs w:val="3"/>
        </w:rPr>
      </w:pPr>
    </w:p>
    <w:tbl>
      <w:tblPr>
        <w:tblW w:w="0" w:type="auto"/>
        <w:jc w:val="left"/>
        <w:tblInd w:w="145" w:type="dxa"/>
        <w:tblLayout w:type="fixed"/>
        <w:tblCellMar>
          <w:top w:w="0" w:type="dxa"/>
          <w:left w:w="0" w:type="dxa"/>
          <w:bottom w:w="0" w:type="dxa"/>
          <w:right w:w="0" w:type="dxa"/>
        </w:tblCellMar>
        <w:tblLook w:val="01E0"/>
      </w:tblPr>
      <w:tblGrid>
        <w:gridCol w:w="4394"/>
        <w:gridCol w:w="3934"/>
      </w:tblGrid>
      <w:tr>
        <w:trPr>
          <w:trHeight w:val="314" w:hRule="exact"/>
        </w:trPr>
        <w:tc>
          <w:tcPr>
            <w:tcW w:w="4394"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left="7" w:right="0"/>
              <w:jc w:val="center"/>
              <w:rPr>
                <w:rFonts w:ascii="宋体" w:hAnsi="宋体" w:cs="宋体" w:eastAsia="宋体" w:hint="default"/>
                <w:sz w:val="21"/>
                <w:szCs w:val="21"/>
              </w:rPr>
            </w:pPr>
            <w:r>
              <w:rPr>
                <w:rFonts w:ascii="宋体" w:hAnsi="宋体" w:cs="宋体" w:eastAsia="宋体" w:hint="default"/>
                <w:sz w:val="21"/>
                <w:szCs w:val="21"/>
              </w:rPr>
              <w:t>无形资产类别</w:t>
            </w:r>
          </w:p>
        </w:tc>
        <w:tc>
          <w:tcPr>
            <w:tcW w:w="3934" w:type="dxa"/>
            <w:tcBorders>
              <w:top w:val="single" w:sz="6" w:space="0" w:color="000000"/>
              <w:left w:val="single" w:sz="6" w:space="0" w:color="000000"/>
              <w:bottom w:val="single" w:sz="12" w:space="0" w:color="000000"/>
              <w:right w:val="nil" w:sz="6" w:space="0" w:color="auto"/>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预计使用寿命</w:t>
            </w:r>
          </w:p>
        </w:tc>
      </w:tr>
      <w:tr>
        <w:trPr>
          <w:trHeight w:val="314" w:hRule="exact"/>
        </w:trPr>
        <w:tc>
          <w:tcPr>
            <w:tcW w:w="4394" w:type="dxa"/>
            <w:tcBorders>
              <w:top w:val="single" w:sz="12" w:space="0" w:color="000000"/>
              <w:left w:val="single" w:sz="6" w:space="0" w:color="000000"/>
              <w:bottom w:val="single" w:sz="12" w:space="0" w:color="000000"/>
              <w:right w:val="single" w:sz="6" w:space="0" w:color="000000"/>
            </w:tcBorders>
          </w:tcPr>
          <w:p>
            <w:pPr>
              <w:pStyle w:val="TableParagraph"/>
              <w:spacing w:line="259" w:lineRule="exact"/>
              <w:ind w:left="4" w:right="0"/>
              <w:jc w:val="left"/>
              <w:rPr>
                <w:rFonts w:ascii="宋体" w:hAnsi="宋体" w:cs="宋体" w:eastAsia="宋体" w:hint="default"/>
                <w:sz w:val="21"/>
                <w:szCs w:val="21"/>
              </w:rPr>
            </w:pPr>
            <w:r>
              <w:rPr>
                <w:rFonts w:ascii="宋体" w:hAnsi="宋体" w:cs="宋体" w:eastAsia="宋体" w:hint="default"/>
                <w:sz w:val="21"/>
                <w:szCs w:val="21"/>
              </w:rPr>
              <w:t>自行开发软件</w:t>
            </w:r>
            <w:r>
              <w:rPr>
                <w:rFonts w:ascii="Times New Roman" w:hAnsi="Times New Roman" w:cs="Times New Roman" w:eastAsia="Times New Roman" w:hint="default"/>
                <w:sz w:val="21"/>
                <w:szCs w:val="21"/>
              </w:rPr>
              <w:t>-</w:t>
            </w:r>
            <w:r>
              <w:rPr>
                <w:rFonts w:ascii="宋体" w:hAnsi="宋体" w:cs="宋体" w:eastAsia="宋体" w:hint="default"/>
                <w:sz w:val="21"/>
                <w:szCs w:val="21"/>
              </w:rPr>
              <w:t>同步课堂网络平台</w:t>
            </w:r>
          </w:p>
        </w:tc>
        <w:tc>
          <w:tcPr>
            <w:tcW w:w="3934" w:type="dxa"/>
            <w:tcBorders>
              <w:top w:val="single" w:sz="12" w:space="0" w:color="000000"/>
              <w:left w:val="single" w:sz="6" w:space="0" w:color="000000"/>
              <w:bottom w:val="single" w:sz="12" w:space="0" w:color="000000"/>
              <w:right w:val="nil" w:sz="6" w:space="0" w:color="auto"/>
            </w:tcBorders>
          </w:tcPr>
          <w:p>
            <w:pPr>
              <w:pStyle w:val="TableParagraph"/>
              <w:spacing w:line="259" w:lineRule="exact"/>
              <w:ind w:left="360"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年</w:t>
            </w:r>
          </w:p>
        </w:tc>
      </w:tr>
      <w:tr>
        <w:trPr>
          <w:trHeight w:val="312" w:hRule="exact"/>
        </w:trPr>
        <w:tc>
          <w:tcPr>
            <w:tcW w:w="4394" w:type="dxa"/>
            <w:tcBorders>
              <w:top w:val="single" w:sz="12" w:space="0" w:color="000000"/>
              <w:left w:val="single" w:sz="6" w:space="0" w:color="000000"/>
              <w:bottom w:val="single" w:sz="12" w:space="0" w:color="000000"/>
              <w:right w:val="single" w:sz="6" w:space="0" w:color="000000"/>
            </w:tcBorders>
          </w:tcPr>
          <w:p>
            <w:pPr>
              <w:pStyle w:val="TableParagraph"/>
              <w:spacing w:line="257" w:lineRule="exact"/>
              <w:ind w:left="4" w:right="0"/>
              <w:jc w:val="left"/>
              <w:rPr>
                <w:rFonts w:ascii="宋体" w:hAnsi="宋体" w:cs="宋体" w:eastAsia="宋体" w:hint="default"/>
                <w:sz w:val="21"/>
                <w:szCs w:val="21"/>
              </w:rPr>
            </w:pPr>
            <w:r>
              <w:rPr>
                <w:rFonts w:ascii="宋体" w:hAnsi="宋体" w:cs="宋体" w:eastAsia="宋体" w:hint="default"/>
                <w:sz w:val="21"/>
                <w:szCs w:val="21"/>
              </w:rPr>
              <w:t>自行开发软件</w:t>
            </w:r>
            <w:r>
              <w:rPr>
                <w:rFonts w:ascii="Times New Roman" w:hAnsi="Times New Roman" w:cs="Times New Roman" w:eastAsia="Times New Roman" w:hint="default"/>
                <w:sz w:val="21"/>
                <w:szCs w:val="21"/>
              </w:rPr>
              <w:t>-</w:t>
            </w:r>
            <w:r>
              <w:rPr>
                <w:rFonts w:ascii="宋体" w:hAnsi="宋体" w:cs="宋体" w:eastAsia="宋体" w:hint="default"/>
                <w:sz w:val="21"/>
                <w:szCs w:val="21"/>
              </w:rPr>
              <w:t>分站式项目</w:t>
            </w:r>
          </w:p>
        </w:tc>
        <w:tc>
          <w:tcPr>
            <w:tcW w:w="3934" w:type="dxa"/>
            <w:tcBorders>
              <w:top w:val="single" w:sz="12" w:space="0" w:color="000000"/>
              <w:left w:val="single" w:sz="6" w:space="0" w:color="000000"/>
              <w:bottom w:val="single" w:sz="12" w:space="0" w:color="000000"/>
              <w:right w:val="nil" w:sz="6" w:space="0" w:color="auto"/>
            </w:tcBorders>
          </w:tcPr>
          <w:p>
            <w:pPr>
              <w:pStyle w:val="TableParagraph"/>
              <w:spacing w:line="257" w:lineRule="exact"/>
              <w:ind w:left="360"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年</w:t>
            </w:r>
          </w:p>
        </w:tc>
      </w:tr>
      <w:tr>
        <w:trPr>
          <w:trHeight w:val="314" w:hRule="exact"/>
        </w:trPr>
        <w:tc>
          <w:tcPr>
            <w:tcW w:w="4394" w:type="dxa"/>
            <w:tcBorders>
              <w:top w:val="single" w:sz="12" w:space="0" w:color="000000"/>
              <w:left w:val="single" w:sz="6" w:space="0" w:color="000000"/>
              <w:bottom w:val="single" w:sz="12" w:space="0" w:color="000000"/>
              <w:right w:val="single" w:sz="6" w:space="0" w:color="000000"/>
            </w:tcBorders>
          </w:tcPr>
          <w:p>
            <w:pPr>
              <w:pStyle w:val="TableParagraph"/>
              <w:spacing w:line="259" w:lineRule="exact"/>
              <w:ind w:left="4" w:right="0"/>
              <w:jc w:val="left"/>
              <w:rPr>
                <w:rFonts w:ascii="宋体" w:hAnsi="宋体" w:cs="宋体" w:eastAsia="宋体" w:hint="default"/>
                <w:sz w:val="21"/>
                <w:szCs w:val="21"/>
              </w:rPr>
            </w:pPr>
            <w:r>
              <w:rPr>
                <w:rFonts w:ascii="宋体" w:hAnsi="宋体" w:cs="宋体" w:eastAsia="宋体" w:hint="default"/>
                <w:sz w:val="21"/>
                <w:szCs w:val="21"/>
              </w:rPr>
              <w:t>自行开发软件</w:t>
            </w:r>
            <w:r>
              <w:rPr>
                <w:rFonts w:ascii="Times New Roman" w:hAnsi="Times New Roman" w:cs="Times New Roman" w:eastAsia="Times New Roman" w:hint="default"/>
                <w:sz w:val="21"/>
                <w:szCs w:val="21"/>
              </w:rPr>
              <w:t>-</w:t>
            </w:r>
            <w:r>
              <w:rPr>
                <w:rFonts w:ascii="宋体" w:hAnsi="宋体" w:cs="宋体" w:eastAsia="宋体" w:hint="default"/>
                <w:sz w:val="21"/>
                <w:szCs w:val="21"/>
              </w:rPr>
              <w:t>中小学教材同步辅导</w:t>
            </w:r>
          </w:p>
        </w:tc>
        <w:tc>
          <w:tcPr>
            <w:tcW w:w="3934" w:type="dxa"/>
            <w:tcBorders>
              <w:top w:val="single" w:sz="12" w:space="0" w:color="000000"/>
              <w:left w:val="single" w:sz="6" w:space="0" w:color="000000"/>
              <w:bottom w:val="single" w:sz="12" w:space="0" w:color="000000"/>
              <w:right w:val="nil" w:sz="6" w:space="0" w:color="auto"/>
            </w:tcBorders>
          </w:tcPr>
          <w:p>
            <w:pPr>
              <w:pStyle w:val="TableParagraph"/>
              <w:spacing w:line="259" w:lineRule="exact"/>
              <w:ind w:left="360"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z w:val="21"/>
                <w:szCs w:val="21"/>
              </w:rPr>
              <w:t>年</w:t>
            </w:r>
          </w:p>
        </w:tc>
      </w:tr>
      <w:tr>
        <w:trPr>
          <w:trHeight w:val="312" w:hRule="exact"/>
        </w:trPr>
        <w:tc>
          <w:tcPr>
            <w:tcW w:w="4394" w:type="dxa"/>
            <w:tcBorders>
              <w:top w:val="single" w:sz="12" w:space="0" w:color="000000"/>
              <w:left w:val="single" w:sz="6" w:space="0" w:color="000000"/>
              <w:bottom w:val="single" w:sz="12" w:space="0" w:color="000000"/>
              <w:right w:val="single" w:sz="6" w:space="0" w:color="000000"/>
            </w:tcBorders>
          </w:tcPr>
          <w:p>
            <w:pPr>
              <w:pStyle w:val="TableParagraph"/>
              <w:spacing w:line="257" w:lineRule="exact"/>
              <w:ind w:left="4" w:right="0"/>
              <w:jc w:val="left"/>
              <w:rPr>
                <w:rFonts w:ascii="宋体" w:hAnsi="宋体" w:cs="宋体" w:eastAsia="宋体" w:hint="default"/>
                <w:sz w:val="21"/>
                <w:szCs w:val="21"/>
              </w:rPr>
            </w:pPr>
            <w:r>
              <w:rPr>
                <w:rFonts w:ascii="宋体" w:hAnsi="宋体" w:cs="宋体" w:eastAsia="宋体" w:hint="default"/>
                <w:sz w:val="21"/>
                <w:szCs w:val="21"/>
              </w:rPr>
              <w:t>自行开发软件</w:t>
            </w:r>
            <w:r>
              <w:rPr>
                <w:rFonts w:ascii="Times New Roman" w:hAnsi="Times New Roman" w:cs="Times New Roman" w:eastAsia="Times New Roman" w:hint="default"/>
                <w:sz w:val="21"/>
                <w:szCs w:val="21"/>
              </w:rPr>
              <w:t>-</w:t>
            </w:r>
            <w:r>
              <w:rPr>
                <w:rFonts w:ascii="宋体" w:hAnsi="宋体" w:cs="宋体" w:eastAsia="宋体" w:hint="default"/>
                <w:sz w:val="21"/>
                <w:szCs w:val="21"/>
              </w:rPr>
              <w:t>金太阳练习测评管理系统</w:t>
            </w:r>
          </w:p>
        </w:tc>
        <w:tc>
          <w:tcPr>
            <w:tcW w:w="3934" w:type="dxa"/>
            <w:tcBorders>
              <w:top w:val="single" w:sz="12" w:space="0" w:color="000000"/>
              <w:left w:val="single" w:sz="6" w:space="0" w:color="000000"/>
              <w:bottom w:val="single" w:sz="12" w:space="0" w:color="000000"/>
              <w:right w:val="nil" w:sz="6" w:space="0" w:color="auto"/>
            </w:tcBorders>
          </w:tcPr>
          <w:p>
            <w:pPr>
              <w:pStyle w:val="TableParagraph"/>
              <w:spacing w:line="257" w:lineRule="exact"/>
              <w:ind w:left="360"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年</w:t>
            </w:r>
          </w:p>
        </w:tc>
      </w:tr>
      <w:tr>
        <w:trPr>
          <w:trHeight w:val="314" w:hRule="exact"/>
        </w:trPr>
        <w:tc>
          <w:tcPr>
            <w:tcW w:w="4394"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4" w:right="0"/>
              <w:jc w:val="left"/>
              <w:rPr>
                <w:rFonts w:ascii="宋体" w:hAnsi="宋体" w:cs="宋体" w:eastAsia="宋体" w:hint="default"/>
                <w:sz w:val="21"/>
                <w:szCs w:val="21"/>
              </w:rPr>
            </w:pPr>
            <w:r>
              <w:rPr>
                <w:rFonts w:ascii="宋体" w:hAnsi="宋体" w:cs="宋体" w:eastAsia="宋体" w:hint="default"/>
                <w:sz w:val="21"/>
                <w:szCs w:val="21"/>
              </w:rPr>
              <w:t>外购软件</w:t>
            </w:r>
          </w:p>
        </w:tc>
        <w:tc>
          <w:tcPr>
            <w:tcW w:w="3934" w:type="dxa"/>
            <w:tcBorders>
              <w:top w:val="single" w:sz="12" w:space="0" w:color="000000"/>
              <w:left w:val="single" w:sz="6" w:space="0" w:color="000000"/>
              <w:bottom w:val="single" w:sz="12" w:space="0" w:color="000000"/>
              <w:right w:val="nil" w:sz="6" w:space="0" w:color="auto"/>
            </w:tcBorders>
          </w:tcPr>
          <w:p>
            <w:pPr>
              <w:pStyle w:val="TableParagraph"/>
              <w:spacing w:line="257" w:lineRule="exact"/>
              <w:ind w:left="360"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年</w:t>
            </w:r>
          </w:p>
        </w:tc>
      </w:tr>
    </w:tbl>
    <w:p>
      <w:pPr>
        <w:spacing w:line="240" w:lineRule="auto" w:before="3"/>
        <w:rPr>
          <w:rFonts w:ascii="宋体" w:hAnsi="宋体" w:cs="宋体" w:eastAsia="宋体" w:hint="default"/>
          <w:sz w:val="8"/>
          <w:szCs w:val="8"/>
        </w:rPr>
      </w:pPr>
    </w:p>
    <w:p>
      <w:pPr>
        <w:pStyle w:val="BodyText"/>
        <w:spacing w:line="273" w:lineRule="auto" w:before="36"/>
        <w:ind w:right="0" w:firstLine="420"/>
        <w:jc w:val="left"/>
      </w:pPr>
      <w:r>
        <w:rPr>
          <w:spacing w:val="-2"/>
        </w:rPr>
        <w:t>每期末，对使用寿命有限的无形资产的使用寿命及摊销方法进行复核，如与原先估计数存在差异的，</w:t>
      </w:r>
      <w:r>
        <w:rPr>
          <w:w w:val="100"/>
        </w:rPr>
        <w:t> </w:t>
      </w:r>
      <w:r>
        <w:rPr/>
        <w:t>进行相应的调整。</w:t>
      </w:r>
    </w:p>
    <w:p>
      <w:pPr>
        <w:pStyle w:val="BodyText"/>
        <w:spacing w:line="240" w:lineRule="auto" w:before="7"/>
        <w:ind w:left="572" w:right="0"/>
        <w:jc w:val="left"/>
      </w:pPr>
      <w:r>
        <w:rPr/>
        <w:t>经复核，本期期末无形资产的使用寿命及摊销方法与以前估计未有不同。</w:t>
      </w:r>
    </w:p>
    <w:p>
      <w:pPr>
        <w:pStyle w:val="BodyText"/>
        <w:spacing w:line="264" w:lineRule="auto" w:before="37"/>
        <w:ind w:left="560" w:right="0" w:hanging="94"/>
        <w:jc w:val="left"/>
      </w:pPr>
      <w:r>
        <w:rPr/>
        <w:t>（</w:t>
      </w:r>
      <w:r>
        <w:rPr>
          <w:rFonts w:ascii="Times New Roman" w:hAnsi="Times New Roman" w:cs="Times New Roman" w:eastAsia="Times New Roman" w:hint="default"/>
        </w:rPr>
        <w:t>2</w:t>
      </w:r>
      <w:r>
        <w:rPr/>
        <w:t>）使用寿命不确定的无形资产</w:t>
      </w:r>
      <w:r>
        <w:rPr>
          <w:w w:val="100"/>
        </w:rPr>
        <w:t> </w:t>
      </w:r>
      <w:r>
        <w:rPr/>
        <w:t>无法预见无形资产为企业带来经济利益期限的，视为使用寿命不确定的无形资产。</w:t>
      </w:r>
      <w:r>
        <w:rPr>
          <w:w w:val="100"/>
        </w:rPr>
        <w:t> </w:t>
      </w:r>
      <w:r>
        <w:rPr>
          <w:spacing w:val="-2"/>
        </w:rPr>
        <w:t>对于使用寿命不确定的无形资产，在持有期间内不摊销，每期末对无形资产的寿命进行复核。如果期</w:t>
      </w:r>
      <w:r>
        <w:rPr/>
      </w:r>
    </w:p>
    <w:p>
      <w:pPr>
        <w:pStyle w:val="BodyText"/>
        <w:spacing w:line="268" w:lineRule="auto" w:before="16"/>
        <w:ind w:left="560" w:right="0" w:hanging="317"/>
        <w:jc w:val="left"/>
      </w:pPr>
      <w:r>
        <w:rPr/>
        <w:t>末重新复核后仍为不确定的，在每个会计期间继续进行减值测试。</w:t>
      </w:r>
      <w:r>
        <w:rPr>
          <w:w w:val="100"/>
        </w:rPr>
        <w:t> </w:t>
      </w:r>
      <w:r>
        <w:rPr/>
        <w:t>经复核，本公司无使用寿命不确定的无形资产。</w:t>
      </w:r>
      <w:r>
        <w:rPr>
          <w:w w:val="100"/>
        </w:rPr>
        <w:t> </w:t>
      </w:r>
      <w:r>
        <w:rPr>
          <w:rFonts w:ascii="Times New Roman" w:hAnsi="Times New Roman" w:cs="Times New Roman" w:eastAsia="Times New Roman" w:hint="default"/>
          <w:b/>
          <w:bCs/>
        </w:rPr>
        <w:t>3</w:t>
      </w:r>
      <w:r>
        <w:rPr>
          <w:rFonts w:ascii="宋体" w:hAnsi="宋体" w:cs="宋体" w:eastAsia="宋体" w:hint="default"/>
          <w:b/>
          <w:bCs/>
        </w:rPr>
        <w:t>、划分公司内部研究开发项目的研究阶段和开发阶段具体标准</w:t>
      </w:r>
      <w:r>
        <w:rPr>
          <w:rFonts w:ascii="宋体" w:hAnsi="宋体" w:cs="宋体" w:eastAsia="宋体" w:hint="default"/>
          <w:b/>
          <w:bCs/>
          <w:w w:val="100"/>
        </w:rPr>
        <w:t> </w:t>
      </w:r>
      <w:r>
        <w:rPr/>
        <w:t>研究阶段：为获取并理解新的科学或技术知识等而进行的独创性的有计划调查、研究活动的阶段。</w:t>
      </w:r>
      <w:r>
        <w:rPr>
          <w:w w:val="100"/>
        </w:rPr>
        <w:t> </w:t>
      </w:r>
      <w:r>
        <w:rPr>
          <w:spacing w:val="-2"/>
        </w:rPr>
        <w:t>开发阶段：在进行商业性生产或使用前，将研究成果或其他知识应用于某项计划或设计，以生产出新</w:t>
      </w:r>
    </w:p>
    <w:p>
      <w:pPr>
        <w:pStyle w:val="BodyText"/>
        <w:spacing w:line="273" w:lineRule="auto" w:before="12"/>
        <w:ind w:left="572" w:right="0" w:hanging="421"/>
        <w:jc w:val="left"/>
      </w:pPr>
      <w:r>
        <w:rPr/>
        <w:t>的或具有实质性改进的材料、装置、产品等活动的阶段。</w:t>
      </w:r>
      <w:r>
        <w:rPr>
          <w:w w:val="100"/>
        </w:rPr>
        <w:t> </w:t>
      </w:r>
      <w:r>
        <w:rPr/>
        <w:t>内部研究开发项目研究阶段的支出，在发生时计入当期损益。</w:t>
      </w:r>
      <w:r>
        <w:rPr>
          <w:w w:val="100"/>
        </w:rPr>
        <w:t> </w:t>
      </w:r>
      <w:r>
        <w:rPr>
          <w:spacing w:val="-2"/>
        </w:rPr>
        <w:t>公司根据软件项目开发管理的流程，将开发项目划分研究阶段和开发阶段。其中，项目策划阶段与项</w:t>
      </w:r>
    </w:p>
    <w:p>
      <w:pPr>
        <w:pStyle w:val="BodyText"/>
        <w:spacing w:line="240" w:lineRule="auto" w:before="7"/>
        <w:ind w:right="0"/>
        <w:jc w:val="left"/>
      </w:pPr>
      <w:r>
        <w:rPr/>
        <w:t>目立项阶段作为研究阶段；项目计划阶段、项目实施与执行阶段和项目验收阶段作为开发阶段。</w:t>
      </w:r>
    </w:p>
    <w:p>
      <w:pPr>
        <w:spacing w:after="0" w:line="240" w:lineRule="auto"/>
        <w:jc w:val="left"/>
        <w:sectPr>
          <w:pgSz w:w="11910" w:h="16840"/>
          <w:pgMar w:header="880" w:footer="979" w:top="1120" w:bottom="1160" w:left="980" w:right="980"/>
        </w:sectPr>
      </w:pPr>
    </w:p>
    <w:p>
      <w:pPr>
        <w:spacing w:line="240" w:lineRule="auto" w:before="9"/>
        <w:rPr>
          <w:rFonts w:ascii="宋体" w:hAnsi="宋体" w:cs="宋体" w:eastAsia="宋体" w:hint="default"/>
          <w:sz w:val="20"/>
          <w:szCs w:val="20"/>
        </w:rPr>
      </w:pPr>
    </w:p>
    <w:p>
      <w:pPr>
        <w:pStyle w:val="BodyText"/>
        <w:spacing w:line="273" w:lineRule="auto" w:before="36"/>
        <w:ind w:right="106" w:firstLine="420"/>
        <w:jc w:val="left"/>
      </w:pPr>
      <w:r>
        <w:rPr>
          <w:spacing w:val="-5"/>
        </w:rPr>
        <w:t>研究阶段起点为项目策划阶段，终点为立项评审通过，表明公司开发部、市场部判断该项目在技术上、</w:t>
      </w:r>
      <w:r>
        <w:rPr>
          <w:w w:val="100"/>
        </w:rPr>
        <w:t> </w:t>
      </w:r>
      <w:r>
        <w:rPr>
          <w:spacing w:val="-2"/>
        </w:rPr>
        <w:t>商业上等具有可行性；开发阶段的起点为项目开发立项，终点为项目相关测试完成后可进入商业运营。开</w:t>
      </w:r>
      <w:r>
        <w:rPr>
          <w:spacing w:val="-44"/>
        </w:rPr>
        <w:t> </w:t>
      </w:r>
      <w:r>
        <w:rPr>
          <w:spacing w:val="-44"/>
        </w:rPr>
      </w:r>
      <w:r>
        <w:rPr/>
        <w:t>发项目研究阶段的支出，在发生时计入当期损益。</w:t>
      </w:r>
    </w:p>
    <w:p>
      <w:pPr>
        <w:pStyle w:val="BodyText"/>
        <w:spacing w:line="256" w:lineRule="auto" w:before="7"/>
        <w:ind w:right="106" w:firstLine="420"/>
        <w:jc w:val="left"/>
      </w:pPr>
      <w:r>
        <w:rPr>
          <w:spacing w:val="-4"/>
        </w:rPr>
        <w:t>进入开发阶段的项目支出，则予以资本化，先在</w:t>
      </w:r>
      <w:r>
        <w:rPr>
          <w:rFonts w:ascii="Times New Roman" w:hAnsi="Times New Roman" w:cs="Times New Roman" w:eastAsia="Times New Roman" w:hint="default"/>
          <w:spacing w:val="-4"/>
        </w:rPr>
        <w:t>“</w:t>
      </w:r>
      <w:r>
        <w:rPr>
          <w:spacing w:val="-4"/>
        </w:rPr>
        <w:t>开发支出</w:t>
      </w:r>
      <w:r>
        <w:rPr>
          <w:rFonts w:ascii="Times New Roman" w:hAnsi="Times New Roman" w:cs="Times New Roman" w:eastAsia="Times New Roman" w:hint="default"/>
          <w:spacing w:val="-4"/>
        </w:rPr>
        <w:t>”</w:t>
      </w:r>
      <w:r>
        <w:rPr>
          <w:spacing w:val="-4"/>
        </w:rPr>
        <w:t>科目分项目进行明细核算，可商业运营时，</w:t>
      </w:r>
      <w:r>
        <w:rPr>
          <w:spacing w:val="-3"/>
          <w:w w:val="100"/>
        </w:rPr>
        <w:t> </w:t>
      </w:r>
      <w:r>
        <w:rPr/>
        <w:t>再转入</w:t>
      </w:r>
      <w:r>
        <w:rPr>
          <w:rFonts w:ascii="Times New Roman" w:hAnsi="Times New Roman" w:cs="Times New Roman" w:eastAsia="Times New Roman" w:hint="default"/>
        </w:rPr>
        <w:t>“</w:t>
      </w:r>
      <w:r>
        <w:rPr/>
        <w:t>无形资产</w:t>
      </w:r>
      <w:r>
        <w:rPr>
          <w:rFonts w:ascii="Times New Roman" w:hAnsi="Times New Roman" w:cs="Times New Roman" w:eastAsia="Times New Roman" w:hint="default"/>
        </w:rPr>
        <w:t>”</w:t>
      </w:r>
      <w:r>
        <w:rPr/>
        <w:t>科目分项目进行明细核算。</w:t>
      </w:r>
    </w:p>
    <w:p>
      <w:pPr>
        <w:spacing w:line="256" w:lineRule="auto" w:before="5"/>
        <w:ind w:left="572" w:right="106"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、开发阶段支出符合资本化的具体标准</w:t>
      </w:r>
      <w:r>
        <w:rPr>
          <w:rFonts w:ascii="宋体" w:hAnsi="宋体" w:cs="宋体" w:eastAsia="宋体" w:hint="default"/>
          <w:b/>
          <w:bCs/>
          <w:w w:val="100"/>
          <w:sz w:val="21"/>
          <w:szCs w:val="21"/>
        </w:rPr>
        <w:t> </w:t>
      </w:r>
      <w:r>
        <w:rPr>
          <w:rFonts w:ascii="宋体" w:hAnsi="宋体" w:cs="宋体" w:eastAsia="宋体" w:hint="default"/>
          <w:spacing w:val="-2"/>
          <w:sz w:val="21"/>
          <w:szCs w:val="21"/>
        </w:rPr>
        <w:t>内部研究开发项目开发阶段的支出，同时满足下列条件时确认为无形资产：</w:t>
      </w:r>
    </w:p>
    <w:p>
      <w:pPr>
        <w:pStyle w:val="BodyText"/>
        <w:spacing w:line="240" w:lineRule="auto" w:before="22"/>
        <w:ind w:left="572" w:right="106"/>
        <w:jc w:val="left"/>
      </w:pPr>
      <w:r>
        <w:rPr/>
        <w:t>（</w:t>
      </w:r>
      <w:r>
        <w:rPr>
          <w:rFonts w:ascii="Times New Roman" w:hAnsi="Times New Roman" w:cs="Times New Roman" w:eastAsia="Times New Roman" w:hint="default"/>
        </w:rPr>
        <w:t>1</w:t>
      </w:r>
      <w:r>
        <w:rPr/>
        <w:t>）完成该无形资产以使其能够使用或出售在技术上具有可行性；</w:t>
      </w:r>
    </w:p>
    <w:p>
      <w:pPr>
        <w:pStyle w:val="BodyText"/>
        <w:spacing w:line="240" w:lineRule="auto" w:before="21"/>
        <w:ind w:left="572" w:right="106"/>
        <w:jc w:val="left"/>
      </w:pPr>
      <w:r>
        <w:rPr/>
        <w:t>（</w:t>
      </w:r>
      <w:r>
        <w:rPr>
          <w:rFonts w:ascii="Times New Roman" w:hAnsi="Times New Roman" w:cs="Times New Roman" w:eastAsia="Times New Roman" w:hint="default"/>
        </w:rPr>
        <w:t>2</w:t>
      </w:r>
      <w:r>
        <w:rPr/>
        <w:t>）具有完成该无形资产并使用或出售的意图；</w:t>
      </w:r>
    </w:p>
    <w:p>
      <w:pPr>
        <w:pStyle w:val="BodyText"/>
        <w:spacing w:line="256" w:lineRule="auto" w:before="21"/>
        <w:ind w:right="106" w:firstLine="420"/>
        <w:jc w:val="left"/>
      </w:pPr>
      <w:r>
        <w:rPr/>
        <w:t>（</w:t>
      </w:r>
      <w:r>
        <w:rPr>
          <w:rFonts w:ascii="Times New Roman" w:hAnsi="Times New Roman" w:cs="Times New Roman" w:eastAsia="Times New Roman" w:hint="default"/>
        </w:rPr>
        <w:t>3</w:t>
      </w:r>
      <w:r>
        <w:rPr/>
        <w:t>）无形资产产生经济利益的方式，包括能够证明运用该无形资产生产的产品存在市场或无形资产</w:t>
      </w:r>
      <w:r>
        <w:rPr>
          <w:w w:val="100"/>
        </w:rPr>
        <w:t> </w:t>
      </w:r>
      <w:r>
        <w:rPr/>
        <w:t>自身存在市场，无形资产将在内部使用的，能够证明其有用性；</w:t>
      </w:r>
    </w:p>
    <w:p>
      <w:pPr>
        <w:pStyle w:val="BodyText"/>
        <w:spacing w:line="256" w:lineRule="auto" w:before="22"/>
        <w:ind w:right="106" w:firstLine="420"/>
        <w:jc w:val="left"/>
      </w:pPr>
      <w:r>
        <w:rPr/>
        <w:t>（</w:t>
      </w:r>
      <w:r>
        <w:rPr>
          <w:rFonts w:ascii="Times New Roman" w:hAnsi="Times New Roman" w:cs="Times New Roman" w:eastAsia="Times New Roman" w:hint="default"/>
        </w:rPr>
        <w:t>4</w:t>
      </w:r>
      <w:r>
        <w:rPr/>
        <w:t>）有足够的技术、财务资源和其他资源支持，以完成该无形资产的开发，并有能力使用或出售该</w:t>
      </w:r>
      <w:r>
        <w:rPr>
          <w:w w:val="100"/>
        </w:rPr>
        <w:t> </w:t>
      </w:r>
      <w:r>
        <w:rPr/>
        <w:t>无形资产；</w:t>
      </w:r>
    </w:p>
    <w:p>
      <w:pPr>
        <w:pStyle w:val="BodyText"/>
        <w:spacing w:line="256" w:lineRule="auto" w:before="22"/>
        <w:ind w:left="572" w:right="106"/>
        <w:jc w:val="left"/>
      </w:pPr>
      <w:r>
        <w:rPr/>
        <w:t>（</w:t>
      </w:r>
      <w:r>
        <w:rPr>
          <w:rFonts w:ascii="Times New Roman" w:hAnsi="Times New Roman" w:cs="Times New Roman" w:eastAsia="Times New Roman" w:hint="default"/>
        </w:rPr>
        <w:t>5</w:t>
      </w:r>
      <w:r>
        <w:rPr/>
        <w:t>）归属于该无形资产开发阶段的支出能够可靠地计量。</w:t>
      </w:r>
      <w:r>
        <w:rPr>
          <w:w w:val="100"/>
        </w:rPr>
        <w:t> </w:t>
      </w:r>
      <w:r>
        <w:rPr>
          <w:spacing w:val="-2"/>
        </w:rPr>
        <w:t>不满足上述条件的开发阶段的支出，于发生时计入当期损益。以前期间已计入损益的开发支出不在以</w:t>
      </w:r>
    </w:p>
    <w:p>
      <w:pPr>
        <w:pStyle w:val="BodyText"/>
        <w:spacing w:line="273" w:lineRule="auto" w:before="22"/>
        <w:ind w:right="106"/>
        <w:jc w:val="left"/>
      </w:pPr>
      <w:r>
        <w:rPr>
          <w:spacing w:val="-2"/>
        </w:rPr>
        <w:t>后期间重新确认为资产。已资本化的开发阶段的支出在资产负债表上列示为开发支出，自该项目达到预定</w:t>
      </w:r>
      <w:r>
        <w:rPr>
          <w:spacing w:val="-42"/>
        </w:rPr>
        <w:t> </w:t>
      </w:r>
      <w:r>
        <w:rPr>
          <w:spacing w:val="-42"/>
        </w:rPr>
      </w:r>
      <w:r>
        <w:rPr/>
        <w:t>用途之日起转为无形资产。</w:t>
      </w:r>
    </w:p>
    <w:p>
      <w:pPr>
        <w:pStyle w:val="BodyText"/>
        <w:spacing w:line="273" w:lineRule="auto" w:before="8"/>
        <w:ind w:left="572" w:right="106" w:firstLine="2"/>
        <w:jc w:val="left"/>
      </w:pPr>
      <w:r>
        <w:rPr>
          <w:rFonts w:ascii="宋体" w:hAnsi="宋体" w:cs="宋体" w:eastAsia="宋体" w:hint="default"/>
          <w:b/>
          <w:bCs/>
        </w:rPr>
        <w:t>（十七）长期资产减值</w:t>
      </w:r>
      <w:r>
        <w:rPr>
          <w:rFonts w:ascii="宋体" w:hAnsi="宋体" w:cs="宋体" w:eastAsia="宋体" w:hint="default"/>
          <w:b/>
          <w:bCs/>
          <w:w w:val="100"/>
        </w:rPr>
        <w:t> </w:t>
      </w:r>
      <w:r>
        <w:rPr>
          <w:spacing w:val="-2"/>
        </w:rPr>
        <w:t>本公司在资产负债表日判断长期资产是否存在可能发生减值的迹象。如果长期资产存在减值迹象的，</w:t>
      </w:r>
    </w:p>
    <w:p>
      <w:pPr>
        <w:pStyle w:val="BodyText"/>
        <w:spacing w:line="273" w:lineRule="auto" w:before="7"/>
        <w:ind w:right="106"/>
        <w:jc w:val="left"/>
      </w:pPr>
      <w:r>
        <w:rPr>
          <w:spacing w:val="-2"/>
        </w:rPr>
        <w:t>以单项资产为基础估计其可收回金额；难以对单项资产的可收回金额进行估计的，以该资产所属的资产组</w:t>
      </w:r>
      <w:r>
        <w:rPr>
          <w:spacing w:val="-43"/>
        </w:rPr>
        <w:t> </w:t>
      </w:r>
      <w:r>
        <w:rPr>
          <w:spacing w:val="-43"/>
        </w:rPr>
      </w:r>
      <w:r>
        <w:rPr/>
        <w:t>为基础确定资产组的可收回金额。</w:t>
      </w:r>
    </w:p>
    <w:p>
      <w:pPr>
        <w:pStyle w:val="BodyText"/>
        <w:spacing w:line="273" w:lineRule="auto" w:before="7"/>
        <w:ind w:right="106" w:firstLine="420"/>
        <w:jc w:val="left"/>
      </w:pPr>
      <w:r>
        <w:rPr>
          <w:spacing w:val="-2"/>
        </w:rPr>
        <w:t>资产可收回金额的估计，根据其公允价值减去处置费用后的净额与资产预计未来现金流量的现值两者</w:t>
      </w:r>
      <w:r>
        <w:rPr>
          <w:w w:val="100"/>
        </w:rPr>
        <w:t> </w:t>
      </w:r>
      <w:r>
        <w:rPr/>
        <w:t>之间较高者确定。</w:t>
      </w:r>
    </w:p>
    <w:p>
      <w:pPr>
        <w:pStyle w:val="BodyText"/>
        <w:spacing w:line="273" w:lineRule="auto" w:before="7"/>
        <w:ind w:right="207" w:firstLine="420"/>
        <w:jc w:val="both"/>
      </w:pPr>
      <w:r>
        <w:rPr>
          <w:spacing w:val="-2"/>
        </w:rPr>
        <w:t>可收回金额的计量结果表明，长期资产的可收回金额低于其账面价值的，将长期资产的账面价值减记</w:t>
      </w:r>
      <w:r>
        <w:rPr>
          <w:w w:val="100"/>
        </w:rPr>
        <w:t> </w:t>
      </w:r>
      <w:r>
        <w:rPr>
          <w:spacing w:val="-2"/>
        </w:rPr>
        <w:t>至可收回金额，减记的金额确认为资产减值损失，计入当期损益，同时计提相应的资产减值准备。资产减</w:t>
      </w:r>
      <w:r>
        <w:rPr>
          <w:spacing w:val="-50"/>
        </w:rPr>
        <w:t> </w:t>
      </w:r>
      <w:r>
        <w:rPr>
          <w:spacing w:val="-50"/>
        </w:rPr>
      </w:r>
      <w:r>
        <w:rPr/>
        <w:t>值损失一经确认，在以后会计期间不得转回。</w:t>
      </w:r>
    </w:p>
    <w:p>
      <w:pPr>
        <w:pStyle w:val="BodyText"/>
        <w:spacing w:line="273" w:lineRule="auto" w:before="7"/>
        <w:ind w:right="106" w:firstLine="420"/>
        <w:jc w:val="left"/>
      </w:pPr>
      <w:r>
        <w:rPr>
          <w:spacing w:val="-2"/>
        </w:rPr>
        <w:t>资产减值损失确认后，减值资产的折旧或者摊销费用在未来期间作相应调整，以使该资产在剩余使用</w:t>
      </w:r>
      <w:r>
        <w:rPr>
          <w:w w:val="100"/>
        </w:rPr>
        <w:t> </w:t>
      </w:r>
      <w:r>
        <w:rPr/>
        <w:t>寿命内，系统地分摊调整后的资产账面价值（扣除预计净残值）。</w:t>
      </w:r>
    </w:p>
    <w:p>
      <w:pPr>
        <w:pStyle w:val="BodyText"/>
        <w:spacing w:line="273" w:lineRule="auto" w:before="7"/>
        <w:ind w:right="106" w:firstLine="419"/>
        <w:jc w:val="left"/>
      </w:pPr>
      <w:r>
        <w:rPr>
          <w:spacing w:val="-2"/>
        </w:rPr>
        <w:t>因企业合并所形成的商誉和使用寿命不确定的无形资产，无论是否存在减值迹象，每年都进行减值测</w:t>
      </w:r>
      <w:r>
        <w:rPr>
          <w:w w:val="100"/>
        </w:rPr>
        <w:t> </w:t>
      </w:r>
      <w:r>
        <w:rPr/>
        <w:t>试。</w:t>
      </w:r>
    </w:p>
    <w:p>
      <w:pPr>
        <w:pStyle w:val="BodyText"/>
        <w:spacing w:line="273" w:lineRule="auto" w:before="7"/>
        <w:ind w:right="207" w:firstLine="420"/>
        <w:jc w:val="both"/>
      </w:pPr>
      <w:r>
        <w:rPr>
          <w:spacing w:val="-2"/>
        </w:rPr>
        <w:t>商誉结合与其相关的资产组或者资产组组合进行减值测试。在对包含商誉的相关资产组或者资产组组</w:t>
      </w:r>
      <w:r>
        <w:rPr>
          <w:w w:val="100"/>
        </w:rPr>
        <w:t> </w:t>
      </w:r>
      <w:r>
        <w:rPr>
          <w:spacing w:val="-2"/>
        </w:rPr>
        <w:t>合进行减值测试时，如与商誉相关的资产组或者资产组组合存在减值迹象的，先对不包含商誉的资产组或</w:t>
      </w:r>
      <w:r>
        <w:rPr>
          <w:spacing w:val="-43"/>
        </w:rPr>
        <w:t> </w:t>
      </w:r>
      <w:r>
        <w:rPr>
          <w:spacing w:val="-43"/>
        </w:rPr>
      </w:r>
      <w:r>
        <w:rPr>
          <w:spacing w:val="-2"/>
        </w:rPr>
        <w:t>者资产组组合进行减值测试，计算可收回金额，并与相关账面价值相比较，确认相应的减值损失。再对包</w:t>
      </w:r>
      <w:r>
        <w:rPr>
          <w:spacing w:val="-47"/>
        </w:rPr>
        <w:t> </w:t>
      </w:r>
      <w:r>
        <w:rPr>
          <w:spacing w:val="-47"/>
        </w:rPr>
      </w:r>
      <w:r>
        <w:rPr>
          <w:spacing w:val="-2"/>
        </w:rPr>
        <w:t>含商誉的资产组或者资产组组合进行减值测试，比较这些相关资产组或者资产组组合的账面价值（包括所</w:t>
      </w:r>
      <w:r>
        <w:rPr>
          <w:spacing w:val="-43"/>
        </w:rPr>
        <w:t> </w:t>
      </w:r>
      <w:r>
        <w:rPr>
          <w:spacing w:val="-43"/>
        </w:rPr>
      </w:r>
      <w:r>
        <w:rPr>
          <w:spacing w:val="-2"/>
        </w:rPr>
        <w:t>分摊的商誉的账面价值部分）与其可收回金额，如相关资产组或者资产组组合的可收回金额低于其账面价</w:t>
      </w:r>
      <w:r>
        <w:rPr>
          <w:spacing w:val="-43"/>
        </w:rPr>
        <w:t> </w:t>
      </w:r>
      <w:r>
        <w:rPr>
          <w:spacing w:val="-43"/>
        </w:rPr>
      </w:r>
      <w:r>
        <w:rPr/>
        <w:t>值的，确认商誉的减值损失。</w:t>
      </w:r>
    </w:p>
    <w:p>
      <w:pPr>
        <w:pStyle w:val="Heading5"/>
        <w:spacing w:line="240" w:lineRule="auto" w:before="165"/>
        <w:ind w:left="575" w:right="106"/>
        <w:jc w:val="left"/>
        <w:rPr>
          <w:b w:val="0"/>
          <w:bCs w:val="0"/>
        </w:rPr>
      </w:pPr>
      <w:r>
        <w:rPr/>
        <w:t>（十八）长期待摊费用</w:t>
      </w:r>
      <w:r>
        <w:rPr>
          <w:b w:val="0"/>
          <w:bCs w:val="0"/>
        </w:rPr>
      </w:r>
    </w:p>
    <w:p>
      <w:pPr>
        <w:spacing w:line="240" w:lineRule="auto" w:before="10"/>
        <w:rPr>
          <w:rFonts w:ascii="宋体" w:hAnsi="宋体" w:cs="宋体" w:eastAsia="宋体" w:hint="default"/>
          <w:b/>
          <w:bCs/>
          <w:sz w:val="14"/>
          <w:szCs w:val="14"/>
        </w:rPr>
      </w:pPr>
    </w:p>
    <w:p>
      <w:pPr>
        <w:pStyle w:val="BodyText"/>
        <w:spacing w:line="256" w:lineRule="auto"/>
        <w:ind w:left="572" w:right="106" w:firstLine="2"/>
        <w:jc w:val="left"/>
      </w:pPr>
      <w:r>
        <w:rPr>
          <w:rFonts w:ascii="Times New Roman" w:hAnsi="Times New Roman" w:cs="Times New Roman" w:eastAsia="Times New Roman" w:hint="default"/>
          <w:b/>
          <w:bCs/>
        </w:rPr>
        <w:t>1</w:t>
      </w:r>
      <w:r>
        <w:rPr>
          <w:rFonts w:ascii="宋体" w:hAnsi="宋体" w:cs="宋体" w:eastAsia="宋体" w:hint="default"/>
          <w:b/>
          <w:bCs/>
        </w:rPr>
        <w:t>．</w:t>
      </w:r>
      <w:r>
        <w:rPr>
          <w:rFonts w:ascii="宋体" w:hAnsi="宋体" w:cs="宋体" w:eastAsia="宋体" w:hint="default"/>
          <w:b/>
          <w:bCs/>
          <w:spacing w:val="5"/>
        </w:rPr>
        <w:t> </w:t>
      </w:r>
      <w:r>
        <w:rPr>
          <w:rFonts w:ascii="宋体" w:hAnsi="宋体" w:cs="宋体" w:eastAsia="宋体" w:hint="default"/>
          <w:b/>
          <w:bCs/>
        </w:rPr>
        <w:t>摊销方法</w:t>
      </w:r>
      <w:r>
        <w:rPr>
          <w:rFonts w:ascii="宋体" w:hAnsi="宋体" w:cs="宋体" w:eastAsia="宋体" w:hint="default"/>
          <w:b/>
          <w:bCs/>
          <w:w w:val="100"/>
        </w:rPr>
        <w:t> </w:t>
      </w:r>
      <w:r>
        <w:rPr/>
        <w:t>长期待摊费用，是指本公司已经发生但应由本期和以后各期负担的分摊期限在</w:t>
      </w:r>
      <w:r>
        <w:rPr>
          <w:rFonts w:ascii="Times New Roman" w:hAnsi="Times New Roman" w:cs="Times New Roman" w:eastAsia="Times New Roman" w:hint="default"/>
        </w:rPr>
        <w:t>1</w:t>
      </w:r>
      <w:r>
        <w:rPr/>
        <w:t>年以上的各项费用。</w:t>
      </w:r>
    </w:p>
    <w:p>
      <w:pPr>
        <w:pStyle w:val="BodyText"/>
        <w:spacing w:line="240" w:lineRule="auto" w:before="5"/>
        <w:ind w:left="153" w:right="106"/>
        <w:jc w:val="left"/>
      </w:pPr>
      <w:r>
        <w:rPr/>
        <w:t>长期待摊费用在受益期内按直接法分期摊销。</w:t>
      </w:r>
    </w:p>
    <w:p>
      <w:pPr>
        <w:pStyle w:val="Heading5"/>
        <w:spacing w:line="240" w:lineRule="auto" w:before="37"/>
        <w:ind w:left="575" w:right="106"/>
        <w:jc w:val="left"/>
        <w:rPr>
          <w:b w:val="0"/>
          <w:bCs w:val="0"/>
        </w:rPr>
      </w:pPr>
      <w:r>
        <w:rPr>
          <w:rFonts w:ascii="Times New Roman" w:hAnsi="Times New Roman" w:cs="Times New Roman" w:eastAsia="Times New Roman" w:hint="default"/>
        </w:rPr>
        <w:t>2</w:t>
      </w:r>
      <w:r>
        <w:rPr/>
        <w:t>．摊销年限</w:t>
      </w:r>
      <w:r>
        <w:rPr>
          <w:b w:val="0"/>
          <w:bCs w:val="0"/>
        </w:rPr>
      </w:r>
    </w:p>
    <w:p>
      <w:pPr>
        <w:spacing w:line="240" w:lineRule="auto" w:before="8"/>
        <w:rPr>
          <w:rFonts w:ascii="宋体" w:hAnsi="宋体" w:cs="宋体" w:eastAsia="宋体" w:hint="default"/>
          <w:b/>
          <w:bCs/>
          <w:sz w:val="2"/>
          <w:szCs w:val="2"/>
        </w:rPr>
      </w:pPr>
    </w:p>
    <w:tbl>
      <w:tblPr>
        <w:tblW w:w="0" w:type="auto"/>
        <w:jc w:val="left"/>
        <w:tblInd w:w="152" w:type="dxa"/>
        <w:tblLayout w:type="fixed"/>
        <w:tblCellMar>
          <w:top w:w="0" w:type="dxa"/>
          <w:left w:w="0" w:type="dxa"/>
          <w:bottom w:w="0" w:type="dxa"/>
          <w:right w:w="0" w:type="dxa"/>
        </w:tblCellMar>
        <w:tblLook w:val="01E0"/>
      </w:tblPr>
      <w:tblGrid>
        <w:gridCol w:w="4408"/>
        <w:gridCol w:w="3719"/>
      </w:tblGrid>
      <w:tr>
        <w:trPr>
          <w:trHeight w:val="307" w:hRule="exact"/>
        </w:trPr>
        <w:tc>
          <w:tcPr>
            <w:tcW w:w="4408" w:type="dxa"/>
            <w:tcBorders>
              <w:top w:val="single" w:sz="6" w:space="0" w:color="000000"/>
              <w:left w:val="nil" w:sz="6" w:space="0" w:color="auto"/>
              <w:bottom w:val="single" w:sz="6" w:space="0" w:color="000000"/>
              <w:right w:val="nil" w:sz="6" w:space="0" w:color="auto"/>
            </w:tcBorders>
          </w:tcPr>
          <w:p>
            <w:pPr>
              <w:pStyle w:val="TableParagraph"/>
              <w:spacing w:line="250" w:lineRule="exact"/>
              <w:ind w:left="1164" w:right="0"/>
              <w:jc w:val="left"/>
              <w:rPr>
                <w:rFonts w:ascii="宋体" w:hAnsi="宋体" w:cs="宋体" w:eastAsia="宋体" w:hint="default"/>
                <w:sz w:val="21"/>
                <w:szCs w:val="21"/>
              </w:rPr>
            </w:pPr>
            <w:r>
              <w:rPr>
                <w:rFonts w:ascii="宋体" w:hAnsi="宋体" w:cs="宋体" w:eastAsia="宋体" w:hint="default"/>
                <w:sz w:val="21"/>
                <w:szCs w:val="21"/>
              </w:rPr>
              <w:t>长期摊销费用类别</w:t>
            </w:r>
          </w:p>
        </w:tc>
        <w:tc>
          <w:tcPr>
            <w:tcW w:w="3719" w:type="dxa"/>
            <w:tcBorders>
              <w:top w:val="single" w:sz="6" w:space="0" w:color="000000"/>
              <w:left w:val="nil" w:sz="6" w:space="0" w:color="auto"/>
              <w:bottom w:val="single" w:sz="6" w:space="0" w:color="000000"/>
              <w:right w:val="nil" w:sz="6" w:space="0" w:color="auto"/>
            </w:tcBorders>
          </w:tcPr>
          <w:p>
            <w:pPr>
              <w:pStyle w:val="TableParagraph"/>
              <w:spacing w:line="250" w:lineRule="exact"/>
              <w:ind w:left="245" w:right="0"/>
              <w:jc w:val="center"/>
              <w:rPr>
                <w:rFonts w:ascii="宋体" w:hAnsi="宋体" w:cs="宋体" w:eastAsia="宋体" w:hint="default"/>
                <w:sz w:val="21"/>
                <w:szCs w:val="21"/>
              </w:rPr>
            </w:pPr>
            <w:r>
              <w:rPr>
                <w:rFonts w:ascii="宋体" w:hAnsi="宋体" w:cs="宋体" w:eastAsia="宋体" w:hint="default"/>
                <w:sz w:val="21"/>
                <w:szCs w:val="21"/>
              </w:rPr>
              <w:t>摊销年限</w:t>
            </w:r>
          </w:p>
        </w:tc>
      </w:tr>
      <w:tr>
        <w:trPr>
          <w:trHeight w:val="272" w:hRule="exact"/>
        </w:trPr>
        <w:tc>
          <w:tcPr>
            <w:tcW w:w="4408" w:type="dxa"/>
            <w:tcBorders>
              <w:top w:val="single" w:sz="6" w:space="0" w:color="000000"/>
              <w:left w:val="nil" w:sz="6" w:space="0" w:color="auto"/>
              <w:bottom w:val="nil" w:sz="6" w:space="0" w:color="auto"/>
              <w:right w:val="nil" w:sz="6" w:space="0" w:color="auto"/>
            </w:tcBorders>
          </w:tcPr>
          <w:p>
            <w:pPr>
              <w:pStyle w:val="TableParagraph"/>
              <w:spacing w:line="253" w:lineRule="exact"/>
              <w:ind w:left="12" w:right="0"/>
              <w:jc w:val="left"/>
              <w:rPr>
                <w:rFonts w:ascii="宋体" w:hAnsi="宋体" w:cs="宋体" w:eastAsia="宋体" w:hint="default"/>
                <w:sz w:val="21"/>
                <w:szCs w:val="21"/>
              </w:rPr>
            </w:pPr>
            <w:r>
              <w:rPr>
                <w:rFonts w:ascii="宋体" w:hAnsi="宋体" w:cs="宋体" w:eastAsia="宋体" w:hint="default"/>
                <w:sz w:val="21"/>
                <w:szCs w:val="21"/>
              </w:rPr>
              <w:t>办公楼装修费</w:t>
            </w:r>
          </w:p>
        </w:tc>
        <w:tc>
          <w:tcPr>
            <w:tcW w:w="3719" w:type="dxa"/>
            <w:tcBorders>
              <w:top w:val="single" w:sz="6" w:space="0" w:color="000000"/>
              <w:left w:val="nil" w:sz="6" w:space="0" w:color="auto"/>
              <w:bottom w:val="nil" w:sz="6" w:space="0" w:color="auto"/>
              <w:right w:val="nil" w:sz="6" w:space="0" w:color="auto"/>
            </w:tcBorders>
          </w:tcPr>
          <w:p>
            <w:pPr>
              <w:pStyle w:val="TableParagraph"/>
              <w:spacing w:line="269" w:lineRule="exact"/>
              <w:ind w:left="603"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60</w:t>
            </w:r>
            <w:r>
              <w:rPr>
                <w:rFonts w:ascii="宋体" w:hAnsi="宋体" w:cs="宋体" w:eastAsia="宋体" w:hint="default"/>
                <w:sz w:val="21"/>
                <w:szCs w:val="21"/>
              </w:rPr>
              <w:t>个月</w:t>
            </w:r>
          </w:p>
        </w:tc>
      </w:tr>
    </w:tbl>
    <w:p>
      <w:pPr>
        <w:spacing w:after="0" w:line="269" w:lineRule="exact"/>
        <w:jc w:val="center"/>
        <w:rPr>
          <w:rFonts w:ascii="宋体" w:hAnsi="宋体" w:cs="宋体" w:eastAsia="宋体" w:hint="default"/>
          <w:sz w:val="21"/>
          <w:szCs w:val="21"/>
        </w:rPr>
        <w:sectPr>
          <w:pgSz w:w="11910" w:h="16840"/>
          <w:pgMar w:header="880" w:footer="979" w:top="1120" w:bottom="1160" w:left="980" w:right="920"/>
        </w:sectPr>
      </w:pPr>
    </w:p>
    <w:p>
      <w:pPr>
        <w:spacing w:line="240" w:lineRule="auto" w:before="5"/>
        <w:rPr>
          <w:rFonts w:ascii="宋体" w:hAnsi="宋体" w:cs="宋体" w:eastAsia="宋体" w:hint="default"/>
          <w:b/>
          <w:bCs/>
          <w:sz w:val="3"/>
          <w:szCs w:val="3"/>
        </w:rPr>
      </w:pPr>
    </w:p>
    <w:tbl>
      <w:tblPr>
        <w:tblW w:w="0" w:type="auto"/>
        <w:jc w:val="left"/>
        <w:tblInd w:w="123" w:type="dxa"/>
        <w:tblLayout w:type="fixed"/>
        <w:tblCellMar>
          <w:top w:w="0" w:type="dxa"/>
          <w:left w:w="0" w:type="dxa"/>
          <w:bottom w:w="0" w:type="dxa"/>
          <w:right w:w="0" w:type="dxa"/>
        </w:tblCellMar>
        <w:tblLook w:val="01E0"/>
      </w:tblPr>
      <w:tblGrid>
        <w:gridCol w:w="3839"/>
        <w:gridCol w:w="4316"/>
      </w:tblGrid>
      <w:tr>
        <w:trPr>
          <w:trHeight w:val="334" w:hRule="exact"/>
        </w:trPr>
        <w:tc>
          <w:tcPr>
            <w:tcW w:w="3839" w:type="dxa"/>
            <w:tcBorders>
              <w:top w:val="nil" w:sz="6" w:space="0" w:color="auto"/>
              <w:left w:val="nil" w:sz="6" w:space="0" w:color="auto"/>
              <w:bottom w:val="single" w:sz="6" w:space="0" w:color="000000"/>
              <w:right w:val="nil" w:sz="6" w:space="0" w:color="auto"/>
            </w:tcBorders>
          </w:tcPr>
          <w:p>
            <w:pPr/>
          </w:p>
        </w:tc>
        <w:tc>
          <w:tcPr>
            <w:tcW w:w="4316" w:type="dxa"/>
            <w:tcBorders>
              <w:top w:val="nil" w:sz="6" w:space="0" w:color="auto"/>
              <w:left w:val="nil" w:sz="6" w:space="0" w:color="auto"/>
              <w:bottom w:val="single" w:sz="6" w:space="0" w:color="000000"/>
              <w:right w:val="nil" w:sz="6" w:space="0" w:color="auto"/>
            </w:tcBorders>
          </w:tcPr>
          <w:p>
            <w:pPr/>
          </w:p>
        </w:tc>
      </w:tr>
      <w:tr>
        <w:trPr>
          <w:trHeight w:val="307" w:hRule="exact"/>
        </w:trPr>
        <w:tc>
          <w:tcPr>
            <w:tcW w:w="3839" w:type="dxa"/>
            <w:tcBorders>
              <w:top w:val="single" w:sz="6" w:space="0" w:color="000000"/>
              <w:left w:val="nil" w:sz="6" w:space="0" w:color="auto"/>
              <w:bottom w:val="single" w:sz="6" w:space="0" w:color="000000"/>
              <w:right w:val="nil" w:sz="6" w:space="0" w:color="auto"/>
            </w:tcBorders>
          </w:tcPr>
          <w:p>
            <w:pPr>
              <w:pStyle w:val="TableParagraph"/>
              <w:spacing w:line="250" w:lineRule="exact"/>
              <w:ind w:left="40" w:right="0"/>
              <w:jc w:val="left"/>
              <w:rPr>
                <w:rFonts w:ascii="宋体" w:hAnsi="宋体" w:cs="宋体" w:eastAsia="宋体" w:hint="default"/>
                <w:sz w:val="21"/>
                <w:szCs w:val="21"/>
              </w:rPr>
            </w:pPr>
            <w:r>
              <w:rPr>
                <w:rFonts w:ascii="宋体" w:hAnsi="宋体" w:cs="宋体" w:eastAsia="宋体" w:hint="default"/>
                <w:sz w:val="21"/>
                <w:szCs w:val="21"/>
              </w:rPr>
              <w:t>仓库装修费</w:t>
            </w:r>
          </w:p>
        </w:tc>
        <w:tc>
          <w:tcPr>
            <w:tcW w:w="4316" w:type="dxa"/>
            <w:tcBorders>
              <w:top w:val="single" w:sz="6" w:space="0" w:color="000000"/>
              <w:left w:val="nil" w:sz="6" w:space="0" w:color="auto"/>
              <w:bottom w:val="single" w:sz="6" w:space="0" w:color="000000"/>
              <w:right w:val="nil" w:sz="6" w:space="0" w:color="auto"/>
            </w:tcBorders>
          </w:tcPr>
          <w:p>
            <w:pPr>
              <w:pStyle w:val="TableParagraph"/>
              <w:spacing w:line="266" w:lineRule="exact"/>
              <w:ind w:right="1238"/>
              <w:jc w:val="right"/>
              <w:rPr>
                <w:rFonts w:ascii="宋体" w:hAnsi="宋体" w:cs="宋体" w:eastAsia="宋体" w:hint="default"/>
                <w:sz w:val="21"/>
                <w:szCs w:val="21"/>
              </w:rPr>
            </w:pPr>
            <w:r>
              <w:rPr>
                <w:rFonts w:ascii="Times New Roman" w:hAnsi="Times New Roman" w:cs="Times New Roman" w:eastAsia="Times New Roman" w:hint="default"/>
                <w:sz w:val="21"/>
                <w:szCs w:val="21"/>
              </w:rPr>
              <w:t>29</w:t>
            </w:r>
            <w:r>
              <w:rPr>
                <w:rFonts w:ascii="宋体" w:hAnsi="宋体" w:cs="宋体" w:eastAsia="宋体" w:hint="default"/>
                <w:sz w:val="21"/>
                <w:szCs w:val="21"/>
              </w:rPr>
              <w:t>个月</w:t>
            </w:r>
          </w:p>
        </w:tc>
      </w:tr>
      <w:tr>
        <w:trPr>
          <w:trHeight w:val="272" w:hRule="exact"/>
        </w:trPr>
        <w:tc>
          <w:tcPr>
            <w:tcW w:w="3839" w:type="dxa"/>
            <w:tcBorders>
              <w:top w:val="single" w:sz="6" w:space="0" w:color="000000"/>
              <w:left w:val="nil" w:sz="6" w:space="0" w:color="auto"/>
              <w:bottom w:val="nil" w:sz="6" w:space="0" w:color="auto"/>
              <w:right w:val="nil" w:sz="6" w:space="0" w:color="auto"/>
            </w:tcBorders>
          </w:tcPr>
          <w:p>
            <w:pPr>
              <w:pStyle w:val="TableParagraph"/>
              <w:spacing w:line="269" w:lineRule="exact"/>
              <w:ind w:left="40" w:right="0"/>
              <w:jc w:val="left"/>
              <w:rPr>
                <w:rFonts w:ascii="宋体" w:hAnsi="宋体" w:cs="宋体" w:eastAsia="宋体" w:hint="default"/>
                <w:sz w:val="21"/>
                <w:szCs w:val="21"/>
              </w:rPr>
            </w:pPr>
            <w:r>
              <w:rPr>
                <w:rFonts w:ascii="宋体" w:hAnsi="宋体" w:cs="宋体" w:eastAsia="宋体" w:hint="default"/>
                <w:sz w:val="21"/>
                <w:szCs w:val="21"/>
              </w:rPr>
              <w:t>企业</w:t>
            </w:r>
            <w:r>
              <w:rPr>
                <w:rFonts w:ascii="Times New Roman" w:hAnsi="Times New Roman" w:cs="Times New Roman" w:eastAsia="Times New Roman" w:hint="default"/>
                <w:sz w:val="21"/>
                <w:szCs w:val="21"/>
              </w:rPr>
              <w:t>QQ</w:t>
            </w:r>
            <w:r>
              <w:rPr>
                <w:rFonts w:ascii="宋体" w:hAnsi="宋体" w:cs="宋体" w:eastAsia="宋体" w:hint="default"/>
                <w:sz w:val="21"/>
                <w:szCs w:val="21"/>
              </w:rPr>
              <w:t>服务费</w:t>
            </w:r>
          </w:p>
        </w:tc>
        <w:tc>
          <w:tcPr>
            <w:tcW w:w="4316" w:type="dxa"/>
            <w:tcBorders>
              <w:top w:val="single" w:sz="6" w:space="0" w:color="000000"/>
              <w:left w:val="nil" w:sz="6" w:space="0" w:color="auto"/>
              <w:bottom w:val="nil" w:sz="6" w:space="0" w:color="auto"/>
              <w:right w:val="nil" w:sz="6" w:space="0" w:color="auto"/>
            </w:tcBorders>
          </w:tcPr>
          <w:p>
            <w:pPr>
              <w:pStyle w:val="TableParagraph"/>
              <w:spacing w:line="269" w:lineRule="exact"/>
              <w:ind w:right="1238"/>
              <w:jc w:val="right"/>
              <w:rPr>
                <w:rFonts w:ascii="宋体" w:hAnsi="宋体" w:cs="宋体" w:eastAsia="宋体" w:hint="default"/>
                <w:sz w:val="21"/>
                <w:szCs w:val="21"/>
              </w:rPr>
            </w:pPr>
            <w:r>
              <w:rPr>
                <w:rFonts w:ascii="Times New Roman" w:hAnsi="Times New Roman" w:cs="Times New Roman" w:eastAsia="Times New Roman" w:hint="default"/>
                <w:sz w:val="21"/>
                <w:szCs w:val="21"/>
              </w:rPr>
              <w:t>48</w:t>
            </w:r>
            <w:r>
              <w:rPr>
                <w:rFonts w:ascii="宋体" w:hAnsi="宋体" w:cs="宋体" w:eastAsia="宋体" w:hint="default"/>
                <w:sz w:val="21"/>
                <w:szCs w:val="21"/>
              </w:rPr>
              <w:t>个月</w:t>
            </w:r>
          </w:p>
        </w:tc>
      </w:tr>
    </w:tbl>
    <w:p>
      <w:pPr>
        <w:spacing w:line="240" w:lineRule="auto" w:before="7"/>
        <w:rPr>
          <w:rFonts w:ascii="宋体" w:hAnsi="宋体" w:cs="宋体" w:eastAsia="宋体" w:hint="default"/>
          <w:b/>
          <w:bCs/>
          <w:sz w:val="10"/>
          <w:szCs w:val="10"/>
        </w:rPr>
      </w:pPr>
    </w:p>
    <w:p>
      <w:pPr>
        <w:pStyle w:val="BodyText"/>
        <w:spacing w:line="273" w:lineRule="auto" w:before="36"/>
        <w:ind w:left="572" w:right="0" w:firstLine="2"/>
        <w:jc w:val="left"/>
      </w:pPr>
      <w:r>
        <w:rPr/>
        <w:pict>
          <v:group style="position:absolute;margin-left:55.200001pt;margin-top:-52.536312pt;width:484.8pt;height:.1pt;mso-position-horizontal-relative:page;mso-position-vertical-relative:paragraph;z-index:-1158448" coordorigin="1104,-1051" coordsize="9696,2">
            <v:shape style="position:absolute;left:1104;top:-1051;width:9696;height:2" coordorigin="1104,-1051" coordsize="9696,0" path="m1104,-1051l10800,-1051e" filled="false" stroked="true" strokeweight=".72pt" strokecolor="#000000">
              <v:path arrowok="t"/>
            </v:shape>
            <w10:wrap type="none"/>
          </v:group>
        </w:pict>
      </w:r>
      <w:r>
        <w:rPr>
          <w:rFonts w:ascii="宋体" w:hAnsi="宋体" w:cs="宋体" w:eastAsia="宋体" w:hint="default"/>
          <w:b/>
          <w:bCs/>
        </w:rPr>
        <w:t>（十九）职工薪酬</w:t>
      </w:r>
      <w:r>
        <w:rPr>
          <w:rFonts w:ascii="宋体" w:hAnsi="宋体" w:cs="宋体" w:eastAsia="宋体" w:hint="default"/>
          <w:b/>
          <w:bCs/>
          <w:w w:val="100"/>
        </w:rPr>
        <w:t> </w:t>
      </w:r>
      <w:r>
        <w:rPr>
          <w:spacing w:val="-2"/>
        </w:rPr>
        <w:t>职工薪酬，是指本公司为获得职工提供的服务或解除劳动关系而给予的各种形式的报酬或补偿。职工</w:t>
      </w:r>
    </w:p>
    <w:p>
      <w:pPr>
        <w:pStyle w:val="BodyText"/>
        <w:spacing w:line="240" w:lineRule="auto" w:before="7"/>
        <w:ind w:right="0"/>
        <w:jc w:val="left"/>
      </w:pPr>
      <w:r>
        <w:rPr/>
        <w:t>薪酬包括短期薪酬、离职后福利、辞退福利和其他长期职工福利。</w:t>
      </w:r>
    </w:p>
    <w:p>
      <w:pPr>
        <w:pStyle w:val="Heading5"/>
        <w:spacing w:line="240" w:lineRule="auto" w:before="37"/>
        <w:ind w:right="0"/>
        <w:jc w:val="left"/>
        <w:rPr>
          <w:b w:val="0"/>
          <w:bCs w:val="0"/>
        </w:rPr>
      </w:pPr>
      <w:r>
        <w:rPr>
          <w:rFonts w:ascii="宋体" w:hAnsi="宋体" w:cs="宋体" w:eastAsia="宋体" w:hint="default"/>
        </w:rPr>
        <w:t>1.</w:t>
      </w:r>
      <w:r>
        <w:rPr>
          <w:rFonts w:ascii="宋体" w:hAnsi="宋体" w:cs="宋体" w:eastAsia="宋体" w:hint="default"/>
          <w:spacing w:val="40"/>
        </w:rPr>
        <w:t> </w:t>
      </w:r>
      <w:r>
        <w:rPr/>
        <w:t>短期薪酬</w:t>
      </w:r>
      <w:r>
        <w:rPr>
          <w:b w:val="0"/>
          <w:bCs w:val="0"/>
        </w:rPr>
      </w:r>
    </w:p>
    <w:p>
      <w:pPr>
        <w:pStyle w:val="BodyText"/>
        <w:spacing w:line="273" w:lineRule="auto" w:before="37"/>
        <w:ind w:left="512" w:right="148" w:firstLine="420"/>
        <w:jc w:val="both"/>
      </w:pPr>
      <w:r>
        <w:rPr>
          <w:spacing w:val="-1"/>
        </w:rPr>
        <w:t>短期薪酬是指本公司在职工提供相关服务的年度报告期间结束后十二个月内需要全部予以支付的</w:t>
      </w:r>
      <w:r>
        <w:rPr>
          <w:w w:val="100"/>
        </w:rPr>
        <w:t> </w:t>
      </w:r>
      <w:r>
        <w:rPr>
          <w:spacing w:val="-1"/>
        </w:rPr>
        <w:t>职工薪酬，离职后福利和辞退福利除外。本公司在职工提供服务的会计期间，将应付的短期薪酬确认</w:t>
      </w:r>
      <w:r>
        <w:rPr>
          <w:spacing w:val="-21"/>
        </w:rPr>
        <w:t> </w:t>
      </w:r>
      <w:r>
        <w:rPr>
          <w:spacing w:val="-21"/>
        </w:rPr>
      </w:r>
      <w:r>
        <w:rPr/>
        <w:t>为负债，并根据职工提供服务的受益对象计入相关资产成本和费用。</w:t>
      </w:r>
    </w:p>
    <w:p>
      <w:pPr>
        <w:pStyle w:val="Heading5"/>
        <w:spacing w:line="240" w:lineRule="auto" w:before="8"/>
        <w:ind w:right="0"/>
        <w:jc w:val="left"/>
        <w:rPr>
          <w:b w:val="0"/>
          <w:bCs w:val="0"/>
        </w:rPr>
      </w:pPr>
      <w:r>
        <w:rPr>
          <w:rFonts w:ascii="宋体" w:hAnsi="宋体" w:cs="宋体" w:eastAsia="宋体" w:hint="default"/>
        </w:rPr>
        <w:t>1.</w:t>
      </w:r>
      <w:r>
        <w:rPr>
          <w:rFonts w:ascii="宋体" w:hAnsi="宋体" w:cs="宋体" w:eastAsia="宋体" w:hint="default"/>
          <w:spacing w:val="40"/>
        </w:rPr>
        <w:t> </w:t>
      </w:r>
      <w:r>
        <w:rPr/>
        <w:t>离职后福利</w:t>
      </w:r>
      <w:r>
        <w:rPr>
          <w:b w:val="0"/>
          <w:bCs w:val="0"/>
        </w:rPr>
      </w:r>
    </w:p>
    <w:p>
      <w:pPr>
        <w:pStyle w:val="BodyText"/>
        <w:spacing w:line="273" w:lineRule="auto" w:before="37"/>
        <w:ind w:left="512" w:right="148" w:firstLine="420"/>
        <w:jc w:val="both"/>
      </w:pPr>
      <w:r>
        <w:rPr>
          <w:spacing w:val="-1"/>
        </w:rPr>
        <w:t>离职后福利是指本公司为获得职工提供的服务而在职工退休或与企业解除劳动关系后，提供的各</w:t>
      </w:r>
      <w:r>
        <w:rPr>
          <w:w w:val="100"/>
        </w:rPr>
        <w:t> </w:t>
      </w:r>
      <w:r>
        <w:rPr>
          <w:spacing w:val="-1"/>
        </w:rPr>
        <w:t>种形式的报酬和福利，短期薪酬和辞退福利除外。离职后福利计划分类为设定提存计划和设定受益计</w:t>
      </w:r>
      <w:r>
        <w:rPr>
          <w:spacing w:val="-21"/>
        </w:rPr>
        <w:t> </w:t>
      </w:r>
      <w:r>
        <w:rPr>
          <w:spacing w:val="-21"/>
        </w:rPr>
      </w:r>
      <w:r>
        <w:rPr/>
        <w:t>划。</w:t>
      </w:r>
    </w:p>
    <w:p>
      <w:pPr>
        <w:pStyle w:val="BodyText"/>
        <w:spacing w:line="273" w:lineRule="auto" w:before="7"/>
        <w:ind w:left="512" w:right="148" w:firstLine="420"/>
        <w:jc w:val="both"/>
      </w:pPr>
      <w:r>
        <w:rPr>
          <w:spacing w:val="-1"/>
        </w:rPr>
        <w:t>离职后福利设定提存计划主要为参加由各地劳动及社会保障机构组织实施的社会基本养老保险、</w:t>
      </w:r>
      <w:r>
        <w:rPr>
          <w:w w:val="100"/>
        </w:rPr>
        <w:t> </w:t>
      </w:r>
      <w:r>
        <w:rPr>
          <w:spacing w:val="-1"/>
        </w:rPr>
        <w:t>失业保险等。在职工为本公司提供服务的会计期间，将根据设定提存计划计算的应缴存金额确认为负</w:t>
      </w:r>
      <w:r>
        <w:rPr>
          <w:spacing w:val="-21"/>
        </w:rPr>
        <w:t> </w:t>
      </w:r>
      <w:r>
        <w:rPr>
          <w:spacing w:val="-21"/>
        </w:rPr>
      </w:r>
      <w:r>
        <w:rPr/>
        <w:t>债，并计入当期损益或相关资产成本。</w:t>
      </w:r>
    </w:p>
    <w:p>
      <w:pPr>
        <w:pStyle w:val="BodyText"/>
        <w:spacing w:line="240" w:lineRule="auto" w:before="7"/>
        <w:ind w:left="932" w:right="0"/>
        <w:jc w:val="left"/>
      </w:pPr>
      <w:r>
        <w:rPr/>
        <w:t>本公司按照国家规定的标准定期缴付上述款项后，不再有其他的支付义务。</w:t>
      </w:r>
    </w:p>
    <w:p>
      <w:pPr>
        <w:pStyle w:val="Heading5"/>
        <w:spacing w:line="240" w:lineRule="auto" w:before="37"/>
        <w:ind w:right="0"/>
        <w:jc w:val="left"/>
        <w:rPr>
          <w:b w:val="0"/>
          <w:bCs w:val="0"/>
        </w:rPr>
      </w:pPr>
      <w:r>
        <w:rPr>
          <w:rFonts w:ascii="宋体" w:hAnsi="宋体" w:cs="宋体" w:eastAsia="宋体" w:hint="default"/>
        </w:rPr>
        <w:t>1.</w:t>
      </w:r>
      <w:r>
        <w:rPr>
          <w:rFonts w:ascii="宋体" w:hAnsi="宋体" w:cs="宋体" w:eastAsia="宋体" w:hint="default"/>
          <w:spacing w:val="40"/>
        </w:rPr>
        <w:t> </w:t>
      </w:r>
      <w:r>
        <w:rPr/>
        <w:t>辞退福利</w:t>
      </w:r>
      <w:r>
        <w:rPr>
          <w:b w:val="0"/>
          <w:bCs w:val="0"/>
        </w:rPr>
      </w:r>
    </w:p>
    <w:p>
      <w:pPr>
        <w:pStyle w:val="BodyText"/>
        <w:spacing w:line="273" w:lineRule="auto" w:before="37"/>
        <w:ind w:left="512" w:right="148" w:firstLine="420"/>
        <w:jc w:val="both"/>
      </w:pPr>
      <w:r>
        <w:rPr>
          <w:spacing w:val="-1"/>
        </w:rPr>
        <w:t>辞退福利是指本公司在职工劳动合同到期之前解除与职工的劳动关系，或者为鼓励职工自愿接受</w:t>
      </w:r>
      <w:r>
        <w:rPr>
          <w:w w:val="100"/>
        </w:rPr>
        <w:t> </w:t>
      </w:r>
      <w:r>
        <w:rPr/>
        <w:t>裁减而给予职工的补偿，在发生当期计入当期损益。</w:t>
      </w:r>
    </w:p>
    <w:p>
      <w:pPr>
        <w:pStyle w:val="BodyText"/>
        <w:spacing w:line="273" w:lineRule="auto" w:before="8"/>
        <w:ind w:left="572" w:right="0" w:hanging="420"/>
        <w:jc w:val="left"/>
      </w:pPr>
      <w:r>
        <w:rPr>
          <w:rFonts w:ascii="宋体" w:hAnsi="宋体" w:cs="宋体" w:eastAsia="宋体" w:hint="default"/>
          <w:b/>
          <w:bCs/>
        </w:rPr>
        <w:t>1.</w:t>
      </w:r>
      <w:r>
        <w:rPr>
          <w:rFonts w:ascii="宋体" w:hAnsi="宋体" w:cs="宋体" w:eastAsia="宋体" w:hint="default"/>
          <w:b/>
          <w:bCs/>
          <w:spacing w:val="41"/>
        </w:rPr>
        <w:t> </w:t>
      </w:r>
      <w:r>
        <w:rPr>
          <w:rFonts w:ascii="宋体" w:hAnsi="宋体" w:cs="宋体" w:eastAsia="宋体" w:hint="default"/>
          <w:b/>
          <w:bCs/>
        </w:rPr>
        <w:t>其他长期职工福利</w:t>
      </w:r>
      <w:r>
        <w:rPr>
          <w:rFonts w:ascii="宋体" w:hAnsi="宋体" w:cs="宋体" w:eastAsia="宋体" w:hint="default"/>
          <w:b/>
          <w:bCs/>
          <w:w w:val="100"/>
        </w:rPr>
        <w:t> </w:t>
      </w:r>
      <w:r>
        <w:rPr/>
        <w:t>其他长期职工福利是指除短期薪酬、离职后福利、辞退福利之外的其他所有职工福利。</w:t>
      </w:r>
      <w:r>
        <w:rPr>
          <w:w w:val="100"/>
        </w:rPr>
        <w:t> </w:t>
      </w:r>
      <w:r>
        <w:rPr>
          <w:spacing w:val="-2"/>
        </w:rPr>
        <w:t>对符合设定提存计划条件的其他长期职工福利，在职工为本公司提供服务的会计期间，将应缴存金额</w:t>
      </w:r>
    </w:p>
    <w:p>
      <w:pPr>
        <w:pStyle w:val="BodyText"/>
        <w:spacing w:line="240" w:lineRule="auto" w:before="7"/>
        <w:ind w:right="0"/>
        <w:jc w:val="left"/>
      </w:pPr>
      <w:r>
        <w:rPr/>
        <w:t>确认为负债，并计入当期损益或相关资产成本。</w:t>
      </w:r>
    </w:p>
    <w:p>
      <w:pPr>
        <w:spacing w:line="240" w:lineRule="auto" w:before="10"/>
        <w:rPr>
          <w:rFonts w:ascii="宋体" w:hAnsi="宋体" w:cs="宋体" w:eastAsia="宋体" w:hint="default"/>
          <w:sz w:val="14"/>
          <w:szCs w:val="14"/>
        </w:rPr>
      </w:pPr>
    </w:p>
    <w:p>
      <w:pPr>
        <w:pStyle w:val="Heading5"/>
        <w:spacing w:line="240" w:lineRule="auto"/>
        <w:ind w:left="575" w:right="0"/>
        <w:jc w:val="left"/>
        <w:rPr>
          <w:b w:val="0"/>
          <w:bCs w:val="0"/>
        </w:rPr>
      </w:pPr>
      <w:r>
        <w:rPr/>
        <w:t>（二十）预计负债</w:t>
      </w:r>
      <w:r>
        <w:rPr>
          <w:b w:val="0"/>
          <w:bCs w:val="0"/>
        </w:rPr>
      </w:r>
    </w:p>
    <w:p>
      <w:pPr>
        <w:pStyle w:val="BodyText"/>
        <w:spacing w:line="273" w:lineRule="auto" w:before="37"/>
        <w:ind w:left="932" w:right="1894" w:firstLine="2"/>
        <w:jc w:val="left"/>
      </w:pPr>
      <w:r>
        <w:rPr>
          <w:rFonts w:ascii="宋体" w:hAnsi="宋体" w:cs="宋体" w:eastAsia="宋体" w:hint="default"/>
          <w:b/>
          <w:bCs/>
        </w:rPr>
        <w:t>1.</w:t>
      </w:r>
      <w:r>
        <w:rPr>
          <w:rFonts w:ascii="宋体" w:hAnsi="宋体" w:cs="宋体" w:eastAsia="宋体" w:hint="default"/>
          <w:b/>
          <w:bCs/>
          <w:spacing w:val="41"/>
        </w:rPr>
        <w:t> </w:t>
      </w:r>
      <w:r>
        <w:rPr>
          <w:rFonts w:ascii="宋体" w:hAnsi="宋体" w:cs="宋体" w:eastAsia="宋体" w:hint="default"/>
          <w:b/>
          <w:bCs/>
        </w:rPr>
        <w:t>预计负债的确认标准</w:t>
      </w:r>
      <w:r>
        <w:rPr>
          <w:rFonts w:ascii="宋体" w:hAnsi="宋体" w:cs="宋体" w:eastAsia="宋体" w:hint="default"/>
          <w:b/>
          <w:bCs/>
          <w:w w:val="100"/>
        </w:rPr>
        <w:t> </w:t>
      </w:r>
      <w:r>
        <w:rPr>
          <w:spacing w:val="-2"/>
        </w:rPr>
        <w:t>与或有事项相关的义务同时满足下列条件时，本公司确认为预计负债：</w:t>
      </w:r>
      <w:r>
        <w:rPr>
          <w:spacing w:val="-45"/>
        </w:rPr>
        <w:t> </w:t>
      </w:r>
      <w:r>
        <w:rPr>
          <w:spacing w:val="-45"/>
        </w:rPr>
      </w:r>
      <w:r>
        <w:rPr/>
        <w:t>该义务是本公司承担的现时义务；</w:t>
      </w:r>
      <w:r>
        <w:rPr>
          <w:w w:val="100"/>
        </w:rPr>
        <w:t> </w:t>
      </w:r>
      <w:r>
        <w:rPr/>
        <w:t>履行该义务很可能导致经济利益流出本公司；</w:t>
      </w:r>
      <w:r>
        <w:rPr>
          <w:w w:val="100"/>
        </w:rPr>
        <w:t> </w:t>
      </w:r>
      <w:r>
        <w:rPr/>
        <w:t>该义务的金额能够可靠地计量。</w:t>
      </w:r>
    </w:p>
    <w:p>
      <w:pPr>
        <w:pStyle w:val="BodyText"/>
        <w:spacing w:line="273" w:lineRule="auto" w:before="8"/>
        <w:ind w:left="572" w:right="0" w:firstLine="2"/>
        <w:jc w:val="left"/>
      </w:pPr>
      <w:r>
        <w:rPr>
          <w:rFonts w:ascii="宋体" w:hAnsi="宋体" w:cs="宋体" w:eastAsia="宋体" w:hint="default"/>
          <w:b/>
          <w:bCs/>
        </w:rPr>
        <w:t>1.</w:t>
      </w:r>
      <w:r>
        <w:rPr>
          <w:rFonts w:ascii="宋体" w:hAnsi="宋体" w:cs="宋体" w:eastAsia="宋体" w:hint="default"/>
          <w:b/>
          <w:bCs/>
          <w:spacing w:val="41"/>
        </w:rPr>
        <w:t> </w:t>
      </w:r>
      <w:r>
        <w:rPr>
          <w:rFonts w:ascii="宋体" w:hAnsi="宋体" w:cs="宋体" w:eastAsia="宋体" w:hint="default"/>
          <w:b/>
          <w:bCs/>
        </w:rPr>
        <w:t>预计负债的计量方法</w:t>
      </w:r>
      <w:r>
        <w:rPr>
          <w:rFonts w:ascii="宋体" w:hAnsi="宋体" w:cs="宋体" w:eastAsia="宋体" w:hint="default"/>
          <w:b/>
          <w:bCs/>
          <w:w w:val="100"/>
        </w:rPr>
        <w:t> </w:t>
      </w:r>
      <w:r>
        <w:rPr/>
        <w:t>本公司预计负债按履行相关现时义务所需的支出的最佳估计数进行初始计量。</w:t>
      </w:r>
      <w:r>
        <w:rPr>
          <w:w w:val="100"/>
        </w:rPr>
        <w:t> </w:t>
      </w:r>
      <w:r>
        <w:rPr>
          <w:spacing w:val="-2"/>
        </w:rPr>
        <w:t>本公司在确定最佳估计数时，综合考虑与或有事项有关的风险、不确定性和货币时间价值等因素。对</w:t>
      </w:r>
    </w:p>
    <w:p>
      <w:pPr>
        <w:pStyle w:val="BodyText"/>
        <w:spacing w:line="273" w:lineRule="auto" w:before="7"/>
        <w:ind w:left="572" w:right="0" w:hanging="421"/>
        <w:jc w:val="left"/>
      </w:pPr>
      <w:r>
        <w:rPr/>
        <w:t>于货币时间价值影响重大的，通过对相关未来现金流出进行折现后确定最佳估计数。</w:t>
      </w:r>
      <w:r>
        <w:rPr>
          <w:w w:val="100"/>
        </w:rPr>
        <w:t> </w:t>
      </w:r>
      <w:r>
        <w:rPr/>
        <w:t>最佳估计数分别以下情况处理：</w:t>
      </w:r>
      <w:r>
        <w:rPr>
          <w:w w:val="100"/>
        </w:rPr>
        <w:t> </w:t>
      </w:r>
      <w:r>
        <w:rPr>
          <w:spacing w:val="-2"/>
        </w:rPr>
        <w:t>所需支出存在一个连续范围（或区间），且该范围内各种结果发生的可能性相同的，则最佳估计数按</w:t>
      </w:r>
    </w:p>
    <w:p>
      <w:pPr>
        <w:pStyle w:val="BodyText"/>
        <w:spacing w:line="273" w:lineRule="auto" w:before="7"/>
        <w:ind w:left="572" w:right="0" w:hanging="420"/>
        <w:jc w:val="left"/>
      </w:pPr>
      <w:r>
        <w:rPr/>
        <w:t>照该范围的中间值即上下限金额的平均数确定。</w:t>
      </w:r>
      <w:r>
        <w:rPr>
          <w:w w:val="100"/>
        </w:rPr>
        <w:t> </w:t>
      </w:r>
      <w:r>
        <w:rPr>
          <w:spacing w:val="-2"/>
        </w:rPr>
        <w:t>所需支出不存在一个连续范围（或区间），或虽然存在一个连续范围但该范围内各种结果发生的可能</w:t>
      </w:r>
    </w:p>
    <w:p>
      <w:pPr>
        <w:pStyle w:val="BodyText"/>
        <w:spacing w:line="273" w:lineRule="auto" w:before="7"/>
        <w:ind w:right="0"/>
        <w:jc w:val="left"/>
      </w:pPr>
      <w:r>
        <w:rPr>
          <w:spacing w:val="-2"/>
        </w:rPr>
        <w:t>性不相同的，如或有事项涉及单个项目的，则最佳估计数按照最可能发生金额确定；如或有事项涉及多个</w:t>
      </w:r>
      <w:r>
        <w:rPr>
          <w:spacing w:val="-43"/>
        </w:rPr>
        <w:t> </w:t>
      </w:r>
      <w:r>
        <w:rPr>
          <w:spacing w:val="-43"/>
        </w:rPr>
      </w:r>
      <w:r>
        <w:rPr/>
        <w:t>项目的，则最佳估计数按各种可能结果及相关概率计算确定。</w:t>
      </w:r>
    </w:p>
    <w:p>
      <w:pPr>
        <w:pStyle w:val="BodyText"/>
        <w:spacing w:line="273" w:lineRule="auto" w:before="7"/>
        <w:ind w:right="0" w:firstLine="420"/>
        <w:jc w:val="left"/>
      </w:pPr>
      <w:r>
        <w:rPr>
          <w:spacing w:val="-2"/>
        </w:rPr>
        <w:t>本公司清偿预计负债所需支出全部或部分预期由第三方补偿的，补偿金额在基本确定能够收到时，作</w:t>
      </w:r>
      <w:r>
        <w:rPr>
          <w:w w:val="100"/>
        </w:rPr>
        <w:t> </w:t>
      </w:r>
      <w:r>
        <w:rPr/>
        <w:t>为资产单独确认，确认的补偿金额不超过预计负债的账面价值。</w:t>
      </w:r>
    </w:p>
    <w:p>
      <w:pPr>
        <w:pStyle w:val="Heading5"/>
        <w:spacing w:line="240" w:lineRule="auto" w:before="8"/>
        <w:ind w:left="575" w:right="0"/>
        <w:jc w:val="left"/>
        <w:rPr>
          <w:b w:val="0"/>
          <w:bCs w:val="0"/>
        </w:rPr>
      </w:pPr>
      <w:r>
        <w:rPr/>
        <w:t>（二十一）收入确认</w:t>
      </w:r>
      <w:r>
        <w:rPr>
          <w:b w:val="0"/>
          <w:bCs w:val="0"/>
        </w:rPr>
      </w:r>
    </w:p>
    <w:p>
      <w:pPr>
        <w:spacing w:after="0" w:line="240" w:lineRule="auto"/>
        <w:jc w:val="left"/>
        <w:sectPr>
          <w:pgSz w:w="11910" w:h="16840"/>
          <w:pgMar w:header="880" w:footer="979" w:top="1060" w:bottom="1160" w:left="980" w:right="98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b/>
          <w:bCs/>
          <w:sz w:val="20"/>
          <w:szCs w:val="20"/>
        </w:rPr>
      </w:pPr>
    </w:p>
    <w:p>
      <w:pPr>
        <w:spacing w:line="273" w:lineRule="auto" w:before="36"/>
        <w:ind w:left="1038" w:right="0" w:hanging="886"/>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41"/>
          <w:sz w:val="21"/>
          <w:szCs w:val="21"/>
        </w:rPr>
        <w:t> </w:t>
      </w:r>
      <w:r>
        <w:rPr>
          <w:rFonts w:ascii="宋体" w:hAnsi="宋体" w:cs="宋体" w:eastAsia="宋体" w:hint="default"/>
          <w:b/>
          <w:bCs/>
          <w:sz w:val="21"/>
          <w:szCs w:val="21"/>
        </w:rPr>
        <w:t>销售商品收入确认时间的具体判断标准</w:t>
      </w:r>
      <w:r>
        <w:rPr>
          <w:rFonts w:ascii="宋体" w:hAnsi="宋体" w:cs="宋体" w:eastAsia="宋体" w:hint="default"/>
          <w:b/>
          <w:bCs/>
          <w:w w:val="100"/>
          <w:sz w:val="21"/>
          <w:szCs w:val="21"/>
        </w:rPr>
        <w:t> </w:t>
      </w:r>
      <w:r>
        <w:rPr>
          <w:rFonts w:ascii="宋体" w:hAnsi="宋体" w:cs="宋体" w:eastAsia="宋体" w:hint="default"/>
          <w:spacing w:val="-3"/>
          <w:sz w:val="21"/>
          <w:szCs w:val="21"/>
        </w:rPr>
        <w:t>公司已将商品所有权上的主要风险和报酬转移给购买方；公司既没有保留与所有权相联系的继续</w:t>
      </w:r>
    </w:p>
    <w:p>
      <w:pPr>
        <w:pStyle w:val="BodyText"/>
        <w:spacing w:line="273" w:lineRule="auto" w:before="7"/>
        <w:ind w:left="512" w:right="148"/>
        <w:jc w:val="both"/>
      </w:pPr>
      <w:r>
        <w:rPr>
          <w:spacing w:val="-1"/>
        </w:rPr>
        <w:t>管理权，也没有对已售出的商品实施有效控制；收入的金额能够可靠地计量；相关的经济利益很可能</w:t>
      </w:r>
      <w:r>
        <w:rPr>
          <w:spacing w:val="-21"/>
        </w:rPr>
        <w:t> </w:t>
      </w:r>
      <w:r>
        <w:rPr>
          <w:spacing w:val="-21"/>
        </w:rPr>
      </w:r>
      <w:r>
        <w:rPr>
          <w:spacing w:val="-1"/>
        </w:rPr>
        <w:t>流入企业；相关的已发生或将发生的成本能够可靠地计量时，确认商品销售收入实现。各销售方式收</w:t>
      </w:r>
      <w:r>
        <w:rPr>
          <w:spacing w:val="-21"/>
        </w:rPr>
        <w:t> </w:t>
      </w:r>
      <w:r>
        <w:rPr>
          <w:spacing w:val="-21"/>
        </w:rPr>
      </w:r>
      <w:r>
        <w:rPr/>
        <w:t>入确认说明如下：</w:t>
      </w:r>
    </w:p>
    <w:p>
      <w:pPr>
        <w:pStyle w:val="BodyText"/>
        <w:spacing w:line="256" w:lineRule="auto" w:before="7"/>
        <w:ind w:left="932" w:right="0" w:hanging="209"/>
        <w:jc w:val="left"/>
      </w:pPr>
      <w:r>
        <w:rPr/>
        <w:t>（</w:t>
      </w:r>
      <w:r>
        <w:rPr>
          <w:rFonts w:ascii="Times New Roman" w:hAnsi="Times New Roman" w:cs="Times New Roman" w:eastAsia="Times New Roman" w:hint="default"/>
        </w:rPr>
        <w:t>1</w:t>
      </w:r>
      <w:r>
        <w:rPr/>
        <w:t>）直接销售收入确认</w:t>
      </w:r>
      <w:r>
        <w:rPr>
          <w:w w:val="100"/>
        </w:rPr>
        <w:t> </w:t>
      </w:r>
      <w:r>
        <w:rPr>
          <w:spacing w:val="-1"/>
        </w:rPr>
        <w:t>公司根据学生或家长的订单情况，通过第三方物流进行配送，由公司当地营销人员负责向中小学</w:t>
      </w:r>
    </w:p>
    <w:p>
      <w:pPr>
        <w:pStyle w:val="BodyText"/>
        <w:spacing w:line="240" w:lineRule="auto" w:before="22"/>
        <w:ind w:left="512" w:right="0"/>
        <w:jc w:val="both"/>
      </w:pPr>
      <w:r>
        <w:rPr/>
        <w:t>生或其家长发放，在与中小学生或其家长进行确认并收款后，直接确认销售收入。</w:t>
      </w:r>
    </w:p>
    <w:p>
      <w:pPr>
        <w:pStyle w:val="BodyText"/>
        <w:spacing w:line="256" w:lineRule="auto" w:before="37"/>
        <w:ind w:left="932" w:right="0" w:hanging="209"/>
        <w:jc w:val="left"/>
      </w:pPr>
      <w:r>
        <w:rPr/>
        <w:t>（</w:t>
      </w:r>
      <w:r>
        <w:rPr>
          <w:rFonts w:ascii="Times New Roman" w:hAnsi="Times New Roman" w:cs="Times New Roman" w:eastAsia="Times New Roman" w:hint="default"/>
        </w:rPr>
        <w:t>2</w:t>
      </w:r>
      <w:r>
        <w:rPr/>
        <w:t>）教育系统征订销售渠道收入确认</w:t>
      </w:r>
      <w:r>
        <w:rPr>
          <w:w w:val="100"/>
        </w:rPr>
        <w:t> </w:t>
      </w:r>
      <w:r>
        <w:rPr>
          <w:spacing w:val="-1"/>
        </w:rPr>
        <w:t>根据订单规定的交货时间及送货地址由仓库根据商务开具的发货单明细配送发货；成品送至客户</w:t>
      </w:r>
    </w:p>
    <w:p>
      <w:pPr>
        <w:pStyle w:val="BodyText"/>
        <w:spacing w:line="273" w:lineRule="auto" w:before="22"/>
        <w:ind w:left="512" w:right="148"/>
        <w:jc w:val="both"/>
      </w:pPr>
      <w:r>
        <w:rPr>
          <w:spacing w:val="-1"/>
        </w:rPr>
        <w:t>指定收货点后，由收货单位于送货单上盖章签字确认；相关送货人员将客户盖章签字确认的送货单交</w:t>
      </w:r>
      <w:r>
        <w:rPr>
          <w:spacing w:val="-21"/>
        </w:rPr>
        <w:t> </w:t>
      </w:r>
      <w:r>
        <w:rPr>
          <w:spacing w:val="-21"/>
        </w:rPr>
      </w:r>
      <w:r>
        <w:rPr>
          <w:spacing w:val="-1"/>
        </w:rPr>
        <w:t>财务部门和销售部门各一联；由公司商务部根据客户确认的送货单与客户核对产品品种、数量，根据</w:t>
      </w:r>
      <w:r>
        <w:rPr>
          <w:spacing w:val="-21"/>
        </w:rPr>
        <w:t> </w:t>
      </w:r>
      <w:r>
        <w:rPr>
          <w:spacing w:val="-21"/>
        </w:rPr>
      </w:r>
      <w:r>
        <w:rPr>
          <w:spacing w:val="-1"/>
        </w:rPr>
        <w:t>合同单价制作对账结算单并传真至客户，由其盖章确认后回传至公司；根据客户回传确认的对账结算</w:t>
      </w:r>
      <w:r>
        <w:rPr>
          <w:spacing w:val="-21"/>
        </w:rPr>
        <w:t> </w:t>
      </w:r>
      <w:r>
        <w:rPr>
          <w:spacing w:val="-21"/>
        </w:rPr>
      </w:r>
      <w:r>
        <w:rPr/>
        <w:t>单确认收入。</w:t>
      </w:r>
    </w:p>
    <w:p>
      <w:pPr>
        <w:pStyle w:val="BodyText"/>
        <w:spacing w:line="256" w:lineRule="auto" w:before="7"/>
        <w:ind w:left="932" w:right="0" w:hanging="106"/>
        <w:jc w:val="left"/>
      </w:pPr>
      <w:r>
        <w:rPr/>
        <w:t>（</w:t>
      </w:r>
      <w:r>
        <w:rPr>
          <w:rFonts w:ascii="Times New Roman" w:hAnsi="Times New Roman" w:cs="Times New Roman" w:eastAsia="Times New Roman" w:hint="default"/>
        </w:rPr>
        <w:t>3</w:t>
      </w:r>
      <w:r>
        <w:rPr/>
        <w:t>）系统销售一般收入确认</w:t>
      </w:r>
      <w:r>
        <w:rPr>
          <w:spacing w:val="-3"/>
          <w:w w:val="100"/>
        </w:rPr>
        <w:t> </w:t>
      </w:r>
      <w:r>
        <w:rPr>
          <w:spacing w:val="-1"/>
        </w:rPr>
        <w:t>在客户信用额度内的订货，由商务部门开具发货单通知库房配送产品；本地客户由相关送货人员</w:t>
      </w:r>
    </w:p>
    <w:p>
      <w:pPr>
        <w:pStyle w:val="BodyText"/>
        <w:spacing w:line="273" w:lineRule="auto" w:before="22"/>
        <w:ind w:left="512" w:right="148"/>
        <w:jc w:val="both"/>
      </w:pPr>
      <w:r>
        <w:rPr>
          <w:spacing w:val="-1"/>
        </w:rPr>
        <w:t>送至客户仓库，将客户盖章签字确认的送货单交财务部门和销售部门各一联。异地客户由客户收货员</w:t>
      </w:r>
      <w:r>
        <w:rPr>
          <w:spacing w:val="-21"/>
        </w:rPr>
        <w:t> </w:t>
      </w:r>
      <w:r>
        <w:rPr>
          <w:spacing w:val="-21"/>
        </w:rPr>
      </w:r>
      <w:r>
        <w:rPr>
          <w:spacing w:val="-1"/>
        </w:rPr>
        <w:t>盖章签字后传真给公司商务部门和财务部门留存；每月公司商务部门与书店系统代理进行对账确认。</w:t>
      </w:r>
      <w:r>
        <w:rPr>
          <w:spacing w:val="-21"/>
        </w:rPr>
        <w:t> </w:t>
      </w:r>
      <w:r>
        <w:rPr>
          <w:spacing w:val="-21"/>
        </w:rPr>
      </w:r>
      <w:r>
        <w:rPr/>
        <w:t>书店系统代理销售根据双方确认的对账结算单确认收入。</w:t>
      </w:r>
    </w:p>
    <w:p>
      <w:pPr>
        <w:pStyle w:val="BodyText"/>
        <w:spacing w:line="256" w:lineRule="auto" w:before="7"/>
        <w:ind w:left="932" w:right="0" w:hanging="106"/>
        <w:jc w:val="left"/>
      </w:pPr>
      <w:r>
        <w:rPr/>
        <w:t>（</w:t>
      </w:r>
      <w:r>
        <w:rPr>
          <w:rFonts w:ascii="Times New Roman" w:hAnsi="Times New Roman" w:cs="Times New Roman" w:eastAsia="Times New Roman" w:hint="default"/>
        </w:rPr>
        <w:t>4</w:t>
      </w:r>
      <w:r>
        <w:rPr/>
        <w:t>）邮件系统、其他产品销售收入确认</w:t>
      </w:r>
      <w:r>
        <w:rPr>
          <w:spacing w:val="-3"/>
          <w:w w:val="100"/>
        </w:rPr>
        <w:t> </w:t>
      </w:r>
      <w:r>
        <w:rPr>
          <w:spacing w:val="-1"/>
        </w:rPr>
        <w:t>邮件系统销售分产品销售与解决方案实施。大部分需进行二次开发、设备安装、上线试运行及验</w:t>
      </w:r>
    </w:p>
    <w:p>
      <w:pPr>
        <w:pStyle w:val="BodyText"/>
        <w:spacing w:line="273" w:lineRule="auto" w:before="22"/>
        <w:ind w:left="512" w:right="148"/>
        <w:jc w:val="both"/>
      </w:pPr>
      <w:r>
        <w:rPr>
          <w:spacing w:val="-1"/>
        </w:rPr>
        <w:t>收等程序；与货物相关的风险、所有权和责任，在验收合格后方转移到买方。公司在取得用户验收合</w:t>
      </w:r>
      <w:r>
        <w:rPr>
          <w:spacing w:val="-21"/>
        </w:rPr>
        <w:t> </w:t>
      </w:r>
      <w:r>
        <w:rPr>
          <w:spacing w:val="-21"/>
        </w:rPr>
      </w:r>
      <w:r>
        <w:rPr/>
        <w:t>格确认书时根据合同约定确认销售收入。</w:t>
      </w:r>
    </w:p>
    <w:p>
      <w:pPr>
        <w:spacing w:line="273" w:lineRule="auto" w:before="9"/>
        <w:ind w:left="932" w:right="0" w:hanging="78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41"/>
          <w:sz w:val="21"/>
          <w:szCs w:val="21"/>
        </w:rPr>
        <w:t> </w:t>
      </w:r>
      <w:r>
        <w:rPr>
          <w:rFonts w:ascii="宋体" w:hAnsi="宋体" w:cs="宋体" w:eastAsia="宋体" w:hint="default"/>
          <w:b/>
          <w:bCs/>
          <w:sz w:val="21"/>
          <w:szCs w:val="21"/>
        </w:rPr>
        <w:t>确认让渡资产使用权收入的依据</w:t>
      </w:r>
      <w:r>
        <w:rPr>
          <w:rFonts w:ascii="宋体" w:hAnsi="宋体" w:cs="宋体" w:eastAsia="宋体" w:hint="default"/>
          <w:b/>
          <w:bCs/>
          <w:w w:val="100"/>
          <w:sz w:val="21"/>
          <w:szCs w:val="21"/>
        </w:rPr>
        <w:t> </w:t>
      </w:r>
      <w:r>
        <w:rPr>
          <w:rFonts w:ascii="宋体" w:hAnsi="宋体" w:cs="宋体" w:eastAsia="宋体" w:hint="default"/>
          <w:spacing w:val="-1"/>
          <w:sz w:val="21"/>
          <w:szCs w:val="21"/>
        </w:rPr>
        <w:t>与交易相关的经济利益很可能流入企业，收入的金额能够可靠地计量时。分别下列情况确定让渡</w:t>
      </w:r>
    </w:p>
    <w:p>
      <w:pPr>
        <w:pStyle w:val="BodyText"/>
        <w:spacing w:line="240" w:lineRule="auto" w:before="7"/>
        <w:ind w:left="512" w:right="0"/>
        <w:jc w:val="both"/>
      </w:pPr>
      <w:r>
        <w:rPr/>
        <w:t>资产使用权收入金额：</w:t>
      </w:r>
    </w:p>
    <w:p>
      <w:pPr>
        <w:pStyle w:val="BodyText"/>
        <w:spacing w:line="240" w:lineRule="auto" w:before="37"/>
        <w:ind w:left="932" w:right="0"/>
        <w:jc w:val="left"/>
      </w:pPr>
      <w:r>
        <w:rPr/>
        <w:t>（</w:t>
      </w:r>
      <w:r>
        <w:rPr>
          <w:rFonts w:ascii="Times New Roman" w:hAnsi="Times New Roman" w:cs="Times New Roman" w:eastAsia="Times New Roman" w:hint="default"/>
        </w:rPr>
        <w:t>1</w:t>
      </w:r>
      <w:r>
        <w:rPr/>
        <w:t>）利息收入金额，按照他人使用本企业货币资金的时间和实际利率计算确定。</w:t>
      </w:r>
    </w:p>
    <w:p>
      <w:pPr>
        <w:pStyle w:val="BodyText"/>
        <w:spacing w:line="240" w:lineRule="auto" w:before="21"/>
        <w:ind w:left="932" w:right="0"/>
        <w:jc w:val="left"/>
      </w:pPr>
      <w:r>
        <w:rPr/>
        <w:t>（</w:t>
      </w:r>
      <w:r>
        <w:rPr>
          <w:rFonts w:ascii="Times New Roman" w:hAnsi="Times New Roman" w:cs="Times New Roman" w:eastAsia="Times New Roman" w:hint="default"/>
        </w:rPr>
        <w:t>2</w:t>
      </w:r>
      <w:r>
        <w:rPr/>
        <w:t>）使用费收入金额，按照有关合同或协议约定的收费时间和方法计算确定。</w:t>
      </w:r>
    </w:p>
    <w:p>
      <w:pPr>
        <w:spacing w:line="273" w:lineRule="auto" w:before="21"/>
        <w:ind w:left="572" w:right="0" w:hanging="42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39"/>
          <w:sz w:val="21"/>
          <w:szCs w:val="21"/>
        </w:rPr>
        <w:t> </w:t>
      </w:r>
      <w:r>
        <w:rPr>
          <w:rFonts w:ascii="宋体" w:hAnsi="宋体" w:cs="宋体" w:eastAsia="宋体" w:hint="default"/>
          <w:b/>
          <w:bCs/>
          <w:sz w:val="21"/>
          <w:szCs w:val="21"/>
        </w:rPr>
        <w:t>按完工百分比法确认提供劳务的收入和建造合同收入时，确定合同完工进度的依据和方法</w:t>
      </w:r>
      <w:r>
        <w:rPr>
          <w:rFonts w:ascii="宋体" w:hAnsi="宋体" w:cs="宋体" w:eastAsia="宋体" w:hint="default"/>
          <w:b/>
          <w:bCs/>
          <w:w w:val="100"/>
          <w:sz w:val="21"/>
          <w:szCs w:val="21"/>
        </w:rPr>
        <w:t> </w:t>
      </w:r>
      <w:r>
        <w:rPr>
          <w:rFonts w:ascii="宋体" w:hAnsi="宋体" w:cs="宋体" w:eastAsia="宋体" w:hint="default"/>
          <w:spacing w:val="-2"/>
          <w:sz w:val="21"/>
          <w:szCs w:val="21"/>
        </w:rPr>
        <w:t>在资产负债表日提供劳务交易的结果能够可靠估计的，采用完工百分比法确认提供劳务收入。提供劳</w:t>
      </w:r>
    </w:p>
    <w:p>
      <w:pPr>
        <w:pStyle w:val="BodyText"/>
        <w:spacing w:line="273" w:lineRule="auto" w:before="7"/>
        <w:ind w:left="572" w:right="0" w:hanging="421"/>
        <w:jc w:val="left"/>
      </w:pPr>
      <w:r>
        <w:rPr/>
        <w:t>务交易的完工进度，依据已完工作的测量确定。</w:t>
      </w:r>
      <w:r>
        <w:rPr>
          <w:spacing w:val="-3"/>
          <w:w w:val="100"/>
        </w:rPr>
        <w:t> </w:t>
      </w:r>
      <w:r>
        <w:rPr>
          <w:spacing w:val="-2"/>
        </w:rPr>
        <w:t>按照已收或应收的合同或协议价款确定提供劳务收入总额，但已收或应收的合同或协议价款不公允的</w:t>
      </w:r>
    </w:p>
    <w:p>
      <w:pPr>
        <w:pStyle w:val="BodyText"/>
        <w:spacing w:line="273" w:lineRule="auto" w:before="7"/>
        <w:ind w:right="146"/>
        <w:jc w:val="both"/>
      </w:pPr>
      <w:r>
        <w:rPr>
          <w:spacing w:val="-2"/>
        </w:rPr>
        <w:t>除外。资产负债表日按照提供劳务收入总额乘以完工进度扣除以前会计期间累计已确认提供劳务收入后的</w:t>
      </w:r>
      <w:r>
        <w:rPr>
          <w:spacing w:val="-43"/>
        </w:rPr>
        <w:t> </w:t>
      </w:r>
      <w:r>
        <w:rPr>
          <w:spacing w:val="-43"/>
        </w:rPr>
      </w:r>
      <w:r>
        <w:rPr>
          <w:spacing w:val="-2"/>
        </w:rPr>
        <w:t>金额，确认当期提供劳务收入；同时，按照提供劳务估计总成本乘以完工进度扣除以前会计期间累计已确</w:t>
      </w:r>
      <w:r>
        <w:rPr>
          <w:spacing w:val="-44"/>
        </w:rPr>
        <w:t> </w:t>
      </w:r>
      <w:r>
        <w:rPr>
          <w:spacing w:val="-44"/>
        </w:rPr>
      </w:r>
      <w:r>
        <w:rPr/>
        <w:t>认劳务成本后的金额，结转当期劳务成本。</w:t>
      </w:r>
    </w:p>
    <w:p>
      <w:pPr>
        <w:pStyle w:val="BodyText"/>
        <w:spacing w:line="240" w:lineRule="auto" w:before="7"/>
        <w:ind w:left="572" w:right="0"/>
        <w:jc w:val="both"/>
      </w:pPr>
      <w:r>
        <w:rPr/>
        <w:t>在资产负债表日提供劳务交易结果不能够可靠估计的，分别下列情况处理：</w:t>
      </w:r>
    </w:p>
    <w:p>
      <w:pPr>
        <w:pStyle w:val="BodyText"/>
        <w:spacing w:line="256" w:lineRule="auto" w:before="37"/>
        <w:ind w:right="154" w:firstLine="420"/>
        <w:jc w:val="both"/>
      </w:pPr>
      <w:r>
        <w:rPr/>
        <w:t>（</w:t>
      </w:r>
      <w:r>
        <w:rPr>
          <w:rFonts w:ascii="Times New Roman" w:hAnsi="Times New Roman" w:cs="Times New Roman" w:eastAsia="Times New Roman" w:hint="default"/>
        </w:rPr>
        <w:t>1</w:t>
      </w:r>
      <w:r>
        <w:rPr/>
        <w:t>）已经发生的劳务成本预计能够得到补偿的，按照已经发生的劳务成本金额确认提供劳务收入，</w:t>
      </w:r>
      <w:r>
        <w:rPr>
          <w:w w:val="100"/>
        </w:rPr>
        <w:t> </w:t>
      </w:r>
      <w:r>
        <w:rPr/>
        <w:t>并按相同金额结转劳务成本。</w:t>
      </w:r>
    </w:p>
    <w:p>
      <w:pPr>
        <w:pStyle w:val="BodyText"/>
        <w:spacing w:line="256" w:lineRule="auto" w:before="22"/>
        <w:ind w:right="154" w:firstLine="420"/>
        <w:jc w:val="both"/>
      </w:pPr>
      <w:r>
        <w:rPr/>
        <w:t>（</w:t>
      </w:r>
      <w:r>
        <w:rPr>
          <w:rFonts w:ascii="Times New Roman" w:hAnsi="Times New Roman" w:cs="Times New Roman" w:eastAsia="Times New Roman" w:hint="default"/>
        </w:rPr>
        <w:t>2</w:t>
      </w:r>
      <w:r>
        <w:rPr/>
        <w:t>）已经发生的劳务成本预计不能够得到补偿的，将已经发生的劳务成本计入当期损益，不确认提</w:t>
      </w:r>
      <w:r>
        <w:rPr>
          <w:w w:val="100"/>
        </w:rPr>
        <w:t> </w:t>
      </w:r>
      <w:r>
        <w:rPr/>
        <w:t>供劳务收入。</w:t>
      </w:r>
    </w:p>
    <w:p>
      <w:pPr>
        <w:pStyle w:val="BodyText"/>
        <w:spacing w:line="273" w:lineRule="auto" w:before="22"/>
        <w:ind w:right="146" w:firstLine="420"/>
        <w:jc w:val="both"/>
      </w:pPr>
      <w:r>
        <w:rPr>
          <w:spacing w:val="-2"/>
        </w:rPr>
        <w:t>本公司与其他企业签订的合同或协议包括销售商品和提供劳务时，销售商品部分和提供劳务部分能够</w:t>
      </w:r>
      <w:r>
        <w:rPr>
          <w:w w:val="100"/>
        </w:rPr>
        <w:t> </w:t>
      </w:r>
      <w:r>
        <w:rPr>
          <w:spacing w:val="-2"/>
        </w:rPr>
        <w:t>区分且能够单独计量的，将销售商品的部分作为销售商品处理，将提供劳务的部分作为提供劳务处理。销</w:t>
      </w:r>
      <w:r>
        <w:rPr>
          <w:spacing w:val="-42"/>
        </w:rPr>
        <w:t> </w:t>
      </w:r>
      <w:r>
        <w:rPr>
          <w:spacing w:val="-42"/>
        </w:rPr>
      </w:r>
      <w:r>
        <w:rPr>
          <w:spacing w:val="-2"/>
        </w:rPr>
        <w:t>售商品部分和提供劳务部分不能够区分，或虽能区分但不能够单独计量的，将销售商品部分和提供劳务部</w:t>
      </w:r>
      <w:r>
        <w:rPr>
          <w:spacing w:val="-42"/>
        </w:rPr>
        <w:t> </w:t>
      </w:r>
      <w:r>
        <w:rPr>
          <w:spacing w:val="-42"/>
        </w:rPr>
      </w:r>
      <w:r>
        <w:rPr/>
        <w:t>分全部作为销售商品处理。</w:t>
      </w:r>
    </w:p>
    <w:p>
      <w:pPr>
        <w:spacing w:after="0" w:line="273" w:lineRule="auto"/>
        <w:jc w:val="both"/>
        <w:sectPr>
          <w:pgSz w:w="11910" w:h="16840"/>
          <w:pgMar w:header="880" w:footer="979" w:top="1060" w:bottom="1160" w:left="980" w:right="980"/>
        </w:sectPr>
      </w:pPr>
    </w:p>
    <w:p>
      <w:pPr>
        <w:spacing w:line="240" w:lineRule="auto" w:before="8"/>
        <w:rPr>
          <w:rFonts w:ascii="宋体" w:hAnsi="宋体" w:cs="宋体" w:eastAsia="宋体" w:hint="default"/>
          <w:sz w:val="24"/>
          <w:szCs w:val="24"/>
        </w:rPr>
      </w:pPr>
    </w:p>
    <w:p>
      <w:pPr>
        <w:pStyle w:val="Heading5"/>
        <w:spacing w:line="240" w:lineRule="auto" w:before="36"/>
        <w:ind w:left="575" w:right="0"/>
        <w:jc w:val="left"/>
        <w:rPr>
          <w:b w:val="0"/>
          <w:bCs w:val="0"/>
        </w:rPr>
      </w:pPr>
      <w:r>
        <w:rPr>
          <w:rFonts w:ascii="Times New Roman" w:hAnsi="Times New Roman" w:cs="Times New Roman" w:eastAsia="Times New Roman" w:hint="default"/>
        </w:rPr>
        <w:t>(</w:t>
      </w:r>
      <w:r>
        <w:rPr/>
        <w:t>二十二</w:t>
      </w:r>
      <w:r>
        <w:rPr>
          <w:rFonts w:ascii="Times New Roman" w:hAnsi="Times New Roman" w:cs="Times New Roman" w:eastAsia="Times New Roman" w:hint="default"/>
        </w:rPr>
        <w:t>)</w:t>
      </w:r>
      <w:r>
        <w:rPr/>
        <w:t>政府补助</w:t>
      </w:r>
      <w:r>
        <w:rPr>
          <w:b w:val="0"/>
          <w:bCs w:val="0"/>
        </w:rPr>
      </w:r>
    </w:p>
    <w:p>
      <w:pPr>
        <w:pStyle w:val="Heading5"/>
        <w:spacing w:line="240" w:lineRule="auto" w:before="21"/>
        <w:ind w:right="0"/>
        <w:jc w:val="both"/>
        <w:rPr>
          <w:b w:val="0"/>
          <w:bCs w:val="0"/>
        </w:rPr>
      </w:pPr>
      <w:r>
        <w:rPr>
          <w:rFonts w:ascii="宋体" w:hAnsi="宋体" w:cs="宋体" w:eastAsia="宋体" w:hint="default"/>
        </w:rPr>
        <w:t>1.</w:t>
      </w:r>
      <w:r>
        <w:rPr>
          <w:rFonts w:ascii="宋体" w:hAnsi="宋体" w:cs="宋体" w:eastAsia="宋体" w:hint="default"/>
          <w:spacing w:val="42"/>
        </w:rPr>
        <w:t> </w:t>
      </w:r>
      <w:r>
        <w:rPr/>
        <w:t>类型</w:t>
      </w:r>
      <w:r>
        <w:rPr>
          <w:b w:val="0"/>
          <w:bCs w:val="0"/>
        </w:rPr>
      </w:r>
    </w:p>
    <w:p>
      <w:pPr>
        <w:pStyle w:val="BodyText"/>
        <w:spacing w:line="273" w:lineRule="auto" w:before="37"/>
        <w:ind w:right="146" w:firstLine="419"/>
        <w:jc w:val="both"/>
      </w:pPr>
      <w:r>
        <w:rPr>
          <w:spacing w:val="-2"/>
        </w:rPr>
        <w:t>政府补助，是本公司从政府无偿取得的货币性资产与非货币性资产，但不包括政府作为企业所有者投</w:t>
      </w:r>
      <w:r>
        <w:rPr>
          <w:w w:val="100"/>
        </w:rPr>
        <w:t> </w:t>
      </w:r>
      <w:r>
        <w:rPr>
          <w:spacing w:val="-2"/>
        </w:rPr>
        <w:t>入的资本。根据相关政府文件规定的补助对象，将政府补助划分为与资产相关的政府补助和与收益相关的</w:t>
      </w:r>
      <w:r>
        <w:rPr>
          <w:spacing w:val="-43"/>
        </w:rPr>
        <w:t> </w:t>
      </w:r>
      <w:r>
        <w:rPr>
          <w:spacing w:val="-43"/>
        </w:rPr>
      </w:r>
      <w:r>
        <w:rPr/>
        <w:t>政府补助。</w:t>
      </w:r>
    </w:p>
    <w:p>
      <w:pPr>
        <w:pStyle w:val="BodyText"/>
        <w:spacing w:line="273" w:lineRule="auto" w:before="7"/>
        <w:ind w:right="147" w:firstLine="420"/>
        <w:jc w:val="both"/>
      </w:pPr>
      <w:r>
        <w:rPr>
          <w:spacing w:val="-2"/>
        </w:rPr>
        <w:t>与资产相关的政府补助，是指本公司取得的、用于购建或以其他方式形成长期资产的政府补助。与收</w:t>
      </w:r>
      <w:r>
        <w:rPr>
          <w:w w:val="100"/>
        </w:rPr>
        <w:t> </w:t>
      </w:r>
      <w:r>
        <w:rPr/>
        <w:t>益相关的政府补助，是指除与资产相关的政府补助之外的政府补助。</w:t>
      </w:r>
    </w:p>
    <w:p>
      <w:pPr>
        <w:pStyle w:val="BodyText"/>
        <w:spacing w:line="256" w:lineRule="auto" w:before="8"/>
        <w:ind w:left="572" w:right="0" w:firstLine="2"/>
        <w:jc w:val="left"/>
      </w:pPr>
      <w:r>
        <w:rPr>
          <w:rFonts w:ascii="Times New Roman" w:hAnsi="Times New Roman" w:cs="Times New Roman" w:eastAsia="Times New Roman" w:hint="default"/>
          <w:b/>
          <w:bCs/>
        </w:rPr>
        <w:t>2</w:t>
      </w:r>
      <w:r>
        <w:rPr>
          <w:rFonts w:ascii="宋体" w:hAnsi="宋体" w:cs="宋体" w:eastAsia="宋体" w:hint="default"/>
          <w:b/>
          <w:bCs/>
        </w:rPr>
        <w:t>、政府补助的确认</w:t>
      </w:r>
      <w:r>
        <w:rPr>
          <w:rFonts w:ascii="宋体" w:hAnsi="宋体" w:cs="宋体" w:eastAsia="宋体" w:hint="default"/>
          <w:b/>
          <w:bCs/>
          <w:w w:val="100"/>
        </w:rPr>
        <w:t> </w:t>
      </w:r>
      <w:r>
        <w:rPr>
          <w:spacing w:val="-2"/>
        </w:rPr>
        <w:t>对期末有证据表明公司能够符合财政扶持政策规定的相关条件且预计能够收到财政扶持资金的，按应</w:t>
      </w:r>
    </w:p>
    <w:p>
      <w:pPr>
        <w:pStyle w:val="BodyText"/>
        <w:spacing w:line="273" w:lineRule="auto" w:before="22"/>
        <w:ind w:left="572" w:right="0" w:hanging="420"/>
        <w:jc w:val="left"/>
      </w:pPr>
      <w:r>
        <w:rPr/>
        <w:t>收金额确认政府补助。除此之外，政府补助均在实际收到时确认。</w:t>
      </w:r>
      <w:r>
        <w:rPr>
          <w:w w:val="100"/>
        </w:rPr>
        <w:t> </w:t>
      </w:r>
      <w:r>
        <w:rPr>
          <w:spacing w:val="-2"/>
        </w:rPr>
        <w:t>政府补助为货币性资产的，按照收到或应收的金额计量。政府补助为非货币性资产的，按照公允价值</w:t>
      </w:r>
      <w:r>
        <w:rPr/>
      </w:r>
    </w:p>
    <w:p>
      <w:pPr>
        <w:pStyle w:val="BodyText"/>
        <w:spacing w:line="256" w:lineRule="auto" w:before="7"/>
        <w:ind w:right="151"/>
        <w:jc w:val="both"/>
      </w:pPr>
      <w:r>
        <w:rPr/>
        <w:t>计量；公允价值不能够可靠取得的，按照名义金额（人民币</w:t>
      </w:r>
      <w:r>
        <w:rPr>
          <w:rFonts w:ascii="Times New Roman" w:hAnsi="Times New Roman" w:cs="Times New Roman" w:eastAsia="Times New Roman" w:hint="default"/>
        </w:rPr>
        <w:t>1</w:t>
      </w:r>
      <w:r>
        <w:rPr/>
        <w:t>元）计量。按照名义金额计量的政府补助，</w:t>
      </w:r>
      <w:r>
        <w:rPr>
          <w:spacing w:val="-25"/>
        </w:rPr>
        <w:t> </w:t>
      </w:r>
      <w:r>
        <w:rPr>
          <w:spacing w:val="-25"/>
        </w:rPr>
      </w:r>
      <w:r>
        <w:rPr/>
        <w:t>直接计入当期损益。</w:t>
      </w:r>
    </w:p>
    <w:p>
      <w:pPr>
        <w:pStyle w:val="BodyText"/>
        <w:spacing w:line="264" w:lineRule="auto" w:before="22"/>
        <w:ind w:left="572" w:right="0" w:firstLine="2"/>
        <w:jc w:val="left"/>
      </w:pPr>
      <w:r>
        <w:rPr>
          <w:rFonts w:ascii="Times New Roman" w:hAnsi="Times New Roman" w:cs="Times New Roman" w:eastAsia="Times New Roman" w:hint="default"/>
          <w:b/>
          <w:bCs/>
        </w:rPr>
        <w:t>3</w:t>
      </w:r>
      <w:r>
        <w:rPr>
          <w:rFonts w:ascii="宋体" w:hAnsi="宋体" w:cs="宋体" w:eastAsia="宋体" w:hint="default"/>
          <w:b/>
          <w:bCs/>
        </w:rPr>
        <w:t>、会计处理方法</w:t>
      </w:r>
      <w:r>
        <w:rPr>
          <w:rFonts w:ascii="宋体" w:hAnsi="宋体" w:cs="宋体" w:eastAsia="宋体" w:hint="default"/>
          <w:b/>
          <w:bCs/>
          <w:w w:val="100"/>
        </w:rPr>
        <w:t> </w:t>
      </w:r>
      <w:r>
        <w:rPr>
          <w:spacing w:val="-2"/>
        </w:rPr>
        <w:t>与资产相关的政府补助，确认为递延收益，按照所建造或购买的资产使用年限分期计入营业外收入；</w:t>
      </w:r>
      <w:r>
        <w:rPr>
          <w:spacing w:val="-27"/>
        </w:rPr>
        <w:t> </w:t>
      </w:r>
      <w:r>
        <w:rPr>
          <w:spacing w:val="-27"/>
        </w:rPr>
      </w:r>
      <w:r>
        <w:rPr>
          <w:spacing w:val="-2"/>
        </w:rPr>
        <w:t>与收益相关的政府补助，用于补偿企业以后期间的相关费用或损失的，确认为递延收益，在确认相关</w:t>
      </w:r>
    </w:p>
    <w:p>
      <w:pPr>
        <w:pStyle w:val="BodyText"/>
        <w:spacing w:line="273" w:lineRule="auto" w:before="16"/>
        <w:ind w:right="146"/>
        <w:jc w:val="both"/>
      </w:pPr>
      <w:r>
        <w:rPr>
          <w:spacing w:val="-2"/>
        </w:rPr>
        <w:t>费用的期间计入当期营业外收入；用于补偿企业已发生的相关费用或损失的，取得时直接计入当期营业外</w:t>
      </w:r>
      <w:r>
        <w:rPr>
          <w:spacing w:val="-44"/>
        </w:rPr>
        <w:t> </w:t>
      </w:r>
      <w:r>
        <w:rPr>
          <w:spacing w:val="-44"/>
        </w:rPr>
      </w:r>
      <w:r>
        <w:rPr/>
        <w:t>收入。</w:t>
      </w:r>
    </w:p>
    <w:p>
      <w:pPr>
        <w:pStyle w:val="BodyText"/>
        <w:spacing w:line="273" w:lineRule="auto" w:before="7"/>
        <w:ind w:right="146" w:firstLine="420"/>
        <w:jc w:val="both"/>
      </w:pPr>
      <w:r>
        <w:rPr>
          <w:spacing w:val="-2"/>
        </w:rPr>
        <w:t>已确认的政府补助需要返还时，存在相关递延收益余额的，冲减相关递延收益账面余额，超出部分计</w:t>
      </w:r>
      <w:r>
        <w:rPr>
          <w:w w:val="100"/>
        </w:rPr>
        <w:t> </w:t>
      </w:r>
      <w:r>
        <w:rPr/>
        <w:t>入当期损益；不存在相关递延收益的，直接计入当期损益。</w:t>
      </w:r>
    </w:p>
    <w:p>
      <w:pPr>
        <w:spacing w:line="273" w:lineRule="auto" w:before="164"/>
        <w:ind w:left="572" w:right="0" w:firstLine="2"/>
        <w:jc w:val="left"/>
        <w:rPr>
          <w:rFonts w:ascii="宋体" w:hAnsi="宋体" w:cs="宋体" w:eastAsia="宋体" w:hint="default"/>
          <w:sz w:val="21"/>
          <w:szCs w:val="21"/>
        </w:rPr>
      </w:pPr>
      <w:r>
        <w:rPr>
          <w:rFonts w:ascii="宋体" w:hAnsi="宋体" w:cs="宋体" w:eastAsia="宋体" w:hint="default"/>
          <w:b/>
          <w:bCs/>
          <w:sz w:val="21"/>
          <w:szCs w:val="21"/>
        </w:rPr>
        <w:t>（二十三）递延所得税资产和递延所得税负债</w:t>
      </w:r>
      <w:r>
        <w:rPr>
          <w:rFonts w:ascii="宋体" w:hAnsi="宋体" w:cs="宋体" w:eastAsia="宋体" w:hint="default"/>
          <w:b/>
          <w:bCs/>
          <w:w w:val="100"/>
          <w:sz w:val="21"/>
          <w:szCs w:val="21"/>
        </w:rPr>
        <w:t> </w:t>
      </w:r>
      <w:r>
        <w:rPr>
          <w:rFonts w:ascii="宋体" w:hAnsi="宋体" w:cs="宋体" w:eastAsia="宋体" w:hint="default"/>
          <w:sz w:val="21"/>
          <w:szCs w:val="21"/>
        </w:rPr>
        <w:t>递延所得税资产和递延所得税负债根据资产和负债的计税基础与其账面价值的差额</w:t>
      </w:r>
      <w:r>
        <w:rPr>
          <w:rFonts w:ascii="Times New Roman" w:hAnsi="Times New Roman" w:cs="Times New Roman" w:eastAsia="Times New Roman" w:hint="default"/>
          <w:sz w:val="21"/>
          <w:szCs w:val="21"/>
        </w:rPr>
        <w:t>(</w:t>
      </w:r>
      <w:r>
        <w:rPr>
          <w:rFonts w:ascii="宋体" w:hAnsi="宋体" w:cs="宋体" w:eastAsia="宋体" w:hint="default"/>
          <w:sz w:val="21"/>
          <w:szCs w:val="21"/>
        </w:rPr>
        <w:t>暂时性差异</w:t>
      </w:r>
      <w:r>
        <w:rPr>
          <w:rFonts w:ascii="Times New Roman" w:hAnsi="Times New Roman" w:cs="Times New Roman" w:eastAsia="Times New Roman" w:hint="default"/>
          <w:sz w:val="21"/>
          <w:szCs w:val="21"/>
        </w:rPr>
        <w:t>)</w:t>
      </w:r>
      <w:r>
        <w:rPr>
          <w:rFonts w:ascii="宋体" w:hAnsi="宋体" w:cs="宋体" w:eastAsia="宋体" w:hint="default"/>
          <w:sz w:val="21"/>
          <w:szCs w:val="21"/>
        </w:rPr>
        <w:t>计算</w:t>
      </w:r>
    </w:p>
    <w:p>
      <w:pPr>
        <w:pStyle w:val="BodyText"/>
        <w:spacing w:line="273" w:lineRule="auto"/>
        <w:ind w:left="153" w:right="146"/>
        <w:jc w:val="both"/>
      </w:pPr>
      <w:r>
        <w:rPr>
          <w:spacing w:val="-2"/>
        </w:rPr>
        <w:t>确认。于资产负债表日，递延所得税资产和递延所得税负债，按照预期收回该资产或清偿该负债期间的适</w:t>
      </w:r>
      <w:r>
        <w:rPr>
          <w:spacing w:val="-44"/>
        </w:rPr>
        <w:t> </w:t>
      </w:r>
      <w:r>
        <w:rPr>
          <w:spacing w:val="-44"/>
        </w:rPr>
      </w:r>
      <w:r>
        <w:rPr/>
        <w:t>用税率计量。</w:t>
      </w:r>
    </w:p>
    <w:p>
      <w:pPr>
        <w:spacing w:line="256" w:lineRule="auto" w:before="8"/>
        <w:ind w:left="572"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、确认递延所得税资产的依据</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本公司以很可能取得用来抵扣可抵扣暂时性差异、能够结转以后年度的可抵扣亏损和税款抵减的应纳</w:t>
      </w:r>
    </w:p>
    <w:p>
      <w:pPr>
        <w:pStyle w:val="BodyText"/>
        <w:spacing w:line="264" w:lineRule="auto" w:before="22"/>
        <w:ind w:right="146"/>
        <w:jc w:val="both"/>
      </w:pPr>
      <w:r>
        <w:rPr>
          <w:spacing w:val="-2"/>
        </w:rPr>
        <w:t>税所得额为限，确认由可抵扣暂时性差异产生的递延所得税资产。但是，同时具有下列特征的交易中因资</w:t>
      </w:r>
      <w:r>
        <w:rPr>
          <w:spacing w:val="-44"/>
        </w:rPr>
        <w:t> </w:t>
      </w:r>
      <w:r>
        <w:rPr>
          <w:spacing w:val="-44"/>
        </w:rPr>
      </w:r>
      <w:r>
        <w:rPr>
          <w:spacing w:val="-2"/>
        </w:rPr>
        <w:t>产或负债的初始确认所产生的递延所得税资产不予确认：（</w:t>
      </w:r>
      <w:r>
        <w:rPr>
          <w:rFonts w:ascii="Times New Roman" w:hAnsi="Times New Roman" w:cs="Times New Roman" w:eastAsia="Times New Roman" w:hint="default"/>
          <w:spacing w:val="-2"/>
        </w:rPr>
        <w:t>1</w:t>
      </w:r>
      <w:r>
        <w:rPr>
          <w:spacing w:val="-2"/>
        </w:rPr>
        <w:t>）该交易不是企业合并；（</w:t>
      </w:r>
      <w:r>
        <w:rPr>
          <w:rFonts w:ascii="Times New Roman" w:hAnsi="Times New Roman" w:cs="Times New Roman" w:eastAsia="Times New Roman" w:hint="default"/>
          <w:spacing w:val="-2"/>
        </w:rPr>
        <w:t>2</w:t>
      </w:r>
      <w:r>
        <w:rPr>
          <w:spacing w:val="-2"/>
        </w:rPr>
        <w:t>）交易发生时既</w:t>
      </w:r>
      <w:r>
        <w:rPr>
          <w:spacing w:val="-49"/>
        </w:rPr>
        <w:t> </w:t>
      </w:r>
      <w:r>
        <w:rPr>
          <w:spacing w:val="-49"/>
        </w:rPr>
      </w:r>
      <w:r>
        <w:rPr/>
        <w:t>不影响会计利润也不影响应纳税所得额或可抵扣亏损。</w:t>
      </w:r>
    </w:p>
    <w:p>
      <w:pPr>
        <w:pStyle w:val="BodyText"/>
        <w:spacing w:line="273" w:lineRule="auto" w:before="16"/>
        <w:ind w:right="125" w:firstLine="420"/>
        <w:jc w:val="both"/>
      </w:pPr>
      <w:r>
        <w:rPr>
          <w:spacing w:val="-2"/>
        </w:rPr>
        <w:t>对于与联营企业投资相关的可抵扣暂时性差异，同时满足下列条件的，确认相应的递延所得税资产：</w:t>
      </w:r>
      <w:r>
        <w:rPr>
          <w:w w:val="100"/>
        </w:rPr>
        <w:t> </w:t>
      </w:r>
      <w:r>
        <w:rPr>
          <w:spacing w:val="-2"/>
        </w:rPr>
        <w:t>暂时性差异在可预见的未来很可能转回，且未来很可能获得用来抵扣可抵扣暂时性差异的应纳税所得额。</w:t>
      </w:r>
    </w:p>
    <w:p>
      <w:pPr>
        <w:spacing w:line="256" w:lineRule="auto" w:before="8"/>
        <w:ind w:left="572"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、确认递延所得税负债的依据</w:t>
      </w:r>
      <w:r>
        <w:rPr>
          <w:rFonts w:ascii="宋体" w:hAnsi="宋体" w:cs="宋体" w:eastAsia="宋体" w:hint="default"/>
          <w:b/>
          <w:bCs/>
          <w:w w:val="100"/>
          <w:sz w:val="21"/>
          <w:szCs w:val="21"/>
        </w:rPr>
        <w:t> </w:t>
      </w:r>
      <w:r>
        <w:rPr>
          <w:rFonts w:ascii="宋体" w:hAnsi="宋体" w:cs="宋体" w:eastAsia="宋体" w:hint="default"/>
          <w:spacing w:val="-2"/>
          <w:sz w:val="21"/>
          <w:szCs w:val="21"/>
        </w:rPr>
        <w:t>公司将当期与以前期间应交未交的应纳税暂时性差异确认为递延所得税负债。但不包括：</w:t>
      </w:r>
    </w:p>
    <w:p>
      <w:pPr>
        <w:pStyle w:val="BodyText"/>
        <w:spacing w:line="240" w:lineRule="auto" w:before="22"/>
        <w:ind w:left="572" w:right="0"/>
        <w:jc w:val="left"/>
      </w:pPr>
      <w:r>
        <w:rPr/>
        <w:t>（</w:t>
      </w:r>
      <w:r>
        <w:rPr>
          <w:rFonts w:ascii="Times New Roman" w:hAnsi="Times New Roman" w:cs="Times New Roman" w:eastAsia="Times New Roman" w:hint="default"/>
        </w:rPr>
        <w:t>1</w:t>
      </w:r>
      <w:r>
        <w:rPr/>
        <w:t>）商誉的初始确认所形成的暂时性差异；</w:t>
      </w:r>
    </w:p>
    <w:p>
      <w:pPr>
        <w:pStyle w:val="BodyText"/>
        <w:spacing w:line="256" w:lineRule="auto" w:before="21"/>
        <w:ind w:right="154" w:firstLine="420"/>
        <w:jc w:val="both"/>
      </w:pPr>
      <w:r>
        <w:rPr/>
        <w:t>（</w:t>
      </w:r>
      <w:r>
        <w:rPr>
          <w:rFonts w:ascii="Times New Roman" w:hAnsi="Times New Roman" w:cs="Times New Roman" w:eastAsia="Times New Roman" w:hint="default"/>
        </w:rPr>
        <w:t>2</w:t>
      </w:r>
      <w:r>
        <w:rPr/>
        <w:t>）非企业合并形成的交易或事项，且该交易或事项发生时既不影响会计利润，也不影响应纳税所</w:t>
      </w:r>
      <w:r>
        <w:rPr>
          <w:w w:val="100"/>
        </w:rPr>
        <w:t> </w:t>
      </w:r>
      <w:r>
        <w:rPr/>
        <w:t>得额（或可抵扣亏损）所形成的暂时性差异；</w:t>
      </w:r>
    </w:p>
    <w:p>
      <w:pPr>
        <w:pStyle w:val="BodyText"/>
        <w:spacing w:line="256" w:lineRule="auto" w:before="22"/>
        <w:ind w:right="154" w:firstLine="420"/>
        <w:jc w:val="both"/>
      </w:pPr>
      <w:r>
        <w:rPr/>
        <w:t>（</w:t>
      </w:r>
      <w:r>
        <w:rPr>
          <w:rFonts w:ascii="Times New Roman" w:hAnsi="Times New Roman" w:cs="Times New Roman" w:eastAsia="Times New Roman" w:hint="default"/>
        </w:rPr>
        <w:t>3</w:t>
      </w:r>
      <w:r>
        <w:rPr/>
        <w:t>）对于与子公司、联营企业投资相关的应纳税暂时性差异，该暂时性差异转回的时间能够控制并</w:t>
      </w:r>
      <w:r>
        <w:rPr>
          <w:w w:val="100"/>
        </w:rPr>
        <w:t> </w:t>
      </w:r>
      <w:r>
        <w:rPr/>
        <w:t>且该暂时性差异在可预见的未来很可能不会转回。</w:t>
      </w:r>
    </w:p>
    <w:p>
      <w:pPr>
        <w:pStyle w:val="Heading5"/>
        <w:spacing w:line="240" w:lineRule="auto" w:before="23"/>
        <w:ind w:left="575" w:right="0"/>
        <w:jc w:val="left"/>
        <w:rPr>
          <w:b w:val="0"/>
          <w:bCs w:val="0"/>
        </w:rPr>
      </w:pPr>
      <w:r>
        <w:rPr>
          <w:rFonts w:ascii="Times New Roman" w:hAnsi="Times New Roman" w:cs="Times New Roman" w:eastAsia="Times New Roman" w:hint="default"/>
        </w:rPr>
        <w:t>3</w:t>
      </w:r>
      <w:r>
        <w:rPr/>
        <w:t>、同时满足下列条件时，将递延所得税资产及递延所得税负债以抵销后的净额列示</w:t>
      </w:r>
      <w:r>
        <w:rPr>
          <w:b w:val="0"/>
          <w:bCs w:val="0"/>
        </w:rPr>
      </w:r>
    </w:p>
    <w:p>
      <w:pPr>
        <w:pStyle w:val="BodyText"/>
        <w:spacing w:line="240" w:lineRule="auto" w:before="21"/>
        <w:ind w:left="572" w:right="0"/>
        <w:jc w:val="left"/>
      </w:pPr>
      <w:r>
        <w:rPr/>
        <w:t>（</w:t>
      </w:r>
      <w:r>
        <w:rPr>
          <w:rFonts w:ascii="Times New Roman" w:hAnsi="Times New Roman" w:cs="Times New Roman" w:eastAsia="Times New Roman" w:hint="default"/>
        </w:rPr>
        <w:t>1</w:t>
      </w:r>
      <w:r>
        <w:rPr/>
        <w:t>）企业拥有以净额结算当期所得税资产及当期所得税负债的法定权利；</w:t>
      </w:r>
    </w:p>
    <w:p>
      <w:pPr>
        <w:pStyle w:val="BodyText"/>
        <w:spacing w:line="264" w:lineRule="auto" w:before="21"/>
        <w:ind w:right="128" w:firstLine="424"/>
        <w:jc w:val="both"/>
      </w:pPr>
      <w:r>
        <w:rPr/>
        <w:t>（</w:t>
      </w:r>
      <w:r>
        <w:rPr>
          <w:rFonts w:ascii="Times New Roman" w:hAnsi="Times New Roman" w:cs="Times New Roman" w:eastAsia="Times New Roman" w:hint="default"/>
        </w:rPr>
        <w:t>2</w:t>
      </w:r>
      <w:r>
        <w:rPr/>
        <w:t>）递延所得税资产和递延所得税负债是与同一税收征管部门对同一纳税主体征收的所得税相关或</w:t>
      </w:r>
      <w:r>
        <w:rPr>
          <w:w w:val="100"/>
        </w:rPr>
        <w:t> </w:t>
      </w:r>
      <w:r>
        <w:rPr>
          <w:spacing w:val="-2"/>
        </w:rPr>
        <w:t>者对不同的纳税主体相关，但在未来每一具有重要性的递延所得税资产和递延所得税负债转回的期间内，</w:t>
      </w:r>
      <w:r>
        <w:rPr>
          <w:spacing w:val="-25"/>
        </w:rPr>
        <w:t> </w:t>
      </w:r>
      <w:r>
        <w:rPr>
          <w:spacing w:val="-25"/>
        </w:rPr>
      </w:r>
      <w:r>
        <w:rPr/>
        <w:t>涉及的纳税主体体意图以净额结算当期所得税资产及当期所得税负债或是同时取得资产、清偿债务。</w:t>
      </w:r>
    </w:p>
    <w:p>
      <w:pPr>
        <w:spacing w:after="0" w:line="264" w:lineRule="auto"/>
        <w:jc w:val="both"/>
        <w:sectPr>
          <w:pgSz w:w="11910" w:h="16840"/>
          <w:pgMar w:header="880" w:footer="979" w:top="1060" w:bottom="1160" w:left="980" w:right="980"/>
        </w:sectPr>
      </w:pPr>
    </w:p>
    <w:p>
      <w:pPr>
        <w:spacing w:line="240" w:lineRule="auto" w:before="8"/>
        <w:rPr>
          <w:rFonts w:ascii="宋体" w:hAnsi="宋体" w:cs="宋体" w:eastAsia="宋体" w:hint="default"/>
          <w:sz w:val="24"/>
          <w:szCs w:val="24"/>
        </w:rPr>
      </w:pPr>
    </w:p>
    <w:p>
      <w:pPr>
        <w:pStyle w:val="Heading5"/>
        <w:spacing w:line="240" w:lineRule="auto" w:before="36"/>
        <w:ind w:left="575" w:right="0"/>
        <w:jc w:val="left"/>
        <w:rPr>
          <w:b w:val="0"/>
          <w:bCs w:val="0"/>
        </w:rPr>
      </w:pPr>
      <w:r>
        <w:rPr/>
        <w:t>（二十四）重要会计政策、会计估计的变更</w:t>
      </w:r>
      <w:r>
        <w:rPr>
          <w:b w:val="0"/>
          <w:bCs w:val="0"/>
        </w:rPr>
      </w:r>
    </w:p>
    <w:p>
      <w:pPr>
        <w:pStyle w:val="Heading5"/>
        <w:spacing w:line="240" w:lineRule="auto" w:before="37"/>
        <w:ind w:left="575" w:right="0"/>
        <w:jc w:val="left"/>
        <w:rPr>
          <w:b w:val="0"/>
          <w:bCs w:val="0"/>
        </w:rPr>
      </w:pPr>
      <w:r>
        <w:rPr>
          <w:rFonts w:ascii="Times New Roman" w:hAnsi="Times New Roman" w:cs="Times New Roman" w:eastAsia="Times New Roman" w:hint="default"/>
        </w:rPr>
        <w:t>1</w:t>
      </w:r>
      <w:r>
        <w:rPr/>
        <w:t>、会计政策变更</w:t>
      </w:r>
      <w:r>
        <w:rPr>
          <w:b w:val="0"/>
          <w:bCs w:val="0"/>
        </w:rPr>
      </w:r>
    </w:p>
    <w:p>
      <w:pPr>
        <w:pStyle w:val="BodyText"/>
        <w:spacing w:line="240" w:lineRule="auto" w:before="21"/>
        <w:ind w:left="572" w:right="0"/>
        <w:jc w:val="left"/>
      </w:pPr>
      <w:r>
        <w:rPr/>
        <w:t>（</w:t>
      </w:r>
      <w:r>
        <w:rPr>
          <w:rFonts w:ascii="Times New Roman" w:hAnsi="Times New Roman" w:cs="Times New Roman" w:eastAsia="Times New Roman" w:hint="default"/>
        </w:rPr>
        <w:t>1</w:t>
      </w:r>
      <w:r>
        <w:rPr/>
        <w:t>）因执行新企业会计准则导致的会计政策变更</w:t>
      </w:r>
    </w:p>
    <w:p>
      <w:pPr>
        <w:pStyle w:val="BodyText"/>
        <w:spacing w:line="256" w:lineRule="auto" w:before="21"/>
        <w:ind w:left="153" w:right="149" w:firstLine="419"/>
        <w:jc w:val="both"/>
      </w:pPr>
      <w:r>
        <w:rPr>
          <w:rFonts w:ascii="Times New Roman" w:hAnsi="Times New Roman" w:cs="Times New Roman" w:eastAsia="Times New Roman" w:hint="default"/>
          <w:spacing w:val="-3"/>
        </w:rPr>
        <w:t>2014</w:t>
      </w:r>
      <w:r>
        <w:rPr>
          <w:spacing w:val="-3"/>
        </w:rPr>
        <w:t>年初，财政部分别以财会</w:t>
      </w:r>
      <w:r>
        <w:rPr>
          <w:rFonts w:ascii="Times New Roman" w:hAnsi="Times New Roman" w:cs="Times New Roman" w:eastAsia="Times New Roman" w:hint="default"/>
          <w:spacing w:val="-3"/>
        </w:rPr>
        <w:t>[2014]6</w:t>
      </w:r>
      <w:r>
        <w:rPr>
          <w:spacing w:val="-3"/>
        </w:rPr>
        <w:t>号、</w:t>
      </w:r>
      <w:r>
        <w:rPr>
          <w:rFonts w:ascii="Times New Roman" w:hAnsi="Times New Roman" w:cs="Times New Roman" w:eastAsia="Times New Roman" w:hint="default"/>
          <w:spacing w:val="-3"/>
        </w:rPr>
        <w:t>7</w:t>
      </w:r>
      <w:r>
        <w:rPr>
          <w:spacing w:val="-3"/>
        </w:rPr>
        <w:t>号、</w:t>
      </w:r>
      <w:r>
        <w:rPr>
          <w:rFonts w:ascii="Times New Roman" w:hAnsi="Times New Roman" w:cs="Times New Roman" w:eastAsia="Times New Roman" w:hint="default"/>
          <w:spacing w:val="-3"/>
        </w:rPr>
        <w:t>8</w:t>
      </w:r>
      <w:r>
        <w:rPr>
          <w:spacing w:val="-3"/>
        </w:rPr>
        <w:t>号、</w:t>
      </w:r>
      <w:r>
        <w:rPr>
          <w:rFonts w:ascii="Times New Roman" w:hAnsi="Times New Roman" w:cs="Times New Roman" w:eastAsia="Times New Roman" w:hint="default"/>
          <w:spacing w:val="-3"/>
        </w:rPr>
        <w:t>10</w:t>
      </w:r>
      <w:r>
        <w:rPr>
          <w:spacing w:val="-3"/>
        </w:rPr>
        <w:t>号、</w:t>
      </w:r>
      <w:r>
        <w:rPr>
          <w:rFonts w:ascii="Times New Roman" w:hAnsi="Times New Roman" w:cs="Times New Roman" w:eastAsia="Times New Roman" w:hint="default"/>
          <w:spacing w:val="-3"/>
        </w:rPr>
        <w:t>11</w:t>
      </w:r>
      <w:r>
        <w:rPr>
          <w:spacing w:val="-3"/>
        </w:rPr>
        <w:t>号、</w:t>
      </w:r>
      <w:r>
        <w:rPr>
          <w:rFonts w:ascii="Times New Roman" w:hAnsi="Times New Roman" w:cs="Times New Roman" w:eastAsia="Times New Roman" w:hint="default"/>
          <w:spacing w:val="-3"/>
        </w:rPr>
        <w:t>14</w:t>
      </w:r>
      <w:r>
        <w:rPr>
          <w:spacing w:val="-3"/>
        </w:rPr>
        <w:t>号及</w:t>
      </w:r>
      <w:r>
        <w:rPr>
          <w:rFonts w:ascii="Times New Roman" w:hAnsi="Times New Roman" w:cs="Times New Roman" w:eastAsia="Times New Roman" w:hint="default"/>
          <w:spacing w:val="-3"/>
        </w:rPr>
        <w:t>16</w:t>
      </w:r>
      <w:r>
        <w:rPr>
          <w:spacing w:val="-3"/>
        </w:rPr>
        <w:t>号发布了《企业会计准则</w:t>
      </w:r>
      <w:r>
        <w:rPr>
          <w:w w:val="100"/>
        </w:rPr>
        <w:t> </w:t>
      </w:r>
      <w:r>
        <w:rPr>
          <w:spacing w:val="-2"/>
        </w:rPr>
        <w:t>第</w:t>
      </w:r>
      <w:r>
        <w:rPr>
          <w:rFonts w:ascii="Times New Roman" w:hAnsi="Times New Roman" w:cs="Times New Roman" w:eastAsia="Times New Roman" w:hint="default"/>
          <w:spacing w:val="-2"/>
        </w:rPr>
        <w:t>39</w:t>
      </w:r>
      <w:r>
        <w:rPr>
          <w:spacing w:val="-2"/>
        </w:rPr>
        <w:t>号</w:t>
      </w:r>
      <w:r>
        <w:rPr>
          <w:rFonts w:ascii="Times New Roman" w:hAnsi="Times New Roman" w:cs="Times New Roman" w:eastAsia="Times New Roman" w:hint="default"/>
          <w:spacing w:val="-2"/>
        </w:rPr>
        <w:t>——</w:t>
      </w:r>
      <w:r>
        <w:rPr>
          <w:spacing w:val="-2"/>
        </w:rPr>
        <w:t>公允价值计量》、《企业会计准则第</w:t>
      </w:r>
      <w:r>
        <w:rPr>
          <w:rFonts w:ascii="Times New Roman" w:hAnsi="Times New Roman" w:cs="Times New Roman" w:eastAsia="Times New Roman" w:hint="default"/>
          <w:spacing w:val="-2"/>
        </w:rPr>
        <w:t>30</w:t>
      </w:r>
      <w:r>
        <w:rPr>
          <w:spacing w:val="-2"/>
        </w:rPr>
        <w:t>号</w:t>
      </w:r>
      <w:r>
        <w:rPr>
          <w:rFonts w:ascii="Times New Roman" w:hAnsi="Times New Roman" w:cs="Times New Roman" w:eastAsia="Times New Roman" w:hint="default"/>
          <w:spacing w:val="-2"/>
        </w:rPr>
        <w:t>——</w:t>
      </w:r>
      <w:r>
        <w:rPr>
          <w:spacing w:val="-2"/>
        </w:rPr>
        <w:t>财务报表列报（</w:t>
      </w:r>
      <w:r>
        <w:rPr>
          <w:rFonts w:ascii="Times New Roman" w:hAnsi="Times New Roman" w:cs="Times New Roman" w:eastAsia="Times New Roman" w:hint="default"/>
          <w:spacing w:val="-2"/>
        </w:rPr>
        <w:t>2014</w:t>
      </w:r>
      <w:r>
        <w:rPr>
          <w:spacing w:val="-2"/>
        </w:rPr>
        <w:t>年修订）》、《企业会计准</w:t>
      </w:r>
      <w:r>
        <w:rPr>
          <w:spacing w:val="-40"/>
        </w:rPr>
        <w:t> </w:t>
      </w:r>
      <w:r>
        <w:rPr>
          <w:spacing w:val="-40"/>
        </w:rPr>
      </w:r>
      <w:r>
        <w:rPr/>
        <w:t>则第</w:t>
      </w:r>
      <w:r>
        <w:rPr>
          <w:rFonts w:ascii="Times New Roman" w:hAnsi="Times New Roman" w:cs="Times New Roman" w:eastAsia="Times New Roman" w:hint="default"/>
        </w:rPr>
        <w:t>9</w:t>
      </w:r>
      <w:r>
        <w:rPr/>
        <w:t>号</w:t>
      </w:r>
      <w:r>
        <w:rPr>
          <w:rFonts w:ascii="Times New Roman" w:hAnsi="Times New Roman" w:cs="Times New Roman" w:eastAsia="Times New Roman" w:hint="default"/>
        </w:rPr>
        <w:t>——</w:t>
      </w:r>
      <w:r>
        <w:rPr/>
        <w:t>职工薪酬（</w:t>
      </w:r>
      <w:r>
        <w:rPr>
          <w:rFonts w:ascii="Times New Roman" w:hAnsi="Times New Roman" w:cs="Times New Roman" w:eastAsia="Times New Roman" w:hint="default"/>
        </w:rPr>
        <w:t>2014</w:t>
      </w:r>
      <w:r>
        <w:rPr/>
        <w:t>年修订）》、《企业会计准则第</w:t>
      </w:r>
      <w:r>
        <w:rPr>
          <w:rFonts w:ascii="Times New Roman" w:hAnsi="Times New Roman" w:cs="Times New Roman" w:eastAsia="Times New Roman" w:hint="default"/>
        </w:rPr>
        <w:t>33</w:t>
      </w:r>
      <w:r>
        <w:rPr/>
        <w:t>号</w:t>
      </w:r>
      <w:r>
        <w:rPr>
          <w:rFonts w:ascii="Times New Roman" w:hAnsi="Times New Roman" w:cs="Times New Roman" w:eastAsia="Times New Roman" w:hint="default"/>
        </w:rPr>
        <w:t>——</w:t>
      </w:r>
      <w:r>
        <w:rPr/>
        <w:t>合并财务报表（</w:t>
      </w:r>
      <w:r>
        <w:rPr>
          <w:rFonts w:ascii="Times New Roman" w:hAnsi="Times New Roman" w:cs="Times New Roman" w:eastAsia="Times New Roman" w:hint="default"/>
        </w:rPr>
        <w:t>2014</w:t>
      </w:r>
      <w:r>
        <w:rPr/>
        <w:t>年修订）》、</w:t>
      </w:r>
    </w:p>
    <w:p>
      <w:pPr>
        <w:pStyle w:val="BodyText"/>
        <w:spacing w:line="256" w:lineRule="auto" w:before="5"/>
        <w:ind w:left="154" w:right="146" w:hanging="1"/>
        <w:jc w:val="both"/>
      </w:pPr>
      <w:r>
        <w:rPr>
          <w:spacing w:val="-4"/>
        </w:rPr>
        <w:t>《企业会计准则第</w:t>
      </w:r>
      <w:r>
        <w:rPr>
          <w:rFonts w:ascii="Times New Roman" w:hAnsi="Times New Roman" w:cs="Times New Roman" w:eastAsia="Times New Roman" w:hint="default"/>
          <w:spacing w:val="-4"/>
        </w:rPr>
        <w:t>40</w:t>
      </w:r>
      <w:r>
        <w:rPr>
          <w:spacing w:val="-4"/>
        </w:rPr>
        <w:t>号</w:t>
      </w:r>
      <w:r>
        <w:rPr>
          <w:rFonts w:ascii="Times New Roman" w:hAnsi="Times New Roman" w:cs="Times New Roman" w:eastAsia="Times New Roman" w:hint="default"/>
          <w:spacing w:val="-4"/>
        </w:rPr>
        <w:t>——</w:t>
      </w:r>
      <w:r>
        <w:rPr>
          <w:spacing w:val="-4"/>
        </w:rPr>
        <w:t>合营安排》、《企业会计准则第</w:t>
      </w:r>
      <w:r>
        <w:rPr>
          <w:rFonts w:ascii="Times New Roman" w:hAnsi="Times New Roman" w:cs="Times New Roman" w:eastAsia="Times New Roman" w:hint="default"/>
          <w:spacing w:val="-4"/>
        </w:rPr>
        <w:t>2</w:t>
      </w:r>
      <w:r>
        <w:rPr>
          <w:spacing w:val="-4"/>
        </w:rPr>
        <w:t>号</w:t>
      </w:r>
      <w:r>
        <w:rPr>
          <w:rFonts w:ascii="Times New Roman" w:hAnsi="Times New Roman" w:cs="Times New Roman" w:eastAsia="Times New Roman" w:hint="default"/>
          <w:spacing w:val="-4"/>
        </w:rPr>
        <w:t>——</w:t>
      </w:r>
      <w:r>
        <w:rPr>
          <w:spacing w:val="-4"/>
        </w:rPr>
        <w:t>长期股权投资（</w:t>
      </w:r>
      <w:r>
        <w:rPr>
          <w:rFonts w:ascii="Times New Roman" w:hAnsi="Times New Roman" w:cs="Times New Roman" w:eastAsia="Times New Roman" w:hint="default"/>
          <w:spacing w:val="-4"/>
        </w:rPr>
        <w:t>2014</w:t>
      </w:r>
      <w:r>
        <w:rPr>
          <w:spacing w:val="-4"/>
        </w:rPr>
        <w:t>年修订）》及《企</w:t>
      </w:r>
      <w:r>
        <w:rPr>
          <w:spacing w:val="-44"/>
        </w:rPr>
        <w:t> </w:t>
      </w:r>
      <w:r>
        <w:rPr>
          <w:spacing w:val="-44"/>
        </w:rPr>
      </w:r>
      <w:r>
        <w:rPr>
          <w:spacing w:val="-2"/>
        </w:rPr>
        <w:t>业会计准则第</w:t>
      </w:r>
      <w:r>
        <w:rPr>
          <w:rFonts w:ascii="Times New Roman" w:hAnsi="Times New Roman" w:cs="Times New Roman" w:eastAsia="Times New Roman" w:hint="default"/>
          <w:spacing w:val="-2"/>
        </w:rPr>
        <w:t>41</w:t>
      </w:r>
      <w:r>
        <w:rPr>
          <w:spacing w:val="-2"/>
        </w:rPr>
        <w:t>号</w:t>
      </w:r>
      <w:r>
        <w:rPr>
          <w:rFonts w:ascii="Times New Roman" w:hAnsi="Times New Roman" w:cs="Times New Roman" w:eastAsia="Times New Roman" w:hint="default"/>
          <w:spacing w:val="-2"/>
        </w:rPr>
        <w:t>——</w:t>
      </w:r>
      <w:r>
        <w:rPr>
          <w:spacing w:val="-2"/>
        </w:rPr>
        <w:t>在其他主体中权益的披露》，要求自</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w:t>
      </w:r>
      <w:r>
        <w:rPr>
          <w:spacing w:val="-2"/>
        </w:rPr>
        <w:t>日起在所有执行企业会计准则的企</w:t>
      </w:r>
      <w:r>
        <w:rPr>
          <w:spacing w:val="-36"/>
        </w:rPr>
        <w:t> </w:t>
      </w:r>
      <w:r>
        <w:rPr>
          <w:spacing w:val="-36"/>
        </w:rPr>
      </w:r>
      <w:r>
        <w:rPr/>
        <w:t>业范围内施行。同时，财政部以财会</w:t>
      </w:r>
      <w:r>
        <w:rPr>
          <w:rFonts w:ascii="Times New Roman" w:hAnsi="Times New Roman" w:cs="Times New Roman" w:eastAsia="Times New Roman" w:hint="default"/>
        </w:rPr>
        <w:t>[2014]23</w:t>
      </w:r>
      <w:r>
        <w:rPr/>
        <w:t>号发布了《企业会计准则第</w:t>
      </w:r>
      <w:r>
        <w:rPr>
          <w:rFonts w:ascii="Times New Roman" w:hAnsi="Times New Roman" w:cs="Times New Roman" w:eastAsia="Times New Roman" w:hint="default"/>
        </w:rPr>
        <w:t>37</w:t>
      </w:r>
      <w:r>
        <w:rPr/>
        <w:t>号</w:t>
      </w:r>
      <w:r>
        <w:rPr>
          <w:rFonts w:ascii="Times New Roman" w:hAnsi="Times New Roman" w:cs="Times New Roman" w:eastAsia="Times New Roman" w:hint="default"/>
        </w:rPr>
        <w:t>——</w:t>
      </w:r>
      <w:r>
        <w:rPr/>
        <w:t>金融工具列报（</w:t>
      </w:r>
      <w:r>
        <w:rPr>
          <w:rFonts w:ascii="Times New Roman" w:hAnsi="Times New Roman" w:cs="Times New Roman" w:eastAsia="Times New Roman" w:hint="default"/>
        </w:rPr>
        <w:t>2014</w:t>
      </w:r>
      <w:r>
        <w:rPr/>
        <w:t>年</w:t>
      </w:r>
      <w:r>
        <w:rPr>
          <w:spacing w:val="-61"/>
        </w:rPr>
        <w:t> </w:t>
      </w:r>
      <w:r>
        <w:rPr/>
        <w:t>修订）》，要求在</w:t>
      </w:r>
      <w:r>
        <w:rPr>
          <w:rFonts w:ascii="Times New Roman" w:hAnsi="Times New Roman" w:cs="Times New Roman" w:eastAsia="Times New Roman" w:hint="default"/>
        </w:rPr>
        <w:t>2014</w:t>
      </w:r>
      <w:r>
        <w:rPr/>
        <w:t>年度及以后期间的财务报告中按照该准则的要求对金融工具进行列报。</w:t>
      </w:r>
    </w:p>
    <w:p>
      <w:pPr>
        <w:pStyle w:val="BodyText"/>
        <w:spacing w:line="240" w:lineRule="auto" w:before="5"/>
        <w:ind w:left="574" w:right="0"/>
        <w:jc w:val="left"/>
      </w:pPr>
      <w:r>
        <w:rPr/>
        <w:t>本公司根据各准则衔接要求进行了调整，对可比期间财务报表项目及金额的影响如下：</w:t>
      </w:r>
    </w:p>
    <w:p>
      <w:pPr>
        <w:spacing w:line="240" w:lineRule="auto" w:before="10"/>
        <w:rPr>
          <w:rFonts w:ascii="宋体" w:hAnsi="宋体" w:cs="宋体" w:eastAsia="宋体" w:hint="default"/>
          <w:sz w:val="15"/>
          <w:szCs w:val="15"/>
        </w:rPr>
      </w:pPr>
    </w:p>
    <w:tbl>
      <w:tblPr>
        <w:tblW w:w="0" w:type="auto"/>
        <w:jc w:val="left"/>
        <w:tblInd w:w="145" w:type="dxa"/>
        <w:tblLayout w:type="fixed"/>
        <w:tblCellMar>
          <w:top w:w="0" w:type="dxa"/>
          <w:left w:w="0" w:type="dxa"/>
          <w:bottom w:w="0" w:type="dxa"/>
          <w:right w:w="0" w:type="dxa"/>
        </w:tblCellMar>
        <w:tblLook w:val="01E0"/>
      </w:tblPr>
      <w:tblGrid>
        <w:gridCol w:w="2107"/>
        <w:gridCol w:w="2254"/>
        <w:gridCol w:w="2335"/>
        <w:gridCol w:w="2294"/>
      </w:tblGrid>
      <w:tr>
        <w:trPr>
          <w:trHeight w:val="355" w:hRule="exact"/>
        </w:trPr>
        <w:tc>
          <w:tcPr>
            <w:tcW w:w="2107" w:type="dxa"/>
            <w:vMerge w:val="restart"/>
            <w:tcBorders>
              <w:top w:val="single" w:sz="6" w:space="0" w:color="000000"/>
              <w:left w:val="single" w:sz="6" w:space="0" w:color="000000"/>
              <w:right w:val="single" w:sz="6" w:space="0" w:color="000000"/>
            </w:tcBorders>
          </w:tcPr>
          <w:p>
            <w:pPr>
              <w:pStyle w:val="TableParagraph"/>
              <w:spacing w:line="250" w:lineRule="exact"/>
              <w:ind w:left="417" w:right="0"/>
              <w:jc w:val="left"/>
              <w:rPr>
                <w:rFonts w:ascii="宋体" w:hAnsi="宋体" w:cs="宋体" w:eastAsia="宋体" w:hint="default"/>
                <w:sz w:val="21"/>
                <w:szCs w:val="21"/>
              </w:rPr>
            </w:pPr>
            <w:r>
              <w:rPr>
                <w:rFonts w:ascii="宋体" w:hAnsi="宋体" w:cs="宋体" w:eastAsia="宋体" w:hint="default"/>
                <w:sz w:val="21"/>
                <w:szCs w:val="21"/>
              </w:rPr>
              <w:t>报表项目名称</w:t>
            </w:r>
          </w:p>
        </w:tc>
        <w:tc>
          <w:tcPr>
            <w:tcW w:w="6883" w:type="dxa"/>
            <w:gridSpan w:val="3"/>
            <w:tcBorders>
              <w:top w:val="single" w:sz="6" w:space="0" w:color="000000"/>
              <w:left w:val="single" w:sz="6" w:space="0" w:color="000000"/>
              <w:bottom w:val="single" w:sz="12" w:space="0" w:color="000000"/>
              <w:right w:val="nil" w:sz="6" w:space="0" w:color="auto"/>
            </w:tcBorders>
          </w:tcPr>
          <w:p>
            <w:pPr>
              <w:pStyle w:val="TableParagraph"/>
              <w:spacing w:line="26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w:t>
            </w:r>
          </w:p>
        </w:tc>
      </w:tr>
      <w:tr>
        <w:trPr>
          <w:trHeight w:val="350" w:hRule="exact"/>
        </w:trPr>
        <w:tc>
          <w:tcPr>
            <w:tcW w:w="2107" w:type="dxa"/>
            <w:vMerge/>
            <w:tcBorders>
              <w:left w:val="single" w:sz="6" w:space="0" w:color="000000"/>
              <w:bottom w:val="single" w:sz="12" w:space="0" w:color="000000"/>
              <w:right w:val="single" w:sz="6" w:space="0" w:color="000000"/>
            </w:tcBorders>
          </w:tcPr>
          <w:p>
            <w:pPr/>
          </w:p>
        </w:tc>
        <w:tc>
          <w:tcPr>
            <w:tcW w:w="2254"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595" w:right="0"/>
              <w:jc w:val="left"/>
              <w:rPr>
                <w:rFonts w:ascii="宋体" w:hAnsi="宋体" w:cs="宋体" w:eastAsia="宋体" w:hint="default"/>
                <w:sz w:val="21"/>
                <w:szCs w:val="21"/>
              </w:rPr>
            </w:pPr>
            <w:r>
              <w:rPr>
                <w:rFonts w:ascii="宋体" w:hAnsi="宋体" w:cs="宋体" w:eastAsia="宋体" w:hint="default"/>
                <w:sz w:val="21"/>
                <w:szCs w:val="21"/>
              </w:rPr>
              <w:t>变更前金额</w:t>
            </w:r>
          </w:p>
        </w:tc>
        <w:tc>
          <w:tcPr>
            <w:tcW w:w="2335"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739" w:right="0"/>
              <w:jc w:val="left"/>
              <w:rPr>
                <w:rFonts w:ascii="宋体" w:hAnsi="宋体" w:cs="宋体" w:eastAsia="宋体" w:hint="default"/>
                <w:sz w:val="21"/>
                <w:szCs w:val="21"/>
              </w:rPr>
            </w:pPr>
            <w:r>
              <w:rPr>
                <w:rFonts w:ascii="宋体" w:hAnsi="宋体" w:cs="宋体" w:eastAsia="宋体" w:hint="default"/>
                <w:sz w:val="21"/>
                <w:szCs w:val="21"/>
              </w:rPr>
              <w:t>变更金额</w:t>
            </w:r>
          </w:p>
        </w:tc>
        <w:tc>
          <w:tcPr>
            <w:tcW w:w="2294" w:type="dxa"/>
            <w:tcBorders>
              <w:top w:val="single" w:sz="12" w:space="0" w:color="000000"/>
              <w:left w:val="single" w:sz="6" w:space="0" w:color="000000"/>
              <w:bottom w:val="single" w:sz="12" w:space="0" w:color="000000"/>
              <w:right w:val="nil" w:sz="6" w:space="0" w:color="auto"/>
            </w:tcBorders>
          </w:tcPr>
          <w:p>
            <w:pPr>
              <w:pStyle w:val="TableParagraph"/>
              <w:spacing w:line="241" w:lineRule="exact"/>
              <w:ind w:left="614" w:right="0"/>
              <w:jc w:val="left"/>
              <w:rPr>
                <w:rFonts w:ascii="宋体" w:hAnsi="宋体" w:cs="宋体" w:eastAsia="宋体" w:hint="default"/>
                <w:sz w:val="21"/>
                <w:szCs w:val="21"/>
              </w:rPr>
            </w:pPr>
            <w:r>
              <w:rPr>
                <w:rFonts w:ascii="宋体" w:hAnsi="宋体" w:cs="宋体" w:eastAsia="宋体" w:hint="default"/>
                <w:sz w:val="21"/>
                <w:szCs w:val="21"/>
              </w:rPr>
              <w:t>变更后金额</w:t>
            </w:r>
          </w:p>
        </w:tc>
      </w:tr>
      <w:tr>
        <w:trPr>
          <w:trHeight w:val="353" w:hRule="exact"/>
        </w:trPr>
        <w:tc>
          <w:tcPr>
            <w:tcW w:w="2107"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4"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2254"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0"/>
              <w:jc w:val="right"/>
              <w:rPr>
                <w:rFonts w:ascii="Times New Roman" w:hAnsi="Times New Roman" w:cs="Times New Roman" w:eastAsia="Times New Roman" w:hint="default"/>
                <w:sz w:val="21"/>
                <w:szCs w:val="21"/>
              </w:rPr>
            </w:pPr>
            <w:r>
              <w:rPr>
                <w:rFonts w:ascii="Times New Roman"/>
                <w:spacing w:val="-1"/>
                <w:sz w:val="21"/>
              </w:rPr>
              <w:t>2,518,616.26</w:t>
            </w:r>
          </w:p>
        </w:tc>
        <w:tc>
          <w:tcPr>
            <w:tcW w:w="2335"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(2,518,616.26)</w:t>
            </w:r>
          </w:p>
        </w:tc>
        <w:tc>
          <w:tcPr>
            <w:tcW w:w="2294"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6"/>
              <w:jc w:val="right"/>
              <w:rPr>
                <w:rFonts w:ascii="Times New Roman" w:hAnsi="Times New Roman" w:cs="Times New Roman" w:eastAsia="Times New Roman" w:hint="default"/>
                <w:sz w:val="21"/>
                <w:szCs w:val="21"/>
              </w:rPr>
            </w:pPr>
            <w:r>
              <w:rPr>
                <w:rFonts w:ascii="Times New Roman"/>
                <w:spacing w:val="-1"/>
                <w:sz w:val="21"/>
              </w:rPr>
              <w:t>---</w:t>
            </w:r>
          </w:p>
        </w:tc>
      </w:tr>
      <w:tr>
        <w:trPr>
          <w:trHeight w:val="353" w:hRule="exact"/>
        </w:trPr>
        <w:tc>
          <w:tcPr>
            <w:tcW w:w="2107"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4"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2254"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2335"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2,518,616.26</w:t>
            </w:r>
          </w:p>
        </w:tc>
        <w:tc>
          <w:tcPr>
            <w:tcW w:w="2294"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5"/>
              <w:jc w:val="right"/>
              <w:rPr>
                <w:rFonts w:ascii="Times New Roman" w:hAnsi="Times New Roman" w:cs="Times New Roman" w:eastAsia="Times New Roman" w:hint="default"/>
                <w:sz w:val="21"/>
                <w:szCs w:val="21"/>
              </w:rPr>
            </w:pPr>
            <w:r>
              <w:rPr>
                <w:rFonts w:ascii="Times New Roman"/>
                <w:spacing w:val="-1"/>
                <w:sz w:val="21"/>
              </w:rPr>
              <w:t>2,518,616.26</w:t>
            </w:r>
          </w:p>
        </w:tc>
      </w:tr>
      <w:tr>
        <w:trPr>
          <w:trHeight w:val="350" w:hRule="exact"/>
        </w:trPr>
        <w:tc>
          <w:tcPr>
            <w:tcW w:w="2107" w:type="dxa"/>
            <w:vMerge w:val="restart"/>
            <w:tcBorders>
              <w:top w:val="single" w:sz="12" w:space="0" w:color="000000"/>
              <w:left w:val="single" w:sz="6" w:space="0" w:color="000000"/>
              <w:right w:val="single" w:sz="6"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报表项目名称</w:t>
            </w:r>
          </w:p>
        </w:tc>
        <w:tc>
          <w:tcPr>
            <w:tcW w:w="6883" w:type="dxa"/>
            <w:gridSpan w:val="3"/>
            <w:tcBorders>
              <w:top w:val="single" w:sz="12" w:space="0" w:color="000000"/>
              <w:left w:val="single" w:sz="6" w:space="0" w:color="000000"/>
              <w:bottom w:val="single" w:sz="12" w:space="0" w:color="000000"/>
              <w:right w:val="nil" w:sz="6" w:space="0" w:color="auto"/>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w:t>
            </w:r>
          </w:p>
        </w:tc>
      </w:tr>
      <w:tr>
        <w:trPr>
          <w:trHeight w:val="353" w:hRule="exact"/>
        </w:trPr>
        <w:tc>
          <w:tcPr>
            <w:tcW w:w="2107" w:type="dxa"/>
            <w:vMerge/>
            <w:tcBorders>
              <w:left w:val="single" w:sz="6" w:space="0" w:color="000000"/>
              <w:bottom w:val="single" w:sz="12" w:space="0" w:color="000000"/>
              <w:right w:val="single" w:sz="6" w:space="0" w:color="000000"/>
            </w:tcBorders>
          </w:tcPr>
          <w:p>
            <w:pPr/>
          </w:p>
        </w:tc>
        <w:tc>
          <w:tcPr>
            <w:tcW w:w="2254"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595" w:right="0"/>
              <w:jc w:val="left"/>
              <w:rPr>
                <w:rFonts w:ascii="宋体" w:hAnsi="宋体" w:cs="宋体" w:eastAsia="宋体" w:hint="default"/>
                <w:sz w:val="21"/>
                <w:szCs w:val="21"/>
              </w:rPr>
            </w:pPr>
            <w:r>
              <w:rPr>
                <w:rFonts w:ascii="宋体" w:hAnsi="宋体" w:cs="宋体" w:eastAsia="宋体" w:hint="default"/>
                <w:sz w:val="21"/>
                <w:szCs w:val="21"/>
              </w:rPr>
              <w:t>变更前金额</w:t>
            </w:r>
          </w:p>
        </w:tc>
        <w:tc>
          <w:tcPr>
            <w:tcW w:w="2335"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739" w:right="0"/>
              <w:jc w:val="left"/>
              <w:rPr>
                <w:rFonts w:ascii="宋体" w:hAnsi="宋体" w:cs="宋体" w:eastAsia="宋体" w:hint="default"/>
                <w:sz w:val="21"/>
                <w:szCs w:val="21"/>
              </w:rPr>
            </w:pPr>
            <w:r>
              <w:rPr>
                <w:rFonts w:ascii="宋体" w:hAnsi="宋体" w:cs="宋体" w:eastAsia="宋体" w:hint="default"/>
                <w:sz w:val="21"/>
                <w:szCs w:val="21"/>
              </w:rPr>
              <w:t>变更金额</w:t>
            </w:r>
          </w:p>
        </w:tc>
        <w:tc>
          <w:tcPr>
            <w:tcW w:w="2294" w:type="dxa"/>
            <w:tcBorders>
              <w:top w:val="single" w:sz="12" w:space="0" w:color="000000"/>
              <w:left w:val="single" w:sz="6" w:space="0" w:color="000000"/>
              <w:bottom w:val="single" w:sz="12" w:space="0" w:color="000000"/>
              <w:right w:val="nil" w:sz="6" w:space="0" w:color="auto"/>
            </w:tcBorders>
          </w:tcPr>
          <w:p>
            <w:pPr>
              <w:pStyle w:val="TableParagraph"/>
              <w:spacing w:line="243" w:lineRule="exact"/>
              <w:ind w:left="614" w:right="0"/>
              <w:jc w:val="left"/>
              <w:rPr>
                <w:rFonts w:ascii="宋体" w:hAnsi="宋体" w:cs="宋体" w:eastAsia="宋体" w:hint="default"/>
                <w:sz w:val="21"/>
                <w:szCs w:val="21"/>
              </w:rPr>
            </w:pPr>
            <w:r>
              <w:rPr>
                <w:rFonts w:ascii="宋体" w:hAnsi="宋体" w:cs="宋体" w:eastAsia="宋体" w:hint="default"/>
                <w:sz w:val="21"/>
                <w:szCs w:val="21"/>
              </w:rPr>
              <w:t>变更后金额</w:t>
            </w:r>
          </w:p>
        </w:tc>
      </w:tr>
      <w:tr>
        <w:trPr>
          <w:trHeight w:val="353" w:hRule="exact"/>
        </w:trPr>
        <w:tc>
          <w:tcPr>
            <w:tcW w:w="2107"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4"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2254"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4,620,556.01</w:t>
            </w:r>
          </w:p>
        </w:tc>
        <w:tc>
          <w:tcPr>
            <w:tcW w:w="2335"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(4,620,556.01)</w:t>
            </w:r>
          </w:p>
        </w:tc>
        <w:tc>
          <w:tcPr>
            <w:tcW w:w="2294"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6"/>
              <w:jc w:val="right"/>
              <w:rPr>
                <w:rFonts w:ascii="Times New Roman" w:hAnsi="Times New Roman" w:cs="Times New Roman" w:eastAsia="Times New Roman" w:hint="default"/>
                <w:sz w:val="21"/>
                <w:szCs w:val="21"/>
              </w:rPr>
            </w:pPr>
            <w:r>
              <w:rPr>
                <w:rFonts w:ascii="Times New Roman"/>
                <w:spacing w:val="-1"/>
                <w:sz w:val="21"/>
              </w:rPr>
              <w:t>---</w:t>
            </w:r>
          </w:p>
        </w:tc>
      </w:tr>
      <w:tr>
        <w:trPr>
          <w:trHeight w:val="353" w:hRule="exact"/>
        </w:trPr>
        <w:tc>
          <w:tcPr>
            <w:tcW w:w="2107"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4"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2254"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2335"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4,620,556.01</w:t>
            </w:r>
          </w:p>
        </w:tc>
        <w:tc>
          <w:tcPr>
            <w:tcW w:w="2294"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5"/>
              <w:jc w:val="right"/>
              <w:rPr>
                <w:rFonts w:ascii="Times New Roman" w:hAnsi="Times New Roman" w:cs="Times New Roman" w:eastAsia="Times New Roman" w:hint="default"/>
                <w:sz w:val="21"/>
                <w:szCs w:val="21"/>
              </w:rPr>
            </w:pPr>
            <w:r>
              <w:rPr>
                <w:rFonts w:ascii="Times New Roman"/>
                <w:spacing w:val="-1"/>
                <w:sz w:val="21"/>
              </w:rPr>
              <w:t>4,620,556.01</w:t>
            </w:r>
          </w:p>
        </w:tc>
      </w:tr>
    </w:tbl>
    <w:p>
      <w:pPr>
        <w:spacing w:line="240" w:lineRule="auto" w:before="2"/>
        <w:rPr>
          <w:rFonts w:ascii="宋体" w:hAnsi="宋体" w:cs="宋体" w:eastAsia="宋体" w:hint="default"/>
          <w:sz w:val="20"/>
          <w:szCs w:val="20"/>
        </w:rPr>
      </w:pPr>
    </w:p>
    <w:p>
      <w:pPr>
        <w:pStyle w:val="BodyText"/>
        <w:spacing w:line="273" w:lineRule="auto" w:before="36"/>
        <w:ind w:right="0" w:firstLine="420"/>
        <w:jc w:val="left"/>
      </w:pPr>
      <w:r>
        <w:rPr>
          <w:spacing w:val="-2"/>
        </w:rPr>
        <w:t>本次会计政策变更，仅对上述财务报表项目列示产生影响，对公司报告期的资产总额、负债总额和净</w:t>
      </w:r>
      <w:r>
        <w:rPr>
          <w:spacing w:val="-3"/>
          <w:w w:val="100"/>
        </w:rPr>
        <w:t> </w:t>
      </w:r>
      <w:r>
        <w:rPr/>
        <w:t>资产以及报告期的净利润未产生影响。</w:t>
      </w:r>
    </w:p>
    <w:p>
      <w:pPr>
        <w:spacing w:line="264" w:lineRule="auto" w:before="7"/>
        <w:ind w:left="572" w:right="4736"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、会计估计变更</w:t>
      </w:r>
      <w:r>
        <w:rPr>
          <w:rFonts w:ascii="宋体" w:hAnsi="宋体" w:cs="宋体" w:eastAsia="宋体" w:hint="default"/>
          <w:b/>
          <w:bCs/>
          <w:w w:val="100"/>
          <w:sz w:val="21"/>
          <w:szCs w:val="21"/>
        </w:rPr>
        <w:t> </w:t>
      </w:r>
      <w:r>
        <w:rPr>
          <w:rFonts w:ascii="宋体" w:hAnsi="宋体" w:cs="宋体" w:eastAsia="宋体" w:hint="default"/>
          <w:sz w:val="21"/>
          <w:szCs w:val="21"/>
        </w:rPr>
        <w:t>本报告期内主要会计估计未发生变更。</w:t>
      </w:r>
      <w:r>
        <w:rPr>
          <w:rFonts w:ascii="宋体" w:hAnsi="宋体" w:cs="宋体" w:eastAsia="宋体" w:hint="default"/>
          <w:w w:val="100"/>
          <w:sz w:val="21"/>
          <w:szCs w:val="21"/>
        </w:rPr>
        <w:t> </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二十五</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前期会计差错更正</w:t>
      </w:r>
      <w:r>
        <w:rPr>
          <w:rFonts w:ascii="宋体" w:hAnsi="宋体" w:cs="宋体" w:eastAsia="宋体" w:hint="default"/>
          <w:b/>
          <w:bCs/>
          <w:w w:val="100"/>
          <w:sz w:val="21"/>
          <w:szCs w:val="21"/>
        </w:rPr>
        <w:t> </w:t>
      </w:r>
      <w:r>
        <w:rPr>
          <w:rFonts w:ascii="宋体" w:hAnsi="宋体" w:cs="宋体" w:eastAsia="宋体" w:hint="default"/>
          <w:spacing w:val="-2"/>
          <w:sz w:val="21"/>
          <w:szCs w:val="21"/>
        </w:rPr>
        <w:t>本报告期未发现采用追溯重述法的前期会计差错。</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2"/>
          <w:sz w:val="21"/>
          <w:szCs w:val="21"/>
        </w:rPr>
        <w:t>本报告期未发现采用未来适用法的前期会计差错。</w:t>
      </w:r>
    </w:p>
    <w:p>
      <w:pPr>
        <w:spacing w:line="240" w:lineRule="auto" w:before="1"/>
        <w:rPr>
          <w:rFonts w:ascii="宋体" w:hAnsi="宋体" w:cs="宋体" w:eastAsia="宋体" w:hint="default"/>
          <w:sz w:val="25"/>
          <w:szCs w:val="25"/>
        </w:rPr>
      </w:pPr>
    </w:p>
    <w:p>
      <w:pPr>
        <w:pStyle w:val="Heading5"/>
        <w:spacing w:line="240" w:lineRule="auto"/>
        <w:ind w:left="575" w:right="0"/>
        <w:jc w:val="left"/>
        <w:rPr>
          <w:b w:val="0"/>
          <w:bCs w:val="0"/>
        </w:rPr>
      </w:pPr>
      <w:r>
        <w:rPr/>
        <w:t>五、税项</w:t>
      </w:r>
      <w:r>
        <w:rPr>
          <w:b w:val="0"/>
          <w:bCs w:val="0"/>
        </w:rPr>
      </w:r>
    </w:p>
    <w:p>
      <w:pPr>
        <w:pStyle w:val="Heading5"/>
        <w:spacing w:line="240" w:lineRule="auto" w:before="37"/>
        <w:ind w:left="469" w:right="0"/>
        <w:jc w:val="left"/>
        <w:rPr>
          <w:b w:val="0"/>
          <w:bCs w:val="0"/>
        </w:rPr>
      </w:pPr>
      <w:r>
        <w:rPr/>
        <w:t>（一）主要适用的税种和税率</w:t>
      </w:r>
      <w:r>
        <w:rPr>
          <w:b w:val="0"/>
          <w:bCs w:val="0"/>
        </w:rPr>
      </w:r>
    </w:p>
    <w:p>
      <w:pPr>
        <w:spacing w:line="240" w:lineRule="auto" w:before="10"/>
        <w:rPr>
          <w:rFonts w:ascii="宋体" w:hAnsi="宋体" w:cs="宋体" w:eastAsia="宋体" w:hint="default"/>
          <w:b/>
          <w:bCs/>
          <w:sz w:val="3"/>
          <w:szCs w:val="3"/>
        </w:rPr>
      </w:pPr>
    </w:p>
    <w:tbl>
      <w:tblPr>
        <w:tblW w:w="0" w:type="auto"/>
        <w:jc w:val="left"/>
        <w:tblInd w:w="145" w:type="dxa"/>
        <w:tblLayout w:type="fixed"/>
        <w:tblCellMar>
          <w:top w:w="0" w:type="dxa"/>
          <w:left w:w="0" w:type="dxa"/>
          <w:bottom w:w="0" w:type="dxa"/>
          <w:right w:w="0" w:type="dxa"/>
        </w:tblCellMar>
        <w:tblLook w:val="01E0"/>
      </w:tblPr>
      <w:tblGrid>
        <w:gridCol w:w="2842"/>
        <w:gridCol w:w="3118"/>
        <w:gridCol w:w="2666"/>
      </w:tblGrid>
      <w:tr>
        <w:trPr>
          <w:trHeight w:val="314" w:hRule="exact"/>
        </w:trPr>
        <w:tc>
          <w:tcPr>
            <w:tcW w:w="2842"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left="4"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3118"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left="4"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2666" w:type="dxa"/>
            <w:tcBorders>
              <w:top w:val="single" w:sz="6" w:space="0" w:color="000000"/>
              <w:left w:val="single" w:sz="6" w:space="0" w:color="000000"/>
              <w:bottom w:val="single" w:sz="12" w:space="0" w:color="000000"/>
              <w:right w:val="nil" w:sz="6" w:space="0" w:color="auto"/>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312" w:hRule="exact"/>
        </w:trPr>
        <w:tc>
          <w:tcPr>
            <w:tcW w:w="2842"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4"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118"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销售货物、应税劳务收入</w:t>
            </w:r>
          </w:p>
        </w:tc>
        <w:tc>
          <w:tcPr>
            <w:tcW w:w="2666"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913"/>
              <w:jc w:val="right"/>
              <w:rPr>
                <w:rFonts w:ascii="Times New Roman" w:hAnsi="Times New Roman" w:cs="Times New Roman" w:eastAsia="Times New Roman" w:hint="default"/>
                <w:sz w:val="21"/>
                <w:szCs w:val="21"/>
              </w:rPr>
            </w:pPr>
            <w:r>
              <w:rPr>
                <w:rFonts w:ascii="Times New Roman"/>
                <w:spacing w:val="-1"/>
                <w:sz w:val="21"/>
              </w:rPr>
              <w:t>17%,13%</w:t>
            </w:r>
          </w:p>
        </w:tc>
      </w:tr>
      <w:tr>
        <w:trPr>
          <w:trHeight w:val="314" w:hRule="exact"/>
        </w:trPr>
        <w:tc>
          <w:tcPr>
            <w:tcW w:w="2842"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4"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118"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应纳税营业额</w:t>
            </w:r>
          </w:p>
        </w:tc>
        <w:tc>
          <w:tcPr>
            <w:tcW w:w="2666"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1"/>
              <w:jc w:val="center"/>
              <w:rPr>
                <w:rFonts w:ascii="Times New Roman" w:hAnsi="Times New Roman" w:cs="Times New Roman" w:eastAsia="Times New Roman" w:hint="default"/>
                <w:sz w:val="21"/>
                <w:szCs w:val="21"/>
              </w:rPr>
            </w:pPr>
            <w:r>
              <w:rPr>
                <w:rFonts w:ascii="Times New Roman"/>
                <w:sz w:val="21"/>
              </w:rPr>
              <w:t>5%</w:t>
            </w:r>
          </w:p>
        </w:tc>
      </w:tr>
      <w:tr>
        <w:trPr>
          <w:trHeight w:val="312" w:hRule="exact"/>
        </w:trPr>
        <w:tc>
          <w:tcPr>
            <w:tcW w:w="2842"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4"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118"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实缴流转税税额</w:t>
            </w:r>
          </w:p>
        </w:tc>
        <w:tc>
          <w:tcPr>
            <w:tcW w:w="2666"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1"/>
              <w:jc w:val="center"/>
              <w:rPr>
                <w:rFonts w:ascii="Times New Roman" w:hAnsi="Times New Roman" w:cs="Times New Roman" w:eastAsia="Times New Roman" w:hint="default"/>
                <w:sz w:val="21"/>
                <w:szCs w:val="21"/>
              </w:rPr>
            </w:pPr>
            <w:r>
              <w:rPr>
                <w:rFonts w:ascii="Times New Roman"/>
                <w:sz w:val="21"/>
              </w:rPr>
              <w:t>7%</w:t>
            </w:r>
          </w:p>
        </w:tc>
      </w:tr>
      <w:tr>
        <w:trPr>
          <w:trHeight w:val="314" w:hRule="exact"/>
        </w:trPr>
        <w:tc>
          <w:tcPr>
            <w:tcW w:w="2842"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4"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118"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应纳税所得额</w:t>
            </w:r>
          </w:p>
        </w:tc>
        <w:tc>
          <w:tcPr>
            <w:tcW w:w="2666" w:type="dxa"/>
            <w:tcBorders>
              <w:top w:val="single" w:sz="12" w:space="0" w:color="000000"/>
              <w:left w:val="single" w:sz="6" w:space="0" w:color="000000"/>
              <w:bottom w:val="single" w:sz="12" w:space="0" w:color="000000"/>
              <w:right w:val="nil" w:sz="6" w:space="0" w:color="auto"/>
            </w:tcBorders>
          </w:tcPr>
          <w:p>
            <w:pPr>
              <w:pStyle w:val="TableParagraph"/>
              <w:spacing w:line="259" w:lineRule="exact"/>
              <w:ind w:right="837"/>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1"/>
                <w:sz w:val="21"/>
                <w:szCs w:val="21"/>
              </w:rPr>
              <w:t>15%</w:t>
            </w: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25%</w:t>
            </w:r>
          </w:p>
        </w:tc>
      </w:tr>
      <w:tr>
        <w:trPr>
          <w:trHeight w:val="314" w:hRule="exact"/>
        </w:trPr>
        <w:tc>
          <w:tcPr>
            <w:tcW w:w="2842"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4"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118"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应纳流转税额</w:t>
            </w:r>
          </w:p>
        </w:tc>
        <w:tc>
          <w:tcPr>
            <w:tcW w:w="2666"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1"/>
              <w:jc w:val="center"/>
              <w:rPr>
                <w:rFonts w:ascii="Times New Roman" w:hAnsi="Times New Roman" w:cs="Times New Roman" w:eastAsia="Times New Roman" w:hint="default"/>
                <w:sz w:val="21"/>
                <w:szCs w:val="21"/>
              </w:rPr>
            </w:pPr>
            <w:r>
              <w:rPr>
                <w:rFonts w:ascii="Times New Roman"/>
                <w:sz w:val="21"/>
              </w:rPr>
              <w:t>3%</w:t>
            </w:r>
          </w:p>
        </w:tc>
      </w:tr>
    </w:tbl>
    <w:p>
      <w:pPr>
        <w:spacing w:line="240" w:lineRule="auto" w:before="3"/>
        <w:rPr>
          <w:rFonts w:ascii="宋体" w:hAnsi="宋体" w:cs="宋体" w:eastAsia="宋体" w:hint="default"/>
          <w:b/>
          <w:bCs/>
          <w:sz w:val="8"/>
          <w:szCs w:val="8"/>
        </w:rPr>
      </w:pPr>
    </w:p>
    <w:p>
      <w:pPr>
        <w:pStyle w:val="BodyText"/>
        <w:spacing w:line="240" w:lineRule="auto" w:before="36"/>
        <w:ind w:left="572" w:right="0"/>
        <w:jc w:val="left"/>
      </w:pPr>
      <w:r>
        <w:rPr/>
        <w:t>不同纳税主体所得税税率说明：</w:t>
      </w:r>
    </w:p>
    <w:p>
      <w:pPr>
        <w:spacing w:line="240" w:lineRule="auto" w:before="10"/>
        <w:rPr>
          <w:rFonts w:ascii="宋体" w:hAnsi="宋体" w:cs="宋体" w:eastAsia="宋体" w:hint="default"/>
          <w:sz w:val="3"/>
          <w:szCs w:val="3"/>
        </w:rPr>
      </w:pPr>
    </w:p>
    <w:tbl>
      <w:tblPr>
        <w:tblW w:w="0" w:type="auto"/>
        <w:jc w:val="left"/>
        <w:tblInd w:w="145" w:type="dxa"/>
        <w:tblLayout w:type="fixed"/>
        <w:tblCellMar>
          <w:top w:w="0" w:type="dxa"/>
          <w:left w:w="0" w:type="dxa"/>
          <w:bottom w:w="0" w:type="dxa"/>
          <w:right w:w="0" w:type="dxa"/>
        </w:tblCellMar>
        <w:tblLook w:val="01E0"/>
      </w:tblPr>
      <w:tblGrid>
        <w:gridCol w:w="4550"/>
        <w:gridCol w:w="4075"/>
      </w:tblGrid>
      <w:tr>
        <w:trPr>
          <w:trHeight w:val="314" w:hRule="exact"/>
        </w:trPr>
        <w:tc>
          <w:tcPr>
            <w:tcW w:w="4550"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left="4" w:right="0"/>
              <w:jc w:val="center"/>
              <w:rPr>
                <w:rFonts w:ascii="宋体" w:hAnsi="宋体" w:cs="宋体" w:eastAsia="宋体" w:hint="default"/>
                <w:sz w:val="21"/>
                <w:szCs w:val="21"/>
              </w:rPr>
            </w:pPr>
            <w:r>
              <w:rPr>
                <w:rFonts w:ascii="宋体" w:hAnsi="宋体" w:cs="宋体" w:eastAsia="宋体" w:hint="default"/>
                <w:sz w:val="21"/>
                <w:szCs w:val="21"/>
              </w:rPr>
              <w:t>纳税主体名称</w:t>
            </w:r>
          </w:p>
        </w:tc>
        <w:tc>
          <w:tcPr>
            <w:tcW w:w="4075" w:type="dxa"/>
            <w:tcBorders>
              <w:top w:val="single" w:sz="6" w:space="0" w:color="000000"/>
              <w:left w:val="single" w:sz="6" w:space="0" w:color="000000"/>
              <w:bottom w:val="single" w:sz="12" w:space="0" w:color="000000"/>
              <w:right w:val="nil" w:sz="6" w:space="0" w:color="auto"/>
            </w:tcBorders>
          </w:tcPr>
          <w:p>
            <w:pPr>
              <w:pStyle w:val="TableParagraph"/>
              <w:spacing w:line="250" w:lineRule="exact"/>
              <w:ind w:right="2"/>
              <w:jc w:val="center"/>
              <w:rPr>
                <w:rFonts w:ascii="宋体" w:hAnsi="宋体" w:cs="宋体" w:eastAsia="宋体" w:hint="default"/>
                <w:sz w:val="21"/>
                <w:szCs w:val="21"/>
              </w:rPr>
            </w:pPr>
            <w:r>
              <w:rPr>
                <w:rFonts w:ascii="宋体" w:hAnsi="宋体" w:cs="宋体" w:eastAsia="宋体" w:hint="default"/>
                <w:sz w:val="21"/>
                <w:szCs w:val="21"/>
              </w:rPr>
              <w:t>所得税税率</w:t>
            </w:r>
          </w:p>
        </w:tc>
      </w:tr>
      <w:tr>
        <w:trPr>
          <w:trHeight w:val="312" w:hRule="exact"/>
        </w:trPr>
        <w:tc>
          <w:tcPr>
            <w:tcW w:w="4550"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4"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4075"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2"/>
              <w:jc w:val="center"/>
              <w:rPr>
                <w:rFonts w:ascii="Times New Roman" w:hAnsi="Times New Roman" w:cs="Times New Roman" w:eastAsia="Times New Roman" w:hint="default"/>
                <w:sz w:val="21"/>
                <w:szCs w:val="21"/>
              </w:rPr>
            </w:pPr>
            <w:r>
              <w:rPr>
                <w:rFonts w:ascii="Times New Roman"/>
                <w:sz w:val="21"/>
              </w:rPr>
              <w:t>15%</w:t>
            </w:r>
          </w:p>
        </w:tc>
      </w:tr>
      <w:tr>
        <w:trPr>
          <w:trHeight w:val="314" w:hRule="exact"/>
        </w:trPr>
        <w:tc>
          <w:tcPr>
            <w:tcW w:w="4550"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4" w:right="0"/>
              <w:jc w:val="left"/>
              <w:rPr>
                <w:rFonts w:ascii="宋体" w:hAnsi="宋体" w:cs="宋体" w:eastAsia="宋体" w:hint="default"/>
                <w:sz w:val="21"/>
                <w:szCs w:val="21"/>
              </w:rPr>
            </w:pPr>
            <w:r>
              <w:rPr>
                <w:rFonts w:ascii="宋体" w:hAnsi="宋体" w:cs="宋体" w:eastAsia="宋体" w:hint="default"/>
                <w:sz w:val="21"/>
                <w:szCs w:val="21"/>
              </w:rPr>
              <w:t>深圳市连邦信息技术有限公司</w:t>
            </w:r>
          </w:p>
        </w:tc>
        <w:tc>
          <w:tcPr>
            <w:tcW w:w="4075"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2"/>
              <w:jc w:val="center"/>
              <w:rPr>
                <w:rFonts w:ascii="Times New Roman" w:hAnsi="Times New Roman" w:cs="Times New Roman" w:eastAsia="Times New Roman" w:hint="default"/>
                <w:sz w:val="21"/>
                <w:szCs w:val="21"/>
              </w:rPr>
            </w:pPr>
            <w:r>
              <w:rPr>
                <w:rFonts w:ascii="Times New Roman"/>
                <w:sz w:val="21"/>
              </w:rPr>
              <w:t>25%</w:t>
            </w:r>
          </w:p>
        </w:tc>
      </w:tr>
    </w:tbl>
    <w:p>
      <w:pPr>
        <w:spacing w:line="240" w:lineRule="auto" w:before="2"/>
        <w:rPr>
          <w:rFonts w:ascii="宋体" w:hAnsi="宋体" w:cs="宋体" w:eastAsia="宋体" w:hint="default"/>
          <w:sz w:val="20"/>
          <w:szCs w:val="20"/>
        </w:rPr>
      </w:pPr>
    </w:p>
    <w:p>
      <w:pPr>
        <w:pStyle w:val="Heading5"/>
        <w:spacing w:line="240" w:lineRule="auto" w:before="36"/>
        <w:ind w:left="575" w:right="0"/>
        <w:jc w:val="left"/>
        <w:rPr>
          <w:b w:val="0"/>
          <w:bCs w:val="0"/>
        </w:rPr>
      </w:pPr>
      <w:r>
        <w:rPr/>
        <w:t>（二）税收优惠政策及依据</w:t>
      </w:r>
      <w:r>
        <w:rPr>
          <w:b w:val="0"/>
          <w:bCs w:val="0"/>
        </w:rPr>
      </w:r>
    </w:p>
    <w:p>
      <w:pPr>
        <w:spacing w:after="0" w:line="240" w:lineRule="auto"/>
        <w:jc w:val="left"/>
        <w:sectPr>
          <w:pgSz w:w="11910" w:h="16840"/>
          <w:pgMar w:header="880" w:footer="979" w:top="1060" w:bottom="1160" w:left="980" w:right="980"/>
        </w:sectPr>
      </w:pPr>
    </w:p>
    <w:p>
      <w:pPr>
        <w:spacing w:line="240" w:lineRule="auto" w:before="8"/>
        <w:rPr>
          <w:rFonts w:ascii="宋体" w:hAnsi="宋体" w:cs="宋体" w:eastAsia="宋体" w:hint="default"/>
          <w:b/>
          <w:bCs/>
          <w:sz w:val="24"/>
          <w:szCs w:val="24"/>
        </w:rPr>
      </w:pPr>
    </w:p>
    <w:p>
      <w:pPr>
        <w:pStyle w:val="BodyText"/>
        <w:spacing w:line="256" w:lineRule="auto" w:before="36"/>
        <w:ind w:left="572" w:right="106" w:firstLine="2"/>
        <w:jc w:val="left"/>
      </w:pPr>
      <w:r>
        <w:rPr>
          <w:rFonts w:ascii="Times New Roman" w:hAnsi="Times New Roman" w:cs="Times New Roman" w:eastAsia="Times New Roman" w:hint="default"/>
          <w:b/>
          <w:bCs/>
        </w:rPr>
        <w:t>1</w:t>
      </w:r>
      <w:r>
        <w:rPr>
          <w:rFonts w:ascii="宋体" w:hAnsi="宋体" w:cs="宋体" w:eastAsia="宋体" w:hint="default"/>
          <w:b/>
          <w:bCs/>
        </w:rPr>
        <w:t>．增值税</w:t>
      </w:r>
      <w:r>
        <w:rPr>
          <w:rFonts w:ascii="宋体" w:hAnsi="宋体" w:cs="宋体" w:eastAsia="宋体" w:hint="default"/>
          <w:b/>
          <w:bCs/>
          <w:w w:val="100"/>
        </w:rPr>
        <w:t> </w:t>
      </w:r>
      <w:r>
        <w:rPr>
          <w:spacing w:val="-2"/>
        </w:rPr>
        <w:t>根据财政部、国家税务总局《关于宣传文化增值税和营业税优惠政策的通知》（财税</w:t>
      </w:r>
      <w:r>
        <w:rPr>
          <w:rFonts w:ascii="Times New Roman" w:hAnsi="Times New Roman" w:cs="Times New Roman" w:eastAsia="Times New Roman" w:hint="default"/>
          <w:spacing w:val="-2"/>
        </w:rPr>
        <w:t>[2006]153</w:t>
      </w:r>
      <w:r>
        <w:rPr>
          <w:spacing w:val="-2"/>
        </w:rPr>
        <w:t>号）、</w:t>
      </w:r>
      <w:r>
        <w:rPr/>
      </w:r>
    </w:p>
    <w:p>
      <w:pPr>
        <w:pStyle w:val="BodyText"/>
        <w:spacing w:line="264" w:lineRule="auto" w:before="5"/>
        <w:ind w:right="205"/>
        <w:jc w:val="both"/>
      </w:pPr>
      <w:r>
        <w:rPr>
          <w:spacing w:val="6"/>
        </w:rPr>
        <w:t>《财政部、国家税务总局关于部分货物适用增值税低税率和简易办法征收增值税政策的通知》（财税</w:t>
      </w:r>
      <w:r>
        <w:rPr>
          <w:spacing w:val="23"/>
        </w:rPr>
        <w:t> </w:t>
      </w:r>
      <w:r>
        <w:rPr>
          <w:spacing w:val="23"/>
        </w:rPr>
      </w:r>
      <w:r>
        <w:rPr>
          <w:rFonts w:ascii="Times New Roman" w:hAnsi="Times New Roman" w:cs="Times New Roman" w:eastAsia="Times New Roman" w:hint="default"/>
        </w:rPr>
        <w:t>[2009]9</w:t>
      </w:r>
      <w:r>
        <w:rPr/>
        <w:t>号）的相关规定，自</w:t>
      </w:r>
      <w:r>
        <w:rPr>
          <w:spacing w:val="55"/>
        </w:rPr>
        <w:t> </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日起本公司销售自行研发的软件产品（电子出版物）按</w:t>
      </w:r>
      <w:r>
        <w:rPr>
          <w:rFonts w:ascii="Times New Roman" w:hAnsi="Times New Roman" w:cs="Times New Roman" w:eastAsia="Times New Roman" w:hint="default"/>
        </w:rPr>
        <w:t>13%</w:t>
      </w:r>
      <w:r>
        <w:rPr/>
        <w:t>的税</w:t>
      </w:r>
      <w:r>
        <w:rPr>
          <w:spacing w:val="-86"/>
        </w:rPr>
        <w:t> </w:t>
      </w:r>
      <w:r>
        <w:rPr/>
        <w:t>率计缴增值税，销售其他产品仍按</w:t>
      </w:r>
      <w:r>
        <w:rPr>
          <w:rFonts w:ascii="Times New Roman" w:hAnsi="Times New Roman" w:cs="Times New Roman" w:eastAsia="Times New Roman" w:hint="default"/>
        </w:rPr>
        <w:t>17%</w:t>
      </w:r>
      <w:r>
        <w:rPr/>
        <w:t>的税率计缴增值税。</w:t>
      </w:r>
    </w:p>
    <w:p>
      <w:pPr>
        <w:pStyle w:val="BodyText"/>
        <w:spacing w:line="261" w:lineRule="auto"/>
        <w:ind w:right="106" w:firstLine="420"/>
        <w:jc w:val="left"/>
      </w:pPr>
      <w:r>
        <w:rPr>
          <w:spacing w:val="6"/>
        </w:rPr>
        <w:t>根据国务院《国务院关于印发进一步鼓励软件企业和集成电路产业发展若干政策的通知》（国发</w:t>
      </w:r>
      <w:r>
        <w:rPr>
          <w:w w:val="100"/>
        </w:rPr>
        <w:t> </w:t>
      </w:r>
      <w:r>
        <w:rPr>
          <w:rFonts w:ascii="Times New Roman" w:hAnsi="Times New Roman" w:cs="Times New Roman" w:eastAsia="Times New Roman" w:hint="default"/>
          <w:spacing w:val="-5"/>
        </w:rPr>
        <w:t>[2011]4</w:t>
      </w:r>
      <w:r>
        <w:rPr>
          <w:spacing w:val="-5"/>
        </w:rPr>
        <w:t>号）和财政部、国家税务总局《关于软件产品增值税政策的通知》（财税</w:t>
      </w:r>
      <w:r>
        <w:rPr>
          <w:rFonts w:ascii="Times New Roman" w:hAnsi="Times New Roman" w:cs="Times New Roman" w:eastAsia="Times New Roman" w:hint="default"/>
          <w:spacing w:val="-5"/>
        </w:rPr>
        <w:t>[2011]100</w:t>
      </w:r>
      <w:r>
        <w:rPr>
          <w:spacing w:val="-5"/>
        </w:rPr>
        <w:t>号）文有关规定，</w:t>
      </w:r>
      <w:r>
        <w:rPr>
          <w:spacing w:val="-34"/>
        </w:rPr>
        <w:t> </w:t>
      </w:r>
      <w:r>
        <w:rPr>
          <w:spacing w:val="-34"/>
        </w:rPr>
      </w:r>
      <w:r>
        <w:rPr>
          <w:rFonts w:ascii="Times New Roman" w:hAnsi="Times New Roman" w:cs="Times New Roman" w:eastAsia="Times New Roman" w:hint="default"/>
          <w:spacing w:val="-4"/>
        </w:rPr>
        <w:t>2014</w:t>
      </w:r>
      <w:r>
        <w:rPr>
          <w:spacing w:val="-4"/>
        </w:rPr>
        <w:t>年度，本公司自行开发研制软件产品销售收入按法定税率计缴增值税后，对实际税负超过</w:t>
      </w:r>
      <w:r>
        <w:rPr>
          <w:rFonts w:ascii="Times New Roman" w:hAnsi="Times New Roman" w:cs="Times New Roman" w:eastAsia="Times New Roman" w:hint="default"/>
          <w:spacing w:val="-4"/>
        </w:rPr>
        <w:t>3%</w:t>
      </w:r>
      <w:r>
        <w:rPr>
          <w:spacing w:val="-4"/>
        </w:rPr>
        <w:t>的部分实</w:t>
      </w:r>
      <w:r>
        <w:rPr>
          <w:spacing w:val="-12"/>
        </w:rPr>
        <w:t> </w:t>
      </w:r>
      <w:r>
        <w:rPr>
          <w:spacing w:val="-12"/>
        </w:rPr>
      </w:r>
      <w:r>
        <w:rPr/>
        <w:t>行即征即退政策。</w:t>
      </w:r>
    </w:p>
    <w:p>
      <w:pPr>
        <w:pStyle w:val="BodyText"/>
        <w:spacing w:line="256" w:lineRule="auto" w:before="18"/>
        <w:ind w:left="572" w:right="106" w:firstLine="1"/>
        <w:jc w:val="left"/>
        <w:rPr>
          <w:rFonts w:ascii="Times New Roman" w:hAnsi="Times New Roman" w:cs="Times New Roman" w:eastAsia="Times New Roman" w:hint="default"/>
        </w:rPr>
      </w:pPr>
      <w:r>
        <w:rPr>
          <w:rFonts w:ascii="Times New Roman" w:hAnsi="Times New Roman" w:cs="Times New Roman" w:eastAsia="Times New Roman" w:hint="default"/>
          <w:b/>
          <w:bCs/>
        </w:rPr>
        <w:t>2</w:t>
      </w:r>
      <w:r>
        <w:rPr>
          <w:rFonts w:ascii="宋体" w:hAnsi="宋体" w:cs="宋体" w:eastAsia="宋体" w:hint="default"/>
          <w:b/>
          <w:bCs/>
        </w:rPr>
        <w:t>．企业所得税</w:t>
      </w:r>
      <w:r>
        <w:rPr>
          <w:rFonts w:ascii="宋体" w:hAnsi="宋体" w:cs="宋体" w:eastAsia="宋体" w:hint="default"/>
          <w:b/>
          <w:bCs/>
          <w:w w:val="100"/>
        </w:rPr>
        <w:t> </w:t>
      </w:r>
      <w:r>
        <w:rPr/>
        <w:t>根据国家税务总局国税函</w:t>
      </w:r>
      <w:r>
        <w:rPr>
          <w:rFonts w:ascii="Times New Roman" w:hAnsi="Times New Roman" w:cs="Times New Roman" w:eastAsia="Times New Roman" w:hint="default"/>
        </w:rPr>
        <w:t>[2009]203</w:t>
      </w:r>
      <w:r>
        <w:rPr/>
        <w:t>号《关于实施高新技术企业所得税优惠有关问题的通知》。</w:t>
      </w:r>
      <w:r>
        <w:rPr>
          <w:rFonts w:ascii="Times New Roman" w:hAnsi="Times New Roman" w:cs="Times New Roman" w:eastAsia="Times New Roman" w:hint="default"/>
        </w:rPr>
        <w:t>2012</w:t>
      </w:r>
    </w:p>
    <w:p>
      <w:pPr>
        <w:pStyle w:val="BodyText"/>
        <w:spacing w:line="256" w:lineRule="auto" w:before="5"/>
        <w:ind w:right="208"/>
        <w:jc w:val="both"/>
      </w:pP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12</w:t>
      </w:r>
      <w:r>
        <w:rPr/>
        <w:t>日本公司取得深圳市科技创新委员会、深圳市财政委员会、深圳市国家税务局、深圳市地方税务</w:t>
      </w:r>
      <w:r>
        <w:rPr>
          <w:spacing w:val="-26"/>
        </w:rPr>
        <w:t> </w:t>
      </w:r>
      <w:r>
        <w:rPr>
          <w:spacing w:val="-26"/>
        </w:rPr>
      </w:r>
      <w:r>
        <w:rPr>
          <w:spacing w:val="-3"/>
        </w:rPr>
        <w:t>局联合颁发的高新技术企业证书</w:t>
      </w:r>
      <w:r>
        <w:rPr>
          <w:rFonts w:ascii="Times New Roman" w:hAnsi="Times New Roman" w:cs="Times New Roman" w:eastAsia="Times New Roman" w:hint="default"/>
          <w:spacing w:val="-3"/>
        </w:rPr>
        <w:t>,</w:t>
      </w:r>
      <w:r>
        <w:rPr>
          <w:spacing w:val="-3"/>
        </w:rPr>
        <w:t>有效期为三年。本公司</w:t>
      </w:r>
      <w:r>
        <w:rPr>
          <w:rFonts w:ascii="Times New Roman" w:hAnsi="Times New Roman" w:cs="Times New Roman" w:eastAsia="Times New Roman" w:hint="default"/>
          <w:spacing w:val="-3"/>
        </w:rPr>
        <w:t>2013</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3</w:t>
      </w:r>
      <w:r>
        <w:rPr>
          <w:spacing w:val="-3"/>
        </w:rPr>
        <w:t>日取得深圳市南山区地方税务局深地税</w:t>
      </w:r>
      <w:r>
        <w:rPr>
          <w:spacing w:val="-38"/>
        </w:rPr>
        <w:t> </w:t>
      </w:r>
      <w:r>
        <w:rPr>
          <w:spacing w:val="-38"/>
        </w:rPr>
      </w:r>
      <w:r>
        <w:rPr/>
        <w:t>南备【</w:t>
      </w:r>
      <w:r>
        <w:rPr>
          <w:rFonts w:ascii="Times New Roman" w:hAnsi="Times New Roman" w:cs="Times New Roman" w:eastAsia="Times New Roman" w:hint="default"/>
        </w:rPr>
        <w:t>2013</w:t>
      </w:r>
      <w:r>
        <w:rPr/>
        <w:t>】</w:t>
      </w:r>
      <w:r>
        <w:rPr>
          <w:rFonts w:ascii="Times New Roman" w:hAnsi="Times New Roman" w:cs="Times New Roman" w:eastAsia="Times New Roman" w:hint="default"/>
        </w:rPr>
        <w:t>172</w:t>
      </w:r>
      <w:r>
        <w:rPr/>
        <w:t>号的备案通知书，</w:t>
      </w:r>
      <w:r>
        <w:rPr>
          <w:rFonts w:ascii="Times New Roman" w:hAnsi="Times New Roman" w:cs="Times New Roman" w:eastAsia="Times New Roman" w:hint="default"/>
        </w:rPr>
        <w:t>2014</w:t>
      </w:r>
      <w:r>
        <w:rPr/>
        <w:t>年度企业所得税优惠税率为</w:t>
      </w:r>
      <w:r>
        <w:rPr>
          <w:rFonts w:ascii="Times New Roman" w:hAnsi="Times New Roman" w:cs="Times New Roman" w:eastAsia="Times New Roman" w:hint="default"/>
        </w:rPr>
        <w:t>15%</w:t>
      </w:r>
      <w:r>
        <w:rPr/>
        <w:t>。</w:t>
      </w:r>
    </w:p>
    <w:p>
      <w:pPr>
        <w:pStyle w:val="BodyText"/>
        <w:spacing w:line="256" w:lineRule="auto" w:before="5"/>
        <w:ind w:left="572" w:right="106" w:firstLine="2"/>
        <w:jc w:val="left"/>
      </w:pPr>
      <w:r>
        <w:rPr>
          <w:rFonts w:ascii="Times New Roman" w:hAnsi="Times New Roman" w:cs="Times New Roman" w:eastAsia="Times New Roman" w:hint="default"/>
          <w:b/>
          <w:bCs/>
        </w:rPr>
        <w:t>3</w:t>
      </w:r>
      <w:r>
        <w:rPr>
          <w:rFonts w:ascii="宋体" w:hAnsi="宋体" w:cs="宋体" w:eastAsia="宋体" w:hint="default"/>
          <w:b/>
          <w:bCs/>
        </w:rPr>
        <w:t>．营业税</w:t>
      </w:r>
      <w:r>
        <w:rPr>
          <w:rFonts w:ascii="宋体" w:hAnsi="宋体" w:cs="宋体" w:eastAsia="宋体" w:hint="default"/>
          <w:b/>
          <w:bCs/>
          <w:w w:val="100"/>
        </w:rPr>
        <w:t> </w:t>
      </w:r>
      <w:r>
        <w:rPr>
          <w:spacing w:val="-2"/>
        </w:rPr>
        <w:t>根据《财政部、国家税务总局关于贯彻落实《中共中央国务院关于加强技术创新，发展高科技，实现</w:t>
      </w:r>
    </w:p>
    <w:p>
      <w:pPr>
        <w:pStyle w:val="BodyText"/>
        <w:spacing w:line="256" w:lineRule="auto" w:before="22"/>
        <w:ind w:right="207"/>
        <w:jc w:val="both"/>
      </w:pPr>
      <w:r>
        <w:rPr>
          <w:spacing w:val="-3"/>
        </w:rPr>
        <w:t>产业化的决定》有关税收问题的通知》（财税字</w:t>
      </w:r>
      <w:r>
        <w:rPr>
          <w:rFonts w:ascii="Times New Roman" w:hAnsi="Times New Roman" w:cs="Times New Roman" w:eastAsia="Times New Roman" w:hint="default"/>
          <w:spacing w:val="-3"/>
        </w:rPr>
        <w:t>[1999]273</w:t>
      </w:r>
      <w:r>
        <w:rPr>
          <w:spacing w:val="-3"/>
        </w:rPr>
        <w:t>号）文有关规定，本公司提供技术开发服务取得</w:t>
      </w:r>
      <w:r>
        <w:rPr>
          <w:spacing w:val="-17"/>
        </w:rPr>
        <w:t> </w:t>
      </w:r>
      <w:r>
        <w:rPr>
          <w:spacing w:val="-17"/>
        </w:rPr>
      </w:r>
      <w:r>
        <w:rPr/>
        <w:t>的收入，在经当地科技主管部门认定和主管税务机关审核同意后，免征营业税。</w:t>
      </w:r>
    </w:p>
    <w:p>
      <w:pPr>
        <w:spacing w:line="240" w:lineRule="auto" w:before="8"/>
        <w:rPr>
          <w:rFonts w:ascii="宋体" w:hAnsi="宋体" w:cs="宋体" w:eastAsia="宋体" w:hint="default"/>
          <w:sz w:val="25"/>
          <w:szCs w:val="25"/>
        </w:rPr>
      </w:pPr>
    </w:p>
    <w:p>
      <w:pPr>
        <w:pStyle w:val="Heading5"/>
        <w:spacing w:line="240" w:lineRule="auto"/>
        <w:ind w:left="524" w:right="106"/>
        <w:jc w:val="left"/>
        <w:rPr>
          <w:b w:val="0"/>
          <w:bCs w:val="0"/>
        </w:rPr>
      </w:pPr>
      <w:r>
        <w:rPr/>
        <w:t>六、合并财务报表主要项目注释</w:t>
      </w:r>
      <w:r>
        <w:rPr>
          <w:b w:val="0"/>
          <w:bCs w:val="0"/>
        </w:rPr>
      </w:r>
    </w:p>
    <w:p>
      <w:pPr>
        <w:pStyle w:val="BodyText"/>
        <w:spacing w:line="240" w:lineRule="auto" w:before="37"/>
        <w:ind w:left="524" w:right="106"/>
        <w:jc w:val="left"/>
      </w:pPr>
      <w:r>
        <w:rPr/>
        <w:t>（以下金额单位若未特别注明者均为人民币元）</w:t>
      </w:r>
    </w:p>
    <w:p>
      <w:pPr>
        <w:pStyle w:val="Heading5"/>
        <w:spacing w:line="240" w:lineRule="auto" w:before="37"/>
        <w:ind w:left="524" w:right="106"/>
        <w:jc w:val="left"/>
        <w:rPr>
          <w:b w:val="0"/>
          <w:bCs w:val="0"/>
        </w:rPr>
      </w:pPr>
      <w:r>
        <w:rPr/>
        <w:t>（一）货币资金</w:t>
      </w:r>
      <w:r>
        <w:rPr>
          <w:b w:val="0"/>
          <w:bCs w:val="0"/>
        </w:rPr>
      </w:r>
    </w:p>
    <w:p>
      <w:pPr>
        <w:pStyle w:val="Heading5"/>
        <w:spacing w:line="240" w:lineRule="auto" w:before="37"/>
        <w:ind w:left="572" w:right="106"/>
        <w:jc w:val="left"/>
        <w:rPr>
          <w:b w:val="0"/>
          <w:bCs w:val="0"/>
        </w:rPr>
      </w:pPr>
      <w:r>
        <w:rPr>
          <w:rFonts w:ascii="Times New Roman" w:hAnsi="Times New Roman" w:cs="Times New Roman" w:eastAsia="Times New Roman" w:hint="default"/>
        </w:rPr>
        <w:t>1</w:t>
      </w:r>
      <w:r>
        <w:rPr/>
        <w:t>、货币资金的分类</w:t>
      </w:r>
      <w:r>
        <w:rPr>
          <w:b w:val="0"/>
          <w:bCs w:val="0"/>
        </w:rPr>
      </w:r>
    </w:p>
    <w:p>
      <w:pPr>
        <w:spacing w:line="240" w:lineRule="auto" w:before="8"/>
        <w:rPr>
          <w:rFonts w:ascii="宋体" w:hAnsi="宋体" w:cs="宋体" w:eastAsia="宋体" w:hint="default"/>
          <w:b/>
          <w:bCs/>
          <w:sz w:val="2"/>
          <w:szCs w:val="2"/>
        </w:rPr>
      </w:pPr>
    </w:p>
    <w:tbl>
      <w:tblPr>
        <w:tblW w:w="0" w:type="auto"/>
        <w:jc w:val="left"/>
        <w:tblInd w:w="145" w:type="dxa"/>
        <w:tblLayout w:type="fixed"/>
        <w:tblCellMar>
          <w:top w:w="0" w:type="dxa"/>
          <w:left w:w="0" w:type="dxa"/>
          <w:bottom w:w="0" w:type="dxa"/>
          <w:right w:w="0" w:type="dxa"/>
        </w:tblCellMar>
        <w:tblLook w:val="01E0"/>
      </w:tblPr>
      <w:tblGrid>
        <w:gridCol w:w="3446"/>
        <w:gridCol w:w="3058"/>
        <w:gridCol w:w="2657"/>
      </w:tblGrid>
      <w:tr>
        <w:trPr>
          <w:trHeight w:val="314" w:hRule="exact"/>
        </w:trPr>
        <w:tc>
          <w:tcPr>
            <w:tcW w:w="3446"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right="1500"/>
              <w:jc w:val="right"/>
              <w:rPr>
                <w:rFonts w:ascii="宋体" w:hAnsi="宋体" w:cs="宋体" w:eastAsia="宋体" w:hint="default"/>
                <w:sz w:val="21"/>
                <w:szCs w:val="21"/>
              </w:rPr>
            </w:pPr>
            <w:r>
              <w:rPr>
                <w:rFonts w:ascii="宋体" w:hAnsi="宋体" w:cs="宋体" w:eastAsia="宋体" w:hint="default"/>
                <w:sz w:val="21"/>
                <w:szCs w:val="21"/>
              </w:rPr>
              <w:t>项目</w:t>
            </w:r>
          </w:p>
        </w:tc>
        <w:tc>
          <w:tcPr>
            <w:tcW w:w="3058"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left="7"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657" w:type="dxa"/>
            <w:tcBorders>
              <w:top w:val="single" w:sz="6" w:space="0" w:color="000000"/>
              <w:left w:val="single" w:sz="6" w:space="0" w:color="000000"/>
              <w:bottom w:val="single" w:sz="12" w:space="0" w:color="000000"/>
              <w:right w:val="nil" w:sz="6" w:space="0" w:color="auto"/>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14" w:hRule="exact"/>
        </w:trPr>
        <w:tc>
          <w:tcPr>
            <w:tcW w:w="3446"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4" w:right="0"/>
              <w:jc w:val="left"/>
              <w:rPr>
                <w:rFonts w:ascii="宋体" w:hAnsi="宋体" w:cs="宋体" w:eastAsia="宋体" w:hint="default"/>
                <w:sz w:val="21"/>
                <w:szCs w:val="21"/>
              </w:rPr>
            </w:pPr>
            <w:r>
              <w:rPr>
                <w:rFonts w:ascii="宋体" w:hAnsi="宋体" w:cs="宋体" w:eastAsia="宋体" w:hint="default"/>
                <w:sz w:val="21"/>
                <w:szCs w:val="21"/>
              </w:rPr>
              <w:t>库存现金</w:t>
            </w:r>
          </w:p>
        </w:tc>
        <w:tc>
          <w:tcPr>
            <w:tcW w:w="3058"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3"/>
              <w:jc w:val="right"/>
              <w:rPr>
                <w:rFonts w:ascii="Times New Roman" w:hAnsi="Times New Roman" w:cs="Times New Roman" w:eastAsia="Times New Roman" w:hint="default"/>
                <w:sz w:val="21"/>
                <w:szCs w:val="21"/>
              </w:rPr>
            </w:pPr>
            <w:r>
              <w:rPr>
                <w:rFonts w:ascii="Times New Roman"/>
                <w:spacing w:val="-1"/>
                <w:sz w:val="21"/>
              </w:rPr>
              <w:t>131,510.57</w:t>
            </w:r>
          </w:p>
        </w:tc>
        <w:tc>
          <w:tcPr>
            <w:tcW w:w="2657"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5"/>
              <w:jc w:val="right"/>
              <w:rPr>
                <w:rFonts w:ascii="Times New Roman" w:hAnsi="Times New Roman" w:cs="Times New Roman" w:eastAsia="Times New Roman" w:hint="default"/>
                <w:sz w:val="21"/>
                <w:szCs w:val="21"/>
              </w:rPr>
            </w:pPr>
            <w:r>
              <w:rPr>
                <w:rFonts w:ascii="Times New Roman"/>
                <w:spacing w:val="-1"/>
                <w:sz w:val="21"/>
              </w:rPr>
              <w:t>212,253.71</w:t>
            </w:r>
          </w:p>
        </w:tc>
      </w:tr>
      <w:tr>
        <w:trPr>
          <w:trHeight w:val="312" w:hRule="exact"/>
        </w:trPr>
        <w:tc>
          <w:tcPr>
            <w:tcW w:w="3446"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4"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3058"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3"/>
              <w:jc w:val="right"/>
              <w:rPr>
                <w:rFonts w:ascii="Times New Roman" w:hAnsi="Times New Roman" w:cs="Times New Roman" w:eastAsia="Times New Roman" w:hint="default"/>
                <w:sz w:val="21"/>
                <w:szCs w:val="21"/>
              </w:rPr>
            </w:pPr>
            <w:r>
              <w:rPr>
                <w:rFonts w:ascii="Times New Roman"/>
                <w:spacing w:val="-1"/>
                <w:sz w:val="21"/>
              </w:rPr>
              <w:t>121,168,271.33</w:t>
            </w:r>
          </w:p>
        </w:tc>
        <w:tc>
          <w:tcPr>
            <w:tcW w:w="2657"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5"/>
              <w:jc w:val="right"/>
              <w:rPr>
                <w:rFonts w:ascii="Times New Roman" w:hAnsi="Times New Roman" w:cs="Times New Roman" w:eastAsia="Times New Roman" w:hint="default"/>
                <w:sz w:val="21"/>
                <w:szCs w:val="21"/>
              </w:rPr>
            </w:pPr>
            <w:r>
              <w:rPr>
                <w:rFonts w:ascii="Times New Roman"/>
                <w:spacing w:val="-1"/>
                <w:sz w:val="21"/>
              </w:rPr>
              <w:t>126,174,064.74</w:t>
            </w:r>
          </w:p>
        </w:tc>
      </w:tr>
      <w:tr>
        <w:trPr>
          <w:trHeight w:val="314" w:hRule="exact"/>
        </w:trPr>
        <w:tc>
          <w:tcPr>
            <w:tcW w:w="3446"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right="1500"/>
              <w:jc w:val="right"/>
              <w:rPr>
                <w:rFonts w:ascii="宋体" w:hAnsi="宋体" w:cs="宋体" w:eastAsia="宋体" w:hint="default"/>
                <w:sz w:val="21"/>
                <w:szCs w:val="21"/>
              </w:rPr>
            </w:pPr>
            <w:r>
              <w:rPr>
                <w:rFonts w:ascii="宋体" w:hAnsi="宋体" w:cs="宋体" w:eastAsia="宋体" w:hint="default"/>
                <w:sz w:val="21"/>
                <w:szCs w:val="21"/>
              </w:rPr>
              <w:t>合计</w:t>
            </w:r>
          </w:p>
        </w:tc>
        <w:tc>
          <w:tcPr>
            <w:tcW w:w="3058"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3"/>
              <w:jc w:val="right"/>
              <w:rPr>
                <w:rFonts w:ascii="Times New Roman" w:hAnsi="Times New Roman" w:cs="Times New Roman" w:eastAsia="Times New Roman" w:hint="default"/>
                <w:sz w:val="21"/>
                <w:szCs w:val="21"/>
              </w:rPr>
            </w:pPr>
            <w:r>
              <w:rPr>
                <w:rFonts w:ascii="Times New Roman"/>
                <w:spacing w:val="-1"/>
                <w:sz w:val="21"/>
              </w:rPr>
              <w:t>121,299,781.90</w:t>
            </w:r>
          </w:p>
        </w:tc>
        <w:tc>
          <w:tcPr>
            <w:tcW w:w="2657"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5"/>
              <w:jc w:val="right"/>
              <w:rPr>
                <w:rFonts w:ascii="Times New Roman" w:hAnsi="Times New Roman" w:cs="Times New Roman" w:eastAsia="Times New Roman" w:hint="default"/>
                <w:sz w:val="21"/>
                <w:szCs w:val="21"/>
              </w:rPr>
            </w:pPr>
            <w:r>
              <w:rPr>
                <w:rFonts w:ascii="Times New Roman"/>
                <w:spacing w:val="-1"/>
                <w:sz w:val="21"/>
              </w:rPr>
              <w:t>126,386,318.45</w:t>
            </w:r>
          </w:p>
        </w:tc>
      </w:tr>
    </w:tbl>
    <w:p>
      <w:pPr>
        <w:spacing w:line="240" w:lineRule="auto" w:before="3"/>
        <w:rPr>
          <w:rFonts w:ascii="宋体" w:hAnsi="宋体" w:cs="宋体" w:eastAsia="宋体" w:hint="default"/>
          <w:b/>
          <w:bCs/>
          <w:sz w:val="8"/>
          <w:szCs w:val="8"/>
        </w:rPr>
      </w:pPr>
    </w:p>
    <w:p>
      <w:pPr>
        <w:pStyle w:val="Heading5"/>
        <w:spacing w:line="240" w:lineRule="auto" w:before="36"/>
        <w:ind w:left="580" w:right="106"/>
        <w:jc w:val="left"/>
        <w:rPr>
          <w:b w:val="0"/>
          <w:bCs w:val="0"/>
        </w:rPr>
      </w:pPr>
      <w:r>
        <w:rPr>
          <w:rFonts w:ascii="Times New Roman" w:hAnsi="Times New Roman" w:cs="Times New Roman" w:eastAsia="Times New Roman" w:hint="default"/>
        </w:rPr>
        <w:t>2</w:t>
      </w:r>
      <w:r>
        <w:rPr/>
        <w:t>、截至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日止，本公司不存在质押、冻结，或有潜在收回风险的款项。</w:t>
      </w:r>
      <w:r>
        <w:rPr>
          <w:b w:val="0"/>
          <w:bCs w:val="0"/>
        </w:rPr>
      </w:r>
    </w:p>
    <w:p>
      <w:pPr>
        <w:pStyle w:val="Heading5"/>
        <w:spacing w:line="240" w:lineRule="auto" w:before="177"/>
        <w:ind w:left="575" w:right="106"/>
        <w:jc w:val="left"/>
        <w:rPr>
          <w:b w:val="0"/>
          <w:bCs w:val="0"/>
        </w:rPr>
      </w:pPr>
      <w:r>
        <w:rPr/>
        <w:t>（二）应收票据</w:t>
      </w:r>
      <w:r>
        <w:rPr>
          <w:b w:val="0"/>
          <w:bCs w:val="0"/>
        </w:rPr>
      </w:r>
    </w:p>
    <w:p>
      <w:pPr>
        <w:pStyle w:val="Heading5"/>
        <w:spacing w:line="240" w:lineRule="auto" w:before="37"/>
        <w:ind w:left="580" w:right="106"/>
        <w:jc w:val="left"/>
        <w:rPr>
          <w:b w:val="0"/>
          <w:bCs w:val="0"/>
        </w:rPr>
      </w:pPr>
      <w:r>
        <w:rPr>
          <w:rFonts w:ascii="宋体" w:hAnsi="宋体" w:cs="宋体" w:eastAsia="宋体" w:hint="default"/>
        </w:rPr>
        <w:t>1.</w:t>
      </w:r>
      <w:r>
        <w:rPr>
          <w:rFonts w:ascii="宋体" w:hAnsi="宋体" w:cs="宋体" w:eastAsia="宋体" w:hint="default"/>
          <w:spacing w:val="38"/>
        </w:rPr>
        <w:t> </w:t>
      </w:r>
      <w:r>
        <w:rPr/>
        <w:t>应收票据的分类</w:t>
      </w:r>
      <w:r>
        <w:rPr>
          <w:b w:val="0"/>
          <w:bCs w:val="0"/>
        </w:rPr>
      </w:r>
    </w:p>
    <w:p>
      <w:pPr>
        <w:spacing w:line="240" w:lineRule="auto" w:before="10"/>
        <w:rPr>
          <w:rFonts w:ascii="宋体" w:hAnsi="宋体" w:cs="宋体" w:eastAsia="宋体" w:hint="default"/>
          <w:b/>
          <w:bCs/>
          <w:sz w:val="3"/>
          <w:szCs w:val="3"/>
        </w:rPr>
      </w:pPr>
    </w:p>
    <w:tbl>
      <w:tblPr>
        <w:tblW w:w="0" w:type="auto"/>
        <w:jc w:val="left"/>
        <w:tblInd w:w="145" w:type="dxa"/>
        <w:tblLayout w:type="fixed"/>
        <w:tblCellMar>
          <w:top w:w="0" w:type="dxa"/>
          <w:left w:w="0" w:type="dxa"/>
          <w:bottom w:w="0" w:type="dxa"/>
          <w:right w:w="0" w:type="dxa"/>
        </w:tblCellMar>
        <w:tblLook w:val="01E0"/>
      </w:tblPr>
      <w:tblGrid>
        <w:gridCol w:w="3492"/>
        <w:gridCol w:w="2330"/>
        <w:gridCol w:w="3022"/>
      </w:tblGrid>
      <w:tr>
        <w:trPr>
          <w:trHeight w:val="314" w:hRule="exact"/>
        </w:trPr>
        <w:tc>
          <w:tcPr>
            <w:tcW w:w="3492"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right="1523"/>
              <w:jc w:val="right"/>
              <w:rPr>
                <w:rFonts w:ascii="宋体" w:hAnsi="宋体" w:cs="宋体" w:eastAsia="宋体" w:hint="default"/>
                <w:sz w:val="21"/>
                <w:szCs w:val="21"/>
              </w:rPr>
            </w:pPr>
            <w:r>
              <w:rPr>
                <w:rFonts w:ascii="宋体" w:hAnsi="宋体" w:cs="宋体" w:eastAsia="宋体" w:hint="default"/>
                <w:sz w:val="21"/>
                <w:szCs w:val="21"/>
              </w:rPr>
              <w:t>种类</w:t>
            </w:r>
          </w:p>
        </w:tc>
        <w:tc>
          <w:tcPr>
            <w:tcW w:w="2330"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left="739"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3022" w:type="dxa"/>
            <w:tcBorders>
              <w:top w:val="single" w:sz="6" w:space="0" w:color="000000"/>
              <w:left w:val="single" w:sz="6" w:space="0" w:color="000000"/>
              <w:bottom w:val="single" w:sz="12" w:space="0" w:color="000000"/>
              <w:right w:val="nil" w:sz="6" w:space="0" w:color="auto"/>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14" w:hRule="exact"/>
        </w:trPr>
        <w:tc>
          <w:tcPr>
            <w:tcW w:w="3492"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4"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2330"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3022"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5"/>
              <w:jc w:val="right"/>
              <w:rPr>
                <w:rFonts w:ascii="Times New Roman" w:hAnsi="Times New Roman" w:cs="Times New Roman" w:eastAsia="Times New Roman" w:hint="default"/>
                <w:sz w:val="21"/>
                <w:szCs w:val="21"/>
              </w:rPr>
            </w:pPr>
            <w:r>
              <w:rPr>
                <w:rFonts w:ascii="Times New Roman"/>
                <w:spacing w:val="-1"/>
                <w:sz w:val="21"/>
              </w:rPr>
              <w:t>500,000.00</w:t>
            </w:r>
          </w:p>
        </w:tc>
      </w:tr>
      <w:tr>
        <w:trPr>
          <w:trHeight w:val="314" w:hRule="exact"/>
        </w:trPr>
        <w:tc>
          <w:tcPr>
            <w:tcW w:w="3492"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right="1523"/>
              <w:jc w:val="right"/>
              <w:rPr>
                <w:rFonts w:ascii="宋体" w:hAnsi="宋体" w:cs="宋体" w:eastAsia="宋体" w:hint="default"/>
                <w:sz w:val="21"/>
                <w:szCs w:val="21"/>
              </w:rPr>
            </w:pPr>
            <w:r>
              <w:rPr>
                <w:rFonts w:ascii="宋体" w:hAnsi="宋体" w:cs="宋体" w:eastAsia="宋体" w:hint="default"/>
                <w:sz w:val="21"/>
                <w:szCs w:val="21"/>
              </w:rPr>
              <w:t>合计</w:t>
            </w:r>
          </w:p>
        </w:tc>
        <w:tc>
          <w:tcPr>
            <w:tcW w:w="2330"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3022"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5"/>
              <w:jc w:val="right"/>
              <w:rPr>
                <w:rFonts w:ascii="Times New Roman" w:hAnsi="Times New Roman" w:cs="Times New Roman" w:eastAsia="Times New Roman" w:hint="default"/>
                <w:sz w:val="21"/>
                <w:szCs w:val="21"/>
              </w:rPr>
            </w:pPr>
            <w:r>
              <w:rPr>
                <w:rFonts w:ascii="Times New Roman"/>
                <w:spacing w:val="-1"/>
                <w:sz w:val="21"/>
              </w:rPr>
              <w:t>500,000.00</w:t>
            </w:r>
          </w:p>
        </w:tc>
      </w:tr>
    </w:tbl>
    <w:p>
      <w:pPr>
        <w:spacing w:line="240" w:lineRule="auto" w:before="3"/>
        <w:rPr>
          <w:rFonts w:ascii="宋体" w:hAnsi="宋体" w:cs="宋体" w:eastAsia="宋体" w:hint="default"/>
          <w:b/>
          <w:bCs/>
          <w:sz w:val="8"/>
          <w:szCs w:val="8"/>
        </w:rPr>
      </w:pPr>
    </w:p>
    <w:p>
      <w:pPr>
        <w:pStyle w:val="Heading5"/>
        <w:spacing w:line="240" w:lineRule="auto" w:before="36"/>
        <w:ind w:left="575" w:right="106"/>
        <w:jc w:val="left"/>
        <w:rPr>
          <w:b w:val="0"/>
          <w:bCs w:val="0"/>
        </w:rPr>
      </w:pPr>
      <w:r>
        <w:rPr/>
        <w:t>（三）应收账款</w:t>
      </w:r>
      <w:r>
        <w:rPr>
          <w:b w:val="0"/>
          <w:bCs w:val="0"/>
        </w:rPr>
      </w:r>
    </w:p>
    <w:p>
      <w:pPr>
        <w:pStyle w:val="Heading5"/>
        <w:spacing w:line="240" w:lineRule="auto" w:before="37"/>
        <w:ind w:left="580" w:right="106"/>
        <w:jc w:val="left"/>
        <w:rPr>
          <w:b w:val="0"/>
          <w:bCs w:val="0"/>
        </w:rPr>
      </w:pPr>
      <w:r>
        <w:rPr>
          <w:rFonts w:ascii="Times New Roman" w:hAnsi="Times New Roman" w:cs="Times New Roman" w:eastAsia="Times New Roman" w:hint="default"/>
        </w:rPr>
        <w:t>1</w:t>
      </w:r>
      <w:r>
        <w:rPr/>
        <w:t>、应收账款按种类披露</w:t>
      </w:r>
      <w:r>
        <w:rPr>
          <w:b w:val="0"/>
          <w:bCs w:val="0"/>
        </w:rPr>
      </w:r>
    </w:p>
    <w:p>
      <w:pPr>
        <w:spacing w:line="240" w:lineRule="auto" w:before="8"/>
        <w:rPr>
          <w:rFonts w:ascii="宋体" w:hAnsi="宋体" w:cs="宋体" w:eastAsia="宋体" w:hint="default"/>
          <w:b/>
          <w:bCs/>
          <w:sz w:val="2"/>
          <w:szCs w:val="2"/>
        </w:rPr>
      </w:pPr>
    </w:p>
    <w:tbl>
      <w:tblPr>
        <w:tblW w:w="0" w:type="auto"/>
        <w:jc w:val="left"/>
        <w:tblInd w:w="145" w:type="dxa"/>
        <w:tblLayout w:type="fixed"/>
        <w:tblCellMar>
          <w:top w:w="0" w:type="dxa"/>
          <w:left w:w="0" w:type="dxa"/>
          <w:bottom w:w="0" w:type="dxa"/>
          <w:right w:w="0" w:type="dxa"/>
        </w:tblCellMar>
        <w:tblLook w:val="01E0"/>
      </w:tblPr>
      <w:tblGrid>
        <w:gridCol w:w="2652"/>
        <w:gridCol w:w="1615"/>
        <w:gridCol w:w="886"/>
        <w:gridCol w:w="1483"/>
        <w:gridCol w:w="929"/>
        <w:gridCol w:w="1596"/>
      </w:tblGrid>
      <w:tr>
        <w:trPr>
          <w:trHeight w:val="353" w:hRule="exact"/>
        </w:trPr>
        <w:tc>
          <w:tcPr>
            <w:tcW w:w="2652" w:type="dxa"/>
            <w:vMerge w:val="restart"/>
            <w:tcBorders>
              <w:top w:val="single" w:sz="6" w:space="0" w:color="000000"/>
              <w:left w:val="single" w:sz="6" w:space="0" w:color="000000"/>
              <w:right w:val="single" w:sz="6" w:space="0" w:color="000000"/>
            </w:tcBorders>
          </w:tcPr>
          <w:p>
            <w:pPr>
              <w:pStyle w:val="TableParagraph"/>
              <w:spacing w:line="250" w:lineRule="exact"/>
              <w:ind w:left="7"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6509" w:type="dxa"/>
            <w:gridSpan w:val="5"/>
            <w:tcBorders>
              <w:top w:val="single" w:sz="6" w:space="0" w:color="000000"/>
              <w:left w:val="single" w:sz="6" w:space="0" w:color="000000"/>
              <w:bottom w:val="single" w:sz="12" w:space="0" w:color="000000"/>
              <w:right w:val="nil" w:sz="6" w:space="0" w:color="auto"/>
            </w:tcBorders>
          </w:tcPr>
          <w:p>
            <w:pPr>
              <w:pStyle w:val="TableParagraph"/>
              <w:spacing w:line="250" w:lineRule="exact"/>
              <w:ind w:right="2"/>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353" w:hRule="exact"/>
        </w:trPr>
        <w:tc>
          <w:tcPr>
            <w:tcW w:w="2652" w:type="dxa"/>
            <w:vMerge/>
            <w:tcBorders>
              <w:left w:val="single" w:sz="6" w:space="0" w:color="000000"/>
              <w:right w:val="single" w:sz="6" w:space="0" w:color="000000"/>
            </w:tcBorders>
          </w:tcPr>
          <w:p>
            <w:pPr/>
          </w:p>
        </w:tc>
        <w:tc>
          <w:tcPr>
            <w:tcW w:w="2501" w:type="dxa"/>
            <w:gridSpan w:val="2"/>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82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412" w:type="dxa"/>
            <w:gridSpan w:val="2"/>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77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96" w:type="dxa"/>
            <w:vMerge w:val="restart"/>
            <w:tcBorders>
              <w:top w:val="single" w:sz="12" w:space="0" w:color="000000"/>
              <w:left w:val="single" w:sz="6" w:space="0" w:color="000000"/>
              <w:right w:val="nil" w:sz="6" w:space="0" w:color="auto"/>
            </w:tcBorders>
          </w:tcPr>
          <w:p>
            <w:pPr>
              <w:pStyle w:val="TableParagraph"/>
              <w:spacing w:line="243" w:lineRule="exact"/>
              <w:ind w:left="371"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586" w:hRule="exact"/>
        </w:trPr>
        <w:tc>
          <w:tcPr>
            <w:tcW w:w="2652" w:type="dxa"/>
            <w:vMerge/>
            <w:tcBorders>
              <w:left w:val="single" w:sz="6" w:space="0" w:color="000000"/>
              <w:bottom w:val="single" w:sz="12" w:space="0" w:color="000000"/>
              <w:right w:val="single" w:sz="6" w:space="0" w:color="000000"/>
            </w:tcBorders>
          </w:tcPr>
          <w:p>
            <w:pPr/>
          </w:p>
        </w:tc>
        <w:tc>
          <w:tcPr>
            <w:tcW w:w="1615"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86" w:type="dxa"/>
            <w:tcBorders>
              <w:top w:val="single" w:sz="12" w:space="0" w:color="000000"/>
              <w:left w:val="single" w:sz="6" w:space="0" w:color="000000"/>
              <w:bottom w:val="single" w:sz="12" w:space="0" w:color="000000"/>
              <w:right w:val="single" w:sz="6" w:space="0" w:color="000000"/>
            </w:tcBorders>
          </w:tcPr>
          <w:p>
            <w:pPr>
              <w:pStyle w:val="TableParagraph"/>
              <w:spacing w:line="257" w:lineRule="exact"/>
              <w:ind w:left="4" w:right="0"/>
              <w:jc w:val="left"/>
              <w:rPr>
                <w:rFonts w:ascii="Times New Roman" w:hAnsi="Times New Roman" w:cs="Times New Roman" w:eastAsia="Times New Roman" w:hint="default"/>
                <w:sz w:val="21"/>
                <w:szCs w:val="21"/>
              </w:rPr>
            </w:pPr>
            <w:r>
              <w:rPr>
                <w:rFonts w:ascii="宋体" w:hAnsi="宋体" w:cs="宋体" w:eastAsia="宋体" w:hint="default"/>
                <w:spacing w:val="-12"/>
                <w:sz w:val="21"/>
                <w:szCs w:val="21"/>
              </w:rPr>
              <w:t>比例（</w:t>
            </w:r>
            <w:r>
              <w:rPr>
                <w:rFonts w:ascii="Times New Roman" w:hAnsi="Times New Roman" w:cs="Times New Roman" w:eastAsia="Times New Roman" w:hint="default"/>
                <w:spacing w:val="-12"/>
                <w:sz w:val="21"/>
                <w:szCs w:val="21"/>
              </w:rPr>
              <w:t>%</w:t>
            </w:r>
          </w:p>
        </w:tc>
        <w:tc>
          <w:tcPr>
            <w:tcW w:w="1483" w:type="dxa"/>
            <w:tcBorders>
              <w:top w:val="single" w:sz="12" w:space="0" w:color="000000"/>
              <w:left w:val="single" w:sz="6" w:space="0" w:color="000000"/>
              <w:bottom w:val="single" w:sz="12" w:space="0" w:color="000000"/>
              <w:right w:val="single" w:sz="6" w:space="0" w:color="000000"/>
            </w:tcBorders>
          </w:tcPr>
          <w:p>
            <w:pPr>
              <w:pStyle w:val="TableParagraph"/>
              <w:tabs>
                <w:tab w:pos="523" w:val="left" w:leader="none"/>
              </w:tabs>
              <w:spacing w:line="241" w:lineRule="exact"/>
              <w:ind w:left="-121" w:right="0"/>
              <w:jc w:val="left"/>
              <w:rPr>
                <w:rFonts w:ascii="宋体" w:hAnsi="宋体" w:cs="宋体" w:eastAsia="宋体" w:hint="default"/>
                <w:sz w:val="21"/>
                <w:szCs w:val="21"/>
              </w:rPr>
            </w:pPr>
            <w:r>
              <w:rPr>
                <w:rFonts w:ascii="宋体" w:hAnsi="宋体" w:cs="宋体" w:eastAsia="宋体" w:hint="default"/>
                <w:sz w:val="21"/>
                <w:szCs w:val="21"/>
              </w:rPr>
              <w:t>）</w:t>
              <w:tab/>
              <w:t>金额</w:t>
            </w:r>
          </w:p>
        </w:tc>
        <w:tc>
          <w:tcPr>
            <w:tcW w:w="929" w:type="dxa"/>
            <w:tcBorders>
              <w:top w:val="single" w:sz="12" w:space="0" w:color="000000"/>
              <w:left w:val="single" w:sz="6" w:space="0" w:color="000000"/>
              <w:bottom w:val="single" w:sz="12" w:space="0" w:color="000000"/>
              <w:right w:val="single" w:sz="6"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90" w:lineRule="exact"/>
              <w:ind w:left="4"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596" w:type="dxa"/>
            <w:vMerge/>
            <w:tcBorders>
              <w:left w:val="single" w:sz="6" w:space="0" w:color="000000"/>
              <w:bottom w:val="single" w:sz="12" w:space="0" w:color="000000"/>
              <w:right w:val="nil" w:sz="6" w:space="0" w:color="auto"/>
            </w:tcBorders>
          </w:tcPr>
          <w:p>
            <w:pPr/>
          </w:p>
        </w:tc>
      </w:tr>
      <w:tr>
        <w:trPr>
          <w:trHeight w:val="586" w:hRule="exact"/>
        </w:trPr>
        <w:tc>
          <w:tcPr>
            <w:tcW w:w="2652"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4" w:right="0"/>
              <w:jc w:val="left"/>
              <w:rPr>
                <w:rFonts w:ascii="宋体" w:hAnsi="宋体" w:cs="宋体" w:eastAsia="宋体" w:hint="default"/>
                <w:sz w:val="21"/>
                <w:szCs w:val="21"/>
              </w:rPr>
            </w:pPr>
            <w:r>
              <w:rPr>
                <w:rFonts w:ascii="宋体" w:hAnsi="宋体" w:cs="宋体" w:eastAsia="宋体" w:hint="default"/>
                <w:spacing w:val="6"/>
                <w:sz w:val="21"/>
                <w:szCs w:val="21"/>
              </w:rPr>
              <w:t>单项金额重大并单独计提坏</w:t>
            </w:r>
          </w:p>
          <w:p>
            <w:pPr>
              <w:pStyle w:val="TableParagraph"/>
              <w:spacing w:line="273" w:lineRule="exact"/>
              <w:ind w:left="4" w:right="0"/>
              <w:jc w:val="left"/>
              <w:rPr>
                <w:rFonts w:ascii="宋体" w:hAnsi="宋体" w:cs="宋体" w:eastAsia="宋体" w:hint="default"/>
                <w:sz w:val="21"/>
                <w:szCs w:val="21"/>
              </w:rPr>
            </w:pPr>
            <w:r>
              <w:rPr>
                <w:rFonts w:ascii="宋体" w:hAnsi="宋体" w:cs="宋体" w:eastAsia="宋体" w:hint="default"/>
                <w:sz w:val="21"/>
                <w:szCs w:val="21"/>
              </w:rPr>
              <w:t>账准备的应收账款</w:t>
            </w:r>
          </w:p>
        </w:tc>
        <w:tc>
          <w:tcPr>
            <w:tcW w:w="1615"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886"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483"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929"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596"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6"/>
              <w:jc w:val="right"/>
              <w:rPr>
                <w:rFonts w:ascii="Times New Roman" w:hAnsi="Times New Roman" w:cs="Times New Roman" w:eastAsia="Times New Roman" w:hint="default"/>
                <w:sz w:val="21"/>
                <w:szCs w:val="21"/>
              </w:rPr>
            </w:pPr>
            <w:r>
              <w:rPr>
                <w:rFonts w:ascii="Times New Roman"/>
                <w:spacing w:val="-1"/>
                <w:sz w:val="21"/>
              </w:rPr>
              <w:t>---</w:t>
            </w:r>
          </w:p>
        </w:tc>
      </w:tr>
      <w:tr>
        <w:trPr>
          <w:trHeight w:val="588" w:hRule="exact"/>
        </w:trPr>
        <w:tc>
          <w:tcPr>
            <w:tcW w:w="2652"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4" w:right="0"/>
              <w:jc w:val="left"/>
              <w:rPr>
                <w:rFonts w:ascii="宋体" w:hAnsi="宋体" w:cs="宋体" w:eastAsia="宋体" w:hint="default"/>
                <w:sz w:val="21"/>
                <w:szCs w:val="21"/>
              </w:rPr>
            </w:pPr>
            <w:r>
              <w:rPr>
                <w:rFonts w:ascii="宋体" w:hAnsi="宋体" w:cs="宋体" w:eastAsia="宋体" w:hint="default"/>
                <w:spacing w:val="6"/>
                <w:sz w:val="21"/>
                <w:szCs w:val="21"/>
              </w:rPr>
              <w:t>按信用风险特征组合计提坏</w:t>
            </w:r>
          </w:p>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账准备的应收账款</w:t>
            </w:r>
          </w:p>
        </w:tc>
        <w:tc>
          <w:tcPr>
            <w:tcW w:w="1615"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17,245,488.79</w:t>
            </w:r>
          </w:p>
        </w:tc>
        <w:tc>
          <w:tcPr>
            <w:tcW w:w="886"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z w:val="21"/>
              </w:rPr>
              <w:t>99.93</w:t>
            </w:r>
          </w:p>
        </w:tc>
        <w:tc>
          <w:tcPr>
            <w:tcW w:w="1483"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0"/>
              <w:jc w:val="right"/>
              <w:rPr>
                <w:rFonts w:ascii="Times New Roman" w:hAnsi="Times New Roman" w:cs="Times New Roman" w:eastAsia="Times New Roman" w:hint="default"/>
                <w:sz w:val="21"/>
                <w:szCs w:val="21"/>
              </w:rPr>
            </w:pPr>
            <w:r>
              <w:rPr>
                <w:rFonts w:ascii="Times New Roman"/>
                <w:spacing w:val="-1"/>
                <w:sz w:val="21"/>
              </w:rPr>
              <w:t>496,079.91</w:t>
            </w:r>
          </w:p>
        </w:tc>
        <w:tc>
          <w:tcPr>
            <w:tcW w:w="929"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z w:val="21"/>
              </w:rPr>
              <w:t>2.88</w:t>
            </w:r>
          </w:p>
        </w:tc>
        <w:tc>
          <w:tcPr>
            <w:tcW w:w="1596"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7"/>
              <w:jc w:val="right"/>
              <w:rPr>
                <w:rFonts w:ascii="Times New Roman" w:hAnsi="Times New Roman" w:cs="Times New Roman" w:eastAsia="Times New Roman" w:hint="default"/>
                <w:sz w:val="21"/>
                <w:szCs w:val="21"/>
              </w:rPr>
            </w:pPr>
            <w:r>
              <w:rPr>
                <w:rFonts w:ascii="Times New Roman"/>
                <w:spacing w:val="-1"/>
                <w:sz w:val="21"/>
              </w:rPr>
              <w:t>16,749,408.88</w:t>
            </w:r>
          </w:p>
        </w:tc>
      </w:tr>
    </w:tbl>
    <w:p>
      <w:pPr>
        <w:spacing w:after="0" w:line="237" w:lineRule="exact"/>
        <w:jc w:val="right"/>
        <w:rPr>
          <w:rFonts w:ascii="Times New Roman" w:hAnsi="Times New Roman" w:cs="Times New Roman" w:eastAsia="Times New Roman" w:hint="default"/>
          <w:sz w:val="21"/>
          <w:szCs w:val="21"/>
        </w:rPr>
        <w:sectPr>
          <w:pgSz w:w="11910" w:h="16840"/>
          <w:pgMar w:header="880" w:footer="979" w:top="1060" w:bottom="1160" w:left="980" w:right="920"/>
        </w:sectPr>
      </w:pPr>
    </w:p>
    <w:p>
      <w:pPr>
        <w:spacing w:line="240" w:lineRule="auto" w:before="4"/>
        <w:rPr>
          <w:rFonts w:ascii="宋体" w:hAnsi="宋体" w:cs="宋体" w:eastAsia="宋体" w:hint="default"/>
          <w:b/>
          <w:bCs/>
          <w:sz w:val="28"/>
          <w:szCs w:val="28"/>
        </w:rPr>
      </w:pPr>
    </w:p>
    <w:tbl>
      <w:tblPr>
        <w:tblW w:w="0" w:type="auto"/>
        <w:jc w:val="left"/>
        <w:tblInd w:w="145" w:type="dxa"/>
        <w:tblLayout w:type="fixed"/>
        <w:tblCellMar>
          <w:top w:w="0" w:type="dxa"/>
          <w:left w:w="0" w:type="dxa"/>
          <w:bottom w:w="0" w:type="dxa"/>
          <w:right w:w="0" w:type="dxa"/>
        </w:tblCellMar>
        <w:tblLook w:val="01E0"/>
      </w:tblPr>
      <w:tblGrid>
        <w:gridCol w:w="2652"/>
        <w:gridCol w:w="1615"/>
        <w:gridCol w:w="886"/>
        <w:gridCol w:w="1483"/>
        <w:gridCol w:w="929"/>
        <w:gridCol w:w="1596"/>
      </w:tblGrid>
      <w:tr>
        <w:trPr>
          <w:trHeight w:val="588" w:hRule="exact"/>
        </w:trPr>
        <w:tc>
          <w:tcPr>
            <w:tcW w:w="2652" w:type="dxa"/>
            <w:tcBorders>
              <w:top w:val="single" w:sz="6" w:space="0" w:color="000000"/>
              <w:left w:val="single" w:sz="6" w:space="0" w:color="000000"/>
              <w:bottom w:val="single" w:sz="12" w:space="0" w:color="000000"/>
              <w:right w:val="single" w:sz="6" w:space="0" w:color="000000"/>
            </w:tcBorders>
          </w:tcPr>
          <w:p>
            <w:pPr>
              <w:pStyle w:val="TableParagraph"/>
              <w:spacing w:line="274" w:lineRule="exact" w:before="1"/>
              <w:ind w:left="4" w:right="0"/>
              <w:jc w:val="left"/>
              <w:rPr>
                <w:rFonts w:ascii="宋体" w:hAnsi="宋体" w:cs="宋体" w:eastAsia="宋体" w:hint="default"/>
                <w:sz w:val="21"/>
                <w:szCs w:val="21"/>
              </w:rPr>
            </w:pPr>
            <w:r>
              <w:rPr>
                <w:rFonts w:ascii="宋体" w:hAnsi="宋体" w:cs="宋体" w:eastAsia="宋体" w:hint="default"/>
                <w:spacing w:val="6"/>
                <w:sz w:val="21"/>
                <w:szCs w:val="21"/>
              </w:rPr>
              <w:t>单项金额虽不重大但单独计</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提坏账准备的应收账款</w:t>
            </w:r>
          </w:p>
        </w:tc>
        <w:tc>
          <w:tcPr>
            <w:tcW w:w="161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
              <w:ind w:right="-3"/>
              <w:jc w:val="right"/>
              <w:rPr>
                <w:rFonts w:ascii="Times New Roman" w:hAnsi="Times New Roman" w:cs="Times New Roman" w:eastAsia="Times New Roman" w:hint="default"/>
                <w:sz w:val="21"/>
                <w:szCs w:val="21"/>
              </w:rPr>
            </w:pPr>
            <w:r>
              <w:rPr>
                <w:rFonts w:ascii="Times New Roman"/>
                <w:spacing w:val="-1"/>
                <w:sz w:val="21"/>
              </w:rPr>
              <w:t>12,756.00</w:t>
            </w:r>
          </w:p>
        </w:tc>
        <w:tc>
          <w:tcPr>
            <w:tcW w:w="8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
              <w:ind w:right="-1"/>
              <w:jc w:val="right"/>
              <w:rPr>
                <w:rFonts w:ascii="Times New Roman" w:hAnsi="Times New Roman" w:cs="Times New Roman" w:eastAsia="Times New Roman" w:hint="default"/>
                <w:sz w:val="21"/>
                <w:szCs w:val="21"/>
              </w:rPr>
            </w:pPr>
            <w:r>
              <w:rPr>
                <w:rFonts w:ascii="Times New Roman"/>
                <w:sz w:val="21"/>
              </w:rPr>
              <w:t>0.07</w:t>
            </w:r>
          </w:p>
        </w:tc>
        <w:tc>
          <w:tcPr>
            <w:tcW w:w="148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
              <w:ind w:right="-1"/>
              <w:jc w:val="right"/>
              <w:rPr>
                <w:rFonts w:ascii="Times New Roman" w:hAnsi="Times New Roman" w:cs="Times New Roman" w:eastAsia="Times New Roman" w:hint="default"/>
                <w:sz w:val="21"/>
                <w:szCs w:val="21"/>
              </w:rPr>
            </w:pPr>
            <w:r>
              <w:rPr>
                <w:rFonts w:ascii="Times New Roman"/>
                <w:spacing w:val="-1"/>
                <w:sz w:val="21"/>
              </w:rPr>
              <w:t>12,756.00</w:t>
            </w:r>
          </w:p>
        </w:tc>
        <w:tc>
          <w:tcPr>
            <w:tcW w:w="92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
              <w:ind w:right="-1"/>
              <w:jc w:val="right"/>
              <w:rPr>
                <w:rFonts w:ascii="Times New Roman" w:hAnsi="Times New Roman" w:cs="Times New Roman" w:eastAsia="Times New Roman" w:hint="default"/>
                <w:sz w:val="21"/>
                <w:szCs w:val="21"/>
              </w:rPr>
            </w:pPr>
            <w:r>
              <w:rPr>
                <w:rFonts w:ascii="Times New Roman"/>
                <w:sz w:val="21"/>
              </w:rPr>
              <w:t>100.00</w:t>
            </w:r>
          </w:p>
        </w:tc>
        <w:tc>
          <w:tcPr>
            <w:tcW w:w="159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
              <w:ind w:right="6"/>
              <w:jc w:val="right"/>
              <w:rPr>
                <w:rFonts w:ascii="Times New Roman" w:hAnsi="Times New Roman" w:cs="Times New Roman" w:eastAsia="Times New Roman" w:hint="default"/>
                <w:sz w:val="21"/>
                <w:szCs w:val="21"/>
              </w:rPr>
            </w:pPr>
            <w:r>
              <w:rPr>
                <w:rFonts w:ascii="Times New Roman"/>
                <w:spacing w:val="-1"/>
                <w:sz w:val="21"/>
              </w:rPr>
              <w:t>---</w:t>
            </w:r>
          </w:p>
        </w:tc>
      </w:tr>
      <w:tr>
        <w:trPr>
          <w:trHeight w:val="353" w:hRule="exact"/>
        </w:trPr>
        <w:tc>
          <w:tcPr>
            <w:tcW w:w="2652"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7"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15"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17,258,244.79</w:t>
            </w:r>
          </w:p>
        </w:tc>
        <w:tc>
          <w:tcPr>
            <w:tcW w:w="886"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z w:val="21"/>
              </w:rPr>
              <w:t>100.00</w:t>
            </w:r>
          </w:p>
        </w:tc>
        <w:tc>
          <w:tcPr>
            <w:tcW w:w="1483"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0"/>
              <w:jc w:val="right"/>
              <w:rPr>
                <w:rFonts w:ascii="Times New Roman" w:hAnsi="Times New Roman" w:cs="Times New Roman" w:eastAsia="Times New Roman" w:hint="default"/>
                <w:sz w:val="21"/>
                <w:szCs w:val="21"/>
              </w:rPr>
            </w:pPr>
            <w:r>
              <w:rPr>
                <w:rFonts w:ascii="Times New Roman"/>
                <w:spacing w:val="-1"/>
                <w:sz w:val="21"/>
              </w:rPr>
              <w:t>508,835.91</w:t>
            </w:r>
          </w:p>
        </w:tc>
        <w:tc>
          <w:tcPr>
            <w:tcW w:w="929"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z w:val="21"/>
              </w:rPr>
              <w:t>2.95</w:t>
            </w:r>
          </w:p>
        </w:tc>
        <w:tc>
          <w:tcPr>
            <w:tcW w:w="1596"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7"/>
              <w:jc w:val="right"/>
              <w:rPr>
                <w:rFonts w:ascii="Times New Roman" w:hAnsi="Times New Roman" w:cs="Times New Roman" w:eastAsia="Times New Roman" w:hint="default"/>
                <w:sz w:val="21"/>
                <w:szCs w:val="21"/>
              </w:rPr>
            </w:pPr>
            <w:r>
              <w:rPr>
                <w:rFonts w:ascii="Times New Roman"/>
                <w:spacing w:val="-1"/>
                <w:sz w:val="21"/>
              </w:rPr>
              <w:t>16,749,408.88</w:t>
            </w:r>
          </w:p>
        </w:tc>
      </w:tr>
    </w:tbl>
    <w:p>
      <w:pPr>
        <w:spacing w:line="240" w:lineRule="auto" w:before="3"/>
        <w:rPr>
          <w:rFonts w:ascii="宋体" w:hAnsi="宋体" w:cs="宋体" w:eastAsia="宋体" w:hint="default"/>
          <w:b/>
          <w:bCs/>
          <w:sz w:val="8"/>
          <w:szCs w:val="8"/>
        </w:rPr>
      </w:pPr>
    </w:p>
    <w:p>
      <w:pPr>
        <w:pStyle w:val="BodyText"/>
        <w:spacing w:line="240" w:lineRule="auto" w:before="36"/>
        <w:ind w:left="572" w:right="0"/>
        <w:jc w:val="left"/>
      </w:pPr>
      <w:r>
        <w:rPr/>
        <w:t>（续）</w:t>
      </w:r>
    </w:p>
    <w:p>
      <w:pPr>
        <w:spacing w:line="240" w:lineRule="auto" w:before="10"/>
        <w:rPr>
          <w:rFonts w:ascii="宋体" w:hAnsi="宋体" w:cs="宋体" w:eastAsia="宋体" w:hint="default"/>
          <w:sz w:val="3"/>
          <w:szCs w:val="3"/>
        </w:rPr>
      </w:pPr>
    </w:p>
    <w:tbl>
      <w:tblPr>
        <w:tblW w:w="0" w:type="auto"/>
        <w:jc w:val="left"/>
        <w:tblInd w:w="145" w:type="dxa"/>
        <w:tblLayout w:type="fixed"/>
        <w:tblCellMar>
          <w:top w:w="0" w:type="dxa"/>
          <w:left w:w="0" w:type="dxa"/>
          <w:bottom w:w="0" w:type="dxa"/>
          <w:right w:w="0" w:type="dxa"/>
        </w:tblCellMar>
        <w:tblLook w:val="01E0"/>
      </w:tblPr>
      <w:tblGrid>
        <w:gridCol w:w="2652"/>
        <w:gridCol w:w="1613"/>
        <w:gridCol w:w="886"/>
        <w:gridCol w:w="1615"/>
        <w:gridCol w:w="886"/>
        <w:gridCol w:w="1524"/>
      </w:tblGrid>
      <w:tr>
        <w:trPr>
          <w:trHeight w:val="355" w:hRule="exact"/>
        </w:trPr>
        <w:tc>
          <w:tcPr>
            <w:tcW w:w="2652" w:type="dxa"/>
            <w:vMerge w:val="restart"/>
            <w:tcBorders>
              <w:top w:val="single" w:sz="6" w:space="0" w:color="000000"/>
              <w:left w:val="single" w:sz="6" w:space="0" w:color="000000"/>
              <w:right w:val="single" w:sz="6" w:space="0" w:color="000000"/>
            </w:tcBorders>
          </w:tcPr>
          <w:p>
            <w:pPr>
              <w:pStyle w:val="TableParagraph"/>
              <w:spacing w:line="253" w:lineRule="exact"/>
              <w:ind w:left="2"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6523" w:type="dxa"/>
            <w:gridSpan w:val="5"/>
            <w:tcBorders>
              <w:top w:val="single" w:sz="6" w:space="0" w:color="000000"/>
              <w:left w:val="single" w:sz="6" w:space="0" w:color="000000"/>
              <w:bottom w:val="single" w:sz="12" w:space="0" w:color="000000"/>
              <w:right w:val="nil" w:sz="6" w:space="0" w:color="auto"/>
            </w:tcBorders>
          </w:tcPr>
          <w:p>
            <w:pPr>
              <w:pStyle w:val="TableParagraph"/>
              <w:spacing w:line="253" w:lineRule="exact"/>
              <w:ind w:right="2"/>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53" w:hRule="exact"/>
        </w:trPr>
        <w:tc>
          <w:tcPr>
            <w:tcW w:w="2652" w:type="dxa"/>
            <w:vMerge/>
            <w:tcBorders>
              <w:left w:val="single" w:sz="6" w:space="0" w:color="000000"/>
              <w:right w:val="single" w:sz="6" w:space="0" w:color="000000"/>
            </w:tcBorders>
          </w:tcPr>
          <w:p>
            <w:pPr/>
          </w:p>
        </w:tc>
        <w:tc>
          <w:tcPr>
            <w:tcW w:w="2498" w:type="dxa"/>
            <w:gridSpan w:val="2"/>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82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501" w:type="dxa"/>
            <w:gridSpan w:val="2"/>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82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24" w:type="dxa"/>
            <w:vMerge w:val="restart"/>
            <w:tcBorders>
              <w:top w:val="single" w:sz="12" w:space="0" w:color="000000"/>
              <w:left w:val="single" w:sz="6" w:space="0" w:color="000000"/>
              <w:right w:val="nil" w:sz="6" w:space="0" w:color="auto"/>
            </w:tcBorders>
          </w:tcPr>
          <w:p>
            <w:pPr>
              <w:pStyle w:val="TableParagraph"/>
              <w:spacing w:line="241" w:lineRule="exact"/>
              <w:ind w:left="336"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586" w:hRule="exact"/>
        </w:trPr>
        <w:tc>
          <w:tcPr>
            <w:tcW w:w="2652" w:type="dxa"/>
            <w:vMerge/>
            <w:tcBorders>
              <w:left w:val="single" w:sz="6" w:space="0" w:color="000000"/>
              <w:bottom w:val="single" w:sz="12" w:space="0" w:color="000000"/>
              <w:right w:val="single" w:sz="6" w:space="0" w:color="000000"/>
            </w:tcBorders>
          </w:tcPr>
          <w:p>
            <w:pPr/>
          </w:p>
        </w:tc>
        <w:tc>
          <w:tcPr>
            <w:tcW w:w="1613"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86" w:type="dxa"/>
            <w:tcBorders>
              <w:top w:val="single" w:sz="12" w:space="0" w:color="000000"/>
              <w:left w:val="single" w:sz="6" w:space="0" w:color="000000"/>
              <w:bottom w:val="single" w:sz="12" w:space="0" w:color="000000"/>
              <w:right w:val="single" w:sz="6" w:space="0" w:color="000000"/>
            </w:tcBorders>
          </w:tcPr>
          <w:p>
            <w:pPr>
              <w:pStyle w:val="TableParagraph"/>
              <w:spacing w:line="257" w:lineRule="exact"/>
              <w:ind w:left="4" w:right="0"/>
              <w:jc w:val="left"/>
              <w:rPr>
                <w:rFonts w:ascii="Times New Roman" w:hAnsi="Times New Roman" w:cs="Times New Roman" w:eastAsia="Times New Roman" w:hint="default"/>
                <w:sz w:val="21"/>
                <w:szCs w:val="21"/>
              </w:rPr>
            </w:pPr>
            <w:r>
              <w:rPr>
                <w:rFonts w:ascii="宋体" w:hAnsi="宋体" w:cs="宋体" w:eastAsia="宋体" w:hint="default"/>
                <w:spacing w:val="-12"/>
                <w:sz w:val="21"/>
                <w:szCs w:val="21"/>
              </w:rPr>
              <w:t>比例（</w:t>
            </w:r>
            <w:r>
              <w:rPr>
                <w:rFonts w:ascii="Times New Roman" w:hAnsi="Times New Roman" w:cs="Times New Roman" w:eastAsia="Times New Roman" w:hint="default"/>
                <w:spacing w:val="-12"/>
                <w:sz w:val="21"/>
                <w:szCs w:val="21"/>
              </w:rPr>
              <w:t>%</w:t>
            </w:r>
          </w:p>
        </w:tc>
        <w:tc>
          <w:tcPr>
            <w:tcW w:w="1615" w:type="dxa"/>
            <w:tcBorders>
              <w:top w:val="single" w:sz="12" w:space="0" w:color="000000"/>
              <w:left w:val="single" w:sz="6" w:space="0" w:color="000000"/>
              <w:bottom w:val="single" w:sz="12" w:space="0" w:color="000000"/>
              <w:right w:val="single" w:sz="6" w:space="0" w:color="000000"/>
            </w:tcBorders>
          </w:tcPr>
          <w:p>
            <w:pPr>
              <w:pStyle w:val="TableParagraph"/>
              <w:tabs>
                <w:tab w:pos="590" w:val="left" w:leader="none"/>
              </w:tabs>
              <w:spacing w:line="241" w:lineRule="exact"/>
              <w:ind w:left="-121" w:right="0"/>
              <w:jc w:val="left"/>
              <w:rPr>
                <w:rFonts w:ascii="宋体" w:hAnsi="宋体" w:cs="宋体" w:eastAsia="宋体" w:hint="default"/>
                <w:sz w:val="21"/>
                <w:szCs w:val="21"/>
              </w:rPr>
            </w:pPr>
            <w:r>
              <w:rPr>
                <w:rFonts w:ascii="宋体" w:hAnsi="宋体" w:cs="宋体" w:eastAsia="宋体" w:hint="default"/>
                <w:sz w:val="21"/>
                <w:szCs w:val="21"/>
              </w:rPr>
              <w:t>）</w:t>
              <w:tab/>
              <w:t>金额</w:t>
            </w:r>
          </w:p>
        </w:tc>
        <w:tc>
          <w:tcPr>
            <w:tcW w:w="886" w:type="dxa"/>
            <w:tcBorders>
              <w:top w:val="single" w:sz="12" w:space="0" w:color="000000"/>
              <w:left w:val="single" w:sz="6" w:space="0" w:color="000000"/>
              <w:bottom w:val="single" w:sz="12" w:space="0" w:color="000000"/>
              <w:right w:val="single" w:sz="6"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90" w:lineRule="exact"/>
              <w:ind w:left="4"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524" w:type="dxa"/>
            <w:vMerge/>
            <w:tcBorders>
              <w:left w:val="single" w:sz="6" w:space="0" w:color="000000"/>
              <w:bottom w:val="single" w:sz="12" w:space="0" w:color="000000"/>
              <w:right w:val="nil" w:sz="6" w:space="0" w:color="auto"/>
            </w:tcBorders>
          </w:tcPr>
          <w:p>
            <w:pPr/>
          </w:p>
        </w:tc>
      </w:tr>
      <w:tr>
        <w:trPr>
          <w:trHeight w:val="586" w:hRule="exact"/>
        </w:trPr>
        <w:tc>
          <w:tcPr>
            <w:tcW w:w="2652" w:type="dxa"/>
            <w:tcBorders>
              <w:top w:val="single" w:sz="12" w:space="0" w:color="000000"/>
              <w:left w:val="single" w:sz="6" w:space="0" w:color="000000"/>
              <w:bottom w:val="single" w:sz="12" w:space="0" w:color="000000"/>
              <w:right w:val="single" w:sz="6" w:space="0" w:color="000000"/>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pacing w:val="6"/>
                <w:sz w:val="21"/>
                <w:szCs w:val="21"/>
              </w:rPr>
              <w:t>单项金额重大并单独计提坏</w:t>
            </w:r>
          </w:p>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账准备的应收账款</w:t>
            </w:r>
          </w:p>
        </w:tc>
        <w:tc>
          <w:tcPr>
            <w:tcW w:w="1613"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886"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615"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886"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524"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6"/>
              <w:jc w:val="right"/>
              <w:rPr>
                <w:rFonts w:ascii="Times New Roman" w:hAnsi="Times New Roman" w:cs="Times New Roman" w:eastAsia="Times New Roman" w:hint="default"/>
                <w:sz w:val="21"/>
                <w:szCs w:val="21"/>
              </w:rPr>
            </w:pPr>
            <w:r>
              <w:rPr>
                <w:rFonts w:ascii="Times New Roman"/>
                <w:spacing w:val="-1"/>
                <w:sz w:val="21"/>
              </w:rPr>
              <w:t>---</w:t>
            </w:r>
          </w:p>
        </w:tc>
      </w:tr>
      <w:tr>
        <w:trPr>
          <w:trHeight w:val="586" w:hRule="exact"/>
        </w:trPr>
        <w:tc>
          <w:tcPr>
            <w:tcW w:w="2652" w:type="dxa"/>
            <w:tcBorders>
              <w:top w:val="single" w:sz="12" w:space="0" w:color="000000"/>
              <w:left w:val="single" w:sz="6" w:space="0" w:color="000000"/>
              <w:bottom w:val="single" w:sz="12" w:space="0" w:color="000000"/>
              <w:right w:val="single" w:sz="6" w:space="0" w:color="000000"/>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pacing w:val="6"/>
                <w:sz w:val="21"/>
                <w:szCs w:val="21"/>
              </w:rPr>
              <w:t>按信用风险特征组合计提坏</w:t>
            </w:r>
          </w:p>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账准备的应收账款</w:t>
            </w:r>
          </w:p>
        </w:tc>
        <w:tc>
          <w:tcPr>
            <w:tcW w:w="1613"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19,099,980.07</w:t>
            </w:r>
          </w:p>
        </w:tc>
        <w:tc>
          <w:tcPr>
            <w:tcW w:w="886"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z w:val="21"/>
              </w:rPr>
              <w:t>100.00</w:t>
            </w:r>
          </w:p>
        </w:tc>
        <w:tc>
          <w:tcPr>
            <w:tcW w:w="1615"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300,084.16</w:t>
            </w:r>
          </w:p>
        </w:tc>
        <w:tc>
          <w:tcPr>
            <w:tcW w:w="886"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z w:val="21"/>
              </w:rPr>
              <w:t>1.57</w:t>
            </w:r>
          </w:p>
        </w:tc>
        <w:tc>
          <w:tcPr>
            <w:tcW w:w="1524"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5"/>
              <w:jc w:val="right"/>
              <w:rPr>
                <w:rFonts w:ascii="Times New Roman" w:hAnsi="Times New Roman" w:cs="Times New Roman" w:eastAsia="Times New Roman" w:hint="default"/>
                <w:sz w:val="21"/>
                <w:szCs w:val="21"/>
              </w:rPr>
            </w:pPr>
            <w:r>
              <w:rPr>
                <w:rFonts w:ascii="Times New Roman"/>
                <w:spacing w:val="-1"/>
                <w:sz w:val="21"/>
              </w:rPr>
              <w:t>18,799,895.91</w:t>
            </w:r>
          </w:p>
        </w:tc>
      </w:tr>
      <w:tr>
        <w:trPr>
          <w:trHeight w:val="586" w:hRule="exact"/>
        </w:trPr>
        <w:tc>
          <w:tcPr>
            <w:tcW w:w="2652" w:type="dxa"/>
            <w:tcBorders>
              <w:top w:val="single" w:sz="12" w:space="0" w:color="000000"/>
              <w:left w:val="single" w:sz="6" w:space="0" w:color="000000"/>
              <w:bottom w:val="single" w:sz="12" w:space="0" w:color="000000"/>
              <w:right w:val="single" w:sz="6" w:space="0" w:color="000000"/>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pacing w:val="6"/>
                <w:sz w:val="21"/>
                <w:szCs w:val="21"/>
              </w:rPr>
              <w:t>单项金额虽不重大但单独计</w:t>
            </w:r>
          </w:p>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提坏账准备的应收账款</w:t>
            </w:r>
          </w:p>
        </w:tc>
        <w:tc>
          <w:tcPr>
            <w:tcW w:w="1613"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886"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615"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886"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524"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6"/>
              <w:jc w:val="right"/>
              <w:rPr>
                <w:rFonts w:ascii="Times New Roman" w:hAnsi="Times New Roman" w:cs="Times New Roman" w:eastAsia="Times New Roman" w:hint="default"/>
                <w:sz w:val="21"/>
                <w:szCs w:val="21"/>
              </w:rPr>
            </w:pPr>
            <w:r>
              <w:rPr>
                <w:rFonts w:ascii="Times New Roman"/>
                <w:spacing w:val="-1"/>
                <w:sz w:val="21"/>
              </w:rPr>
              <w:t>---</w:t>
            </w:r>
          </w:p>
        </w:tc>
      </w:tr>
      <w:tr>
        <w:trPr>
          <w:trHeight w:val="353" w:hRule="exact"/>
        </w:trPr>
        <w:tc>
          <w:tcPr>
            <w:tcW w:w="2652"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13"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19,099,980.07</w:t>
            </w:r>
          </w:p>
        </w:tc>
        <w:tc>
          <w:tcPr>
            <w:tcW w:w="886"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z w:val="21"/>
              </w:rPr>
              <w:t>100.00</w:t>
            </w:r>
          </w:p>
        </w:tc>
        <w:tc>
          <w:tcPr>
            <w:tcW w:w="1615"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300,084.16</w:t>
            </w:r>
          </w:p>
        </w:tc>
        <w:tc>
          <w:tcPr>
            <w:tcW w:w="886"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z w:val="21"/>
              </w:rPr>
              <w:t>1.57</w:t>
            </w:r>
          </w:p>
        </w:tc>
        <w:tc>
          <w:tcPr>
            <w:tcW w:w="1524"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5"/>
              <w:jc w:val="right"/>
              <w:rPr>
                <w:rFonts w:ascii="Times New Roman" w:hAnsi="Times New Roman" w:cs="Times New Roman" w:eastAsia="Times New Roman" w:hint="default"/>
                <w:sz w:val="21"/>
                <w:szCs w:val="21"/>
              </w:rPr>
            </w:pPr>
            <w:r>
              <w:rPr>
                <w:rFonts w:ascii="Times New Roman"/>
                <w:spacing w:val="-1"/>
                <w:sz w:val="21"/>
              </w:rPr>
              <w:t>18,799,895.91</w:t>
            </w:r>
          </w:p>
        </w:tc>
      </w:tr>
    </w:tbl>
    <w:p>
      <w:pPr>
        <w:spacing w:line="240" w:lineRule="auto" w:before="2"/>
        <w:rPr>
          <w:rFonts w:ascii="宋体" w:hAnsi="宋体" w:cs="宋体" w:eastAsia="宋体" w:hint="default"/>
          <w:sz w:val="20"/>
          <w:szCs w:val="20"/>
        </w:rPr>
      </w:pPr>
    </w:p>
    <w:p>
      <w:pPr>
        <w:pStyle w:val="BodyText"/>
        <w:spacing w:line="240" w:lineRule="auto" w:before="36"/>
        <w:ind w:left="572" w:right="0"/>
        <w:jc w:val="left"/>
      </w:pPr>
      <w:r>
        <w:rPr/>
        <w:t>应收账款种类的说明：</w:t>
      </w:r>
    </w:p>
    <w:p>
      <w:pPr>
        <w:pStyle w:val="BodyText"/>
        <w:spacing w:line="240" w:lineRule="auto" w:before="37"/>
        <w:ind w:left="572" w:right="0"/>
        <w:jc w:val="left"/>
      </w:pPr>
      <w:r>
        <w:rPr/>
        <w:t>（</w:t>
      </w:r>
      <w:r>
        <w:rPr>
          <w:rFonts w:ascii="Times New Roman" w:hAnsi="Times New Roman" w:cs="Times New Roman" w:eastAsia="Times New Roman" w:hint="default"/>
        </w:rPr>
        <w:t>1</w:t>
      </w:r>
      <w:r>
        <w:rPr/>
        <w:t>）组合中，按账龄分析法计提坏账准备的应收账款</w:t>
      </w:r>
    </w:p>
    <w:p>
      <w:pPr>
        <w:spacing w:line="240" w:lineRule="auto" w:before="8"/>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2642"/>
        <w:gridCol w:w="2424"/>
        <w:gridCol w:w="2064"/>
        <w:gridCol w:w="2045"/>
      </w:tblGrid>
      <w:tr>
        <w:trPr>
          <w:trHeight w:val="355" w:hRule="exact"/>
        </w:trPr>
        <w:tc>
          <w:tcPr>
            <w:tcW w:w="2642" w:type="dxa"/>
            <w:vMerge w:val="restart"/>
            <w:tcBorders>
              <w:top w:val="single" w:sz="6" w:space="0" w:color="000000"/>
              <w:left w:val="single" w:sz="6" w:space="0" w:color="000000"/>
              <w:right w:val="single" w:sz="6" w:space="0" w:color="000000"/>
            </w:tcBorders>
          </w:tcPr>
          <w:p>
            <w:pPr>
              <w:pStyle w:val="TableParagraph"/>
              <w:spacing w:line="253" w:lineRule="exact"/>
              <w:ind w:left="7"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533" w:type="dxa"/>
            <w:gridSpan w:val="3"/>
            <w:tcBorders>
              <w:top w:val="single" w:sz="6" w:space="0" w:color="000000"/>
              <w:left w:val="single" w:sz="6" w:space="0" w:color="000000"/>
              <w:bottom w:val="single" w:sz="12" w:space="0" w:color="000000"/>
              <w:right w:val="nil" w:sz="6" w:space="0" w:color="auto"/>
            </w:tcBorders>
          </w:tcPr>
          <w:p>
            <w:pPr>
              <w:pStyle w:val="TableParagraph"/>
              <w:spacing w:line="253" w:lineRule="exact"/>
              <w:ind w:right="2"/>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353" w:hRule="exact"/>
        </w:trPr>
        <w:tc>
          <w:tcPr>
            <w:tcW w:w="2642" w:type="dxa"/>
            <w:vMerge/>
            <w:tcBorders>
              <w:left w:val="single" w:sz="6" w:space="0" w:color="000000"/>
              <w:bottom w:val="single" w:sz="12" w:space="0" w:color="000000"/>
              <w:right w:val="single" w:sz="6" w:space="0" w:color="000000"/>
            </w:tcBorders>
          </w:tcPr>
          <w:p>
            <w:pPr/>
          </w:p>
        </w:tc>
        <w:tc>
          <w:tcPr>
            <w:tcW w:w="2424"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78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064"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60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045" w:type="dxa"/>
            <w:tcBorders>
              <w:top w:val="single" w:sz="12" w:space="0" w:color="000000"/>
              <w:left w:val="single" w:sz="6" w:space="0" w:color="000000"/>
              <w:bottom w:val="single" w:sz="12" w:space="0" w:color="000000"/>
              <w:right w:val="nil" w:sz="6" w:space="0" w:color="auto"/>
            </w:tcBorders>
          </w:tcPr>
          <w:p>
            <w:pPr>
              <w:pStyle w:val="TableParagraph"/>
              <w:spacing w:line="257" w:lineRule="exact"/>
              <w:ind w:left="295"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50" w:hRule="exact"/>
        </w:trPr>
        <w:tc>
          <w:tcPr>
            <w:tcW w:w="2642" w:type="dxa"/>
            <w:tcBorders>
              <w:top w:val="single" w:sz="12" w:space="0" w:color="000000"/>
              <w:left w:val="single" w:sz="6" w:space="0" w:color="000000"/>
              <w:bottom w:val="single" w:sz="12" w:space="0" w:color="000000"/>
              <w:right w:val="single" w:sz="6" w:space="0" w:color="000000"/>
            </w:tcBorders>
          </w:tcPr>
          <w:p>
            <w:pPr>
              <w:pStyle w:val="TableParagraph"/>
              <w:spacing w:line="257"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2424"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15,743,778.88</w:t>
            </w:r>
          </w:p>
        </w:tc>
        <w:tc>
          <w:tcPr>
            <w:tcW w:w="2064"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Times New Roman" w:hAnsi="Times New Roman" w:cs="Times New Roman" w:eastAsia="Times New Roman" w:hint="default"/>
                <w:sz w:val="21"/>
                <w:szCs w:val="21"/>
              </w:rPr>
            </w:pPr>
            <w:r>
              <w:rPr>
                <w:rFonts w:ascii="Times New Roman"/>
                <w:spacing w:val="-1"/>
                <w:sz w:val="21"/>
              </w:rPr>
              <w:t>157,437.79</w:t>
            </w:r>
          </w:p>
        </w:tc>
        <w:tc>
          <w:tcPr>
            <w:tcW w:w="2045"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7"/>
              <w:jc w:val="right"/>
              <w:rPr>
                <w:rFonts w:ascii="Times New Roman" w:hAnsi="Times New Roman" w:cs="Times New Roman" w:eastAsia="Times New Roman" w:hint="default"/>
                <w:sz w:val="21"/>
                <w:szCs w:val="21"/>
              </w:rPr>
            </w:pPr>
            <w:r>
              <w:rPr>
                <w:rFonts w:ascii="Times New Roman"/>
                <w:sz w:val="21"/>
              </w:rPr>
              <w:t>1.00</w:t>
            </w:r>
          </w:p>
        </w:tc>
      </w:tr>
      <w:tr>
        <w:trPr>
          <w:trHeight w:val="353" w:hRule="exact"/>
        </w:trPr>
        <w:tc>
          <w:tcPr>
            <w:tcW w:w="2642" w:type="dxa"/>
            <w:tcBorders>
              <w:top w:val="single" w:sz="12" w:space="0" w:color="000000"/>
              <w:left w:val="single" w:sz="6" w:space="0" w:color="000000"/>
              <w:bottom w:val="single" w:sz="12" w:space="0" w:color="000000"/>
              <w:right w:val="single" w:sz="6" w:space="0" w:color="000000"/>
            </w:tcBorders>
          </w:tcPr>
          <w:p>
            <w:pPr>
              <w:pStyle w:val="TableParagraph"/>
              <w:spacing w:line="259"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年</w:t>
            </w:r>
          </w:p>
        </w:tc>
        <w:tc>
          <w:tcPr>
            <w:tcW w:w="2424"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900,095.00</w:t>
            </w:r>
          </w:p>
        </w:tc>
        <w:tc>
          <w:tcPr>
            <w:tcW w:w="2064"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0"/>
              <w:jc w:val="right"/>
              <w:rPr>
                <w:rFonts w:ascii="Times New Roman" w:hAnsi="Times New Roman" w:cs="Times New Roman" w:eastAsia="Times New Roman" w:hint="default"/>
                <w:sz w:val="21"/>
                <w:szCs w:val="21"/>
              </w:rPr>
            </w:pPr>
            <w:r>
              <w:rPr>
                <w:rFonts w:ascii="Times New Roman"/>
                <w:sz w:val="21"/>
              </w:rPr>
              <w:t>90,009.50</w:t>
            </w:r>
          </w:p>
        </w:tc>
        <w:tc>
          <w:tcPr>
            <w:tcW w:w="2045"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7"/>
              <w:jc w:val="right"/>
              <w:rPr>
                <w:rFonts w:ascii="Times New Roman" w:hAnsi="Times New Roman" w:cs="Times New Roman" w:eastAsia="Times New Roman" w:hint="default"/>
                <w:sz w:val="21"/>
                <w:szCs w:val="21"/>
              </w:rPr>
            </w:pPr>
            <w:r>
              <w:rPr>
                <w:rFonts w:ascii="Times New Roman"/>
                <w:sz w:val="21"/>
              </w:rPr>
              <w:t>10.00</w:t>
            </w:r>
          </w:p>
        </w:tc>
      </w:tr>
      <w:tr>
        <w:trPr>
          <w:trHeight w:val="353" w:hRule="exact"/>
        </w:trPr>
        <w:tc>
          <w:tcPr>
            <w:tcW w:w="2642" w:type="dxa"/>
            <w:tcBorders>
              <w:top w:val="single" w:sz="12" w:space="0" w:color="000000"/>
              <w:left w:val="single" w:sz="6" w:space="0" w:color="000000"/>
              <w:bottom w:val="single" w:sz="12" w:space="0" w:color="000000"/>
              <w:right w:val="single" w:sz="6" w:space="0" w:color="000000"/>
            </w:tcBorders>
          </w:tcPr>
          <w:p>
            <w:pPr>
              <w:pStyle w:val="TableParagraph"/>
              <w:spacing w:line="257"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年</w:t>
            </w:r>
          </w:p>
        </w:tc>
        <w:tc>
          <w:tcPr>
            <w:tcW w:w="2424"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504,260.41</w:t>
            </w:r>
          </w:p>
        </w:tc>
        <w:tc>
          <w:tcPr>
            <w:tcW w:w="2064"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Times New Roman" w:hAnsi="Times New Roman" w:cs="Times New Roman" w:eastAsia="Times New Roman" w:hint="default"/>
                <w:sz w:val="21"/>
                <w:szCs w:val="21"/>
              </w:rPr>
            </w:pPr>
            <w:r>
              <w:rPr>
                <w:rFonts w:ascii="Times New Roman"/>
                <w:spacing w:val="-1"/>
                <w:sz w:val="21"/>
              </w:rPr>
              <w:t>151,278.12</w:t>
            </w:r>
          </w:p>
        </w:tc>
        <w:tc>
          <w:tcPr>
            <w:tcW w:w="2045"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7"/>
              <w:jc w:val="right"/>
              <w:rPr>
                <w:rFonts w:ascii="Times New Roman" w:hAnsi="Times New Roman" w:cs="Times New Roman" w:eastAsia="Times New Roman" w:hint="default"/>
                <w:sz w:val="21"/>
                <w:szCs w:val="21"/>
              </w:rPr>
            </w:pPr>
            <w:r>
              <w:rPr>
                <w:rFonts w:ascii="Times New Roman"/>
                <w:sz w:val="21"/>
              </w:rPr>
              <w:t>30.00</w:t>
            </w:r>
          </w:p>
        </w:tc>
      </w:tr>
      <w:tr>
        <w:trPr>
          <w:trHeight w:val="350" w:hRule="exact"/>
        </w:trPr>
        <w:tc>
          <w:tcPr>
            <w:tcW w:w="2642" w:type="dxa"/>
            <w:tcBorders>
              <w:top w:val="single" w:sz="12" w:space="0" w:color="000000"/>
              <w:left w:val="single" w:sz="6" w:space="0" w:color="000000"/>
              <w:bottom w:val="single" w:sz="12" w:space="0" w:color="000000"/>
              <w:right w:val="single" w:sz="6" w:space="0" w:color="000000"/>
            </w:tcBorders>
          </w:tcPr>
          <w:p>
            <w:pPr>
              <w:pStyle w:val="TableParagraph"/>
              <w:spacing w:line="257"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年以上</w:t>
            </w:r>
          </w:p>
        </w:tc>
        <w:tc>
          <w:tcPr>
            <w:tcW w:w="2424"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z w:val="21"/>
              </w:rPr>
              <w:t>97,354.50</w:t>
            </w:r>
          </w:p>
        </w:tc>
        <w:tc>
          <w:tcPr>
            <w:tcW w:w="2064"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Times New Roman" w:hAnsi="Times New Roman" w:cs="Times New Roman" w:eastAsia="Times New Roman" w:hint="default"/>
                <w:sz w:val="21"/>
                <w:szCs w:val="21"/>
              </w:rPr>
            </w:pPr>
            <w:r>
              <w:rPr>
                <w:rFonts w:ascii="Times New Roman"/>
                <w:sz w:val="21"/>
              </w:rPr>
              <w:t>97,354.50</w:t>
            </w:r>
          </w:p>
        </w:tc>
        <w:tc>
          <w:tcPr>
            <w:tcW w:w="2045"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7"/>
              <w:jc w:val="right"/>
              <w:rPr>
                <w:rFonts w:ascii="Times New Roman" w:hAnsi="Times New Roman" w:cs="Times New Roman" w:eastAsia="Times New Roman" w:hint="default"/>
                <w:sz w:val="21"/>
                <w:szCs w:val="21"/>
              </w:rPr>
            </w:pPr>
            <w:r>
              <w:rPr>
                <w:rFonts w:ascii="Times New Roman"/>
                <w:sz w:val="21"/>
              </w:rPr>
              <w:t>100.00</w:t>
            </w:r>
          </w:p>
        </w:tc>
      </w:tr>
      <w:tr>
        <w:trPr>
          <w:trHeight w:val="353" w:hRule="exact"/>
        </w:trPr>
        <w:tc>
          <w:tcPr>
            <w:tcW w:w="2642"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7"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24"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17,245,488.79</w:t>
            </w:r>
          </w:p>
        </w:tc>
        <w:tc>
          <w:tcPr>
            <w:tcW w:w="2064"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0"/>
              <w:jc w:val="right"/>
              <w:rPr>
                <w:rFonts w:ascii="Times New Roman" w:hAnsi="Times New Roman" w:cs="Times New Roman" w:eastAsia="Times New Roman" w:hint="default"/>
                <w:sz w:val="21"/>
                <w:szCs w:val="21"/>
              </w:rPr>
            </w:pPr>
            <w:r>
              <w:rPr>
                <w:rFonts w:ascii="Times New Roman"/>
                <w:spacing w:val="-1"/>
                <w:sz w:val="21"/>
              </w:rPr>
              <w:t>496,079.91</w:t>
            </w:r>
          </w:p>
        </w:tc>
        <w:tc>
          <w:tcPr>
            <w:tcW w:w="2045"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7"/>
              <w:jc w:val="right"/>
              <w:rPr>
                <w:rFonts w:ascii="Times New Roman" w:hAnsi="Times New Roman" w:cs="Times New Roman" w:eastAsia="Times New Roman" w:hint="default"/>
                <w:sz w:val="21"/>
                <w:szCs w:val="21"/>
              </w:rPr>
            </w:pPr>
            <w:r>
              <w:rPr>
                <w:rFonts w:ascii="Times New Roman"/>
                <w:sz w:val="21"/>
              </w:rPr>
              <w:t>2.88</w:t>
            </w:r>
          </w:p>
        </w:tc>
      </w:tr>
    </w:tbl>
    <w:p>
      <w:pPr>
        <w:pStyle w:val="BodyText"/>
        <w:spacing w:line="262" w:lineRule="exact"/>
        <w:ind w:left="932" w:right="0"/>
        <w:jc w:val="left"/>
      </w:pPr>
      <w:r>
        <w:rPr>
          <w:rFonts w:ascii="宋体" w:hAnsi="宋体" w:cs="宋体" w:eastAsia="宋体" w:hint="default"/>
        </w:rPr>
        <w:t>2.</w:t>
      </w:r>
      <w:r>
        <w:rPr>
          <w:rFonts w:ascii="宋体" w:hAnsi="宋体" w:cs="宋体" w:eastAsia="宋体" w:hint="default"/>
          <w:spacing w:val="43"/>
        </w:rPr>
        <w:t> </w:t>
      </w:r>
      <w:r>
        <w:rPr/>
        <w:t>期末单项金额虽不重大但单独计提坏账准备的应收账款</w:t>
      </w:r>
    </w:p>
    <w:p>
      <w:pPr>
        <w:spacing w:line="240" w:lineRule="auto" w:before="10"/>
        <w:rPr>
          <w:rFonts w:ascii="宋体" w:hAnsi="宋体" w:cs="宋体" w:eastAsia="宋体" w:hint="default"/>
          <w:sz w:val="3"/>
          <w:szCs w:val="3"/>
        </w:rPr>
      </w:pPr>
    </w:p>
    <w:tbl>
      <w:tblPr>
        <w:tblW w:w="0" w:type="auto"/>
        <w:jc w:val="left"/>
        <w:tblInd w:w="145" w:type="dxa"/>
        <w:tblLayout w:type="fixed"/>
        <w:tblCellMar>
          <w:top w:w="0" w:type="dxa"/>
          <w:left w:w="0" w:type="dxa"/>
          <w:bottom w:w="0" w:type="dxa"/>
          <w:right w:w="0" w:type="dxa"/>
        </w:tblCellMar>
        <w:tblLook w:val="01E0"/>
      </w:tblPr>
      <w:tblGrid>
        <w:gridCol w:w="1663"/>
        <w:gridCol w:w="1608"/>
        <w:gridCol w:w="1438"/>
        <w:gridCol w:w="1536"/>
        <w:gridCol w:w="2916"/>
      </w:tblGrid>
      <w:tr>
        <w:trPr>
          <w:trHeight w:val="355" w:hRule="exact"/>
        </w:trPr>
        <w:tc>
          <w:tcPr>
            <w:tcW w:w="1663" w:type="dxa"/>
            <w:vMerge w:val="restart"/>
            <w:tcBorders>
              <w:top w:val="single" w:sz="6" w:space="0" w:color="000000"/>
              <w:left w:val="single" w:sz="6" w:space="0" w:color="000000"/>
              <w:right w:val="single" w:sz="6" w:space="0" w:color="000000"/>
            </w:tcBorders>
          </w:tcPr>
          <w:p>
            <w:pPr>
              <w:pStyle w:val="TableParagraph"/>
              <w:spacing w:line="253" w:lineRule="exact"/>
              <w:ind w:left="405"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7498" w:type="dxa"/>
            <w:gridSpan w:val="4"/>
            <w:tcBorders>
              <w:top w:val="single" w:sz="6" w:space="0" w:color="000000"/>
              <w:left w:val="single" w:sz="6" w:space="0" w:color="000000"/>
              <w:bottom w:val="single" w:sz="12" w:space="0" w:color="000000"/>
              <w:right w:val="nil" w:sz="6" w:space="0" w:color="auto"/>
            </w:tcBorders>
          </w:tcPr>
          <w:p>
            <w:pPr>
              <w:pStyle w:val="TableParagraph"/>
              <w:spacing w:line="253" w:lineRule="exact"/>
              <w:ind w:right="2"/>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353" w:hRule="exact"/>
        </w:trPr>
        <w:tc>
          <w:tcPr>
            <w:tcW w:w="1663" w:type="dxa"/>
            <w:vMerge/>
            <w:tcBorders>
              <w:left w:val="single" w:sz="6" w:space="0" w:color="000000"/>
              <w:bottom w:val="single" w:sz="12" w:space="0" w:color="000000"/>
              <w:right w:val="single" w:sz="6" w:space="0" w:color="000000"/>
            </w:tcBorders>
          </w:tcPr>
          <w:p>
            <w:pPr/>
          </w:p>
        </w:tc>
        <w:tc>
          <w:tcPr>
            <w:tcW w:w="1608"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37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438"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29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36" w:type="dxa"/>
            <w:tcBorders>
              <w:top w:val="single" w:sz="12" w:space="0" w:color="000000"/>
              <w:left w:val="single" w:sz="6" w:space="0" w:color="000000"/>
              <w:bottom w:val="single" w:sz="12" w:space="0" w:color="000000"/>
              <w:right w:val="single" w:sz="6" w:space="0" w:color="000000"/>
            </w:tcBorders>
          </w:tcPr>
          <w:p>
            <w:pPr>
              <w:pStyle w:val="TableParagraph"/>
              <w:spacing w:line="257" w:lineRule="exact"/>
              <w:ind w:right="38"/>
              <w:jc w:val="right"/>
              <w:rPr>
                <w:rFonts w:ascii="宋体" w:hAnsi="宋体" w:cs="宋体" w:eastAsia="宋体" w:hint="default"/>
                <w:sz w:val="21"/>
                <w:szCs w:val="21"/>
              </w:rPr>
            </w:pPr>
            <w:r>
              <w:rPr>
                <w:rFonts w:ascii="宋体" w:hAnsi="宋体" w:cs="宋体" w:eastAsia="宋体" w:hint="default"/>
                <w:spacing w:val="-1"/>
                <w:sz w:val="21"/>
                <w:szCs w:val="21"/>
              </w:rPr>
              <w:t>计提比例（</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w:t>
            </w:r>
          </w:p>
        </w:tc>
        <w:tc>
          <w:tcPr>
            <w:tcW w:w="2916" w:type="dxa"/>
            <w:tcBorders>
              <w:top w:val="single" w:sz="12" w:space="0" w:color="000000"/>
              <w:left w:val="single" w:sz="6" w:space="0" w:color="000000"/>
              <w:bottom w:val="single" w:sz="12" w:space="0" w:color="000000"/>
              <w:right w:val="nil" w:sz="6" w:space="0" w:color="auto"/>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计提理由</w:t>
            </w:r>
          </w:p>
        </w:tc>
      </w:tr>
      <w:tr>
        <w:trPr>
          <w:trHeight w:val="1678" w:hRule="exact"/>
        </w:trPr>
        <w:tc>
          <w:tcPr>
            <w:tcW w:w="1663"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4" w:right="0"/>
              <w:jc w:val="left"/>
              <w:rPr>
                <w:rFonts w:ascii="宋体" w:hAnsi="宋体" w:cs="宋体" w:eastAsia="宋体" w:hint="default"/>
                <w:sz w:val="21"/>
                <w:szCs w:val="21"/>
              </w:rPr>
            </w:pPr>
            <w:r>
              <w:rPr>
                <w:rFonts w:ascii="宋体" w:hAnsi="宋体" w:cs="宋体" w:eastAsia="宋体" w:hint="default"/>
                <w:sz w:val="21"/>
                <w:szCs w:val="21"/>
              </w:rPr>
              <w:t>甘肃省外文书店</w:t>
            </w:r>
          </w:p>
        </w:tc>
        <w:tc>
          <w:tcPr>
            <w:tcW w:w="1608"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12,756.00</w:t>
            </w:r>
          </w:p>
        </w:tc>
        <w:tc>
          <w:tcPr>
            <w:tcW w:w="1438"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Times New Roman" w:hAnsi="Times New Roman" w:cs="Times New Roman" w:eastAsia="Times New Roman" w:hint="default"/>
                <w:sz w:val="21"/>
                <w:szCs w:val="21"/>
              </w:rPr>
            </w:pPr>
            <w:r>
              <w:rPr>
                <w:rFonts w:ascii="Times New Roman"/>
                <w:spacing w:val="-1"/>
                <w:sz w:val="21"/>
              </w:rPr>
              <w:t>12,756.00</w:t>
            </w:r>
          </w:p>
        </w:tc>
        <w:tc>
          <w:tcPr>
            <w:tcW w:w="1536"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z w:val="21"/>
              </w:rPr>
              <w:t>100</w:t>
            </w:r>
          </w:p>
        </w:tc>
        <w:tc>
          <w:tcPr>
            <w:tcW w:w="2916" w:type="dxa"/>
            <w:tcBorders>
              <w:top w:val="single" w:sz="12" w:space="0" w:color="000000"/>
              <w:left w:val="single" w:sz="6" w:space="0" w:color="000000"/>
              <w:bottom w:val="single" w:sz="12" w:space="0" w:color="000000"/>
              <w:right w:val="nil" w:sz="6" w:space="0" w:color="auto"/>
            </w:tcBorders>
          </w:tcPr>
          <w:p>
            <w:pPr>
              <w:pStyle w:val="TableParagraph"/>
              <w:spacing w:line="240" w:lineRule="exact"/>
              <w:ind w:left="2" w:right="0"/>
              <w:jc w:val="both"/>
              <w:rPr>
                <w:rFonts w:ascii="宋体" w:hAnsi="宋体" w:cs="宋体" w:eastAsia="宋体" w:hint="default"/>
                <w:sz w:val="21"/>
                <w:szCs w:val="21"/>
              </w:rPr>
            </w:pPr>
            <w:r>
              <w:rPr>
                <w:rFonts w:ascii="宋体" w:hAnsi="宋体" w:cs="宋体" w:eastAsia="宋体" w:hint="default"/>
                <w:spacing w:val="-5"/>
                <w:sz w:val="21"/>
                <w:szCs w:val="21"/>
              </w:rPr>
              <w:t>根据业务持续跟踪反馈，该客户</w:t>
            </w:r>
          </w:p>
          <w:p>
            <w:pPr>
              <w:pStyle w:val="TableParagraph"/>
              <w:spacing w:line="237" w:lineRule="auto" w:before="2"/>
              <w:ind w:left="2" w:right="-35"/>
              <w:jc w:val="both"/>
              <w:rPr>
                <w:rFonts w:ascii="宋体" w:hAnsi="宋体" w:cs="宋体" w:eastAsia="宋体" w:hint="default"/>
                <w:sz w:val="21"/>
                <w:szCs w:val="21"/>
              </w:rPr>
            </w:pPr>
            <w:r>
              <w:rPr>
                <w:rFonts w:ascii="宋体" w:hAnsi="宋体" w:cs="宋体" w:eastAsia="宋体" w:hint="default"/>
                <w:spacing w:val="-5"/>
                <w:sz w:val="21"/>
                <w:szCs w:val="21"/>
              </w:rPr>
              <w:t>已被甘肃省省店兼并，但截至目</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11"/>
                <w:sz w:val="21"/>
                <w:szCs w:val="21"/>
              </w:rPr>
              <w:t>前省店仍无具体人员负责清理</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外文书店旧账，只能等待时机。</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5"/>
                <w:sz w:val="21"/>
                <w:szCs w:val="21"/>
              </w:rPr>
              <w:t>虽然年限未满三年，但可收回性</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不大，全额计提坏账准备。</w:t>
            </w:r>
          </w:p>
        </w:tc>
      </w:tr>
      <w:tr>
        <w:trPr>
          <w:trHeight w:val="353" w:hRule="exact"/>
        </w:trPr>
        <w:tc>
          <w:tcPr>
            <w:tcW w:w="1663"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08"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12,756.00</w:t>
            </w:r>
          </w:p>
        </w:tc>
        <w:tc>
          <w:tcPr>
            <w:tcW w:w="1438"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Times New Roman" w:hAnsi="Times New Roman" w:cs="Times New Roman" w:eastAsia="Times New Roman" w:hint="default"/>
                <w:sz w:val="21"/>
                <w:szCs w:val="21"/>
              </w:rPr>
            </w:pPr>
            <w:r>
              <w:rPr>
                <w:rFonts w:ascii="Times New Roman"/>
                <w:spacing w:val="-1"/>
                <w:sz w:val="21"/>
              </w:rPr>
              <w:t>12,756.00</w:t>
            </w:r>
          </w:p>
        </w:tc>
        <w:tc>
          <w:tcPr>
            <w:tcW w:w="1536"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z w:val="21"/>
              </w:rPr>
              <w:t>100</w:t>
            </w:r>
          </w:p>
        </w:tc>
        <w:tc>
          <w:tcPr>
            <w:tcW w:w="2916"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3"/>
        <w:rPr>
          <w:rFonts w:ascii="宋体" w:hAnsi="宋体" w:cs="宋体" w:eastAsia="宋体" w:hint="default"/>
          <w:sz w:val="8"/>
          <w:szCs w:val="8"/>
        </w:rPr>
      </w:pPr>
    </w:p>
    <w:p>
      <w:pPr>
        <w:spacing w:line="386" w:lineRule="auto" w:before="36"/>
        <w:ind w:left="572" w:right="6310" w:firstLine="2"/>
        <w:jc w:val="left"/>
        <w:rPr>
          <w:rFonts w:ascii="宋体" w:hAnsi="宋体" w:cs="宋体" w:eastAsia="宋体" w:hint="default"/>
          <w:sz w:val="21"/>
          <w:szCs w:val="21"/>
        </w:rPr>
      </w:pPr>
      <w:r>
        <w:rPr/>
        <w:pict>
          <v:shape style="position:absolute;margin-left:56.279999pt;margin-top:41.423676pt;width:459.85pt;height:75.5pt;mso-position-horizontal-relative:page;mso-position-vertical-relative:paragraph;z-index:31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090"/>
                    <w:gridCol w:w="1358"/>
                    <w:gridCol w:w="1550"/>
                    <w:gridCol w:w="1382"/>
                    <w:gridCol w:w="1618"/>
                    <w:gridCol w:w="1162"/>
                  </w:tblGrid>
                  <w:tr>
                    <w:trPr>
                      <w:trHeight w:val="588" w:hRule="exact"/>
                    </w:trPr>
                    <w:tc>
                      <w:tcPr>
                        <w:tcW w:w="2090"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left="619"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358"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应收账款性质</w:t>
                        </w:r>
                      </w:p>
                    </w:tc>
                    <w:tc>
                      <w:tcPr>
                        <w:tcW w:w="1550"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left="348" w:right="0"/>
                          <w:jc w:val="left"/>
                          <w:rPr>
                            <w:rFonts w:ascii="宋体" w:hAnsi="宋体" w:cs="宋体" w:eastAsia="宋体" w:hint="default"/>
                            <w:sz w:val="21"/>
                            <w:szCs w:val="21"/>
                          </w:rPr>
                        </w:pPr>
                        <w:r>
                          <w:rPr>
                            <w:rFonts w:ascii="宋体" w:hAnsi="宋体" w:cs="宋体" w:eastAsia="宋体" w:hint="default"/>
                            <w:sz w:val="21"/>
                            <w:szCs w:val="21"/>
                          </w:rPr>
                          <w:t>核销金额</w:t>
                        </w:r>
                      </w:p>
                    </w:tc>
                    <w:tc>
                      <w:tcPr>
                        <w:tcW w:w="1382"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left="2" w:right="0"/>
                          <w:jc w:val="center"/>
                          <w:rPr>
                            <w:rFonts w:ascii="宋体" w:hAnsi="宋体" w:cs="宋体" w:eastAsia="宋体" w:hint="default"/>
                            <w:sz w:val="21"/>
                            <w:szCs w:val="21"/>
                          </w:rPr>
                        </w:pPr>
                        <w:r>
                          <w:rPr>
                            <w:rFonts w:ascii="宋体" w:hAnsi="宋体" w:cs="宋体" w:eastAsia="宋体" w:hint="default"/>
                            <w:sz w:val="21"/>
                            <w:szCs w:val="21"/>
                          </w:rPr>
                          <w:t>核销原因</w:t>
                        </w:r>
                      </w:p>
                    </w:tc>
                    <w:tc>
                      <w:tcPr>
                        <w:tcW w:w="1618"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履行的核销程序</w:t>
                        </w:r>
                      </w:p>
                    </w:tc>
                    <w:tc>
                      <w:tcPr>
                        <w:tcW w:w="1162" w:type="dxa"/>
                        <w:tcBorders>
                          <w:top w:val="single" w:sz="6" w:space="0" w:color="000000"/>
                          <w:left w:val="single" w:sz="6" w:space="0" w:color="000000"/>
                          <w:bottom w:val="single" w:sz="12" w:space="0" w:color="000000"/>
                          <w:right w:val="nil" w:sz="6" w:space="0" w:color="auto"/>
                        </w:tcBorders>
                      </w:tcPr>
                      <w:p>
                        <w:pPr>
                          <w:pStyle w:val="TableParagraph"/>
                          <w:spacing w:line="274" w:lineRule="exact" w:before="1"/>
                          <w:ind w:left="153" w:right="50" w:hanging="106"/>
                          <w:jc w:val="left"/>
                          <w:rPr>
                            <w:rFonts w:ascii="宋体" w:hAnsi="宋体" w:cs="宋体" w:eastAsia="宋体" w:hint="default"/>
                            <w:sz w:val="21"/>
                            <w:szCs w:val="21"/>
                          </w:rPr>
                        </w:pPr>
                        <w:r>
                          <w:rPr>
                            <w:rFonts w:ascii="宋体" w:hAnsi="宋体" w:cs="宋体" w:eastAsia="宋体" w:hint="default"/>
                            <w:sz w:val="21"/>
                            <w:szCs w:val="21"/>
                          </w:rPr>
                          <w:t>是否由关联</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交易产生</w:t>
                        </w:r>
                      </w:p>
                    </w:tc>
                  </w:tr>
                  <w:tr>
                    <w:trPr>
                      <w:trHeight w:val="586" w:hRule="exact"/>
                    </w:trPr>
                    <w:tc>
                      <w:tcPr>
                        <w:tcW w:w="2090"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88" w:right="0"/>
                          <w:jc w:val="left"/>
                          <w:rPr>
                            <w:rFonts w:ascii="宋体" w:hAnsi="宋体" w:cs="宋体" w:eastAsia="宋体" w:hint="default"/>
                            <w:sz w:val="21"/>
                            <w:szCs w:val="21"/>
                          </w:rPr>
                        </w:pPr>
                        <w:r>
                          <w:rPr>
                            <w:rFonts w:ascii="宋体" w:hAnsi="宋体" w:cs="宋体" w:eastAsia="宋体" w:hint="default"/>
                            <w:sz w:val="21"/>
                            <w:szCs w:val="21"/>
                          </w:rPr>
                          <w:t>芜湖市外文书店</w:t>
                        </w:r>
                      </w:p>
                    </w:tc>
                    <w:tc>
                      <w:tcPr>
                        <w:tcW w:w="1358"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货款</w:t>
                        </w:r>
                      </w:p>
                    </w:tc>
                    <w:tc>
                      <w:tcPr>
                        <w:tcW w:w="1550"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0"/>
                          <w:jc w:val="right"/>
                          <w:rPr>
                            <w:rFonts w:ascii="Times New Roman" w:hAnsi="Times New Roman" w:cs="Times New Roman" w:eastAsia="Times New Roman" w:hint="default"/>
                            <w:sz w:val="21"/>
                            <w:szCs w:val="21"/>
                          </w:rPr>
                        </w:pPr>
                        <w:r>
                          <w:rPr>
                            <w:rFonts w:ascii="Times New Roman"/>
                            <w:sz w:val="21"/>
                          </w:rPr>
                          <w:t>2,146.30</w:t>
                        </w:r>
                      </w:p>
                    </w:tc>
                    <w:tc>
                      <w:tcPr>
                        <w:tcW w:w="1382"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52" w:right="0"/>
                          <w:jc w:val="left"/>
                          <w:rPr>
                            <w:rFonts w:ascii="宋体" w:hAnsi="宋体" w:cs="宋体" w:eastAsia="宋体" w:hint="default"/>
                            <w:sz w:val="21"/>
                            <w:szCs w:val="21"/>
                          </w:rPr>
                        </w:pPr>
                        <w:r>
                          <w:rPr>
                            <w:rFonts w:ascii="宋体" w:hAnsi="宋体" w:cs="宋体" w:eastAsia="宋体" w:hint="default"/>
                            <w:sz w:val="21"/>
                            <w:szCs w:val="21"/>
                          </w:rPr>
                          <w:t>书店已吊销，</w:t>
                        </w:r>
                      </w:p>
                      <w:p>
                        <w:pPr>
                          <w:pStyle w:val="TableParagraph"/>
                          <w:spacing w:line="273" w:lineRule="exact"/>
                          <w:ind w:left="52" w:right="0"/>
                          <w:jc w:val="left"/>
                          <w:rPr>
                            <w:rFonts w:ascii="宋体" w:hAnsi="宋体" w:cs="宋体" w:eastAsia="宋体" w:hint="default"/>
                            <w:sz w:val="21"/>
                            <w:szCs w:val="21"/>
                          </w:rPr>
                        </w:pPr>
                        <w:r>
                          <w:rPr>
                            <w:rFonts w:ascii="宋体" w:hAnsi="宋体" w:cs="宋体" w:eastAsia="宋体" w:hint="default"/>
                            <w:sz w:val="21"/>
                            <w:szCs w:val="21"/>
                          </w:rPr>
                          <w:t>余款无法收回</w:t>
                        </w:r>
                      </w:p>
                    </w:tc>
                    <w:tc>
                      <w:tcPr>
                        <w:tcW w:w="1618"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第二董事会第十</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四次会议批准</w:t>
                        </w:r>
                      </w:p>
                    </w:tc>
                    <w:tc>
                      <w:tcPr>
                        <w:tcW w:w="1162" w:type="dxa"/>
                        <w:tcBorders>
                          <w:top w:val="single" w:sz="12" w:space="0" w:color="000000"/>
                          <w:left w:val="single" w:sz="6" w:space="0" w:color="000000"/>
                          <w:bottom w:val="single" w:sz="12" w:space="0" w:color="000000"/>
                          <w:right w:val="nil" w:sz="6" w:space="0" w:color="auto"/>
                        </w:tcBorders>
                      </w:tcPr>
                      <w:p>
                        <w:pPr>
                          <w:pStyle w:val="TableParagraph"/>
                          <w:spacing w:line="243" w:lineRule="exact"/>
                          <w:ind w:right="5"/>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14" w:hRule="exact"/>
                    </w:trPr>
                    <w:tc>
                      <w:tcPr>
                        <w:tcW w:w="2090"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88" w:right="-15"/>
                          <w:jc w:val="left"/>
                          <w:rPr>
                            <w:rFonts w:ascii="宋体" w:hAnsi="宋体" w:cs="宋体" w:eastAsia="宋体" w:hint="default"/>
                            <w:sz w:val="21"/>
                            <w:szCs w:val="21"/>
                          </w:rPr>
                        </w:pPr>
                        <w:r>
                          <w:rPr>
                            <w:rFonts w:ascii="宋体" w:hAnsi="宋体" w:cs="宋体" w:eastAsia="宋体" w:hint="default"/>
                            <w:spacing w:val="10"/>
                            <w:sz w:val="21"/>
                            <w:szCs w:val="21"/>
                          </w:rPr>
                          <w:t>爱新科技（深圳）有</w:t>
                        </w:r>
                        <w:r>
                          <w:rPr>
                            <w:rFonts w:ascii="宋体" w:hAnsi="宋体" w:cs="宋体" w:eastAsia="宋体" w:hint="default"/>
                            <w:sz w:val="21"/>
                            <w:szCs w:val="21"/>
                          </w:rPr>
                        </w:r>
                      </w:p>
                    </w:tc>
                    <w:tc>
                      <w:tcPr>
                        <w:tcW w:w="1358"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货款</w:t>
                        </w:r>
                      </w:p>
                    </w:tc>
                    <w:tc>
                      <w:tcPr>
                        <w:tcW w:w="1550"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0"/>
                          <w:jc w:val="right"/>
                          <w:rPr>
                            <w:rFonts w:ascii="Times New Roman" w:hAnsi="Times New Roman" w:cs="Times New Roman" w:eastAsia="Times New Roman" w:hint="default"/>
                            <w:sz w:val="21"/>
                            <w:szCs w:val="21"/>
                          </w:rPr>
                        </w:pPr>
                        <w:r>
                          <w:rPr>
                            <w:rFonts w:ascii="Times New Roman"/>
                            <w:spacing w:val="-1"/>
                            <w:sz w:val="21"/>
                          </w:rPr>
                          <w:t>10,000.00</w:t>
                        </w:r>
                      </w:p>
                    </w:tc>
                    <w:tc>
                      <w:tcPr>
                        <w:tcW w:w="1382"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无法联系，工</w:t>
                        </w:r>
                      </w:p>
                    </w:tc>
                    <w:tc>
                      <w:tcPr>
                        <w:tcW w:w="1618"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第二董事会第十</w:t>
                        </w:r>
                      </w:p>
                    </w:tc>
                    <w:tc>
                      <w:tcPr>
                        <w:tcW w:w="1162" w:type="dxa"/>
                        <w:tcBorders>
                          <w:top w:val="single" w:sz="12" w:space="0" w:color="000000"/>
                          <w:left w:val="single" w:sz="6" w:space="0" w:color="000000"/>
                          <w:bottom w:val="single" w:sz="12" w:space="0" w:color="000000"/>
                          <w:right w:val="nil" w:sz="6" w:space="0" w:color="auto"/>
                        </w:tcBorders>
                      </w:tcPr>
                      <w:p>
                        <w:pPr>
                          <w:pStyle w:val="TableParagraph"/>
                          <w:spacing w:line="243" w:lineRule="exact"/>
                          <w:ind w:right="5"/>
                          <w:jc w:val="center"/>
                          <w:rPr>
                            <w:rFonts w:ascii="宋体" w:hAnsi="宋体" w:cs="宋体" w:eastAsia="宋体" w:hint="default"/>
                            <w:sz w:val="21"/>
                            <w:szCs w:val="21"/>
                          </w:rPr>
                        </w:pPr>
                        <w:r>
                          <w:rPr>
                            <w:rFonts w:ascii="宋体" w:hAnsi="宋体" w:cs="宋体" w:eastAsia="宋体" w:hint="default"/>
                            <w:w w:val="100"/>
                            <w:sz w:val="21"/>
                            <w:szCs w:val="21"/>
                          </w:rPr>
                          <w:t>否</w:t>
                        </w:r>
                      </w:p>
                    </w:tc>
                  </w:tr>
                </w:tbl>
                <w:p>
                  <w:pPr/>
                </w:p>
              </w:txbxContent>
            </v:textbox>
            <w10:wrap type="none"/>
          </v:shape>
        </w:pict>
      </w:r>
      <w:r>
        <w:rPr>
          <w:rFonts w:ascii="Times New Roman" w:hAnsi="Times New Roman" w:cs="Times New Roman" w:eastAsia="Times New Roman" w:hint="default"/>
          <w:b/>
          <w:bCs/>
          <w:spacing w:val="-1"/>
          <w:sz w:val="21"/>
          <w:szCs w:val="21"/>
        </w:rPr>
        <w:t>2</w:t>
      </w:r>
      <w:r>
        <w:rPr>
          <w:rFonts w:ascii="宋体" w:hAnsi="宋体" w:cs="宋体" w:eastAsia="宋体" w:hint="default"/>
          <w:b/>
          <w:bCs/>
          <w:spacing w:val="-1"/>
          <w:sz w:val="21"/>
          <w:szCs w:val="21"/>
        </w:rPr>
        <w:t>、本报告期实际核销的应收账款</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sz w:val="21"/>
          <w:szCs w:val="21"/>
        </w:rPr>
        <w:t>应收账款核销情况如下：</w:t>
      </w:r>
    </w:p>
    <w:p>
      <w:pPr>
        <w:spacing w:after="0" w:line="386" w:lineRule="auto"/>
        <w:jc w:val="left"/>
        <w:rPr>
          <w:rFonts w:ascii="宋体" w:hAnsi="宋体" w:cs="宋体" w:eastAsia="宋体" w:hint="default"/>
          <w:sz w:val="21"/>
          <w:szCs w:val="21"/>
        </w:rPr>
        <w:sectPr>
          <w:pgSz w:w="11910" w:h="16840"/>
          <w:pgMar w:header="880" w:footer="979" w:top="1060" w:bottom="1160" w:left="980" w:right="980"/>
        </w:sectPr>
      </w:pPr>
    </w:p>
    <w:p>
      <w:pPr>
        <w:spacing w:line="240" w:lineRule="auto" w:before="4"/>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2090"/>
        <w:gridCol w:w="1358"/>
        <w:gridCol w:w="1550"/>
        <w:gridCol w:w="1382"/>
        <w:gridCol w:w="1618"/>
        <w:gridCol w:w="1162"/>
      </w:tblGrid>
      <w:tr>
        <w:trPr>
          <w:trHeight w:val="588" w:hRule="exact"/>
        </w:trPr>
        <w:tc>
          <w:tcPr>
            <w:tcW w:w="2090"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left="4"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358" w:type="dxa"/>
            <w:tcBorders>
              <w:top w:val="single" w:sz="6" w:space="0" w:color="000000"/>
              <w:left w:val="single" w:sz="6" w:space="0" w:color="000000"/>
              <w:bottom w:val="single" w:sz="12" w:space="0" w:color="000000"/>
              <w:right w:val="single" w:sz="6" w:space="0" w:color="000000"/>
            </w:tcBorders>
          </w:tcPr>
          <w:p>
            <w:pPr/>
          </w:p>
        </w:tc>
        <w:tc>
          <w:tcPr>
            <w:tcW w:w="1550" w:type="dxa"/>
            <w:tcBorders>
              <w:top w:val="single" w:sz="6" w:space="0" w:color="000000"/>
              <w:left w:val="single" w:sz="6" w:space="0" w:color="000000"/>
              <w:bottom w:val="single" w:sz="12" w:space="0" w:color="000000"/>
              <w:right w:val="single" w:sz="6" w:space="0" w:color="000000"/>
            </w:tcBorders>
          </w:tcPr>
          <w:p>
            <w:pPr/>
          </w:p>
        </w:tc>
        <w:tc>
          <w:tcPr>
            <w:tcW w:w="1382" w:type="dxa"/>
            <w:tcBorders>
              <w:top w:val="single" w:sz="6" w:space="0" w:color="000000"/>
              <w:left w:val="single" w:sz="6" w:space="0" w:color="000000"/>
              <w:bottom w:val="single" w:sz="12" w:space="0" w:color="000000"/>
              <w:right w:val="single" w:sz="6" w:space="0" w:color="000000"/>
            </w:tcBorders>
          </w:tcPr>
          <w:p>
            <w:pPr>
              <w:pStyle w:val="TableParagraph"/>
              <w:spacing w:line="274" w:lineRule="exact" w:before="1"/>
              <w:ind w:left="52" w:right="50"/>
              <w:jc w:val="left"/>
              <w:rPr>
                <w:rFonts w:ascii="宋体" w:hAnsi="宋体" w:cs="宋体" w:eastAsia="宋体" w:hint="default"/>
                <w:sz w:val="21"/>
                <w:szCs w:val="21"/>
              </w:rPr>
            </w:pPr>
            <w:r>
              <w:rPr>
                <w:rFonts w:ascii="宋体" w:hAnsi="宋体" w:cs="宋体" w:eastAsia="宋体" w:hint="default"/>
                <w:sz w:val="21"/>
                <w:szCs w:val="21"/>
              </w:rPr>
              <w:t>商已无记录，</w:t>
            </w:r>
            <w:r>
              <w:rPr>
                <w:rFonts w:ascii="宋体" w:hAnsi="宋体" w:cs="宋体" w:eastAsia="宋体" w:hint="default"/>
                <w:w w:val="100"/>
                <w:sz w:val="21"/>
                <w:szCs w:val="21"/>
              </w:rPr>
              <w:t> </w:t>
            </w:r>
            <w:r>
              <w:rPr>
                <w:rFonts w:ascii="宋体" w:hAnsi="宋体" w:cs="宋体" w:eastAsia="宋体" w:hint="default"/>
                <w:sz w:val="21"/>
                <w:szCs w:val="21"/>
              </w:rPr>
              <w:t>余款无法收回</w:t>
            </w:r>
          </w:p>
        </w:tc>
        <w:tc>
          <w:tcPr>
            <w:tcW w:w="1618"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left="170" w:right="0"/>
              <w:jc w:val="left"/>
              <w:rPr>
                <w:rFonts w:ascii="宋体" w:hAnsi="宋体" w:cs="宋体" w:eastAsia="宋体" w:hint="default"/>
                <w:sz w:val="21"/>
                <w:szCs w:val="21"/>
              </w:rPr>
            </w:pPr>
            <w:r>
              <w:rPr>
                <w:rFonts w:ascii="宋体" w:hAnsi="宋体" w:cs="宋体" w:eastAsia="宋体" w:hint="default"/>
                <w:sz w:val="21"/>
                <w:szCs w:val="21"/>
              </w:rPr>
              <w:t>四次会议批准</w:t>
            </w:r>
          </w:p>
        </w:tc>
        <w:tc>
          <w:tcPr>
            <w:tcW w:w="1162" w:type="dxa"/>
            <w:tcBorders>
              <w:top w:val="single" w:sz="6" w:space="0" w:color="000000"/>
              <w:left w:val="single" w:sz="6" w:space="0" w:color="000000"/>
              <w:bottom w:val="single" w:sz="12" w:space="0" w:color="000000"/>
              <w:right w:val="nil" w:sz="6" w:space="0" w:color="auto"/>
            </w:tcBorders>
          </w:tcPr>
          <w:p>
            <w:pPr/>
          </w:p>
        </w:tc>
      </w:tr>
      <w:tr>
        <w:trPr>
          <w:trHeight w:val="586" w:hRule="exact"/>
        </w:trPr>
        <w:tc>
          <w:tcPr>
            <w:tcW w:w="2090"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88" w:right="-15"/>
              <w:jc w:val="left"/>
              <w:rPr>
                <w:rFonts w:ascii="宋体" w:hAnsi="宋体" w:cs="宋体" w:eastAsia="宋体" w:hint="default"/>
                <w:sz w:val="21"/>
                <w:szCs w:val="21"/>
              </w:rPr>
            </w:pPr>
            <w:r>
              <w:rPr>
                <w:rFonts w:ascii="宋体" w:hAnsi="宋体" w:cs="宋体" w:eastAsia="宋体" w:hint="default"/>
                <w:spacing w:val="10"/>
                <w:sz w:val="21"/>
                <w:szCs w:val="21"/>
              </w:rPr>
              <w:t>美国凯曼顿电器有限</w:t>
            </w:r>
            <w:r>
              <w:rPr>
                <w:rFonts w:ascii="宋体" w:hAnsi="宋体" w:cs="宋体" w:eastAsia="宋体" w:hint="default"/>
                <w:sz w:val="21"/>
                <w:szCs w:val="21"/>
              </w:rPr>
            </w:r>
          </w:p>
          <w:p>
            <w:pPr>
              <w:pStyle w:val="TableParagraph"/>
              <w:spacing w:line="273" w:lineRule="exact"/>
              <w:ind w:left="4" w:right="0"/>
              <w:jc w:val="left"/>
              <w:rPr>
                <w:rFonts w:ascii="宋体" w:hAnsi="宋体" w:cs="宋体" w:eastAsia="宋体" w:hint="default"/>
                <w:sz w:val="21"/>
                <w:szCs w:val="21"/>
              </w:rPr>
            </w:pPr>
            <w:r>
              <w:rPr>
                <w:rFonts w:ascii="宋体" w:hAnsi="宋体" w:cs="宋体" w:eastAsia="宋体" w:hint="default"/>
                <w:sz w:val="21"/>
                <w:szCs w:val="21"/>
              </w:rPr>
              <w:t>公司深圳办事处</w:t>
            </w:r>
          </w:p>
        </w:tc>
        <w:tc>
          <w:tcPr>
            <w:tcW w:w="1358"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货款</w:t>
            </w:r>
          </w:p>
        </w:tc>
        <w:tc>
          <w:tcPr>
            <w:tcW w:w="1550"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0"/>
              <w:jc w:val="right"/>
              <w:rPr>
                <w:rFonts w:ascii="Times New Roman" w:hAnsi="Times New Roman" w:cs="Times New Roman" w:eastAsia="Times New Roman" w:hint="default"/>
                <w:sz w:val="21"/>
                <w:szCs w:val="21"/>
              </w:rPr>
            </w:pPr>
            <w:r>
              <w:rPr>
                <w:rFonts w:ascii="Times New Roman"/>
                <w:spacing w:val="-1"/>
                <w:sz w:val="21"/>
              </w:rPr>
              <w:t>24,521.00</w:t>
            </w:r>
          </w:p>
        </w:tc>
        <w:tc>
          <w:tcPr>
            <w:tcW w:w="1382"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账龄五年以上</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小额应收款</w:t>
            </w:r>
          </w:p>
        </w:tc>
        <w:tc>
          <w:tcPr>
            <w:tcW w:w="1618"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第二董事会第十</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四次会议批准</w:t>
            </w:r>
          </w:p>
        </w:tc>
        <w:tc>
          <w:tcPr>
            <w:tcW w:w="1162" w:type="dxa"/>
            <w:tcBorders>
              <w:top w:val="single" w:sz="12" w:space="0" w:color="000000"/>
              <w:left w:val="single" w:sz="6" w:space="0" w:color="000000"/>
              <w:bottom w:val="single" w:sz="12" w:space="0" w:color="000000"/>
              <w:right w:val="nil" w:sz="6" w:space="0" w:color="auto"/>
            </w:tcBorders>
          </w:tcPr>
          <w:p>
            <w:pPr>
              <w:pStyle w:val="TableParagraph"/>
              <w:spacing w:line="243" w:lineRule="exact"/>
              <w:ind w:right="5"/>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14" w:hRule="exact"/>
        </w:trPr>
        <w:tc>
          <w:tcPr>
            <w:tcW w:w="2090"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7"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58" w:type="dxa"/>
            <w:tcBorders>
              <w:top w:val="single" w:sz="12" w:space="0" w:color="000000"/>
              <w:left w:val="single" w:sz="6" w:space="0" w:color="000000"/>
              <w:bottom w:val="single" w:sz="12" w:space="0" w:color="000000"/>
              <w:right w:val="single" w:sz="6" w:space="0" w:color="000000"/>
            </w:tcBorders>
          </w:tcPr>
          <w:p>
            <w:pPr/>
          </w:p>
        </w:tc>
        <w:tc>
          <w:tcPr>
            <w:tcW w:w="1550"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36,667.30</w:t>
            </w:r>
          </w:p>
        </w:tc>
        <w:tc>
          <w:tcPr>
            <w:tcW w:w="1382" w:type="dxa"/>
            <w:tcBorders>
              <w:top w:val="single" w:sz="12" w:space="0" w:color="000000"/>
              <w:left w:val="single" w:sz="6" w:space="0" w:color="000000"/>
              <w:bottom w:val="single" w:sz="12" w:space="0" w:color="000000"/>
              <w:right w:val="single" w:sz="6" w:space="0" w:color="000000"/>
            </w:tcBorders>
          </w:tcPr>
          <w:p>
            <w:pPr/>
          </w:p>
        </w:tc>
        <w:tc>
          <w:tcPr>
            <w:tcW w:w="1618" w:type="dxa"/>
            <w:tcBorders>
              <w:top w:val="single" w:sz="12" w:space="0" w:color="000000"/>
              <w:left w:val="single" w:sz="6" w:space="0" w:color="000000"/>
              <w:bottom w:val="single" w:sz="12" w:space="0" w:color="000000"/>
              <w:right w:val="single" w:sz="6" w:space="0" w:color="000000"/>
            </w:tcBorders>
          </w:tcPr>
          <w:p>
            <w:pPr/>
          </w:p>
        </w:tc>
        <w:tc>
          <w:tcPr>
            <w:tcW w:w="1162"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3"/>
        <w:rPr>
          <w:rFonts w:ascii="宋体" w:hAnsi="宋体" w:cs="宋体" w:eastAsia="宋体" w:hint="default"/>
          <w:sz w:val="8"/>
          <w:szCs w:val="8"/>
        </w:rPr>
      </w:pPr>
    </w:p>
    <w:p>
      <w:pPr>
        <w:pStyle w:val="Heading5"/>
        <w:spacing w:line="240" w:lineRule="auto" w:before="36"/>
        <w:ind w:left="575" w:right="0"/>
        <w:jc w:val="left"/>
        <w:rPr>
          <w:b w:val="0"/>
          <w:bCs w:val="0"/>
        </w:rPr>
      </w:pPr>
      <w:r>
        <w:rPr>
          <w:rFonts w:ascii="Times New Roman" w:hAnsi="Times New Roman" w:cs="Times New Roman" w:eastAsia="Times New Roman" w:hint="default"/>
        </w:rPr>
        <w:t>3</w:t>
      </w:r>
      <w:r>
        <w:rPr/>
        <w:t>、按欠款方归集的期末余额前五名应收账款</w:t>
      </w:r>
      <w:r>
        <w:rPr>
          <w:b w:val="0"/>
          <w:bCs w:val="0"/>
        </w:rPr>
      </w:r>
    </w:p>
    <w:p>
      <w:pPr>
        <w:spacing w:line="240" w:lineRule="auto" w:before="8"/>
        <w:rPr>
          <w:rFonts w:ascii="宋体" w:hAnsi="宋体" w:cs="宋体" w:eastAsia="宋体" w:hint="default"/>
          <w:b/>
          <w:bCs/>
          <w:sz w:val="2"/>
          <w:szCs w:val="2"/>
        </w:rPr>
      </w:pPr>
    </w:p>
    <w:tbl>
      <w:tblPr>
        <w:tblW w:w="0" w:type="auto"/>
        <w:jc w:val="left"/>
        <w:tblInd w:w="145" w:type="dxa"/>
        <w:tblLayout w:type="fixed"/>
        <w:tblCellMar>
          <w:top w:w="0" w:type="dxa"/>
          <w:left w:w="0" w:type="dxa"/>
          <w:bottom w:w="0" w:type="dxa"/>
          <w:right w:w="0" w:type="dxa"/>
        </w:tblCellMar>
        <w:tblLook w:val="01E0"/>
      </w:tblPr>
      <w:tblGrid>
        <w:gridCol w:w="2978"/>
        <w:gridCol w:w="1488"/>
        <w:gridCol w:w="2700"/>
        <w:gridCol w:w="1694"/>
      </w:tblGrid>
      <w:tr>
        <w:trPr>
          <w:trHeight w:val="557" w:hRule="exact"/>
        </w:trPr>
        <w:tc>
          <w:tcPr>
            <w:tcW w:w="2978" w:type="dxa"/>
            <w:tcBorders>
              <w:top w:val="single" w:sz="6" w:space="0" w:color="000000"/>
              <w:left w:val="single" w:sz="6" w:space="0" w:color="000000"/>
              <w:bottom w:val="single" w:sz="12" w:space="0" w:color="000000"/>
              <w:right w:val="single" w:sz="6" w:space="0" w:color="000000"/>
            </w:tcBorders>
          </w:tcPr>
          <w:p>
            <w:pPr>
              <w:pStyle w:val="TableParagraph"/>
              <w:spacing w:line="253" w:lineRule="exact"/>
              <w:ind w:left="4"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488" w:type="dxa"/>
            <w:tcBorders>
              <w:top w:val="single" w:sz="6" w:space="0" w:color="000000"/>
              <w:left w:val="single" w:sz="6" w:space="0" w:color="000000"/>
              <w:bottom w:val="single" w:sz="12" w:space="0" w:color="000000"/>
              <w:right w:val="single" w:sz="6" w:space="0" w:color="000000"/>
            </w:tcBorders>
          </w:tcPr>
          <w:p>
            <w:pPr>
              <w:pStyle w:val="TableParagraph"/>
              <w:spacing w:line="253" w:lineRule="exact"/>
              <w:ind w:left="31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700" w:type="dxa"/>
            <w:tcBorders>
              <w:top w:val="single" w:sz="6" w:space="0" w:color="000000"/>
              <w:left w:val="single" w:sz="6" w:space="0" w:color="000000"/>
              <w:bottom w:val="single" w:sz="12" w:space="0" w:color="000000"/>
              <w:right w:val="single" w:sz="6" w:space="0" w:color="000000"/>
            </w:tcBorders>
          </w:tcPr>
          <w:p>
            <w:pPr>
              <w:pStyle w:val="TableParagraph"/>
              <w:spacing w:line="253" w:lineRule="exact"/>
              <w:ind w:left="5" w:right="0"/>
              <w:jc w:val="center"/>
              <w:rPr>
                <w:rFonts w:ascii="宋体" w:hAnsi="宋体" w:cs="宋体" w:eastAsia="宋体" w:hint="default"/>
                <w:sz w:val="21"/>
                <w:szCs w:val="21"/>
              </w:rPr>
            </w:pPr>
            <w:r>
              <w:rPr>
                <w:rFonts w:ascii="宋体" w:hAnsi="宋体" w:cs="宋体" w:eastAsia="宋体" w:hint="default"/>
                <w:sz w:val="21"/>
                <w:szCs w:val="21"/>
              </w:rPr>
              <w:t>占应收账款期末余额的比例</w:t>
            </w:r>
          </w:p>
          <w:p>
            <w:pPr>
              <w:pStyle w:val="TableParagraph"/>
              <w:spacing w:line="240" w:lineRule="auto" w:before="24"/>
              <w:ind w:left="5" w:right="0"/>
              <w:jc w:val="center"/>
              <w:rPr>
                <w:rFonts w:ascii="Times New Roman" w:hAnsi="Times New Roman" w:cs="Times New Roman" w:eastAsia="Times New Roman" w:hint="default"/>
                <w:sz w:val="21"/>
                <w:szCs w:val="21"/>
              </w:rPr>
            </w:pPr>
            <w:r>
              <w:rPr>
                <w:rFonts w:ascii="Times New Roman"/>
                <w:sz w:val="21"/>
              </w:rPr>
              <w:t>(%)</w:t>
            </w:r>
          </w:p>
        </w:tc>
        <w:tc>
          <w:tcPr>
            <w:tcW w:w="1694" w:type="dxa"/>
            <w:tcBorders>
              <w:top w:val="single" w:sz="6" w:space="0" w:color="000000"/>
              <w:left w:val="single" w:sz="6" w:space="0" w:color="000000"/>
              <w:bottom w:val="single" w:sz="12" w:space="0" w:color="000000"/>
              <w:right w:val="nil" w:sz="6" w:space="0" w:color="auto"/>
            </w:tcBorders>
          </w:tcPr>
          <w:p>
            <w:pPr>
              <w:pStyle w:val="TableParagraph"/>
              <w:spacing w:line="253" w:lineRule="exact"/>
              <w:ind w:left="105" w:right="0"/>
              <w:jc w:val="left"/>
              <w:rPr>
                <w:rFonts w:ascii="宋体" w:hAnsi="宋体" w:cs="宋体" w:eastAsia="宋体" w:hint="default"/>
                <w:sz w:val="21"/>
                <w:szCs w:val="21"/>
              </w:rPr>
            </w:pPr>
            <w:r>
              <w:rPr>
                <w:rFonts w:ascii="宋体" w:hAnsi="宋体" w:cs="宋体" w:eastAsia="宋体" w:hint="default"/>
                <w:sz w:val="21"/>
                <w:szCs w:val="21"/>
              </w:rPr>
              <w:t>已计提坏账准备</w:t>
            </w:r>
          </w:p>
        </w:tc>
      </w:tr>
      <w:tr>
        <w:trPr>
          <w:trHeight w:val="314" w:hRule="exact"/>
        </w:trPr>
        <w:tc>
          <w:tcPr>
            <w:tcW w:w="2978"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4" w:right="0"/>
              <w:jc w:val="left"/>
              <w:rPr>
                <w:rFonts w:ascii="宋体" w:hAnsi="宋体" w:cs="宋体" w:eastAsia="宋体" w:hint="default"/>
                <w:sz w:val="21"/>
                <w:szCs w:val="21"/>
              </w:rPr>
            </w:pPr>
            <w:r>
              <w:rPr>
                <w:rFonts w:ascii="宋体" w:hAnsi="宋体" w:cs="宋体" w:eastAsia="宋体" w:hint="default"/>
                <w:sz w:val="21"/>
                <w:szCs w:val="21"/>
              </w:rPr>
              <w:t>广东教育出版社有限公司</w:t>
            </w:r>
          </w:p>
        </w:tc>
        <w:tc>
          <w:tcPr>
            <w:tcW w:w="1488"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4,858,686.38</w:t>
            </w:r>
          </w:p>
        </w:tc>
        <w:tc>
          <w:tcPr>
            <w:tcW w:w="2700"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3"/>
              <w:jc w:val="right"/>
              <w:rPr>
                <w:rFonts w:ascii="Times New Roman" w:hAnsi="Times New Roman" w:cs="Times New Roman" w:eastAsia="Times New Roman" w:hint="default"/>
                <w:sz w:val="21"/>
                <w:szCs w:val="21"/>
              </w:rPr>
            </w:pPr>
            <w:r>
              <w:rPr>
                <w:rFonts w:ascii="Times New Roman"/>
                <w:sz w:val="21"/>
              </w:rPr>
              <w:t>28.15</w:t>
            </w:r>
          </w:p>
        </w:tc>
        <w:tc>
          <w:tcPr>
            <w:tcW w:w="1694"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7"/>
              <w:jc w:val="right"/>
              <w:rPr>
                <w:rFonts w:ascii="Times New Roman" w:hAnsi="Times New Roman" w:cs="Times New Roman" w:eastAsia="Times New Roman" w:hint="default"/>
                <w:sz w:val="21"/>
                <w:szCs w:val="21"/>
              </w:rPr>
            </w:pPr>
            <w:r>
              <w:rPr>
                <w:rFonts w:ascii="Times New Roman"/>
                <w:spacing w:val="-1"/>
                <w:sz w:val="21"/>
              </w:rPr>
              <w:t>48,586.86</w:t>
            </w:r>
          </w:p>
        </w:tc>
      </w:tr>
      <w:tr>
        <w:trPr>
          <w:trHeight w:val="312" w:hRule="exact"/>
        </w:trPr>
        <w:tc>
          <w:tcPr>
            <w:tcW w:w="2978"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4" w:right="0"/>
              <w:jc w:val="left"/>
              <w:rPr>
                <w:rFonts w:ascii="宋体" w:hAnsi="宋体" w:cs="宋体" w:eastAsia="宋体" w:hint="default"/>
                <w:sz w:val="21"/>
                <w:szCs w:val="21"/>
              </w:rPr>
            </w:pPr>
            <w:r>
              <w:rPr>
                <w:rFonts w:ascii="宋体" w:hAnsi="宋体" w:cs="宋体" w:eastAsia="宋体" w:hint="default"/>
                <w:sz w:val="21"/>
                <w:szCs w:val="21"/>
              </w:rPr>
              <w:t>广东新华发行集团股份有限公司</w:t>
            </w:r>
          </w:p>
        </w:tc>
        <w:tc>
          <w:tcPr>
            <w:tcW w:w="1488"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2,324,340.00</w:t>
            </w:r>
          </w:p>
        </w:tc>
        <w:tc>
          <w:tcPr>
            <w:tcW w:w="2700"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3"/>
              <w:jc w:val="right"/>
              <w:rPr>
                <w:rFonts w:ascii="Times New Roman" w:hAnsi="Times New Roman" w:cs="Times New Roman" w:eastAsia="Times New Roman" w:hint="default"/>
                <w:sz w:val="21"/>
                <w:szCs w:val="21"/>
              </w:rPr>
            </w:pPr>
            <w:r>
              <w:rPr>
                <w:rFonts w:ascii="Times New Roman"/>
                <w:sz w:val="21"/>
              </w:rPr>
              <w:t>13.47</w:t>
            </w:r>
          </w:p>
        </w:tc>
        <w:tc>
          <w:tcPr>
            <w:tcW w:w="1694"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7"/>
              <w:jc w:val="right"/>
              <w:rPr>
                <w:rFonts w:ascii="Times New Roman" w:hAnsi="Times New Roman" w:cs="Times New Roman" w:eastAsia="Times New Roman" w:hint="default"/>
                <w:sz w:val="21"/>
                <w:szCs w:val="21"/>
              </w:rPr>
            </w:pPr>
            <w:r>
              <w:rPr>
                <w:rFonts w:ascii="Times New Roman"/>
                <w:spacing w:val="-1"/>
                <w:sz w:val="21"/>
              </w:rPr>
              <w:t>23,243.40</w:t>
            </w:r>
          </w:p>
        </w:tc>
      </w:tr>
      <w:tr>
        <w:trPr>
          <w:trHeight w:val="586" w:hRule="exact"/>
        </w:trPr>
        <w:tc>
          <w:tcPr>
            <w:tcW w:w="2978" w:type="dxa"/>
            <w:tcBorders>
              <w:top w:val="single" w:sz="12" w:space="0" w:color="000000"/>
              <w:left w:val="single" w:sz="6" w:space="0" w:color="000000"/>
              <w:bottom w:val="single" w:sz="12" w:space="0" w:color="000000"/>
              <w:right w:val="single" w:sz="6" w:space="0" w:color="000000"/>
            </w:tcBorders>
          </w:tcPr>
          <w:p>
            <w:pPr>
              <w:pStyle w:val="TableParagraph"/>
              <w:spacing w:line="240" w:lineRule="exact"/>
              <w:ind w:left="4" w:right="-5"/>
              <w:jc w:val="left"/>
              <w:rPr>
                <w:rFonts w:ascii="宋体" w:hAnsi="宋体" w:cs="宋体" w:eastAsia="宋体" w:hint="default"/>
                <w:sz w:val="21"/>
                <w:szCs w:val="21"/>
              </w:rPr>
            </w:pPr>
            <w:r>
              <w:rPr>
                <w:rFonts w:ascii="宋体" w:hAnsi="宋体" w:cs="宋体" w:eastAsia="宋体" w:hint="default"/>
                <w:sz w:val="21"/>
                <w:szCs w:val="21"/>
              </w:rPr>
              <w:t>江苏凤凰电子音像出版社有限公</w:t>
            </w:r>
          </w:p>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488"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2,200,000.00</w:t>
            </w:r>
          </w:p>
        </w:tc>
        <w:tc>
          <w:tcPr>
            <w:tcW w:w="2700"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3"/>
              <w:jc w:val="right"/>
              <w:rPr>
                <w:rFonts w:ascii="Times New Roman" w:hAnsi="Times New Roman" w:cs="Times New Roman" w:eastAsia="Times New Roman" w:hint="default"/>
                <w:sz w:val="21"/>
                <w:szCs w:val="21"/>
              </w:rPr>
            </w:pPr>
            <w:r>
              <w:rPr>
                <w:rFonts w:ascii="Times New Roman"/>
                <w:sz w:val="21"/>
              </w:rPr>
              <w:t>12.75</w:t>
            </w:r>
          </w:p>
        </w:tc>
        <w:tc>
          <w:tcPr>
            <w:tcW w:w="1694"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7"/>
              <w:jc w:val="right"/>
              <w:rPr>
                <w:rFonts w:ascii="Times New Roman" w:hAnsi="Times New Roman" w:cs="Times New Roman" w:eastAsia="Times New Roman" w:hint="default"/>
                <w:sz w:val="21"/>
                <w:szCs w:val="21"/>
              </w:rPr>
            </w:pPr>
            <w:r>
              <w:rPr>
                <w:rFonts w:ascii="Times New Roman"/>
                <w:spacing w:val="-1"/>
                <w:sz w:val="21"/>
              </w:rPr>
              <w:t>103,000.00</w:t>
            </w:r>
          </w:p>
        </w:tc>
      </w:tr>
      <w:tr>
        <w:trPr>
          <w:trHeight w:val="314" w:hRule="exact"/>
        </w:trPr>
        <w:tc>
          <w:tcPr>
            <w:tcW w:w="2978"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4" w:right="0"/>
              <w:jc w:val="left"/>
              <w:rPr>
                <w:rFonts w:ascii="宋体" w:hAnsi="宋体" w:cs="宋体" w:eastAsia="宋体" w:hint="default"/>
                <w:sz w:val="21"/>
                <w:szCs w:val="21"/>
              </w:rPr>
            </w:pPr>
            <w:r>
              <w:rPr>
                <w:rFonts w:ascii="宋体" w:hAnsi="宋体" w:cs="宋体" w:eastAsia="宋体" w:hint="default"/>
                <w:sz w:val="21"/>
                <w:szCs w:val="21"/>
              </w:rPr>
              <w:t>山东友谊出版社</w:t>
            </w:r>
          </w:p>
        </w:tc>
        <w:tc>
          <w:tcPr>
            <w:tcW w:w="1488"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1,391,189.50</w:t>
            </w:r>
          </w:p>
        </w:tc>
        <w:tc>
          <w:tcPr>
            <w:tcW w:w="2700"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3"/>
              <w:jc w:val="right"/>
              <w:rPr>
                <w:rFonts w:ascii="Times New Roman" w:hAnsi="Times New Roman" w:cs="Times New Roman" w:eastAsia="Times New Roman" w:hint="default"/>
                <w:sz w:val="21"/>
                <w:szCs w:val="21"/>
              </w:rPr>
            </w:pPr>
            <w:r>
              <w:rPr>
                <w:rFonts w:ascii="Times New Roman"/>
                <w:sz w:val="21"/>
              </w:rPr>
              <w:t>8.06</w:t>
            </w:r>
          </w:p>
        </w:tc>
        <w:tc>
          <w:tcPr>
            <w:tcW w:w="1694"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7"/>
              <w:jc w:val="right"/>
              <w:rPr>
                <w:rFonts w:ascii="Times New Roman" w:hAnsi="Times New Roman" w:cs="Times New Roman" w:eastAsia="Times New Roman" w:hint="default"/>
                <w:sz w:val="21"/>
                <w:szCs w:val="21"/>
              </w:rPr>
            </w:pPr>
            <w:r>
              <w:rPr>
                <w:rFonts w:ascii="Times New Roman"/>
                <w:spacing w:val="-1"/>
                <w:sz w:val="21"/>
              </w:rPr>
              <w:t>13,911.90</w:t>
            </w:r>
          </w:p>
        </w:tc>
      </w:tr>
      <w:tr>
        <w:trPr>
          <w:trHeight w:val="312" w:hRule="exact"/>
        </w:trPr>
        <w:tc>
          <w:tcPr>
            <w:tcW w:w="2978"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4" w:right="0"/>
              <w:jc w:val="left"/>
              <w:rPr>
                <w:rFonts w:ascii="宋体" w:hAnsi="宋体" w:cs="宋体" w:eastAsia="宋体" w:hint="default"/>
                <w:sz w:val="21"/>
                <w:szCs w:val="21"/>
              </w:rPr>
            </w:pPr>
            <w:r>
              <w:rPr>
                <w:rFonts w:ascii="宋体" w:hAnsi="宋体" w:cs="宋体" w:eastAsia="宋体" w:hint="default"/>
                <w:sz w:val="21"/>
                <w:szCs w:val="21"/>
              </w:rPr>
              <w:t>神州数码（中国）有限公司</w:t>
            </w:r>
          </w:p>
        </w:tc>
        <w:tc>
          <w:tcPr>
            <w:tcW w:w="1488"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1,349,000.00</w:t>
            </w:r>
          </w:p>
        </w:tc>
        <w:tc>
          <w:tcPr>
            <w:tcW w:w="2700"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3"/>
              <w:jc w:val="right"/>
              <w:rPr>
                <w:rFonts w:ascii="Times New Roman" w:hAnsi="Times New Roman" w:cs="Times New Roman" w:eastAsia="Times New Roman" w:hint="default"/>
                <w:sz w:val="21"/>
                <w:szCs w:val="21"/>
              </w:rPr>
            </w:pPr>
            <w:r>
              <w:rPr>
                <w:rFonts w:ascii="Times New Roman"/>
                <w:sz w:val="21"/>
              </w:rPr>
              <w:t>7.82</w:t>
            </w:r>
          </w:p>
        </w:tc>
        <w:tc>
          <w:tcPr>
            <w:tcW w:w="1694"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7"/>
              <w:jc w:val="right"/>
              <w:rPr>
                <w:rFonts w:ascii="Times New Roman" w:hAnsi="Times New Roman" w:cs="Times New Roman" w:eastAsia="Times New Roman" w:hint="default"/>
                <w:sz w:val="21"/>
                <w:szCs w:val="21"/>
              </w:rPr>
            </w:pPr>
            <w:r>
              <w:rPr>
                <w:rFonts w:ascii="Times New Roman"/>
                <w:spacing w:val="-1"/>
                <w:sz w:val="21"/>
              </w:rPr>
              <w:t>13,490.00</w:t>
            </w:r>
          </w:p>
        </w:tc>
      </w:tr>
      <w:tr>
        <w:trPr>
          <w:trHeight w:val="314" w:hRule="exact"/>
        </w:trPr>
        <w:tc>
          <w:tcPr>
            <w:tcW w:w="2978"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88"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12,123,215.88</w:t>
            </w:r>
          </w:p>
        </w:tc>
        <w:tc>
          <w:tcPr>
            <w:tcW w:w="2700"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3"/>
              <w:jc w:val="right"/>
              <w:rPr>
                <w:rFonts w:ascii="Times New Roman" w:hAnsi="Times New Roman" w:cs="Times New Roman" w:eastAsia="Times New Roman" w:hint="default"/>
                <w:sz w:val="21"/>
                <w:szCs w:val="21"/>
              </w:rPr>
            </w:pPr>
            <w:r>
              <w:rPr>
                <w:rFonts w:ascii="Times New Roman"/>
                <w:sz w:val="21"/>
              </w:rPr>
              <w:t>70.25</w:t>
            </w:r>
          </w:p>
        </w:tc>
        <w:tc>
          <w:tcPr>
            <w:tcW w:w="1694"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7"/>
              <w:jc w:val="right"/>
              <w:rPr>
                <w:rFonts w:ascii="Times New Roman" w:hAnsi="Times New Roman" w:cs="Times New Roman" w:eastAsia="Times New Roman" w:hint="default"/>
                <w:sz w:val="21"/>
                <w:szCs w:val="21"/>
              </w:rPr>
            </w:pPr>
            <w:r>
              <w:rPr>
                <w:rFonts w:ascii="Times New Roman"/>
                <w:spacing w:val="-1"/>
                <w:sz w:val="21"/>
              </w:rPr>
              <w:t>202,232.16</w:t>
            </w:r>
          </w:p>
        </w:tc>
      </w:tr>
    </w:tbl>
    <w:p>
      <w:pPr>
        <w:spacing w:line="240" w:lineRule="auto" w:before="3"/>
        <w:rPr>
          <w:rFonts w:ascii="宋体" w:hAnsi="宋体" w:cs="宋体" w:eastAsia="宋体" w:hint="default"/>
          <w:b/>
          <w:bCs/>
          <w:sz w:val="8"/>
          <w:szCs w:val="8"/>
        </w:rPr>
      </w:pPr>
    </w:p>
    <w:p>
      <w:pPr>
        <w:pStyle w:val="Heading5"/>
        <w:spacing w:line="240" w:lineRule="auto" w:before="36"/>
        <w:ind w:left="580" w:right="0"/>
        <w:jc w:val="left"/>
        <w:rPr>
          <w:b w:val="0"/>
          <w:bCs w:val="0"/>
        </w:rPr>
      </w:pPr>
      <w:r>
        <w:rPr>
          <w:rFonts w:ascii="Times New Roman" w:hAnsi="Times New Roman" w:cs="Times New Roman" w:eastAsia="Times New Roman" w:hint="default"/>
        </w:rPr>
        <w:t>4</w:t>
      </w:r>
      <w:r>
        <w:rPr/>
        <w:t>、期末应收账款中无应收持本公司</w:t>
      </w:r>
      <w:r>
        <w:rPr>
          <w:rFonts w:ascii="Times New Roman" w:hAnsi="Times New Roman" w:cs="Times New Roman" w:eastAsia="Times New Roman" w:hint="default"/>
        </w:rPr>
        <w:t>5%</w:t>
      </w:r>
      <w:r>
        <w:rPr/>
        <w:t>以上（含</w:t>
      </w:r>
      <w:r>
        <w:rPr>
          <w:rFonts w:ascii="Times New Roman" w:hAnsi="Times New Roman" w:cs="Times New Roman" w:eastAsia="Times New Roman" w:hint="default"/>
        </w:rPr>
        <w:t>5%</w:t>
      </w:r>
      <w:r>
        <w:rPr/>
        <w:t>）表决权股份的股东单位及其他关联方的款项。</w:t>
      </w:r>
      <w:r>
        <w:rPr>
          <w:b w:val="0"/>
          <w:bCs w:val="0"/>
        </w:rPr>
      </w:r>
    </w:p>
    <w:p>
      <w:pPr>
        <w:spacing w:line="240" w:lineRule="auto" w:before="6"/>
        <w:rPr>
          <w:rFonts w:ascii="宋体" w:hAnsi="宋体" w:cs="宋体" w:eastAsia="宋体" w:hint="default"/>
          <w:b/>
          <w:bCs/>
          <w:sz w:val="25"/>
          <w:szCs w:val="25"/>
        </w:rPr>
      </w:pPr>
    </w:p>
    <w:p>
      <w:pPr>
        <w:pStyle w:val="Heading5"/>
        <w:spacing w:line="240" w:lineRule="auto"/>
        <w:ind w:left="575" w:right="0"/>
        <w:jc w:val="left"/>
        <w:rPr>
          <w:b w:val="0"/>
          <w:bCs w:val="0"/>
        </w:rPr>
      </w:pPr>
      <w:r>
        <w:rPr/>
        <w:t>（四）预付款项</w:t>
      </w:r>
      <w:r>
        <w:rPr>
          <w:b w:val="0"/>
          <w:bCs w:val="0"/>
        </w:rPr>
      </w:r>
    </w:p>
    <w:p>
      <w:pPr>
        <w:pStyle w:val="Heading5"/>
        <w:spacing w:line="240" w:lineRule="auto" w:before="37"/>
        <w:ind w:left="580" w:right="0"/>
        <w:jc w:val="left"/>
        <w:rPr>
          <w:b w:val="0"/>
          <w:bCs w:val="0"/>
        </w:rPr>
      </w:pPr>
      <w:r>
        <w:rPr>
          <w:rFonts w:ascii="Times New Roman" w:hAnsi="Times New Roman" w:cs="Times New Roman" w:eastAsia="Times New Roman" w:hint="default"/>
        </w:rPr>
        <w:t>1</w:t>
      </w:r>
      <w:r>
        <w:rPr/>
        <w:t>、预付款项按账龄列示</w:t>
      </w:r>
      <w:r>
        <w:rPr>
          <w:b w:val="0"/>
          <w:bCs w:val="0"/>
        </w:rPr>
      </w:r>
    </w:p>
    <w:p>
      <w:pPr>
        <w:spacing w:line="240" w:lineRule="auto" w:before="8"/>
        <w:rPr>
          <w:rFonts w:ascii="宋体" w:hAnsi="宋体" w:cs="宋体" w:eastAsia="宋体" w:hint="default"/>
          <w:b/>
          <w:bCs/>
          <w:sz w:val="2"/>
          <w:szCs w:val="2"/>
        </w:rPr>
      </w:pPr>
    </w:p>
    <w:tbl>
      <w:tblPr>
        <w:tblW w:w="0" w:type="auto"/>
        <w:jc w:val="left"/>
        <w:tblInd w:w="145" w:type="dxa"/>
        <w:tblLayout w:type="fixed"/>
        <w:tblCellMar>
          <w:top w:w="0" w:type="dxa"/>
          <w:left w:w="0" w:type="dxa"/>
          <w:bottom w:w="0" w:type="dxa"/>
          <w:right w:w="0" w:type="dxa"/>
        </w:tblCellMar>
        <w:tblLook w:val="01E0"/>
      </w:tblPr>
      <w:tblGrid>
        <w:gridCol w:w="2395"/>
        <w:gridCol w:w="1805"/>
        <w:gridCol w:w="1483"/>
        <w:gridCol w:w="1735"/>
        <w:gridCol w:w="1442"/>
      </w:tblGrid>
      <w:tr>
        <w:trPr>
          <w:trHeight w:val="353" w:hRule="exact"/>
        </w:trPr>
        <w:tc>
          <w:tcPr>
            <w:tcW w:w="2395" w:type="dxa"/>
            <w:vMerge w:val="restart"/>
            <w:tcBorders>
              <w:top w:val="single" w:sz="6" w:space="0" w:color="000000"/>
              <w:left w:val="single" w:sz="6" w:space="0" w:color="000000"/>
              <w:right w:val="single" w:sz="6" w:space="0" w:color="000000"/>
            </w:tcBorders>
          </w:tcPr>
          <w:p>
            <w:pPr>
              <w:pStyle w:val="TableParagraph"/>
              <w:spacing w:line="250" w:lineRule="exact"/>
              <w:ind w:left="4"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288" w:type="dxa"/>
            <w:gridSpan w:val="2"/>
            <w:tcBorders>
              <w:top w:val="single" w:sz="6" w:space="0" w:color="000000"/>
              <w:left w:val="single" w:sz="6" w:space="0" w:color="000000"/>
              <w:bottom w:val="single" w:sz="12" w:space="0" w:color="000000"/>
              <w:right w:val="single" w:sz="6" w:space="0" w:color="000000"/>
            </w:tcBorders>
          </w:tcPr>
          <w:p>
            <w:pPr>
              <w:pStyle w:val="TableParagraph"/>
              <w:spacing w:line="250"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78" w:type="dxa"/>
            <w:gridSpan w:val="2"/>
            <w:tcBorders>
              <w:top w:val="single" w:sz="6" w:space="0" w:color="000000"/>
              <w:left w:val="single" w:sz="6" w:space="0" w:color="000000"/>
              <w:bottom w:val="single" w:sz="12" w:space="0" w:color="000000"/>
              <w:right w:val="nil" w:sz="6" w:space="0" w:color="auto"/>
            </w:tcBorders>
          </w:tcPr>
          <w:p>
            <w:pPr>
              <w:pStyle w:val="TableParagraph"/>
              <w:spacing w:line="250" w:lineRule="exact"/>
              <w:ind w:right="2"/>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53" w:hRule="exact"/>
        </w:trPr>
        <w:tc>
          <w:tcPr>
            <w:tcW w:w="2395" w:type="dxa"/>
            <w:vMerge/>
            <w:tcBorders>
              <w:left w:val="single" w:sz="6" w:space="0" w:color="000000"/>
              <w:bottom w:val="single" w:sz="12" w:space="0" w:color="000000"/>
              <w:right w:val="single" w:sz="6" w:space="0" w:color="000000"/>
            </w:tcBorders>
          </w:tcPr>
          <w:p>
            <w:pPr/>
          </w:p>
        </w:tc>
        <w:tc>
          <w:tcPr>
            <w:tcW w:w="1805"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483" w:type="dxa"/>
            <w:tcBorders>
              <w:top w:val="single" w:sz="12" w:space="0" w:color="000000"/>
              <w:left w:val="single" w:sz="6" w:space="0" w:color="000000"/>
              <w:bottom w:val="single" w:sz="12" w:space="0" w:color="000000"/>
              <w:right w:val="single" w:sz="6" w:space="0" w:color="000000"/>
            </w:tcBorders>
          </w:tcPr>
          <w:p>
            <w:pPr>
              <w:pStyle w:val="TableParagraph"/>
              <w:spacing w:line="259" w:lineRule="exact"/>
              <w:ind w:left="369"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735"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7"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442" w:type="dxa"/>
            <w:tcBorders>
              <w:top w:val="single" w:sz="12" w:space="0" w:color="000000"/>
              <w:left w:val="single" w:sz="6" w:space="0" w:color="000000"/>
              <w:bottom w:val="single" w:sz="12" w:space="0" w:color="000000"/>
              <w:right w:val="nil" w:sz="6" w:space="0" w:color="auto"/>
            </w:tcBorders>
          </w:tcPr>
          <w:p>
            <w:pPr>
              <w:pStyle w:val="TableParagraph"/>
              <w:spacing w:line="259" w:lineRule="exact"/>
              <w:ind w:left="34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r>
      <w:tr>
        <w:trPr>
          <w:trHeight w:val="353" w:hRule="exact"/>
        </w:trPr>
        <w:tc>
          <w:tcPr>
            <w:tcW w:w="2395" w:type="dxa"/>
            <w:tcBorders>
              <w:top w:val="single" w:sz="12" w:space="0" w:color="000000"/>
              <w:left w:val="single" w:sz="6" w:space="0" w:color="000000"/>
              <w:bottom w:val="single" w:sz="12" w:space="0" w:color="000000"/>
              <w:right w:val="single" w:sz="6" w:space="0" w:color="000000"/>
            </w:tcBorders>
          </w:tcPr>
          <w:p>
            <w:pPr>
              <w:pStyle w:val="TableParagraph"/>
              <w:spacing w:line="259"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1805"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0"/>
              <w:jc w:val="right"/>
              <w:rPr>
                <w:rFonts w:ascii="Times New Roman" w:hAnsi="Times New Roman" w:cs="Times New Roman" w:eastAsia="Times New Roman" w:hint="default"/>
                <w:sz w:val="21"/>
                <w:szCs w:val="21"/>
              </w:rPr>
            </w:pPr>
            <w:r>
              <w:rPr>
                <w:rFonts w:ascii="Times New Roman"/>
                <w:spacing w:val="-1"/>
                <w:sz w:val="21"/>
              </w:rPr>
              <w:t>3,231,207.55</w:t>
            </w:r>
          </w:p>
        </w:tc>
        <w:tc>
          <w:tcPr>
            <w:tcW w:w="1483"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3"/>
              <w:jc w:val="right"/>
              <w:rPr>
                <w:rFonts w:ascii="Times New Roman" w:hAnsi="Times New Roman" w:cs="Times New Roman" w:eastAsia="Times New Roman" w:hint="default"/>
                <w:sz w:val="21"/>
                <w:szCs w:val="21"/>
              </w:rPr>
            </w:pPr>
            <w:r>
              <w:rPr>
                <w:rFonts w:ascii="Times New Roman"/>
                <w:sz w:val="21"/>
              </w:rPr>
              <w:t>95.92</w:t>
            </w:r>
          </w:p>
        </w:tc>
        <w:tc>
          <w:tcPr>
            <w:tcW w:w="1735"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3"/>
              <w:jc w:val="right"/>
              <w:rPr>
                <w:rFonts w:ascii="Times New Roman" w:hAnsi="Times New Roman" w:cs="Times New Roman" w:eastAsia="Times New Roman" w:hint="default"/>
                <w:sz w:val="21"/>
                <w:szCs w:val="21"/>
              </w:rPr>
            </w:pPr>
            <w:r>
              <w:rPr>
                <w:rFonts w:ascii="Times New Roman"/>
                <w:spacing w:val="-1"/>
                <w:sz w:val="21"/>
              </w:rPr>
              <w:t>852,273.26</w:t>
            </w:r>
          </w:p>
        </w:tc>
        <w:tc>
          <w:tcPr>
            <w:tcW w:w="1442"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2"/>
              <w:jc w:val="right"/>
              <w:rPr>
                <w:rFonts w:ascii="Times New Roman" w:hAnsi="Times New Roman" w:cs="Times New Roman" w:eastAsia="Times New Roman" w:hint="default"/>
                <w:sz w:val="21"/>
                <w:szCs w:val="21"/>
              </w:rPr>
            </w:pPr>
            <w:r>
              <w:rPr>
                <w:rFonts w:ascii="Times New Roman"/>
                <w:sz w:val="21"/>
              </w:rPr>
              <w:t>100.00</w:t>
            </w:r>
          </w:p>
        </w:tc>
      </w:tr>
      <w:tr>
        <w:trPr>
          <w:trHeight w:val="350" w:hRule="exact"/>
        </w:trPr>
        <w:tc>
          <w:tcPr>
            <w:tcW w:w="2395" w:type="dxa"/>
            <w:tcBorders>
              <w:top w:val="single" w:sz="12" w:space="0" w:color="000000"/>
              <w:left w:val="single" w:sz="6" w:space="0" w:color="000000"/>
              <w:bottom w:val="single" w:sz="12" w:space="0" w:color="000000"/>
              <w:right w:val="single" w:sz="6" w:space="0" w:color="000000"/>
            </w:tcBorders>
          </w:tcPr>
          <w:p>
            <w:pPr>
              <w:pStyle w:val="TableParagraph"/>
              <w:spacing w:line="257"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年</w:t>
            </w:r>
          </w:p>
        </w:tc>
        <w:tc>
          <w:tcPr>
            <w:tcW w:w="1805"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Times New Roman" w:hAnsi="Times New Roman" w:cs="Times New Roman" w:eastAsia="Times New Roman" w:hint="default"/>
                <w:sz w:val="21"/>
                <w:szCs w:val="21"/>
              </w:rPr>
            </w:pPr>
            <w:r>
              <w:rPr>
                <w:rFonts w:ascii="Times New Roman"/>
                <w:spacing w:val="-1"/>
                <w:sz w:val="21"/>
              </w:rPr>
              <w:t>137,518.18</w:t>
            </w:r>
          </w:p>
        </w:tc>
        <w:tc>
          <w:tcPr>
            <w:tcW w:w="1483"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3"/>
              <w:jc w:val="right"/>
              <w:rPr>
                <w:rFonts w:ascii="Times New Roman" w:hAnsi="Times New Roman" w:cs="Times New Roman" w:eastAsia="Times New Roman" w:hint="default"/>
                <w:sz w:val="21"/>
                <w:szCs w:val="21"/>
              </w:rPr>
            </w:pPr>
            <w:r>
              <w:rPr>
                <w:rFonts w:ascii="Times New Roman"/>
                <w:sz w:val="21"/>
              </w:rPr>
              <w:t>4.08</w:t>
            </w:r>
          </w:p>
        </w:tc>
        <w:tc>
          <w:tcPr>
            <w:tcW w:w="1735"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442"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4"/>
              <w:jc w:val="right"/>
              <w:rPr>
                <w:rFonts w:ascii="Times New Roman" w:hAnsi="Times New Roman" w:cs="Times New Roman" w:eastAsia="Times New Roman" w:hint="default"/>
                <w:sz w:val="21"/>
                <w:szCs w:val="21"/>
              </w:rPr>
            </w:pPr>
            <w:r>
              <w:rPr>
                <w:rFonts w:ascii="Times New Roman"/>
                <w:spacing w:val="-1"/>
                <w:sz w:val="21"/>
              </w:rPr>
              <w:t>---</w:t>
            </w:r>
          </w:p>
        </w:tc>
      </w:tr>
      <w:tr>
        <w:trPr>
          <w:trHeight w:val="355" w:hRule="exact"/>
        </w:trPr>
        <w:tc>
          <w:tcPr>
            <w:tcW w:w="2395"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05"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0"/>
              <w:jc w:val="right"/>
              <w:rPr>
                <w:rFonts w:ascii="Times New Roman" w:hAnsi="Times New Roman" w:cs="Times New Roman" w:eastAsia="Times New Roman" w:hint="default"/>
                <w:sz w:val="21"/>
                <w:szCs w:val="21"/>
              </w:rPr>
            </w:pPr>
            <w:r>
              <w:rPr>
                <w:rFonts w:ascii="Times New Roman"/>
                <w:spacing w:val="-1"/>
                <w:sz w:val="21"/>
              </w:rPr>
              <w:t>3,368,725.73</w:t>
            </w:r>
          </w:p>
        </w:tc>
        <w:tc>
          <w:tcPr>
            <w:tcW w:w="1483"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3"/>
              <w:jc w:val="right"/>
              <w:rPr>
                <w:rFonts w:ascii="Times New Roman" w:hAnsi="Times New Roman" w:cs="Times New Roman" w:eastAsia="Times New Roman" w:hint="default"/>
                <w:sz w:val="21"/>
                <w:szCs w:val="21"/>
              </w:rPr>
            </w:pPr>
            <w:r>
              <w:rPr>
                <w:rFonts w:ascii="Times New Roman"/>
                <w:sz w:val="21"/>
              </w:rPr>
              <w:t>100.00</w:t>
            </w:r>
          </w:p>
        </w:tc>
        <w:tc>
          <w:tcPr>
            <w:tcW w:w="1735"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3"/>
              <w:jc w:val="right"/>
              <w:rPr>
                <w:rFonts w:ascii="Times New Roman" w:hAnsi="Times New Roman" w:cs="Times New Roman" w:eastAsia="Times New Roman" w:hint="default"/>
                <w:sz w:val="21"/>
                <w:szCs w:val="21"/>
              </w:rPr>
            </w:pPr>
            <w:r>
              <w:rPr>
                <w:rFonts w:ascii="Times New Roman"/>
                <w:spacing w:val="-1"/>
                <w:sz w:val="21"/>
              </w:rPr>
              <w:t>852,273.26</w:t>
            </w:r>
          </w:p>
        </w:tc>
        <w:tc>
          <w:tcPr>
            <w:tcW w:w="1442"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2"/>
              <w:jc w:val="right"/>
              <w:rPr>
                <w:rFonts w:ascii="Times New Roman" w:hAnsi="Times New Roman" w:cs="Times New Roman" w:eastAsia="Times New Roman" w:hint="default"/>
                <w:sz w:val="21"/>
                <w:szCs w:val="21"/>
              </w:rPr>
            </w:pPr>
            <w:r>
              <w:rPr>
                <w:rFonts w:ascii="Times New Roman"/>
                <w:sz w:val="21"/>
              </w:rPr>
              <w:t>100.00</w:t>
            </w:r>
          </w:p>
        </w:tc>
      </w:tr>
    </w:tbl>
    <w:p>
      <w:pPr>
        <w:spacing w:line="240" w:lineRule="auto" w:before="3"/>
        <w:rPr>
          <w:rFonts w:ascii="宋体" w:hAnsi="宋体" w:cs="宋体" w:eastAsia="宋体" w:hint="default"/>
          <w:b/>
          <w:bCs/>
          <w:sz w:val="8"/>
          <w:szCs w:val="8"/>
        </w:rPr>
      </w:pPr>
    </w:p>
    <w:p>
      <w:pPr>
        <w:pStyle w:val="Heading5"/>
        <w:spacing w:line="240" w:lineRule="auto" w:before="36"/>
        <w:ind w:left="580" w:right="0"/>
        <w:jc w:val="left"/>
        <w:rPr>
          <w:b w:val="0"/>
          <w:bCs w:val="0"/>
        </w:rPr>
      </w:pPr>
      <w:r>
        <w:rPr>
          <w:rFonts w:ascii="Times New Roman" w:hAnsi="Times New Roman" w:cs="Times New Roman" w:eastAsia="Times New Roman" w:hint="default"/>
        </w:rPr>
        <w:t>2</w:t>
      </w:r>
      <w:r>
        <w:rPr/>
        <w:t>、期末预付款项中无预付持本公司</w:t>
      </w:r>
      <w:r>
        <w:rPr>
          <w:rFonts w:ascii="Times New Roman" w:hAnsi="Times New Roman" w:cs="Times New Roman" w:eastAsia="Times New Roman" w:hint="default"/>
        </w:rPr>
        <w:t>5%</w:t>
      </w:r>
      <w:r>
        <w:rPr/>
        <w:t>以上（含</w:t>
      </w:r>
      <w:r>
        <w:rPr>
          <w:rFonts w:ascii="Times New Roman" w:hAnsi="Times New Roman" w:cs="Times New Roman" w:eastAsia="Times New Roman" w:hint="default"/>
        </w:rPr>
        <w:t>5%</w:t>
      </w:r>
      <w:r>
        <w:rPr/>
        <w:t>）表决权股份的股东单位及其他关联方的款项。</w:t>
      </w:r>
      <w:r>
        <w:rPr>
          <w:b w:val="0"/>
          <w:bCs w:val="0"/>
        </w:rPr>
      </w:r>
    </w:p>
    <w:p>
      <w:pPr>
        <w:pStyle w:val="Heading5"/>
        <w:spacing w:line="240" w:lineRule="auto" w:before="21"/>
        <w:ind w:left="580" w:right="0"/>
        <w:jc w:val="left"/>
        <w:rPr>
          <w:b w:val="0"/>
          <w:bCs w:val="0"/>
        </w:rPr>
      </w:pPr>
      <w:r>
        <w:rPr>
          <w:rFonts w:ascii="Times New Roman" w:hAnsi="Times New Roman" w:cs="Times New Roman" w:eastAsia="Times New Roman" w:hint="default"/>
        </w:rPr>
        <w:t>3</w:t>
      </w:r>
      <w:r>
        <w:rPr/>
        <w:t>、按预付对象归集的期末余额前五名的预付款项情况</w:t>
      </w:r>
      <w:r>
        <w:rPr>
          <w:b w:val="0"/>
          <w:bCs w:val="0"/>
        </w:rPr>
      </w:r>
    </w:p>
    <w:p>
      <w:pPr>
        <w:spacing w:line="240" w:lineRule="auto" w:before="8"/>
        <w:rPr>
          <w:rFonts w:ascii="宋体" w:hAnsi="宋体" w:cs="宋体" w:eastAsia="宋体" w:hint="default"/>
          <w:b/>
          <w:bCs/>
          <w:sz w:val="2"/>
          <w:szCs w:val="2"/>
        </w:rPr>
      </w:pPr>
    </w:p>
    <w:tbl>
      <w:tblPr>
        <w:tblW w:w="0" w:type="auto"/>
        <w:jc w:val="left"/>
        <w:tblInd w:w="145" w:type="dxa"/>
        <w:tblLayout w:type="fixed"/>
        <w:tblCellMar>
          <w:top w:w="0" w:type="dxa"/>
          <w:left w:w="0" w:type="dxa"/>
          <w:bottom w:w="0" w:type="dxa"/>
          <w:right w:w="0" w:type="dxa"/>
        </w:tblCellMar>
        <w:tblLook w:val="01E0"/>
      </w:tblPr>
      <w:tblGrid>
        <w:gridCol w:w="3264"/>
        <w:gridCol w:w="2971"/>
        <w:gridCol w:w="2942"/>
      </w:tblGrid>
      <w:tr>
        <w:trPr>
          <w:trHeight w:val="314" w:hRule="exact"/>
        </w:trPr>
        <w:tc>
          <w:tcPr>
            <w:tcW w:w="3264"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left="7"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2971"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期末金额</w:t>
            </w:r>
          </w:p>
        </w:tc>
        <w:tc>
          <w:tcPr>
            <w:tcW w:w="2942" w:type="dxa"/>
            <w:tcBorders>
              <w:top w:val="single" w:sz="6" w:space="0" w:color="000000"/>
              <w:left w:val="single" w:sz="6" w:space="0" w:color="000000"/>
              <w:bottom w:val="single" w:sz="12" w:space="0" w:color="000000"/>
              <w:right w:val="nil" w:sz="6" w:space="0" w:color="auto"/>
            </w:tcBorders>
          </w:tcPr>
          <w:p>
            <w:pPr>
              <w:pStyle w:val="TableParagraph"/>
              <w:spacing w:line="266" w:lineRule="exact"/>
              <w:ind w:left="25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占预付款项总额的比例</w:t>
            </w:r>
            <w:r>
              <w:rPr>
                <w:rFonts w:ascii="Times New Roman" w:hAnsi="Times New Roman" w:cs="Times New Roman" w:eastAsia="Times New Roman" w:hint="default"/>
                <w:sz w:val="21"/>
                <w:szCs w:val="21"/>
              </w:rPr>
              <w:t>(%)</w:t>
            </w:r>
          </w:p>
        </w:tc>
      </w:tr>
      <w:tr>
        <w:trPr>
          <w:trHeight w:val="312" w:hRule="exact"/>
        </w:trPr>
        <w:tc>
          <w:tcPr>
            <w:tcW w:w="3264"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4" w:right="0"/>
              <w:jc w:val="left"/>
              <w:rPr>
                <w:rFonts w:ascii="宋体" w:hAnsi="宋体" w:cs="宋体" w:eastAsia="宋体" w:hint="default"/>
                <w:sz w:val="21"/>
                <w:szCs w:val="21"/>
              </w:rPr>
            </w:pPr>
            <w:r>
              <w:rPr>
                <w:rFonts w:ascii="宋体" w:hAnsi="宋体" w:cs="宋体" w:eastAsia="宋体" w:hint="default"/>
                <w:sz w:val="21"/>
                <w:szCs w:val="21"/>
              </w:rPr>
              <w:t>广州市世纪华恩文化传播有限公司</w:t>
            </w:r>
          </w:p>
        </w:tc>
        <w:tc>
          <w:tcPr>
            <w:tcW w:w="2971"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Times New Roman" w:hAnsi="Times New Roman" w:cs="Times New Roman" w:eastAsia="Times New Roman" w:hint="default"/>
                <w:sz w:val="21"/>
                <w:szCs w:val="21"/>
              </w:rPr>
            </w:pPr>
            <w:r>
              <w:rPr>
                <w:rFonts w:ascii="Times New Roman"/>
                <w:spacing w:val="-1"/>
                <w:sz w:val="21"/>
              </w:rPr>
              <w:t>903,378.64</w:t>
            </w:r>
          </w:p>
        </w:tc>
        <w:tc>
          <w:tcPr>
            <w:tcW w:w="2942"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5"/>
              <w:jc w:val="right"/>
              <w:rPr>
                <w:rFonts w:ascii="Times New Roman" w:hAnsi="Times New Roman" w:cs="Times New Roman" w:eastAsia="Times New Roman" w:hint="default"/>
                <w:sz w:val="21"/>
                <w:szCs w:val="21"/>
              </w:rPr>
            </w:pPr>
            <w:r>
              <w:rPr>
                <w:rFonts w:ascii="Times New Roman"/>
                <w:sz w:val="21"/>
              </w:rPr>
              <w:t>26.82</w:t>
            </w:r>
          </w:p>
        </w:tc>
      </w:tr>
      <w:tr>
        <w:trPr>
          <w:trHeight w:val="588" w:hRule="exact"/>
        </w:trPr>
        <w:tc>
          <w:tcPr>
            <w:tcW w:w="3264"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4" w:right="-6"/>
              <w:jc w:val="left"/>
              <w:rPr>
                <w:rFonts w:ascii="宋体" w:hAnsi="宋体" w:cs="宋体" w:eastAsia="宋体" w:hint="default"/>
                <w:sz w:val="21"/>
                <w:szCs w:val="21"/>
              </w:rPr>
            </w:pPr>
            <w:r>
              <w:rPr>
                <w:rFonts w:ascii="宋体" w:hAnsi="宋体" w:cs="宋体" w:eastAsia="宋体" w:hint="default"/>
                <w:spacing w:val="4"/>
                <w:sz w:val="21"/>
                <w:szCs w:val="21"/>
              </w:rPr>
              <w:t>亿革恒通科技发展（北京）有限公</w:t>
            </w:r>
          </w:p>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971"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550,000.00</w:t>
            </w:r>
          </w:p>
        </w:tc>
        <w:tc>
          <w:tcPr>
            <w:tcW w:w="2942"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5"/>
              <w:jc w:val="right"/>
              <w:rPr>
                <w:rFonts w:ascii="Times New Roman" w:hAnsi="Times New Roman" w:cs="Times New Roman" w:eastAsia="Times New Roman" w:hint="default"/>
                <w:sz w:val="21"/>
                <w:szCs w:val="21"/>
              </w:rPr>
            </w:pPr>
            <w:r>
              <w:rPr>
                <w:rFonts w:ascii="Times New Roman"/>
                <w:sz w:val="21"/>
              </w:rPr>
              <w:t>16.33</w:t>
            </w:r>
          </w:p>
        </w:tc>
      </w:tr>
      <w:tr>
        <w:trPr>
          <w:trHeight w:val="312" w:hRule="exact"/>
        </w:trPr>
        <w:tc>
          <w:tcPr>
            <w:tcW w:w="3264"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4" w:right="0"/>
              <w:jc w:val="left"/>
              <w:rPr>
                <w:rFonts w:ascii="宋体" w:hAnsi="宋体" w:cs="宋体" w:eastAsia="宋体" w:hint="default"/>
                <w:sz w:val="21"/>
                <w:szCs w:val="21"/>
              </w:rPr>
            </w:pPr>
            <w:r>
              <w:rPr>
                <w:rFonts w:ascii="宋体" w:hAnsi="宋体" w:cs="宋体" w:eastAsia="宋体" w:hint="default"/>
                <w:sz w:val="21"/>
                <w:szCs w:val="21"/>
              </w:rPr>
              <w:t>神州数码（深圳）有限公司</w:t>
            </w:r>
          </w:p>
        </w:tc>
        <w:tc>
          <w:tcPr>
            <w:tcW w:w="2971"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314,400.00</w:t>
            </w:r>
          </w:p>
        </w:tc>
        <w:tc>
          <w:tcPr>
            <w:tcW w:w="2942"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5"/>
              <w:jc w:val="right"/>
              <w:rPr>
                <w:rFonts w:ascii="Times New Roman" w:hAnsi="Times New Roman" w:cs="Times New Roman" w:eastAsia="Times New Roman" w:hint="default"/>
                <w:sz w:val="21"/>
                <w:szCs w:val="21"/>
              </w:rPr>
            </w:pPr>
            <w:r>
              <w:rPr>
                <w:rFonts w:ascii="Times New Roman"/>
                <w:sz w:val="21"/>
              </w:rPr>
              <w:t>9.33</w:t>
            </w:r>
          </w:p>
        </w:tc>
      </w:tr>
      <w:tr>
        <w:trPr>
          <w:trHeight w:val="312" w:hRule="exact"/>
        </w:trPr>
        <w:tc>
          <w:tcPr>
            <w:tcW w:w="3264"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4" w:right="0"/>
              <w:jc w:val="left"/>
              <w:rPr>
                <w:rFonts w:ascii="宋体" w:hAnsi="宋体" w:cs="宋体" w:eastAsia="宋体" w:hint="default"/>
                <w:sz w:val="21"/>
                <w:szCs w:val="21"/>
              </w:rPr>
            </w:pPr>
            <w:r>
              <w:rPr>
                <w:rFonts w:ascii="宋体" w:hAnsi="宋体" w:cs="宋体" w:eastAsia="宋体" w:hint="default"/>
                <w:sz w:val="21"/>
                <w:szCs w:val="21"/>
              </w:rPr>
              <w:t>外语教学与研究出版社</w:t>
            </w:r>
          </w:p>
        </w:tc>
        <w:tc>
          <w:tcPr>
            <w:tcW w:w="2971"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301,886.79</w:t>
            </w:r>
          </w:p>
        </w:tc>
        <w:tc>
          <w:tcPr>
            <w:tcW w:w="2942"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5"/>
              <w:jc w:val="right"/>
              <w:rPr>
                <w:rFonts w:ascii="Times New Roman" w:hAnsi="Times New Roman" w:cs="Times New Roman" w:eastAsia="Times New Roman" w:hint="default"/>
                <w:sz w:val="21"/>
                <w:szCs w:val="21"/>
              </w:rPr>
            </w:pPr>
            <w:r>
              <w:rPr>
                <w:rFonts w:ascii="Times New Roman"/>
                <w:sz w:val="21"/>
              </w:rPr>
              <w:t>8.96</w:t>
            </w:r>
          </w:p>
        </w:tc>
      </w:tr>
      <w:tr>
        <w:trPr>
          <w:trHeight w:val="588" w:hRule="exact"/>
        </w:trPr>
        <w:tc>
          <w:tcPr>
            <w:tcW w:w="3264"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4" w:right="-6"/>
              <w:jc w:val="left"/>
              <w:rPr>
                <w:rFonts w:ascii="宋体" w:hAnsi="宋体" w:cs="宋体" w:eastAsia="宋体" w:hint="default"/>
                <w:sz w:val="21"/>
                <w:szCs w:val="21"/>
              </w:rPr>
            </w:pPr>
            <w:r>
              <w:rPr>
                <w:rFonts w:ascii="宋体" w:hAnsi="宋体" w:cs="宋体" w:eastAsia="宋体" w:hint="default"/>
                <w:spacing w:val="4"/>
                <w:sz w:val="21"/>
                <w:szCs w:val="21"/>
              </w:rPr>
              <w:t>上海世纪出版股份有限公司外语教</w:t>
            </w:r>
          </w:p>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育图书分公司</w:t>
            </w:r>
          </w:p>
        </w:tc>
        <w:tc>
          <w:tcPr>
            <w:tcW w:w="2971"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284,000.00</w:t>
            </w:r>
          </w:p>
        </w:tc>
        <w:tc>
          <w:tcPr>
            <w:tcW w:w="2942"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5"/>
              <w:jc w:val="right"/>
              <w:rPr>
                <w:rFonts w:ascii="Times New Roman" w:hAnsi="Times New Roman" w:cs="Times New Roman" w:eastAsia="Times New Roman" w:hint="default"/>
                <w:sz w:val="21"/>
                <w:szCs w:val="21"/>
              </w:rPr>
            </w:pPr>
            <w:r>
              <w:rPr>
                <w:rFonts w:ascii="Times New Roman"/>
                <w:sz w:val="21"/>
              </w:rPr>
              <w:t>8.43</w:t>
            </w:r>
          </w:p>
        </w:tc>
      </w:tr>
      <w:tr>
        <w:trPr>
          <w:trHeight w:val="312" w:hRule="exact"/>
        </w:trPr>
        <w:tc>
          <w:tcPr>
            <w:tcW w:w="3264"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71"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2,353,665.43</w:t>
            </w:r>
          </w:p>
        </w:tc>
        <w:tc>
          <w:tcPr>
            <w:tcW w:w="2942"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5"/>
              <w:jc w:val="right"/>
              <w:rPr>
                <w:rFonts w:ascii="Times New Roman" w:hAnsi="Times New Roman" w:cs="Times New Roman" w:eastAsia="Times New Roman" w:hint="default"/>
                <w:sz w:val="21"/>
                <w:szCs w:val="21"/>
              </w:rPr>
            </w:pPr>
            <w:r>
              <w:rPr>
                <w:rFonts w:ascii="Times New Roman"/>
                <w:sz w:val="21"/>
              </w:rPr>
              <w:t>69.87</w:t>
            </w:r>
          </w:p>
        </w:tc>
      </w:tr>
    </w:tbl>
    <w:p>
      <w:pPr>
        <w:spacing w:line="240" w:lineRule="auto" w:before="3"/>
        <w:rPr>
          <w:rFonts w:ascii="宋体" w:hAnsi="宋体" w:cs="宋体" w:eastAsia="宋体" w:hint="default"/>
          <w:b/>
          <w:bCs/>
          <w:sz w:val="8"/>
          <w:szCs w:val="8"/>
        </w:rPr>
      </w:pPr>
    </w:p>
    <w:p>
      <w:pPr>
        <w:pStyle w:val="Heading5"/>
        <w:spacing w:line="256" w:lineRule="auto" w:before="36"/>
        <w:ind w:right="0" w:firstLine="422"/>
        <w:jc w:val="left"/>
        <w:rPr>
          <w:b w:val="0"/>
          <w:bCs w:val="0"/>
        </w:rPr>
      </w:pPr>
      <w:r>
        <w:rPr>
          <w:rFonts w:ascii="Times New Roman" w:hAnsi="Times New Roman" w:cs="Times New Roman" w:eastAsia="Times New Roman" w:hint="default"/>
        </w:rPr>
        <w:t>4</w:t>
      </w:r>
      <w:r>
        <w:rPr/>
        <w:t>、预付款项期末余额比期初余额增加</w:t>
      </w:r>
      <w:r>
        <w:rPr>
          <w:rFonts w:ascii="Times New Roman" w:hAnsi="Times New Roman" w:cs="Times New Roman" w:eastAsia="Times New Roman" w:hint="default"/>
        </w:rPr>
        <w:t>2,516,452.47</w:t>
      </w:r>
      <w:r>
        <w:rPr/>
        <w:t>元，增幅为</w:t>
      </w:r>
      <w:r>
        <w:rPr>
          <w:rFonts w:ascii="Times New Roman" w:hAnsi="Times New Roman" w:cs="Times New Roman" w:eastAsia="Times New Roman" w:hint="default"/>
        </w:rPr>
        <w:t>295.26%</w:t>
      </w:r>
      <w:r>
        <w:rPr/>
        <w:t>，主要系本公司预付教学软件</w:t>
      </w:r>
      <w:r>
        <w:rPr>
          <w:w w:val="100"/>
        </w:rPr>
        <w:t> </w:t>
      </w:r>
      <w:r>
        <w:rPr/>
        <w:t>款及版权费增加所致。</w:t>
      </w:r>
      <w:r>
        <w:rPr>
          <w:b w:val="0"/>
          <w:bCs w:val="0"/>
        </w:rPr>
      </w:r>
    </w:p>
    <w:p>
      <w:pPr>
        <w:spacing w:after="0" w:line="256" w:lineRule="auto"/>
        <w:jc w:val="left"/>
        <w:sectPr>
          <w:pgSz w:w="11910" w:h="16840"/>
          <w:pgMar w:header="880" w:footer="979" w:top="1060" w:bottom="1160" w:left="980" w:right="98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8"/>
          <w:szCs w:val="28"/>
        </w:rPr>
      </w:pPr>
    </w:p>
    <w:p>
      <w:pPr>
        <w:pStyle w:val="Heading5"/>
        <w:spacing w:line="240" w:lineRule="auto" w:before="36"/>
        <w:ind w:left="580" w:right="0"/>
        <w:jc w:val="left"/>
        <w:rPr>
          <w:b w:val="0"/>
          <w:bCs w:val="0"/>
        </w:rPr>
      </w:pPr>
      <w:r>
        <w:rPr/>
        <w:t>（五）应收利息</w:t>
      </w:r>
      <w:r>
        <w:rPr>
          <w:b w:val="0"/>
          <w:bCs w:val="0"/>
        </w:rPr>
      </w:r>
    </w:p>
    <w:p>
      <w:pPr>
        <w:pStyle w:val="Heading5"/>
        <w:spacing w:line="240" w:lineRule="auto" w:before="37"/>
        <w:ind w:right="0"/>
        <w:jc w:val="left"/>
        <w:rPr>
          <w:b w:val="0"/>
          <w:bCs w:val="0"/>
        </w:rPr>
      </w:pPr>
      <w:r>
        <w:rPr>
          <w:rFonts w:ascii="宋体" w:hAnsi="宋体" w:cs="宋体" w:eastAsia="宋体" w:hint="default"/>
        </w:rPr>
        <w:t>1.</w:t>
      </w:r>
      <w:r>
        <w:rPr>
          <w:rFonts w:ascii="宋体" w:hAnsi="宋体" w:cs="宋体" w:eastAsia="宋体" w:hint="default"/>
          <w:spacing w:val="40"/>
        </w:rPr>
        <w:t> </w:t>
      </w:r>
      <w:r>
        <w:rPr/>
        <w:t>应收利息分类</w:t>
      </w:r>
      <w:r>
        <w:rPr>
          <w:b w:val="0"/>
          <w:bCs w:val="0"/>
        </w:rPr>
      </w:r>
    </w:p>
    <w:p>
      <w:pPr>
        <w:spacing w:line="240" w:lineRule="auto" w:before="10"/>
        <w:rPr>
          <w:rFonts w:ascii="宋体" w:hAnsi="宋体" w:cs="宋体" w:eastAsia="宋体" w:hint="default"/>
          <w:b/>
          <w:bCs/>
          <w:sz w:val="3"/>
          <w:szCs w:val="3"/>
        </w:rPr>
      </w:pPr>
    </w:p>
    <w:tbl>
      <w:tblPr>
        <w:tblW w:w="0" w:type="auto"/>
        <w:jc w:val="left"/>
        <w:tblInd w:w="145" w:type="dxa"/>
        <w:tblLayout w:type="fixed"/>
        <w:tblCellMar>
          <w:top w:w="0" w:type="dxa"/>
          <w:left w:w="0" w:type="dxa"/>
          <w:bottom w:w="0" w:type="dxa"/>
          <w:right w:w="0" w:type="dxa"/>
        </w:tblCellMar>
        <w:tblLook w:val="01E0"/>
      </w:tblPr>
      <w:tblGrid>
        <w:gridCol w:w="3389"/>
        <w:gridCol w:w="2827"/>
        <w:gridCol w:w="2887"/>
      </w:tblGrid>
      <w:tr>
        <w:trPr>
          <w:trHeight w:val="314" w:hRule="exact"/>
        </w:trPr>
        <w:tc>
          <w:tcPr>
            <w:tcW w:w="3389"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right="1471"/>
              <w:jc w:val="right"/>
              <w:rPr>
                <w:rFonts w:ascii="宋体" w:hAnsi="宋体" w:cs="宋体" w:eastAsia="宋体" w:hint="default"/>
                <w:sz w:val="21"/>
                <w:szCs w:val="21"/>
              </w:rPr>
            </w:pPr>
            <w:r>
              <w:rPr>
                <w:rFonts w:ascii="宋体" w:hAnsi="宋体" w:cs="宋体" w:eastAsia="宋体" w:hint="default"/>
                <w:sz w:val="21"/>
                <w:szCs w:val="21"/>
              </w:rPr>
              <w:t>项目</w:t>
            </w:r>
          </w:p>
        </w:tc>
        <w:tc>
          <w:tcPr>
            <w:tcW w:w="2827"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left="7"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87" w:type="dxa"/>
            <w:tcBorders>
              <w:top w:val="single" w:sz="6" w:space="0" w:color="000000"/>
              <w:left w:val="single" w:sz="6" w:space="0" w:color="000000"/>
              <w:bottom w:val="single" w:sz="12" w:space="0" w:color="000000"/>
              <w:right w:val="nil" w:sz="6" w:space="0" w:color="auto"/>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14" w:hRule="exact"/>
        </w:trPr>
        <w:tc>
          <w:tcPr>
            <w:tcW w:w="3389"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4" w:right="0"/>
              <w:jc w:val="left"/>
              <w:rPr>
                <w:rFonts w:ascii="宋体" w:hAnsi="宋体" w:cs="宋体" w:eastAsia="宋体" w:hint="default"/>
                <w:sz w:val="21"/>
                <w:szCs w:val="21"/>
              </w:rPr>
            </w:pPr>
            <w:r>
              <w:rPr>
                <w:rFonts w:ascii="宋体" w:hAnsi="宋体" w:cs="宋体" w:eastAsia="宋体" w:hint="default"/>
                <w:sz w:val="21"/>
                <w:szCs w:val="21"/>
              </w:rPr>
              <w:t>定期存款</w:t>
            </w:r>
          </w:p>
        </w:tc>
        <w:tc>
          <w:tcPr>
            <w:tcW w:w="2827"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z w:val="21"/>
              </w:rPr>
              <w:t>288,233.55</w:t>
            </w:r>
          </w:p>
        </w:tc>
        <w:tc>
          <w:tcPr>
            <w:tcW w:w="2887"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6"/>
              <w:jc w:val="right"/>
              <w:rPr>
                <w:rFonts w:ascii="Times New Roman" w:hAnsi="Times New Roman" w:cs="Times New Roman" w:eastAsia="Times New Roman" w:hint="default"/>
                <w:sz w:val="21"/>
                <w:szCs w:val="21"/>
              </w:rPr>
            </w:pPr>
            <w:r>
              <w:rPr>
                <w:rFonts w:ascii="Times New Roman"/>
                <w:spacing w:val="-1"/>
                <w:sz w:val="21"/>
              </w:rPr>
              <w:t>---</w:t>
            </w:r>
          </w:p>
        </w:tc>
      </w:tr>
      <w:tr>
        <w:trPr>
          <w:trHeight w:val="312" w:hRule="exact"/>
        </w:trPr>
        <w:tc>
          <w:tcPr>
            <w:tcW w:w="3389"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4" w:right="0"/>
              <w:jc w:val="left"/>
              <w:rPr>
                <w:rFonts w:ascii="宋体" w:hAnsi="宋体" w:cs="宋体" w:eastAsia="宋体" w:hint="default"/>
                <w:sz w:val="21"/>
                <w:szCs w:val="21"/>
              </w:rPr>
            </w:pPr>
            <w:r>
              <w:rPr>
                <w:rFonts w:ascii="宋体" w:hAnsi="宋体" w:cs="宋体" w:eastAsia="宋体" w:hint="default"/>
                <w:sz w:val="21"/>
                <w:szCs w:val="21"/>
              </w:rPr>
              <w:t>理财产品</w:t>
            </w:r>
          </w:p>
        </w:tc>
        <w:tc>
          <w:tcPr>
            <w:tcW w:w="2827"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1,340,575.34</w:t>
            </w:r>
          </w:p>
        </w:tc>
        <w:tc>
          <w:tcPr>
            <w:tcW w:w="2887"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6"/>
              <w:jc w:val="right"/>
              <w:rPr>
                <w:rFonts w:ascii="Times New Roman" w:hAnsi="Times New Roman" w:cs="Times New Roman" w:eastAsia="Times New Roman" w:hint="default"/>
                <w:sz w:val="21"/>
                <w:szCs w:val="21"/>
              </w:rPr>
            </w:pPr>
            <w:r>
              <w:rPr>
                <w:rFonts w:ascii="Times New Roman"/>
                <w:spacing w:val="-1"/>
                <w:sz w:val="21"/>
              </w:rPr>
              <w:t>---</w:t>
            </w:r>
          </w:p>
        </w:tc>
      </w:tr>
      <w:tr>
        <w:trPr>
          <w:trHeight w:val="314" w:hRule="exact"/>
        </w:trPr>
        <w:tc>
          <w:tcPr>
            <w:tcW w:w="3389"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right="1471"/>
              <w:jc w:val="right"/>
              <w:rPr>
                <w:rFonts w:ascii="宋体" w:hAnsi="宋体" w:cs="宋体" w:eastAsia="宋体" w:hint="default"/>
                <w:sz w:val="21"/>
                <w:szCs w:val="21"/>
              </w:rPr>
            </w:pPr>
            <w:r>
              <w:rPr>
                <w:rFonts w:ascii="宋体" w:hAnsi="宋体" w:cs="宋体" w:eastAsia="宋体" w:hint="default"/>
                <w:sz w:val="21"/>
                <w:szCs w:val="21"/>
              </w:rPr>
              <w:t>合计</w:t>
            </w:r>
          </w:p>
        </w:tc>
        <w:tc>
          <w:tcPr>
            <w:tcW w:w="2827"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1,628,808.89</w:t>
            </w:r>
          </w:p>
        </w:tc>
        <w:tc>
          <w:tcPr>
            <w:tcW w:w="2887"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6"/>
              <w:jc w:val="right"/>
              <w:rPr>
                <w:rFonts w:ascii="Times New Roman" w:hAnsi="Times New Roman" w:cs="Times New Roman" w:eastAsia="Times New Roman" w:hint="default"/>
                <w:sz w:val="21"/>
                <w:szCs w:val="21"/>
              </w:rPr>
            </w:pPr>
            <w:r>
              <w:rPr>
                <w:rFonts w:ascii="Times New Roman"/>
                <w:spacing w:val="-1"/>
                <w:sz w:val="21"/>
              </w:rPr>
              <w:t>---</w:t>
            </w:r>
          </w:p>
        </w:tc>
      </w:tr>
    </w:tbl>
    <w:p>
      <w:pPr>
        <w:spacing w:line="240" w:lineRule="auto" w:before="3"/>
        <w:rPr>
          <w:rFonts w:ascii="宋体" w:hAnsi="宋体" w:cs="宋体" w:eastAsia="宋体" w:hint="default"/>
          <w:b/>
          <w:bCs/>
          <w:sz w:val="8"/>
          <w:szCs w:val="8"/>
        </w:rPr>
      </w:pPr>
    </w:p>
    <w:p>
      <w:pPr>
        <w:pStyle w:val="Heading5"/>
        <w:spacing w:line="256" w:lineRule="auto" w:before="36"/>
        <w:ind w:right="0" w:firstLine="422"/>
        <w:jc w:val="left"/>
        <w:rPr>
          <w:b w:val="0"/>
          <w:bCs w:val="0"/>
        </w:rPr>
      </w:pPr>
      <w:r>
        <w:rPr>
          <w:rFonts w:ascii="Times New Roman" w:hAnsi="Times New Roman" w:cs="Times New Roman" w:eastAsia="Times New Roman" w:hint="default"/>
        </w:rPr>
        <w:t>2</w:t>
      </w:r>
      <w:r>
        <w:rPr/>
        <w:t>、应收利息期末余额比期初余额增加</w:t>
      </w:r>
      <w:r>
        <w:rPr>
          <w:rFonts w:ascii="Times New Roman" w:hAnsi="Times New Roman" w:cs="Times New Roman" w:eastAsia="Times New Roman" w:hint="default"/>
        </w:rPr>
        <w:t>1,628,808.89</w:t>
      </w:r>
      <w:r>
        <w:rPr/>
        <w:t>元，增幅为</w:t>
      </w:r>
      <w:r>
        <w:rPr>
          <w:rFonts w:ascii="Times New Roman" w:hAnsi="Times New Roman" w:cs="Times New Roman" w:eastAsia="Times New Roman" w:hint="default"/>
        </w:rPr>
        <w:t>100.00%</w:t>
      </w:r>
      <w:r>
        <w:rPr/>
        <w:t>，主要系本公司的本期的定期</w:t>
      </w:r>
      <w:r>
        <w:rPr>
          <w:w w:val="100"/>
        </w:rPr>
        <w:t> </w:t>
      </w:r>
      <w:r>
        <w:rPr/>
        <w:t>存款和理财产品到期日跨期所致。</w:t>
      </w:r>
      <w:r>
        <w:rPr>
          <w:b w:val="0"/>
          <w:bCs w:val="0"/>
        </w:rPr>
      </w:r>
    </w:p>
    <w:p>
      <w:pPr>
        <w:pStyle w:val="Heading5"/>
        <w:spacing w:line="240" w:lineRule="auto" w:before="178"/>
        <w:ind w:left="580" w:right="0"/>
        <w:jc w:val="left"/>
        <w:rPr>
          <w:b w:val="0"/>
          <w:bCs w:val="0"/>
        </w:rPr>
      </w:pPr>
      <w:r>
        <w:rPr/>
        <w:t>（六）其他应收款</w:t>
      </w:r>
      <w:r>
        <w:rPr>
          <w:b w:val="0"/>
          <w:bCs w:val="0"/>
        </w:rPr>
      </w:r>
    </w:p>
    <w:p>
      <w:pPr>
        <w:pStyle w:val="Heading5"/>
        <w:spacing w:line="240" w:lineRule="auto" w:before="37"/>
        <w:ind w:left="575" w:right="0"/>
        <w:jc w:val="left"/>
        <w:rPr>
          <w:b w:val="0"/>
          <w:bCs w:val="0"/>
        </w:rPr>
      </w:pPr>
      <w:r>
        <w:rPr>
          <w:rFonts w:ascii="Times New Roman" w:hAnsi="Times New Roman" w:cs="Times New Roman" w:eastAsia="Times New Roman" w:hint="default"/>
        </w:rPr>
        <w:t>1</w:t>
      </w:r>
      <w:r>
        <w:rPr/>
        <w:t>、其他应收款按种类披露：</w:t>
      </w:r>
      <w:r>
        <w:rPr>
          <w:b w:val="0"/>
          <w:bCs w:val="0"/>
        </w:rPr>
      </w:r>
    </w:p>
    <w:p>
      <w:pPr>
        <w:spacing w:line="240" w:lineRule="auto" w:before="8"/>
        <w:rPr>
          <w:rFonts w:ascii="宋体" w:hAnsi="宋体" w:cs="宋体" w:eastAsia="宋体" w:hint="default"/>
          <w:b/>
          <w:bCs/>
          <w:sz w:val="2"/>
          <w:szCs w:val="2"/>
        </w:rPr>
      </w:pPr>
    </w:p>
    <w:tbl>
      <w:tblPr>
        <w:tblW w:w="0" w:type="auto"/>
        <w:jc w:val="left"/>
        <w:tblInd w:w="145" w:type="dxa"/>
        <w:tblLayout w:type="fixed"/>
        <w:tblCellMar>
          <w:top w:w="0" w:type="dxa"/>
          <w:left w:w="0" w:type="dxa"/>
          <w:bottom w:w="0" w:type="dxa"/>
          <w:right w:w="0" w:type="dxa"/>
        </w:tblCellMar>
        <w:tblLook w:val="01E0"/>
      </w:tblPr>
      <w:tblGrid>
        <w:gridCol w:w="2479"/>
        <w:gridCol w:w="1349"/>
        <w:gridCol w:w="1015"/>
        <w:gridCol w:w="1327"/>
        <w:gridCol w:w="859"/>
        <w:gridCol w:w="2076"/>
      </w:tblGrid>
      <w:tr>
        <w:trPr>
          <w:trHeight w:val="355" w:hRule="exact"/>
        </w:trPr>
        <w:tc>
          <w:tcPr>
            <w:tcW w:w="2479" w:type="dxa"/>
            <w:vMerge w:val="restart"/>
            <w:tcBorders>
              <w:top w:val="single" w:sz="6" w:space="0" w:color="000000"/>
              <w:left w:val="single" w:sz="6" w:space="0" w:color="000000"/>
              <w:right w:val="single" w:sz="6" w:space="0" w:color="000000"/>
            </w:tcBorders>
          </w:tcPr>
          <w:p>
            <w:pPr>
              <w:pStyle w:val="TableParagraph"/>
              <w:spacing w:line="250" w:lineRule="exact"/>
              <w:ind w:left="7"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6626" w:type="dxa"/>
            <w:gridSpan w:val="5"/>
            <w:tcBorders>
              <w:top w:val="single" w:sz="6" w:space="0" w:color="000000"/>
              <w:left w:val="single" w:sz="6" w:space="0" w:color="000000"/>
              <w:bottom w:val="single" w:sz="12" w:space="0" w:color="000000"/>
              <w:right w:val="nil" w:sz="6" w:space="0" w:color="auto"/>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350" w:hRule="exact"/>
        </w:trPr>
        <w:tc>
          <w:tcPr>
            <w:tcW w:w="2479" w:type="dxa"/>
            <w:vMerge/>
            <w:tcBorders>
              <w:left w:val="single" w:sz="6" w:space="0" w:color="000000"/>
              <w:right w:val="single" w:sz="6" w:space="0" w:color="000000"/>
            </w:tcBorders>
          </w:tcPr>
          <w:p>
            <w:pPr/>
          </w:p>
        </w:tc>
        <w:tc>
          <w:tcPr>
            <w:tcW w:w="2364" w:type="dxa"/>
            <w:gridSpan w:val="2"/>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75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186" w:type="dxa"/>
            <w:gridSpan w:val="2"/>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66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076" w:type="dxa"/>
            <w:vMerge w:val="restart"/>
            <w:tcBorders>
              <w:top w:val="single" w:sz="12" w:space="0" w:color="000000"/>
              <w:left w:val="single" w:sz="6" w:space="0" w:color="000000"/>
              <w:right w:val="nil" w:sz="6" w:space="0" w:color="auto"/>
            </w:tcBorders>
          </w:tcPr>
          <w:p>
            <w:pPr>
              <w:pStyle w:val="TableParagraph"/>
              <w:spacing w:line="241" w:lineRule="exact"/>
              <w:ind w:left="611"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586" w:hRule="exact"/>
        </w:trPr>
        <w:tc>
          <w:tcPr>
            <w:tcW w:w="2479" w:type="dxa"/>
            <w:vMerge/>
            <w:tcBorders>
              <w:left w:val="single" w:sz="6" w:space="0" w:color="000000"/>
              <w:bottom w:val="single" w:sz="12" w:space="0" w:color="000000"/>
              <w:right w:val="single" w:sz="6" w:space="0" w:color="000000"/>
            </w:tcBorders>
          </w:tcPr>
          <w:p>
            <w:pPr/>
          </w:p>
        </w:tc>
        <w:tc>
          <w:tcPr>
            <w:tcW w:w="1349"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15" w:type="dxa"/>
            <w:tcBorders>
              <w:top w:val="single" w:sz="12" w:space="0" w:color="000000"/>
              <w:left w:val="single" w:sz="6" w:space="0" w:color="000000"/>
              <w:bottom w:val="single" w:sz="12" w:space="0" w:color="000000"/>
              <w:right w:val="single" w:sz="6" w:space="0" w:color="000000"/>
            </w:tcBorders>
          </w:tcPr>
          <w:p>
            <w:pPr>
              <w:pStyle w:val="TableParagraph"/>
              <w:spacing w:line="259" w:lineRule="exact"/>
              <w:ind w:right="-20"/>
              <w:jc w:val="right"/>
              <w:rPr>
                <w:rFonts w:ascii="宋体" w:hAnsi="宋体" w:cs="宋体" w:eastAsia="宋体" w:hint="default"/>
                <w:sz w:val="21"/>
                <w:szCs w:val="21"/>
              </w:rPr>
            </w:pPr>
            <w:r>
              <w:rPr>
                <w:rFonts w:ascii="宋体" w:hAnsi="宋体" w:cs="宋体" w:eastAsia="宋体" w:hint="default"/>
                <w:spacing w:val="-1"/>
                <w:sz w:val="21"/>
                <w:szCs w:val="21"/>
              </w:rPr>
              <w:t>比例（</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w:t>
            </w:r>
          </w:p>
        </w:tc>
        <w:tc>
          <w:tcPr>
            <w:tcW w:w="1327"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59" w:type="dxa"/>
            <w:tcBorders>
              <w:top w:val="single" w:sz="12" w:space="0" w:color="000000"/>
              <w:left w:val="single" w:sz="6" w:space="0" w:color="000000"/>
              <w:bottom w:val="single" w:sz="12" w:space="0" w:color="000000"/>
              <w:right w:val="single" w:sz="6" w:space="0" w:color="000000"/>
            </w:tcBorders>
          </w:tcPr>
          <w:p>
            <w:pPr>
              <w:pStyle w:val="TableParagraph"/>
              <w:spacing w:line="242" w:lineRule="exact"/>
              <w:ind w:left="21" w:right="0" w:firstLine="86"/>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90" w:lineRule="exact"/>
              <w:ind w:left="21" w:right="0"/>
              <w:jc w:val="left"/>
              <w:rPr>
                <w:rFonts w:ascii="宋体" w:hAnsi="宋体" w:cs="宋体" w:eastAsia="宋体" w:hint="default"/>
                <w:sz w:val="21"/>
                <w:szCs w:val="21"/>
              </w:rPr>
            </w:pPr>
            <w:r>
              <w:rPr>
                <w:rFonts w:ascii="宋体" w:hAnsi="宋体" w:cs="宋体" w:eastAsia="宋体" w:hint="default"/>
                <w:sz w:val="21"/>
                <w:szCs w:val="21"/>
              </w:rPr>
              <w:t>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076" w:type="dxa"/>
            <w:vMerge/>
            <w:tcBorders>
              <w:left w:val="single" w:sz="6" w:space="0" w:color="000000"/>
              <w:bottom w:val="single" w:sz="12" w:space="0" w:color="000000"/>
              <w:right w:val="nil" w:sz="6" w:space="0" w:color="auto"/>
            </w:tcBorders>
          </w:tcPr>
          <w:p>
            <w:pPr/>
          </w:p>
        </w:tc>
      </w:tr>
      <w:tr>
        <w:trPr>
          <w:trHeight w:val="588" w:hRule="exact"/>
        </w:trPr>
        <w:tc>
          <w:tcPr>
            <w:tcW w:w="2479"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4" w:right="0"/>
              <w:jc w:val="left"/>
              <w:rPr>
                <w:rFonts w:ascii="宋体" w:hAnsi="宋体" w:cs="宋体" w:eastAsia="宋体" w:hint="default"/>
                <w:sz w:val="21"/>
                <w:szCs w:val="21"/>
              </w:rPr>
            </w:pPr>
            <w:r>
              <w:rPr>
                <w:rFonts w:ascii="宋体" w:hAnsi="宋体" w:cs="宋体" w:eastAsia="宋体" w:hint="default"/>
                <w:spacing w:val="11"/>
                <w:sz w:val="21"/>
                <w:szCs w:val="21"/>
              </w:rPr>
              <w:t>单项金额重大并单独计提</w:t>
            </w:r>
          </w:p>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坏账准备的其他应收款</w:t>
            </w:r>
          </w:p>
        </w:tc>
        <w:tc>
          <w:tcPr>
            <w:tcW w:w="1349"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015"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327"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859"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2076"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6"/>
              <w:jc w:val="right"/>
              <w:rPr>
                <w:rFonts w:ascii="Times New Roman" w:hAnsi="Times New Roman" w:cs="Times New Roman" w:eastAsia="Times New Roman" w:hint="default"/>
                <w:sz w:val="21"/>
                <w:szCs w:val="21"/>
              </w:rPr>
            </w:pPr>
            <w:r>
              <w:rPr>
                <w:rFonts w:ascii="Times New Roman"/>
                <w:spacing w:val="-1"/>
                <w:sz w:val="21"/>
              </w:rPr>
              <w:t>---</w:t>
            </w:r>
          </w:p>
        </w:tc>
      </w:tr>
      <w:tr>
        <w:trPr>
          <w:trHeight w:val="586" w:hRule="exact"/>
        </w:trPr>
        <w:tc>
          <w:tcPr>
            <w:tcW w:w="2479" w:type="dxa"/>
            <w:tcBorders>
              <w:top w:val="single" w:sz="12" w:space="0" w:color="000000"/>
              <w:left w:val="single" w:sz="6" w:space="0" w:color="000000"/>
              <w:bottom w:val="single" w:sz="12" w:space="0" w:color="000000"/>
              <w:right w:val="single" w:sz="6" w:space="0" w:color="000000"/>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pacing w:val="11"/>
                <w:sz w:val="21"/>
                <w:szCs w:val="21"/>
              </w:rPr>
              <w:t>按信用风险特征组合计提</w:t>
            </w:r>
          </w:p>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坏账准备的其他应收款</w:t>
            </w:r>
          </w:p>
        </w:tc>
        <w:tc>
          <w:tcPr>
            <w:tcW w:w="1349"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Times New Roman" w:hAnsi="Times New Roman" w:cs="Times New Roman" w:eastAsia="Times New Roman" w:hint="default"/>
                <w:sz w:val="21"/>
                <w:szCs w:val="21"/>
              </w:rPr>
            </w:pPr>
            <w:r>
              <w:rPr>
                <w:rFonts w:ascii="Times New Roman"/>
                <w:spacing w:val="-1"/>
                <w:sz w:val="21"/>
              </w:rPr>
              <w:t>1,478,884.36</w:t>
            </w:r>
          </w:p>
        </w:tc>
        <w:tc>
          <w:tcPr>
            <w:tcW w:w="1015"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z w:val="21"/>
              </w:rPr>
              <w:t>100.00</w:t>
            </w:r>
          </w:p>
        </w:tc>
        <w:tc>
          <w:tcPr>
            <w:tcW w:w="1327"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340,694.27</w:t>
            </w:r>
          </w:p>
        </w:tc>
        <w:tc>
          <w:tcPr>
            <w:tcW w:w="859"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3"/>
              <w:jc w:val="right"/>
              <w:rPr>
                <w:rFonts w:ascii="Times New Roman" w:hAnsi="Times New Roman" w:cs="Times New Roman" w:eastAsia="Times New Roman" w:hint="default"/>
                <w:sz w:val="21"/>
                <w:szCs w:val="21"/>
              </w:rPr>
            </w:pPr>
            <w:r>
              <w:rPr>
                <w:rFonts w:ascii="Times New Roman"/>
                <w:sz w:val="21"/>
              </w:rPr>
              <w:t>23.04</w:t>
            </w:r>
          </w:p>
        </w:tc>
        <w:tc>
          <w:tcPr>
            <w:tcW w:w="2076"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5"/>
              <w:jc w:val="right"/>
              <w:rPr>
                <w:rFonts w:ascii="Times New Roman" w:hAnsi="Times New Roman" w:cs="Times New Roman" w:eastAsia="Times New Roman" w:hint="default"/>
                <w:sz w:val="21"/>
                <w:szCs w:val="21"/>
              </w:rPr>
            </w:pPr>
            <w:r>
              <w:rPr>
                <w:rFonts w:ascii="Times New Roman"/>
                <w:spacing w:val="-1"/>
                <w:sz w:val="21"/>
              </w:rPr>
              <w:t>1,138,190.09</w:t>
            </w:r>
          </w:p>
        </w:tc>
      </w:tr>
      <w:tr>
        <w:trPr>
          <w:trHeight w:val="859" w:hRule="exact"/>
        </w:trPr>
        <w:tc>
          <w:tcPr>
            <w:tcW w:w="2479" w:type="dxa"/>
            <w:tcBorders>
              <w:top w:val="single" w:sz="12" w:space="0" w:color="000000"/>
              <w:left w:val="single" w:sz="6" w:space="0" w:color="000000"/>
              <w:bottom w:val="single" w:sz="12" w:space="0" w:color="000000"/>
              <w:right w:val="single" w:sz="6" w:space="0" w:color="000000"/>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pacing w:val="11"/>
                <w:sz w:val="21"/>
                <w:szCs w:val="21"/>
              </w:rPr>
              <w:t>单项金额虽不重大但单独</w:t>
            </w: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pacing w:val="11"/>
                <w:sz w:val="21"/>
                <w:szCs w:val="21"/>
              </w:rPr>
              <w:t>计提坏账准备的其他应收</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款</w:t>
            </w:r>
          </w:p>
        </w:tc>
        <w:tc>
          <w:tcPr>
            <w:tcW w:w="1349"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015"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327"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859"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2076"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6"/>
              <w:jc w:val="right"/>
              <w:rPr>
                <w:rFonts w:ascii="Times New Roman" w:hAnsi="Times New Roman" w:cs="Times New Roman" w:eastAsia="Times New Roman" w:hint="default"/>
                <w:sz w:val="21"/>
                <w:szCs w:val="21"/>
              </w:rPr>
            </w:pPr>
            <w:r>
              <w:rPr>
                <w:rFonts w:ascii="Times New Roman"/>
                <w:spacing w:val="-1"/>
                <w:sz w:val="21"/>
              </w:rPr>
              <w:t>---</w:t>
            </w:r>
          </w:p>
        </w:tc>
      </w:tr>
      <w:tr>
        <w:trPr>
          <w:trHeight w:val="353" w:hRule="exact"/>
        </w:trPr>
        <w:tc>
          <w:tcPr>
            <w:tcW w:w="2479"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49"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Times New Roman" w:hAnsi="Times New Roman" w:cs="Times New Roman" w:eastAsia="Times New Roman" w:hint="default"/>
                <w:sz w:val="21"/>
                <w:szCs w:val="21"/>
              </w:rPr>
            </w:pPr>
            <w:r>
              <w:rPr>
                <w:rFonts w:ascii="Times New Roman"/>
                <w:spacing w:val="-1"/>
                <w:sz w:val="21"/>
              </w:rPr>
              <w:t>1,478,884.36</w:t>
            </w:r>
          </w:p>
        </w:tc>
        <w:tc>
          <w:tcPr>
            <w:tcW w:w="1015"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z w:val="21"/>
              </w:rPr>
              <w:t>100.00</w:t>
            </w:r>
          </w:p>
        </w:tc>
        <w:tc>
          <w:tcPr>
            <w:tcW w:w="1327"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340,694.27</w:t>
            </w:r>
          </w:p>
        </w:tc>
        <w:tc>
          <w:tcPr>
            <w:tcW w:w="859"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3"/>
              <w:jc w:val="right"/>
              <w:rPr>
                <w:rFonts w:ascii="Times New Roman" w:hAnsi="Times New Roman" w:cs="Times New Roman" w:eastAsia="Times New Roman" w:hint="default"/>
                <w:sz w:val="21"/>
                <w:szCs w:val="21"/>
              </w:rPr>
            </w:pPr>
            <w:r>
              <w:rPr>
                <w:rFonts w:ascii="Times New Roman"/>
                <w:sz w:val="21"/>
              </w:rPr>
              <w:t>23.04</w:t>
            </w:r>
          </w:p>
        </w:tc>
        <w:tc>
          <w:tcPr>
            <w:tcW w:w="2076"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5"/>
              <w:jc w:val="right"/>
              <w:rPr>
                <w:rFonts w:ascii="Times New Roman" w:hAnsi="Times New Roman" w:cs="Times New Roman" w:eastAsia="Times New Roman" w:hint="default"/>
                <w:sz w:val="21"/>
                <w:szCs w:val="21"/>
              </w:rPr>
            </w:pPr>
            <w:r>
              <w:rPr>
                <w:rFonts w:ascii="Times New Roman"/>
                <w:spacing w:val="-1"/>
                <w:sz w:val="21"/>
              </w:rPr>
              <w:t>1,138,190.09</w:t>
            </w:r>
          </w:p>
        </w:tc>
      </w:tr>
    </w:tbl>
    <w:p>
      <w:pPr>
        <w:spacing w:line="240" w:lineRule="auto" w:before="3"/>
        <w:rPr>
          <w:rFonts w:ascii="宋体" w:hAnsi="宋体" w:cs="宋体" w:eastAsia="宋体" w:hint="default"/>
          <w:b/>
          <w:bCs/>
          <w:sz w:val="8"/>
          <w:szCs w:val="8"/>
        </w:rPr>
      </w:pPr>
    </w:p>
    <w:p>
      <w:pPr>
        <w:pStyle w:val="BodyText"/>
        <w:spacing w:line="240" w:lineRule="auto" w:before="36"/>
        <w:ind w:left="572" w:right="0"/>
        <w:jc w:val="left"/>
      </w:pPr>
      <w:r>
        <w:rPr/>
        <w:t>（续）</w:t>
      </w:r>
    </w:p>
    <w:p>
      <w:pPr>
        <w:spacing w:line="240" w:lineRule="auto" w:before="10"/>
        <w:rPr>
          <w:rFonts w:ascii="宋体" w:hAnsi="宋体" w:cs="宋体" w:eastAsia="宋体" w:hint="default"/>
          <w:sz w:val="3"/>
          <w:szCs w:val="3"/>
        </w:rPr>
      </w:pPr>
    </w:p>
    <w:tbl>
      <w:tblPr>
        <w:tblW w:w="0" w:type="auto"/>
        <w:jc w:val="left"/>
        <w:tblInd w:w="145" w:type="dxa"/>
        <w:tblLayout w:type="fixed"/>
        <w:tblCellMar>
          <w:top w:w="0" w:type="dxa"/>
          <w:left w:w="0" w:type="dxa"/>
          <w:bottom w:w="0" w:type="dxa"/>
          <w:right w:w="0" w:type="dxa"/>
        </w:tblCellMar>
        <w:tblLook w:val="01E0"/>
      </w:tblPr>
      <w:tblGrid>
        <w:gridCol w:w="2479"/>
        <w:gridCol w:w="1337"/>
        <w:gridCol w:w="1027"/>
        <w:gridCol w:w="1392"/>
        <w:gridCol w:w="864"/>
        <w:gridCol w:w="2006"/>
      </w:tblGrid>
      <w:tr>
        <w:trPr>
          <w:trHeight w:val="353" w:hRule="exact"/>
        </w:trPr>
        <w:tc>
          <w:tcPr>
            <w:tcW w:w="2479" w:type="dxa"/>
            <w:vMerge w:val="restart"/>
            <w:tcBorders>
              <w:top w:val="single" w:sz="6" w:space="0" w:color="000000"/>
              <w:left w:val="single" w:sz="6" w:space="0" w:color="000000"/>
              <w:right w:val="single" w:sz="6" w:space="0" w:color="000000"/>
            </w:tcBorders>
          </w:tcPr>
          <w:p>
            <w:pPr>
              <w:pStyle w:val="TableParagraph"/>
              <w:spacing w:line="250" w:lineRule="exact"/>
              <w:ind w:left="7"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6626" w:type="dxa"/>
            <w:gridSpan w:val="5"/>
            <w:tcBorders>
              <w:top w:val="single" w:sz="6" w:space="0" w:color="000000"/>
              <w:left w:val="single" w:sz="6" w:space="0" w:color="000000"/>
              <w:bottom w:val="single" w:sz="12" w:space="0" w:color="000000"/>
              <w:right w:val="nil" w:sz="6" w:space="0" w:color="auto"/>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53" w:hRule="exact"/>
        </w:trPr>
        <w:tc>
          <w:tcPr>
            <w:tcW w:w="2479" w:type="dxa"/>
            <w:vMerge/>
            <w:tcBorders>
              <w:left w:val="single" w:sz="6" w:space="0" w:color="000000"/>
              <w:right w:val="single" w:sz="6" w:space="0" w:color="000000"/>
            </w:tcBorders>
          </w:tcPr>
          <w:p>
            <w:pPr/>
          </w:p>
        </w:tc>
        <w:tc>
          <w:tcPr>
            <w:tcW w:w="2364" w:type="dxa"/>
            <w:gridSpan w:val="2"/>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75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56" w:type="dxa"/>
            <w:gridSpan w:val="2"/>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70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006" w:type="dxa"/>
            <w:vMerge w:val="restart"/>
            <w:tcBorders>
              <w:top w:val="single" w:sz="12" w:space="0" w:color="000000"/>
              <w:left w:val="single" w:sz="6" w:space="0" w:color="000000"/>
              <w:right w:val="nil" w:sz="6" w:space="0" w:color="auto"/>
            </w:tcBorders>
          </w:tcPr>
          <w:p>
            <w:pPr>
              <w:pStyle w:val="TableParagraph"/>
              <w:spacing w:line="243" w:lineRule="exact"/>
              <w:ind w:left="575"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586" w:hRule="exact"/>
        </w:trPr>
        <w:tc>
          <w:tcPr>
            <w:tcW w:w="2479" w:type="dxa"/>
            <w:vMerge/>
            <w:tcBorders>
              <w:left w:val="single" w:sz="6" w:space="0" w:color="000000"/>
              <w:bottom w:val="single" w:sz="12" w:space="0" w:color="000000"/>
              <w:right w:val="single" w:sz="6" w:space="0" w:color="000000"/>
            </w:tcBorders>
          </w:tcPr>
          <w:p>
            <w:pPr/>
          </w:p>
        </w:tc>
        <w:tc>
          <w:tcPr>
            <w:tcW w:w="1337"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27" w:type="dxa"/>
            <w:tcBorders>
              <w:top w:val="single" w:sz="12" w:space="0" w:color="000000"/>
              <w:left w:val="single" w:sz="6" w:space="0" w:color="000000"/>
              <w:bottom w:val="single" w:sz="12" w:space="0" w:color="000000"/>
              <w:right w:val="single" w:sz="6" w:space="0" w:color="000000"/>
            </w:tcBorders>
          </w:tcPr>
          <w:p>
            <w:pPr>
              <w:pStyle w:val="TableParagraph"/>
              <w:spacing w:line="259" w:lineRule="exact"/>
              <w:ind w:right="-8"/>
              <w:jc w:val="right"/>
              <w:rPr>
                <w:rFonts w:ascii="宋体" w:hAnsi="宋体" w:cs="宋体" w:eastAsia="宋体" w:hint="default"/>
                <w:sz w:val="21"/>
                <w:szCs w:val="21"/>
              </w:rPr>
            </w:pPr>
            <w:r>
              <w:rPr>
                <w:rFonts w:ascii="宋体" w:hAnsi="宋体" w:cs="宋体" w:eastAsia="宋体" w:hint="default"/>
                <w:spacing w:val="-1"/>
                <w:sz w:val="21"/>
                <w:szCs w:val="21"/>
              </w:rPr>
              <w:t>比例（</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w:t>
            </w:r>
          </w:p>
        </w:tc>
        <w:tc>
          <w:tcPr>
            <w:tcW w:w="1392"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64"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89"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006" w:type="dxa"/>
            <w:vMerge/>
            <w:tcBorders>
              <w:left w:val="single" w:sz="6" w:space="0" w:color="000000"/>
              <w:bottom w:val="single" w:sz="12" w:space="0" w:color="000000"/>
              <w:right w:val="nil" w:sz="6" w:space="0" w:color="auto"/>
            </w:tcBorders>
          </w:tcPr>
          <w:p>
            <w:pPr/>
          </w:p>
        </w:tc>
      </w:tr>
      <w:tr>
        <w:trPr>
          <w:trHeight w:val="586" w:hRule="exact"/>
        </w:trPr>
        <w:tc>
          <w:tcPr>
            <w:tcW w:w="2479"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4" w:right="-3"/>
              <w:jc w:val="left"/>
              <w:rPr>
                <w:rFonts w:ascii="宋体" w:hAnsi="宋体" w:cs="宋体" w:eastAsia="宋体" w:hint="default"/>
                <w:sz w:val="21"/>
                <w:szCs w:val="21"/>
              </w:rPr>
            </w:pPr>
            <w:r>
              <w:rPr>
                <w:rFonts w:ascii="宋体" w:hAnsi="宋体" w:cs="宋体" w:eastAsia="宋体" w:hint="default"/>
                <w:spacing w:val="11"/>
                <w:sz w:val="21"/>
                <w:szCs w:val="21"/>
              </w:rPr>
              <w:t>单项金额重大并单独计提</w:t>
            </w:r>
          </w:p>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坏账准备的其他应收款</w:t>
            </w:r>
          </w:p>
        </w:tc>
        <w:tc>
          <w:tcPr>
            <w:tcW w:w="1337"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027"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392"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4"/>
              <w:jc w:val="right"/>
              <w:rPr>
                <w:rFonts w:ascii="Times New Roman" w:hAnsi="Times New Roman" w:cs="Times New Roman" w:eastAsia="Times New Roman" w:hint="default"/>
                <w:sz w:val="21"/>
                <w:szCs w:val="21"/>
              </w:rPr>
            </w:pPr>
            <w:r>
              <w:rPr>
                <w:rFonts w:ascii="Times New Roman"/>
                <w:spacing w:val="-1"/>
                <w:sz w:val="21"/>
              </w:rPr>
              <w:t>---</w:t>
            </w:r>
          </w:p>
        </w:tc>
        <w:tc>
          <w:tcPr>
            <w:tcW w:w="864"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2006"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4"/>
              <w:jc w:val="right"/>
              <w:rPr>
                <w:rFonts w:ascii="Times New Roman" w:hAnsi="Times New Roman" w:cs="Times New Roman" w:eastAsia="Times New Roman" w:hint="default"/>
                <w:sz w:val="21"/>
                <w:szCs w:val="21"/>
              </w:rPr>
            </w:pPr>
            <w:r>
              <w:rPr>
                <w:rFonts w:ascii="Times New Roman"/>
                <w:spacing w:val="-1"/>
                <w:sz w:val="21"/>
              </w:rPr>
              <w:t>---</w:t>
            </w:r>
          </w:p>
        </w:tc>
      </w:tr>
      <w:tr>
        <w:trPr>
          <w:trHeight w:val="588" w:hRule="exact"/>
        </w:trPr>
        <w:tc>
          <w:tcPr>
            <w:tcW w:w="2479"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4" w:right="-3"/>
              <w:jc w:val="left"/>
              <w:rPr>
                <w:rFonts w:ascii="宋体" w:hAnsi="宋体" w:cs="宋体" w:eastAsia="宋体" w:hint="default"/>
                <w:sz w:val="21"/>
                <w:szCs w:val="21"/>
              </w:rPr>
            </w:pPr>
            <w:r>
              <w:rPr>
                <w:rFonts w:ascii="宋体" w:hAnsi="宋体" w:cs="宋体" w:eastAsia="宋体" w:hint="default"/>
                <w:spacing w:val="11"/>
                <w:sz w:val="21"/>
                <w:szCs w:val="21"/>
              </w:rPr>
              <w:t>按信用风险特征组合计提</w:t>
            </w:r>
          </w:p>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坏账准备的其他应收款</w:t>
            </w:r>
          </w:p>
        </w:tc>
        <w:tc>
          <w:tcPr>
            <w:tcW w:w="1337"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912,527.23</w:t>
            </w:r>
          </w:p>
        </w:tc>
        <w:tc>
          <w:tcPr>
            <w:tcW w:w="1027"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z w:val="21"/>
              </w:rPr>
              <w:t>100.00</w:t>
            </w:r>
          </w:p>
        </w:tc>
        <w:tc>
          <w:tcPr>
            <w:tcW w:w="1392"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3"/>
              <w:jc w:val="right"/>
              <w:rPr>
                <w:rFonts w:ascii="Times New Roman" w:hAnsi="Times New Roman" w:cs="Times New Roman" w:eastAsia="Times New Roman" w:hint="default"/>
                <w:sz w:val="21"/>
                <w:szCs w:val="21"/>
              </w:rPr>
            </w:pPr>
            <w:r>
              <w:rPr>
                <w:rFonts w:ascii="Times New Roman"/>
                <w:spacing w:val="-1"/>
                <w:sz w:val="21"/>
              </w:rPr>
              <w:t>175,414.99</w:t>
            </w:r>
          </w:p>
        </w:tc>
        <w:tc>
          <w:tcPr>
            <w:tcW w:w="864"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z w:val="21"/>
              </w:rPr>
              <w:t>19.22</w:t>
            </w:r>
          </w:p>
        </w:tc>
        <w:tc>
          <w:tcPr>
            <w:tcW w:w="2006"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5"/>
              <w:jc w:val="right"/>
              <w:rPr>
                <w:rFonts w:ascii="Times New Roman" w:hAnsi="Times New Roman" w:cs="Times New Roman" w:eastAsia="Times New Roman" w:hint="default"/>
                <w:sz w:val="21"/>
                <w:szCs w:val="21"/>
              </w:rPr>
            </w:pPr>
            <w:r>
              <w:rPr>
                <w:rFonts w:ascii="Times New Roman"/>
                <w:spacing w:val="-1"/>
                <w:sz w:val="21"/>
              </w:rPr>
              <w:t>737,112.24</w:t>
            </w:r>
          </w:p>
        </w:tc>
      </w:tr>
      <w:tr>
        <w:trPr>
          <w:trHeight w:val="859" w:hRule="exact"/>
        </w:trPr>
        <w:tc>
          <w:tcPr>
            <w:tcW w:w="2479" w:type="dxa"/>
            <w:tcBorders>
              <w:top w:val="single" w:sz="12" w:space="0" w:color="000000"/>
              <w:left w:val="single" w:sz="6" w:space="0" w:color="000000"/>
              <w:bottom w:val="single" w:sz="12" w:space="0" w:color="000000"/>
              <w:right w:val="single" w:sz="6" w:space="0" w:color="000000"/>
            </w:tcBorders>
          </w:tcPr>
          <w:p>
            <w:pPr>
              <w:pStyle w:val="TableParagraph"/>
              <w:spacing w:line="240" w:lineRule="exact"/>
              <w:ind w:left="4" w:right="-3"/>
              <w:jc w:val="left"/>
              <w:rPr>
                <w:rFonts w:ascii="宋体" w:hAnsi="宋体" w:cs="宋体" w:eastAsia="宋体" w:hint="default"/>
                <w:sz w:val="21"/>
                <w:szCs w:val="21"/>
              </w:rPr>
            </w:pPr>
            <w:r>
              <w:rPr>
                <w:rFonts w:ascii="宋体" w:hAnsi="宋体" w:cs="宋体" w:eastAsia="宋体" w:hint="default"/>
                <w:spacing w:val="11"/>
                <w:sz w:val="21"/>
                <w:szCs w:val="21"/>
              </w:rPr>
              <w:t>单项金额虽不重大但单独</w:t>
            </w:r>
          </w:p>
          <w:p>
            <w:pPr>
              <w:pStyle w:val="TableParagraph"/>
              <w:spacing w:line="240" w:lineRule="auto"/>
              <w:ind w:left="4" w:right="-3"/>
              <w:jc w:val="left"/>
              <w:rPr>
                <w:rFonts w:ascii="宋体" w:hAnsi="宋体" w:cs="宋体" w:eastAsia="宋体" w:hint="default"/>
                <w:sz w:val="21"/>
                <w:szCs w:val="21"/>
              </w:rPr>
            </w:pPr>
            <w:r>
              <w:rPr>
                <w:rFonts w:ascii="宋体" w:hAnsi="宋体" w:cs="宋体" w:eastAsia="宋体" w:hint="default"/>
                <w:spacing w:val="11"/>
                <w:sz w:val="21"/>
                <w:szCs w:val="21"/>
              </w:rPr>
              <w:t>计提坏账准备的其他应收</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款</w:t>
            </w:r>
          </w:p>
        </w:tc>
        <w:tc>
          <w:tcPr>
            <w:tcW w:w="1337"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027"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392"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864"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2006"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6"/>
              <w:jc w:val="right"/>
              <w:rPr>
                <w:rFonts w:ascii="Times New Roman" w:hAnsi="Times New Roman" w:cs="Times New Roman" w:eastAsia="Times New Roman" w:hint="default"/>
                <w:sz w:val="21"/>
                <w:szCs w:val="21"/>
              </w:rPr>
            </w:pPr>
            <w:r>
              <w:rPr>
                <w:rFonts w:ascii="Times New Roman"/>
                <w:spacing w:val="-1"/>
                <w:sz w:val="21"/>
              </w:rPr>
              <w:t>---</w:t>
            </w:r>
          </w:p>
        </w:tc>
      </w:tr>
      <w:tr>
        <w:trPr>
          <w:trHeight w:val="353" w:hRule="exact"/>
        </w:trPr>
        <w:tc>
          <w:tcPr>
            <w:tcW w:w="2479"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37"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912,527.23</w:t>
            </w:r>
          </w:p>
        </w:tc>
        <w:tc>
          <w:tcPr>
            <w:tcW w:w="1027"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z w:val="21"/>
              </w:rPr>
              <w:t>100.00</w:t>
            </w:r>
          </w:p>
        </w:tc>
        <w:tc>
          <w:tcPr>
            <w:tcW w:w="1392"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3"/>
              <w:jc w:val="right"/>
              <w:rPr>
                <w:rFonts w:ascii="Times New Roman" w:hAnsi="Times New Roman" w:cs="Times New Roman" w:eastAsia="Times New Roman" w:hint="default"/>
                <w:sz w:val="21"/>
                <w:szCs w:val="21"/>
              </w:rPr>
            </w:pPr>
            <w:r>
              <w:rPr>
                <w:rFonts w:ascii="Times New Roman"/>
                <w:spacing w:val="-1"/>
                <w:sz w:val="21"/>
              </w:rPr>
              <w:t>175,414.99</w:t>
            </w:r>
          </w:p>
        </w:tc>
        <w:tc>
          <w:tcPr>
            <w:tcW w:w="864"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z w:val="21"/>
              </w:rPr>
              <w:t>19.22</w:t>
            </w:r>
          </w:p>
        </w:tc>
        <w:tc>
          <w:tcPr>
            <w:tcW w:w="2006"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5"/>
              <w:jc w:val="right"/>
              <w:rPr>
                <w:rFonts w:ascii="Times New Roman" w:hAnsi="Times New Roman" w:cs="Times New Roman" w:eastAsia="Times New Roman" w:hint="default"/>
                <w:sz w:val="21"/>
                <w:szCs w:val="21"/>
              </w:rPr>
            </w:pPr>
            <w:r>
              <w:rPr>
                <w:rFonts w:ascii="Times New Roman"/>
                <w:spacing w:val="-1"/>
                <w:sz w:val="21"/>
              </w:rPr>
              <w:t>737,112.24</w:t>
            </w:r>
          </w:p>
        </w:tc>
      </w:tr>
    </w:tbl>
    <w:p>
      <w:pPr>
        <w:spacing w:line="240" w:lineRule="auto" w:before="3"/>
        <w:rPr>
          <w:rFonts w:ascii="宋体" w:hAnsi="宋体" w:cs="宋体" w:eastAsia="宋体" w:hint="default"/>
          <w:sz w:val="8"/>
          <w:szCs w:val="8"/>
        </w:rPr>
      </w:pPr>
    </w:p>
    <w:p>
      <w:pPr>
        <w:pStyle w:val="Heading5"/>
        <w:spacing w:line="240" w:lineRule="auto" w:before="36"/>
        <w:ind w:left="575" w:right="0"/>
        <w:jc w:val="left"/>
        <w:rPr>
          <w:b w:val="0"/>
          <w:bCs w:val="0"/>
        </w:rPr>
      </w:pPr>
      <w:r>
        <w:rPr>
          <w:rFonts w:ascii="Times New Roman" w:hAnsi="Times New Roman" w:cs="Times New Roman" w:eastAsia="Times New Roman" w:hint="default"/>
        </w:rPr>
        <w:t>2</w:t>
      </w:r>
      <w:r>
        <w:rPr/>
        <w:t>、组合中，按账龄分析法计提坏账准备的其他应收款</w:t>
      </w:r>
      <w:r>
        <w:rPr>
          <w:b w:val="0"/>
          <w:bCs w:val="0"/>
        </w:rPr>
      </w:r>
    </w:p>
    <w:p>
      <w:pPr>
        <w:spacing w:line="240" w:lineRule="auto" w:before="8"/>
        <w:rPr>
          <w:rFonts w:ascii="宋体" w:hAnsi="宋体" w:cs="宋体" w:eastAsia="宋体" w:hint="default"/>
          <w:b/>
          <w:bCs/>
          <w:sz w:val="2"/>
          <w:szCs w:val="2"/>
        </w:rPr>
      </w:pPr>
    </w:p>
    <w:tbl>
      <w:tblPr>
        <w:tblW w:w="0" w:type="auto"/>
        <w:jc w:val="left"/>
        <w:tblInd w:w="145" w:type="dxa"/>
        <w:tblLayout w:type="fixed"/>
        <w:tblCellMar>
          <w:top w:w="0" w:type="dxa"/>
          <w:left w:w="0" w:type="dxa"/>
          <w:bottom w:w="0" w:type="dxa"/>
          <w:right w:w="0" w:type="dxa"/>
        </w:tblCellMar>
        <w:tblLook w:val="01E0"/>
      </w:tblPr>
      <w:tblGrid>
        <w:gridCol w:w="2570"/>
        <w:gridCol w:w="2004"/>
        <w:gridCol w:w="2088"/>
        <w:gridCol w:w="2429"/>
      </w:tblGrid>
      <w:tr>
        <w:trPr>
          <w:trHeight w:val="353" w:hRule="exact"/>
        </w:trPr>
        <w:tc>
          <w:tcPr>
            <w:tcW w:w="2570" w:type="dxa"/>
            <w:vMerge w:val="restart"/>
            <w:tcBorders>
              <w:top w:val="single" w:sz="6" w:space="0" w:color="000000"/>
              <w:left w:val="single" w:sz="6" w:space="0" w:color="000000"/>
              <w:right w:val="single" w:sz="6" w:space="0" w:color="000000"/>
            </w:tcBorders>
          </w:tcPr>
          <w:p>
            <w:pPr>
              <w:pStyle w:val="TableParagraph"/>
              <w:spacing w:line="250" w:lineRule="exact"/>
              <w:ind w:left="7"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521" w:type="dxa"/>
            <w:gridSpan w:val="3"/>
            <w:tcBorders>
              <w:top w:val="single" w:sz="6" w:space="0" w:color="000000"/>
              <w:left w:val="single" w:sz="6" w:space="0" w:color="000000"/>
              <w:bottom w:val="single" w:sz="12" w:space="0" w:color="000000"/>
              <w:right w:val="nil" w:sz="6" w:space="0" w:color="auto"/>
            </w:tcBorders>
          </w:tcPr>
          <w:p>
            <w:pPr>
              <w:pStyle w:val="TableParagraph"/>
              <w:spacing w:line="250" w:lineRule="exact"/>
              <w:ind w:right="5"/>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353" w:hRule="exact"/>
        </w:trPr>
        <w:tc>
          <w:tcPr>
            <w:tcW w:w="2570" w:type="dxa"/>
            <w:vMerge/>
            <w:tcBorders>
              <w:left w:val="single" w:sz="6" w:space="0" w:color="000000"/>
              <w:bottom w:val="single" w:sz="12" w:space="0" w:color="000000"/>
              <w:right w:val="single" w:sz="6" w:space="0" w:color="000000"/>
            </w:tcBorders>
          </w:tcPr>
          <w:p>
            <w:pPr/>
          </w:p>
        </w:tc>
        <w:tc>
          <w:tcPr>
            <w:tcW w:w="2004"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467"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088"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61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429" w:type="dxa"/>
            <w:tcBorders>
              <w:top w:val="single" w:sz="12" w:space="0" w:color="000000"/>
              <w:left w:val="single" w:sz="6" w:space="0" w:color="000000"/>
              <w:bottom w:val="single" w:sz="12" w:space="0" w:color="000000"/>
              <w:right w:val="nil" w:sz="6" w:space="0" w:color="auto"/>
            </w:tcBorders>
          </w:tcPr>
          <w:p>
            <w:pPr>
              <w:pStyle w:val="TableParagraph"/>
              <w:spacing w:line="259" w:lineRule="exact"/>
              <w:ind w:left="489"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53" w:hRule="exact"/>
        </w:trPr>
        <w:tc>
          <w:tcPr>
            <w:tcW w:w="2570" w:type="dxa"/>
            <w:tcBorders>
              <w:top w:val="single" w:sz="12" w:space="0" w:color="000000"/>
              <w:left w:val="single" w:sz="6" w:space="0" w:color="000000"/>
              <w:bottom w:val="single" w:sz="12" w:space="0" w:color="000000"/>
              <w:right w:val="single" w:sz="6" w:space="0" w:color="000000"/>
            </w:tcBorders>
          </w:tcPr>
          <w:p>
            <w:pPr>
              <w:pStyle w:val="TableParagraph"/>
              <w:spacing w:line="257"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2004"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670,296.12</w:t>
            </w:r>
          </w:p>
        </w:tc>
        <w:tc>
          <w:tcPr>
            <w:tcW w:w="2088"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6,702.96</w:t>
            </w:r>
          </w:p>
        </w:tc>
        <w:tc>
          <w:tcPr>
            <w:tcW w:w="2429"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5"/>
              <w:jc w:val="right"/>
              <w:rPr>
                <w:rFonts w:ascii="Times New Roman" w:hAnsi="Times New Roman" w:cs="Times New Roman" w:eastAsia="Times New Roman" w:hint="default"/>
                <w:sz w:val="21"/>
                <w:szCs w:val="21"/>
              </w:rPr>
            </w:pPr>
            <w:r>
              <w:rPr>
                <w:rFonts w:ascii="Times New Roman"/>
                <w:sz w:val="21"/>
              </w:rPr>
              <w:t>1.00</w:t>
            </w:r>
          </w:p>
        </w:tc>
      </w:tr>
      <w:tr>
        <w:trPr>
          <w:trHeight w:val="350" w:hRule="exact"/>
        </w:trPr>
        <w:tc>
          <w:tcPr>
            <w:tcW w:w="2570" w:type="dxa"/>
            <w:tcBorders>
              <w:top w:val="single" w:sz="12" w:space="0" w:color="000000"/>
              <w:left w:val="single" w:sz="6" w:space="0" w:color="000000"/>
              <w:bottom w:val="single" w:sz="12" w:space="0" w:color="000000"/>
              <w:right w:val="single" w:sz="6" w:space="0" w:color="000000"/>
            </w:tcBorders>
          </w:tcPr>
          <w:p>
            <w:pPr>
              <w:pStyle w:val="TableParagraph"/>
              <w:spacing w:line="257"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年</w:t>
            </w:r>
          </w:p>
        </w:tc>
        <w:tc>
          <w:tcPr>
            <w:tcW w:w="2004"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453,350.00</w:t>
            </w:r>
          </w:p>
        </w:tc>
        <w:tc>
          <w:tcPr>
            <w:tcW w:w="2088"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45,335.00</w:t>
            </w:r>
          </w:p>
        </w:tc>
        <w:tc>
          <w:tcPr>
            <w:tcW w:w="2429"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5"/>
              <w:jc w:val="right"/>
              <w:rPr>
                <w:rFonts w:ascii="Times New Roman" w:hAnsi="Times New Roman" w:cs="Times New Roman" w:eastAsia="Times New Roman" w:hint="default"/>
                <w:sz w:val="21"/>
                <w:szCs w:val="21"/>
              </w:rPr>
            </w:pPr>
            <w:r>
              <w:rPr>
                <w:rFonts w:ascii="Times New Roman"/>
                <w:sz w:val="21"/>
              </w:rPr>
              <w:t>10.00</w:t>
            </w:r>
          </w:p>
        </w:tc>
      </w:tr>
      <w:tr>
        <w:trPr>
          <w:trHeight w:val="353" w:hRule="exact"/>
        </w:trPr>
        <w:tc>
          <w:tcPr>
            <w:tcW w:w="2570" w:type="dxa"/>
            <w:tcBorders>
              <w:top w:val="single" w:sz="12" w:space="0" w:color="000000"/>
              <w:left w:val="single" w:sz="6" w:space="0" w:color="000000"/>
              <w:bottom w:val="single" w:sz="12" w:space="0" w:color="000000"/>
              <w:right w:val="single" w:sz="6" w:space="0" w:color="000000"/>
            </w:tcBorders>
          </w:tcPr>
          <w:p>
            <w:pPr>
              <w:pStyle w:val="TableParagraph"/>
              <w:spacing w:line="259"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年</w:t>
            </w:r>
          </w:p>
        </w:tc>
        <w:tc>
          <w:tcPr>
            <w:tcW w:w="2004"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95,117.04</w:t>
            </w:r>
          </w:p>
        </w:tc>
        <w:tc>
          <w:tcPr>
            <w:tcW w:w="2088"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28,535.11</w:t>
            </w:r>
          </w:p>
        </w:tc>
        <w:tc>
          <w:tcPr>
            <w:tcW w:w="2429"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5"/>
              <w:jc w:val="right"/>
              <w:rPr>
                <w:rFonts w:ascii="Times New Roman" w:hAnsi="Times New Roman" w:cs="Times New Roman" w:eastAsia="Times New Roman" w:hint="default"/>
                <w:sz w:val="21"/>
                <w:szCs w:val="21"/>
              </w:rPr>
            </w:pPr>
            <w:r>
              <w:rPr>
                <w:rFonts w:ascii="Times New Roman"/>
                <w:sz w:val="21"/>
              </w:rPr>
              <w:t>30.00</w:t>
            </w:r>
          </w:p>
        </w:tc>
      </w:tr>
    </w:tbl>
    <w:p>
      <w:pPr>
        <w:spacing w:after="0" w:line="237" w:lineRule="exact"/>
        <w:jc w:val="right"/>
        <w:rPr>
          <w:rFonts w:ascii="Times New Roman" w:hAnsi="Times New Roman" w:cs="Times New Roman" w:eastAsia="Times New Roman" w:hint="default"/>
          <w:sz w:val="21"/>
          <w:szCs w:val="21"/>
        </w:rPr>
        <w:sectPr>
          <w:pgSz w:w="11910" w:h="16840"/>
          <w:pgMar w:header="880" w:footer="979" w:top="1060" w:bottom="1160" w:left="980" w:right="980"/>
        </w:sectPr>
      </w:pPr>
    </w:p>
    <w:p>
      <w:pPr>
        <w:spacing w:line="240" w:lineRule="auto" w:before="4"/>
        <w:rPr>
          <w:rFonts w:ascii="宋体" w:hAnsi="宋体" w:cs="宋体" w:eastAsia="宋体" w:hint="default"/>
          <w:b/>
          <w:bCs/>
          <w:sz w:val="28"/>
          <w:szCs w:val="28"/>
        </w:rPr>
      </w:pPr>
    </w:p>
    <w:tbl>
      <w:tblPr>
        <w:tblW w:w="0" w:type="auto"/>
        <w:jc w:val="left"/>
        <w:tblInd w:w="145" w:type="dxa"/>
        <w:tblLayout w:type="fixed"/>
        <w:tblCellMar>
          <w:top w:w="0" w:type="dxa"/>
          <w:left w:w="0" w:type="dxa"/>
          <w:bottom w:w="0" w:type="dxa"/>
          <w:right w:w="0" w:type="dxa"/>
        </w:tblCellMar>
        <w:tblLook w:val="01E0"/>
      </w:tblPr>
      <w:tblGrid>
        <w:gridCol w:w="2570"/>
        <w:gridCol w:w="2004"/>
        <w:gridCol w:w="2088"/>
        <w:gridCol w:w="2429"/>
      </w:tblGrid>
      <w:tr>
        <w:trPr>
          <w:trHeight w:val="355" w:hRule="exact"/>
        </w:trPr>
        <w:tc>
          <w:tcPr>
            <w:tcW w:w="2570" w:type="dxa"/>
            <w:tcBorders>
              <w:top w:val="single" w:sz="6" w:space="0" w:color="000000"/>
              <w:left w:val="single" w:sz="6" w:space="0" w:color="000000"/>
              <w:bottom w:val="single" w:sz="12" w:space="0" w:color="000000"/>
              <w:right w:val="single" w:sz="6" w:space="0" w:color="000000"/>
            </w:tcBorders>
          </w:tcPr>
          <w:p>
            <w:pPr>
              <w:pStyle w:val="TableParagraph"/>
              <w:spacing w:line="266"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年以上</w:t>
            </w:r>
          </w:p>
        </w:tc>
        <w:tc>
          <w:tcPr>
            <w:tcW w:w="200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
              <w:ind w:right="-1"/>
              <w:jc w:val="right"/>
              <w:rPr>
                <w:rFonts w:ascii="Times New Roman" w:hAnsi="Times New Roman" w:cs="Times New Roman" w:eastAsia="Times New Roman" w:hint="default"/>
                <w:sz w:val="21"/>
                <w:szCs w:val="21"/>
              </w:rPr>
            </w:pPr>
            <w:r>
              <w:rPr>
                <w:rFonts w:ascii="Times New Roman"/>
                <w:spacing w:val="-1"/>
                <w:sz w:val="21"/>
              </w:rPr>
              <w:t>260,121.20</w:t>
            </w:r>
          </w:p>
        </w:tc>
        <w:tc>
          <w:tcPr>
            <w:tcW w:w="208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
              <w:ind w:right="-1"/>
              <w:jc w:val="right"/>
              <w:rPr>
                <w:rFonts w:ascii="Times New Roman" w:hAnsi="Times New Roman" w:cs="Times New Roman" w:eastAsia="Times New Roman" w:hint="default"/>
                <w:sz w:val="21"/>
                <w:szCs w:val="21"/>
              </w:rPr>
            </w:pPr>
            <w:r>
              <w:rPr>
                <w:rFonts w:ascii="Times New Roman"/>
                <w:spacing w:val="-1"/>
                <w:sz w:val="21"/>
              </w:rPr>
              <w:t>260,121.20</w:t>
            </w:r>
          </w:p>
        </w:tc>
        <w:tc>
          <w:tcPr>
            <w:tcW w:w="242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
              <w:ind w:right="5"/>
              <w:jc w:val="right"/>
              <w:rPr>
                <w:rFonts w:ascii="Times New Roman" w:hAnsi="Times New Roman" w:cs="Times New Roman" w:eastAsia="Times New Roman" w:hint="default"/>
                <w:sz w:val="21"/>
                <w:szCs w:val="21"/>
              </w:rPr>
            </w:pPr>
            <w:r>
              <w:rPr>
                <w:rFonts w:ascii="Times New Roman"/>
                <w:sz w:val="21"/>
              </w:rPr>
              <w:t>100.00</w:t>
            </w:r>
          </w:p>
        </w:tc>
      </w:tr>
      <w:tr>
        <w:trPr>
          <w:trHeight w:val="353" w:hRule="exact"/>
        </w:trPr>
        <w:tc>
          <w:tcPr>
            <w:tcW w:w="2570"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004"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1,478,884.36</w:t>
            </w:r>
          </w:p>
        </w:tc>
        <w:tc>
          <w:tcPr>
            <w:tcW w:w="2088"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340,694.27</w:t>
            </w:r>
          </w:p>
        </w:tc>
        <w:tc>
          <w:tcPr>
            <w:tcW w:w="2429"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5"/>
              <w:jc w:val="right"/>
              <w:rPr>
                <w:rFonts w:ascii="Times New Roman" w:hAnsi="Times New Roman" w:cs="Times New Roman" w:eastAsia="Times New Roman" w:hint="default"/>
                <w:sz w:val="21"/>
                <w:szCs w:val="21"/>
              </w:rPr>
            </w:pPr>
            <w:r>
              <w:rPr>
                <w:rFonts w:ascii="Times New Roman"/>
                <w:sz w:val="21"/>
              </w:rPr>
              <w:t>23.04</w:t>
            </w:r>
          </w:p>
        </w:tc>
      </w:tr>
    </w:tbl>
    <w:p>
      <w:pPr>
        <w:spacing w:line="240" w:lineRule="auto" w:before="3"/>
        <w:rPr>
          <w:rFonts w:ascii="宋体" w:hAnsi="宋体" w:cs="宋体" w:eastAsia="宋体" w:hint="default"/>
          <w:b/>
          <w:bCs/>
          <w:sz w:val="8"/>
          <w:szCs w:val="8"/>
        </w:rPr>
      </w:pPr>
    </w:p>
    <w:p>
      <w:pPr>
        <w:pStyle w:val="Heading5"/>
        <w:spacing w:line="240" w:lineRule="auto" w:before="36"/>
        <w:ind w:left="575" w:right="0"/>
        <w:jc w:val="left"/>
        <w:rPr>
          <w:b w:val="0"/>
          <w:bCs w:val="0"/>
        </w:rPr>
      </w:pPr>
      <w:r>
        <w:rPr>
          <w:rFonts w:ascii="Times New Roman" w:hAnsi="Times New Roman" w:cs="Times New Roman" w:eastAsia="Times New Roman" w:hint="default"/>
        </w:rPr>
        <w:t>3</w:t>
      </w:r>
      <w:r>
        <w:rPr/>
        <w:t>、期末其他应收款中无应收持本公司</w:t>
      </w:r>
      <w:r>
        <w:rPr>
          <w:rFonts w:ascii="Times New Roman" w:hAnsi="Times New Roman" w:cs="Times New Roman" w:eastAsia="Times New Roman" w:hint="default"/>
        </w:rPr>
        <w:t>5%</w:t>
      </w:r>
      <w:r>
        <w:rPr/>
        <w:t>以上（含</w:t>
      </w:r>
      <w:r>
        <w:rPr>
          <w:rFonts w:ascii="Times New Roman" w:hAnsi="Times New Roman" w:cs="Times New Roman" w:eastAsia="Times New Roman" w:hint="default"/>
        </w:rPr>
        <w:t>5%</w:t>
      </w:r>
      <w:r>
        <w:rPr/>
        <w:t>）表决权股份的股东及其他关联方的款项。</w:t>
      </w:r>
      <w:r>
        <w:rPr>
          <w:b w:val="0"/>
          <w:bCs w:val="0"/>
        </w:rPr>
      </w:r>
    </w:p>
    <w:p>
      <w:pPr>
        <w:pStyle w:val="Heading5"/>
        <w:spacing w:line="240" w:lineRule="auto" w:before="21"/>
        <w:ind w:left="575" w:right="0"/>
        <w:jc w:val="left"/>
        <w:rPr>
          <w:b w:val="0"/>
          <w:bCs w:val="0"/>
        </w:rPr>
      </w:pPr>
      <w:r>
        <w:rPr>
          <w:rFonts w:ascii="Times New Roman" w:hAnsi="Times New Roman" w:cs="Times New Roman" w:eastAsia="Times New Roman" w:hint="default"/>
        </w:rPr>
        <w:t>4</w:t>
      </w:r>
      <w:r>
        <w:rPr/>
        <w:t>、其他应收款按款项性质分类情况</w:t>
      </w:r>
      <w:r>
        <w:rPr>
          <w:b w:val="0"/>
          <w:bCs w:val="0"/>
        </w:rPr>
      </w:r>
    </w:p>
    <w:p>
      <w:pPr>
        <w:spacing w:line="240" w:lineRule="auto" w:before="8"/>
        <w:rPr>
          <w:rFonts w:ascii="宋体" w:hAnsi="宋体" w:cs="宋体" w:eastAsia="宋体" w:hint="default"/>
          <w:b/>
          <w:bCs/>
          <w:sz w:val="2"/>
          <w:szCs w:val="2"/>
        </w:rPr>
      </w:pPr>
    </w:p>
    <w:tbl>
      <w:tblPr>
        <w:tblW w:w="0" w:type="auto"/>
        <w:jc w:val="left"/>
        <w:tblInd w:w="145" w:type="dxa"/>
        <w:tblLayout w:type="fixed"/>
        <w:tblCellMar>
          <w:top w:w="0" w:type="dxa"/>
          <w:left w:w="0" w:type="dxa"/>
          <w:bottom w:w="0" w:type="dxa"/>
          <w:right w:w="0" w:type="dxa"/>
        </w:tblCellMar>
        <w:tblLook w:val="01E0"/>
      </w:tblPr>
      <w:tblGrid>
        <w:gridCol w:w="2863"/>
        <w:gridCol w:w="2861"/>
        <w:gridCol w:w="3362"/>
      </w:tblGrid>
      <w:tr>
        <w:trPr>
          <w:trHeight w:val="314" w:hRule="exact"/>
        </w:trPr>
        <w:tc>
          <w:tcPr>
            <w:tcW w:w="2863"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right="1211"/>
              <w:jc w:val="right"/>
              <w:rPr>
                <w:rFonts w:ascii="宋体" w:hAnsi="宋体" w:cs="宋体" w:eastAsia="宋体" w:hint="default"/>
                <w:sz w:val="21"/>
                <w:szCs w:val="21"/>
              </w:rPr>
            </w:pPr>
            <w:r>
              <w:rPr>
                <w:rFonts w:ascii="宋体" w:hAnsi="宋体" w:cs="宋体" w:eastAsia="宋体" w:hint="default"/>
                <w:sz w:val="21"/>
                <w:szCs w:val="21"/>
              </w:rPr>
              <w:t>项目</w:t>
            </w:r>
          </w:p>
        </w:tc>
        <w:tc>
          <w:tcPr>
            <w:tcW w:w="2861"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62" w:type="dxa"/>
            <w:tcBorders>
              <w:top w:val="single" w:sz="6" w:space="0" w:color="000000"/>
              <w:left w:val="single" w:sz="6" w:space="0" w:color="000000"/>
              <w:bottom w:val="single" w:sz="12" w:space="0" w:color="000000"/>
              <w:right w:val="nil" w:sz="6" w:space="0" w:color="auto"/>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12" w:hRule="exact"/>
        </w:trPr>
        <w:tc>
          <w:tcPr>
            <w:tcW w:w="2863"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4" w:right="0"/>
              <w:jc w:val="left"/>
              <w:rPr>
                <w:rFonts w:ascii="宋体" w:hAnsi="宋体" w:cs="宋体" w:eastAsia="宋体" w:hint="default"/>
                <w:sz w:val="21"/>
                <w:szCs w:val="21"/>
              </w:rPr>
            </w:pPr>
            <w:r>
              <w:rPr>
                <w:rFonts w:ascii="宋体" w:hAnsi="宋体" w:cs="宋体" w:eastAsia="宋体" w:hint="default"/>
                <w:sz w:val="21"/>
                <w:szCs w:val="21"/>
              </w:rPr>
              <w:t>保证金及押金</w:t>
            </w:r>
          </w:p>
        </w:tc>
        <w:tc>
          <w:tcPr>
            <w:tcW w:w="2861"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821,036.18</w:t>
            </w:r>
          </w:p>
        </w:tc>
        <w:tc>
          <w:tcPr>
            <w:tcW w:w="3362"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5"/>
              <w:jc w:val="right"/>
              <w:rPr>
                <w:rFonts w:ascii="Times New Roman" w:hAnsi="Times New Roman" w:cs="Times New Roman" w:eastAsia="Times New Roman" w:hint="default"/>
                <w:sz w:val="21"/>
                <w:szCs w:val="21"/>
              </w:rPr>
            </w:pPr>
            <w:r>
              <w:rPr>
                <w:rFonts w:ascii="Times New Roman"/>
                <w:spacing w:val="-1"/>
                <w:sz w:val="21"/>
              </w:rPr>
              <w:t>519,838.24</w:t>
            </w:r>
          </w:p>
        </w:tc>
      </w:tr>
      <w:tr>
        <w:trPr>
          <w:trHeight w:val="314" w:hRule="exact"/>
        </w:trPr>
        <w:tc>
          <w:tcPr>
            <w:tcW w:w="2863"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4"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2861"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328,848.18</w:t>
            </w:r>
          </w:p>
        </w:tc>
        <w:tc>
          <w:tcPr>
            <w:tcW w:w="3362"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5"/>
              <w:jc w:val="right"/>
              <w:rPr>
                <w:rFonts w:ascii="Times New Roman" w:hAnsi="Times New Roman" w:cs="Times New Roman" w:eastAsia="Times New Roman" w:hint="default"/>
                <w:sz w:val="21"/>
                <w:szCs w:val="21"/>
              </w:rPr>
            </w:pPr>
            <w:r>
              <w:rPr>
                <w:rFonts w:ascii="Times New Roman"/>
                <w:sz w:val="21"/>
              </w:rPr>
              <w:t>63,688.99</w:t>
            </w:r>
          </w:p>
        </w:tc>
      </w:tr>
      <w:tr>
        <w:trPr>
          <w:trHeight w:val="312" w:hRule="exact"/>
        </w:trPr>
        <w:tc>
          <w:tcPr>
            <w:tcW w:w="2863"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4" w:right="0"/>
              <w:jc w:val="left"/>
              <w:rPr>
                <w:rFonts w:ascii="宋体" w:hAnsi="宋体" w:cs="宋体" w:eastAsia="宋体" w:hint="default"/>
                <w:sz w:val="21"/>
                <w:szCs w:val="21"/>
              </w:rPr>
            </w:pPr>
            <w:r>
              <w:rPr>
                <w:rFonts w:ascii="宋体" w:hAnsi="宋体" w:cs="宋体" w:eastAsia="宋体" w:hint="default"/>
                <w:sz w:val="21"/>
                <w:szCs w:val="21"/>
              </w:rPr>
              <w:t>往来款项及其他</w:t>
            </w:r>
          </w:p>
        </w:tc>
        <w:tc>
          <w:tcPr>
            <w:tcW w:w="2861"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329,000.00</w:t>
            </w:r>
          </w:p>
        </w:tc>
        <w:tc>
          <w:tcPr>
            <w:tcW w:w="3362"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5"/>
              <w:jc w:val="right"/>
              <w:rPr>
                <w:rFonts w:ascii="Times New Roman" w:hAnsi="Times New Roman" w:cs="Times New Roman" w:eastAsia="Times New Roman" w:hint="default"/>
                <w:sz w:val="21"/>
                <w:szCs w:val="21"/>
              </w:rPr>
            </w:pPr>
            <w:r>
              <w:rPr>
                <w:rFonts w:ascii="Times New Roman"/>
                <w:spacing w:val="-1"/>
                <w:sz w:val="21"/>
              </w:rPr>
              <w:t>329,000.00</w:t>
            </w:r>
          </w:p>
        </w:tc>
      </w:tr>
      <w:tr>
        <w:trPr>
          <w:trHeight w:val="314" w:hRule="exact"/>
        </w:trPr>
        <w:tc>
          <w:tcPr>
            <w:tcW w:w="2863"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right="1211"/>
              <w:jc w:val="right"/>
              <w:rPr>
                <w:rFonts w:ascii="宋体" w:hAnsi="宋体" w:cs="宋体" w:eastAsia="宋体" w:hint="default"/>
                <w:sz w:val="21"/>
                <w:szCs w:val="21"/>
              </w:rPr>
            </w:pPr>
            <w:r>
              <w:rPr>
                <w:rFonts w:ascii="宋体" w:hAnsi="宋体" w:cs="宋体" w:eastAsia="宋体" w:hint="default"/>
                <w:sz w:val="21"/>
                <w:szCs w:val="21"/>
              </w:rPr>
              <w:t>合计</w:t>
            </w:r>
          </w:p>
        </w:tc>
        <w:tc>
          <w:tcPr>
            <w:tcW w:w="2861"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1,478,884.36</w:t>
            </w:r>
          </w:p>
        </w:tc>
        <w:tc>
          <w:tcPr>
            <w:tcW w:w="3362"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5"/>
              <w:jc w:val="right"/>
              <w:rPr>
                <w:rFonts w:ascii="Times New Roman" w:hAnsi="Times New Roman" w:cs="Times New Roman" w:eastAsia="Times New Roman" w:hint="default"/>
                <w:sz w:val="21"/>
                <w:szCs w:val="21"/>
              </w:rPr>
            </w:pPr>
            <w:r>
              <w:rPr>
                <w:rFonts w:ascii="Times New Roman"/>
                <w:spacing w:val="-1"/>
                <w:sz w:val="21"/>
              </w:rPr>
              <w:t>912,527.23</w:t>
            </w:r>
          </w:p>
        </w:tc>
      </w:tr>
    </w:tbl>
    <w:p>
      <w:pPr>
        <w:spacing w:line="240" w:lineRule="auto" w:before="3"/>
        <w:rPr>
          <w:rFonts w:ascii="宋体" w:hAnsi="宋体" w:cs="宋体" w:eastAsia="宋体" w:hint="default"/>
          <w:b/>
          <w:bCs/>
          <w:sz w:val="8"/>
          <w:szCs w:val="8"/>
        </w:rPr>
      </w:pPr>
    </w:p>
    <w:p>
      <w:pPr>
        <w:pStyle w:val="Heading5"/>
        <w:spacing w:line="240" w:lineRule="auto" w:before="36"/>
        <w:ind w:left="580" w:right="0"/>
        <w:jc w:val="left"/>
        <w:rPr>
          <w:b w:val="0"/>
          <w:bCs w:val="0"/>
        </w:rPr>
      </w:pP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8"/>
        <w:rPr>
          <w:rFonts w:ascii="宋体" w:hAnsi="宋体" w:cs="宋体" w:eastAsia="宋体" w:hint="default"/>
          <w:b/>
          <w:bCs/>
          <w:sz w:val="2"/>
          <w:szCs w:val="2"/>
        </w:rPr>
      </w:pPr>
    </w:p>
    <w:tbl>
      <w:tblPr>
        <w:tblW w:w="0" w:type="auto"/>
        <w:jc w:val="left"/>
        <w:tblInd w:w="145" w:type="dxa"/>
        <w:tblLayout w:type="fixed"/>
        <w:tblCellMar>
          <w:top w:w="0" w:type="dxa"/>
          <w:left w:w="0" w:type="dxa"/>
          <w:bottom w:w="0" w:type="dxa"/>
          <w:right w:w="0" w:type="dxa"/>
        </w:tblCellMar>
        <w:tblLook w:val="01E0"/>
      </w:tblPr>
      <w:tblGrid>
        <w:gridCol w:w="2494"/>
        <w:gridCol w:w="1046"/>
        <w:gridCol w:w="1188"/>
        <w:gridCol w:w="1783"/>
        <w:gridCol w:w="1159"/>
        <w:gridCol w:w="1421"/>
      </w:tblGrid>
      <w:tr>
        <w:trPr>
          <w:trHeight w:val="862" w:hRule="exact"/>
        </w:trPr>
        <w:tc>
          <w:tcPr>
            <w:tcW w:w="2494" w:type="dxa"/>
            <w:tcBorders>
              <w:top w:val="single" w:sz="6" w:space="0" w:color="000000"/>
              <w:left w:val="single" w:sz="6" w:space="0" w:color="000000"/>
              <w:bottom w:val="single" w:sz="12" w:space="0" w:color="000000"/>
              <w:right w:val="single" w:sz="6" w:space="0" w:color="000000"/>
            </w:tcBorders>
          </w:tcPr>
          <w:p>
            <w:pPr>
              <w:pStyle w:val="TableParagraph"/>
              <w:spacing w:line="253" w:lineRule="exact"/>
              <w:ind w:left="820"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046" w:type="dxa"/>
            <w:tcBorders>
              <w:top w:val="single" w:sz="6" w:space="0" w:color="000000"/>
              <w:left w:val="single" w:sz="6" w:space="0" w:color="000000"/>
              <w:bottom w:val="single" w:sz="12" w:space="0" w:color="000000"/>
              <w:right w:val="single" w:sz="6" w:space="0" w:color="000000"/>
            </w:tcBorders>
          </w:tcPr>
          <w:p>
            <w:pPr>
              <w:pStyle w:val="TableParagraph"/>
              <w:spacing w:line="253" w:lineRule="exact"/>
              <w:ind w:left="7"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1188" w:type="dxa"/>
            <w:tcBorders>
              <w:top w:val="single" w:sz="6" w:space="0" w:color="000000"/>
              <w:left w:val="single" w:sz="6" w:space="0" w:color="000000"/>
              <w:bottom w:val="single" w:sz="12" w:space="0" w:color="000000"/>
              <w:right w:val="single" w:sz="6" w:space="0" w:color="000000"/>
            </w:tcBorders>
          </w:tcPr>
          <w:p>
            <w:pPr>
              <w:pStyle w:val="TableParagraph"/>
              <w:spacing w:line="253" w:lineRule="exact"/>
              <w:ind w:left="168"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783" w:type="dxa"/>
            <w:tcBorders>
              <w:top w:val="single" w:sz="6" w:space="0" w:color="000000"/>
              <w:left w:val="single" w:sz="6" w:space="0" w:color="000000"/>
              <w:bottom w:val="single" w:sz="12" w:space="0" w:color="000000"/>
              <w:right w:val="single" w:sz="6" w:space="0" w:color="000000"/>
            </w:tcBorders>
          </w:tcPr>
          <w:p>
            <w:pPr>
              <w:pStyle w:val="TableParagraph"/>
              <w:spacing w:line="253" w:lineRule="exact"/>
              <w:ind w:left="2"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1159"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before="5"/>
              <w:ind w:left="45" w:right="43"/>
              <w:jc w:val="left"/>
              <w:rPr>
                <w:rFonts w:ascii="宋体" w:hAnsi="宋体" w:cs="宋体" w:eastAsia="宋体" w:hint="default"/>
                <w:sz w:val="21"/>
                <w:szCs w:val="21"/>
              </w:rPr>
            </w:pPr>
            <w:r>
              <w:rPr>
                <w:rFonts w:ascii="宋体" w:hAnsi="宋体" w:cs="宋体" w:eastAsia="宋体" w:hint="default"/>
                <w:sz w:val="21"/>
                <w:szCs w:val="21"/>
              </w:rPr>
              <w:t>占其他应收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款期末余额</w:t>
            </w:r>
          </w:p>
          <w:p>
            <w:pPr>
              <w:pStyle w:val="TableParagraph"/>
              <w:spacing w:line="265" w:lineRule="exact"/>
              <w:ind w:left="9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的比例</w:t>
            </w:r>
            <w:r>
              <w:rPr>
                <w:rFonts w:ascii="Times New Roman" w:hAnsi="Times New Roman" w:cs="Times New Roman" w:eastAsia="Times New Roman" w:hint="default"/>
                <w:sz w:val="21"/>
                <w:szCs w:val="21"/>
              </w:rPr>
              <w:t>(%)</w:t>
            </w:r>
          </w:p>
        </w:tc>
        <w:tc>
          <w:tcPr>
            <w:tcW w:w="1421" w:type="dxa"/>
            <w:tcBorders>
              <w:top w:val="single" w:sz="6" w:space="0" w:color="000000"/>
              <w:left w:val="single" w:sz="6" w:space="0" w:color="000000"/>
              <w:bottom w:val="single" w:sz="12" w:space="0" w:color="000000"/>
              <w:right w:val="nil" w:sz="6" w:space="0" w:color="auto"/>
            </w:tcBorders>
          </w:tcPr>
          <w:p>
            <w:pPr>
              <w:pStyle w:val="TableParagraph"/>
              <w:spacing w:line="272" w:lineRule="exact" w:before="5"/>
              <w:ind w:left="283" w:right="285"/>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r>
        <w:trPr>
          <w:trHeight w:val="586" w:hRule="exact"/>
        </w:trPr>
        <w:tc>
          <w:tcPr>
            <w:tcW w:w="2494"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4" w:right="-15"/>
              <w:jc w:val="left"/>
              <w:rPr>
                <w:rFonts w:ascii="宋体" w:hAnsi="宋体" w:cs="宋体" w:eastAsia="宋体" w:hint="default"/>
                <w:sz w:val="21"/>
                <w:szCs w:val="21"/>
              </w:rPr>
            </w:pPr>
            <w:r>
              <w:rPr>
                <w:rFonts w:ascii="宋体" w:hAnsi="宋体" w:cs="宋体" w:eastAsia="宋体" w:hint="default"/>
                <w:spacing w:val="13"/>
                <w:sz w:val="21"/>
                <w:szCs w:val="21"/>
              </w:rPr>
              <w:t>北京惟德基业科技有限公</w:t>
            </w:r>
            <w:r>
              <w:rPr>
                <w:rFonts w:ascii="宋体" w:hAnsi="宋体" w:cs="宋体" w:eastAsia="宋体" w:hint="default"/>
                <w:sz w:val="21"/>
                <w:szCs w:val="21"/>
              </w:rPr>
            </w:r>
          </w:p>
          <w:p>
            <w:pPr>
              <w:pStyle w:val="TableParagraph"/>
              <w:spacing w:line="273" w:lineRule="exact"/>
              <w:ind w:left="4"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046"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往来款</w:t>
            </w:r>
          </w:p>
        </w:tc>
        <w:tc>
          <w:tcPr>
            <w:tcW w:w="1188"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left="225" w:right="-1"/>
              <w:jc w:val="left"/>
              <w:rPr>
                <w:rFonts w:ascii="Times New Roman" w:hAnsi="Times New Roman" w:cs="Times New Roman" w:eastAsia="Times New Roman" w:hint="default"/>
                <w:sz w:val="21"/>
                <w:szCs w:val="21"/>
              </w:rPr>
            </w:pPr>
            <w:r>
              <w:rPr>
                <w:rFonts w:ascii="Times New Roman"/>
                <w:sz w:val="21"/>
              </w:rPr>
              <w:t>319,000.00</w:t>
            </w:r>
          </w:p>
        </w:tc>
        <w:tc>
          <w:tcPr>
            <w:tcW w:w="1783" w:type="dxa"/>
            <w:tcBorders>
              <w:top w:val="single" w:sz="12" w:space="0" w:color="000000"/>
              <w:left w:val="single" w:sz="6" w:space="0" w:color="000000"/>
              <w:bottom w:val="single" w:sz="12" w:space="0" w:color="000000"/>
              <w:right w:val="single" w:sz="6" w:space="0" w:color="000000"/>
            </w:tcBorders>
          </w:tcPr>
          <w:p>
            <w:pPr>
              <w:pStyle w:val="TableParagraph"/>
              <w:spacing w:line="259"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宋体" w:hAnsi="宋体" w:cs="宋体" w:eastAsia="宋体" w:hint="default"/>
                <w:sz w:val="21"/>
                <w:szCs w:val="21"/>
              </w:rPr>
              <w:t>年</w:t>
            </w:r>
          </w:p>
        </w:tc>
        <w:tc>
          <w:tcPr>
            <w:tcW w:w="1159"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z w:val="21"/>
              </w:rPr>
              <w:t>21.57</w:t>
            </w:r>
          </w:p>
        </w:tc>
        <w:tc>
          <w:tcPr>
            <w:tcW w:w="1421"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7"/>
              <w:jc w:val="right"/>
              <w:rPr>
                <w:rFonts w:ascii="Times New Roman" w:hAnsi="Times New Roman" w:cs="Times New Roman" w:eastAsia="Times New Roman" w:hint="default"/>
                <w:sz w:val="21"/>
                <w:szCs w:val="21"/>
              </w:rPr>
            </w:pPr>
            <w:r>
              <w:rPr>
                <w:rFonts w:ascii="Times New Roman"/>
                <w:spacing w:val="-1"/>
                <w:sz w:val="21"/>
              </w:rPr>
              <w:t>31,900.00</w:t>
            </w:r>
          </w:p>
        </w:tc>
      </w:tr>
      <w:tr>
        <w:trPr>
          <w:trHeight w:val="859" w:hRule="exact"/>
        </w:trPr>
        <w:tc>
          <w:tcPr>
            <w:tcW w:w="2494"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4" w:right="0"/>
              <w:jc w:val="left"/>
              <w:rPr>
                <w:rFonts w:ascii="宋体" w:hAnsi="宋体" w:cs="宋体" w:eastAsia="宋体" w:hint="default"/>
                <w:sz w:val="21"/>
                <w:szCs w:val="21"/>
              </w:rPr>
            </w:pPr>
            <w:r>
              <w:rPr>
                <w:rFonts w:ascii="宋体" w:hAnsi="宋体" w:cs="宋体" w:eastAsia="宋体" w:hint="default"/>
                <w:sz w:val="21"/>
                <w:szCs w:val="21"/>
              </w:rPr>
              <w:t>深圳市昱为科技有限公司</w:t>
            </w:r>
          </w:p>
        </w:tc>
        <w:tc>
          <w:tcPr>
            <w:tcW w:w="1046"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押金</w:t>
            </w:r>
          </w:p>
        </w:tc>
        <w:tc>
          <w:tcPr>
            <w:tcW w:w="1188"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left="225" w:right="-1"/>
              <w:jc w:val="left"/>
              <w:rPr>
                <w:rFonts w:ascii="Times New Roman" w:hAnsi="Times New Roman" w:cs="Times New Roman" w:eastAsia="Times New Roman" w:hint="default"/>
                <w:sz w:val="21"/>
                <w:szCs w:val="21"/>
              </w:rPr>
            </w:pPr>
            <w:r>
              <w:rPr>
                <w:rFonts w:ascii="Times New Roman"/>
                <w:sz w:val="21"/>
              </w:rPr>
              <w:t>194,988.00</w:t>
            </w:r>
          </w:p>
        </w:tc>
        <w:tc>
          <w:tcPr>
            <w:tcW w:w="1783" w:type="dxa"/>
            <w:tcBorders>
              <w:top w:val="single" w:sz="12" w:space="0" w:color="000000"/>
              <w:left w:val="single" w:sz="6" w:space="0" w:color="000000"/>
              <w:bottom w:val="single" w:sz="12" w:space="0" w:color="000000"/>
              <w:right w:val="single" w:sz="6" w:space="0" w:color="000000"/>
            </w:tcBorders>
          </w:tcPr>
          <w:p>
            <w:pPr>
              <w:pStyle w:val="TableParagraph"/>
              <w:spacing w:line="249"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r>
              <w:rPr>
                <w:rFonts w:ascii="Times New Roman" w:hAnsi="Times New Roman" w:cs="Times New Roman" w:eastAsia="Times New Roman" w:hint="default"/>
                <w:sz w:val="21"/>
                <w:szCs w:val="21"/>
              </w:rPr>
              <w:t>52,988.00</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元；</w:t>
            </w:r>
            <w:r>
              <w:rPr>
                <w:rFonts w:ascii="Times New Roman" w:hAnsi="Times New Roman" w:cs="Times New Roman" w:eastAsia="Times New Roman" w:hint="default"/>
                <w:sz w:val="21"/>
                <w:szCs w:val="21"/>
              </w:rPr>
              <w:t>3</w:t>
            </w:r>
            <w:r>
              <w:rPr>
                <w:rFonts w:ascii="宋体" w:hAnsi="宋体" w:cs="宋体" w:eastAsia="宋体" w:hint="default"/>
                <w:sz w:val="21"/>
                <w:szCs w:val="21"/>
              </w:rPr>
              <w:t>年以上</w:t>
            </w:r>
          </w:p>
          <w:p>
            <w:pPr>
              <w:pStyle w:val="TableParagraph"/>
              <w:spacing w:line="282"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142,000.00</w:t>
            </w:r>
            <w:r>
              <w:rPr>
                <w:rFonts w:ascii="宋体" w:hAnsi="宋体" w:cs="宋体" w:eastAsia="宋体" w:hint="default"/>
                <w:sz w:val="21"/>
                <w:szCs w:val="21"/>
              </w:rPr>
              <w:t>元</w:t>
            </w:r>
          </w:p>
        </w:tc>
        <w:tc>
          <w:tcPr>
            <w:tcW w:w="1159"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z w:val="21"/>
              </w:rPr>
              <w:t>13.18</w:t>
            </w:r>
          </w:p>
        </w:tc>
        <w:tc>
          <w:tcPr>
            <w:tcW w:w="1421"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7"/>
              <w:jc w:val="right"/>
              <w:rPr>
                <w:rFonts w:ascii="Times New Roman" w:hAnsi="Times New Roman" w:cs="Times New Roman" w:eastAsia="Times New Roman" w:hint="default"/>
                <w:sz w:val="21"/>
                <w:szCs w:val="21"/>
              </w:rPr>
            </w:pPr>
            <w:r>
              <w:rPr>
                <w:rFonts w:ascii="Times New Roman"/>
                <w:spacing w:val="-1"/>
                <w:sz w:val="21"/>
              </w:rPr>
              <w:t>142,529.88</w:t>
            </w:r>
          </w:p>
        </w:tc>
      </w:tr>
      <w:tr>
        <w:trPr>
          <w:trHeight w:val="859" w:hRule="exact"/>
        </w:trPr>
        <w:tc>
          <w:tcPr>
            <w:tcW w:w="2494"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4" w:right="0"/>
              <w:jc w:val="left"/>
              <w:rPr>
                <w:rFonts w:ascii="宋体" w:hAnsi="宋体" w:cs="宋体" w:eastAsia="宋体" w:hint="default"/>
                <w:sz w:val="21"/>
                <w:szCs w:val="21"/>
              </w:rPr>
            </w:pPr>
            <w:r>
              <w:rPr>
                <w:rFonts w:ascii="宋体" w:hAnsi="宋体" w:cs="宋体" w:eastAsia="宋体" w:hint="default"/>
                <w:sz w:val="21"/>
                <w:szCs w:val="21"/>
              </w:rPr>
              <w:t>浙江天猫技术有限公司</w:t>
            </w:r>
          </w:p>
        </w:tc>
        <w:tc>
          <w:tcPr>
            <w:tcW w:w="1046"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保证金</w:t>
            </w:r>
          </w:p>
        </w:tc>
        <w:tc>
          <w:tcPr>
            <w:tcW w:w="1188"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left="225" w:right="-1"/>
              <w:jc w:val="left"/>
              <w:rPr>
                <w:rFonts w:ascii="Times New Roman" w:hAnsi="Times New Roman" w:cs="Times New Roman" w:eastAsia="Times New Roman" w:hint="default"/>
                <w:sz w:val="21"/>
                <w:szCs w:val="21"/>
              </w:rPr>
            </w:pPr>
            <w:r>
              <w:rPr>
                <w:rFonts w:ascii="Times New Roman"/>
                <w:sz w:val="21"/>
              </w:rPr>
              <w:t>170,000.00</w:t>
            </w:r>
          </w:p>
        </w:tc>
        <w:tc>
          <w:tcPr>
            <w:tcW w:w="1783" w:type="dxa"/>
            <w:tcBorders>
              <w:top w:val="single" w:sz="12" w:space="0" w:color="000000"/>
              <w:left w:val="single" w:sz="6" w:space="0" w:color="000000"/>
              <w:bottom w:val="single" w:sz="12" w:space="0" w:color="000000"/>
              <w:right w:val="single" w:sz="6" w:space="0" w:color="000000"/>
            </w:tcBorders>
          </w:tcPr>
          <w:p>
            <w:pPr>
              <w:pStyle w:val="TableParagraph"/>
              <w:spacing w:line="249" w:lineRule="exact"/>
              <w:ind w:right="-1"/>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r>
              <w:rPr>
                <w:rFonts w:ascii="Times New Roman" w:hAnsi="Times New Roman" w:cs="Times New Roman" w:eastAsia="Times New Roman" w:hint="default"/>
                <w:sz w:val="21"/>
                <w:szCs w:val="21"/>
              </w:rPr>
              <w:t>40,000.00</w:t>
            </w:r>
          </w:p>
          <w:p>
            <w:pPr>
              <w:pStyle w:val="TableParagraph"/>
              <w:spacing w:line="272" w:lineRule="exact"/>
              <w:ind w:left="2" w:right="-1"/>
              <w:jc w:val="center"/>
              <w:rPr>
                <w:rFonts w:ascii="Times New Roman" w:hAnsi="Times New Roman" w:cs="Times New Roman" w:eastAsia="Times New Roman" w:hint="default"/>
                <w:sz w:val="21"/>
                <w:szCs w:val="21"/>
              </w:rPr>
            </w:pPr>
            <w:r>
              <w:rPr>
                <w:rFonts w:ascii="宋体" w:hAnsi="宋体" w:cs="宋体" w:eastAsia="宋体" w:hint="default"/>
                <w:w w:val="100"/>
                <w:sz w:val="21"/>
                <w:szCs w:val="21"/>
              </w:rPr>
              <w:t>元</w:t>
            </w:r>
            <w:r>
              <w:rPr>
                <w:rFonts w:ascii="宋体" w:hAnsi="宋体" w:cs="宋体" w:eastAsia="宋体" w:hint="default"/>
                <w:spacing w:val="-94"/>
                <w:w w:val="100"/>
                <w:sz w:val="21"/>
                <w:szCs w:val="21"/>
              </w:rPr>
              <w:t>；</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4"/>
                <w:w w:val="100"/>
                <w:sz w:val="21"/>
                <w:szCs w:val="21"/>
              </w:rPr>
              <w:t>-</w:t>
            </w:r>
            <w:r>
              <w:rPr>
                <w:rFonts w:ascii="Times New Roman" w:hAnsi="Times New Roman" w:cs="Times New Roman" w:eastAsia="Times New Roman" w:hint="default"/>
                <w:w w:val="100"/>
                <w:sz w:val="21"/>
                <w:szCs w:val="21"/>
              </w:rPr>
              <w:t>2</w:t>
            </w:r>
            <w:r>
              <w:rPr>
                <w:rFonts w:ascii="宋体" w:hAnsi="宋体" w:cs="宋体" w:eastAsia="宋体" w:hint="default"/>
                <w:w w:val="100"/>
                <w:sz w:val="21"/>
                <w:szCs w:val="21"/>
              </w:rPr>
              <w:t>年</w:t>
            </w:r>
            <w:r>
              <w:rPr>
                <w:rFonts w:ascii="Times New Roman" w:hAnsi="Times New Roman" w:cs="Times New Roman" w:eastAsia="Times New Roman" w:hint="default"/>
                <w:w w:val="100"/>
                <w:sz w:val="21"/>
                <w:szCs w:val="21"/>
              </w:rPr>
              <w:t>130,0</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0.00</w:t>
            </w:r>
          </w:p>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元</w:t>
            </w:r>
          </w:p>
        </w:tc>
        <w:tc>
          <w:tcPr>
            <w:tcW w:w="1159"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z w:val="21"/>
              </w:rPr>
              <w:t>11.50</w:t>
            </w:r>
          </w:p>
        </w:tc>
        <w:tc>
          <w:tcPr>
            <w:tcW w:w="1421"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7"/>
              <w:jc w:val="right"/>
              <w:rPr>
                <w:rFonts w:ascii="Times New Roman" w:hAnsi="Times New Roman" w:cs="Times New Roman" w:eastAsia="Times New Roman" w:hint="default"/>
                <w:sz w:val="21"/>
                <w:szCs w:val="21"/>
              </w:rPr>
            </w:pPr>
            <w:r>
              <w:rPr>
                <w:rFonts w:ascii="Times New Roman"/>
                <w:spacing w:val="-1"/>
                <w:sz w:val="21"/>
              </w:rPr>
              <w:t>13,400.00</w:t>
            </w:r>
          </w:p>
        </w:tc>
      </w:tr>
      <w:tr>
        <w:trPr>
          <w:trHeight w:val="312" w:hRule="exact"/>
        </w:trPr>
        <w:tc>
          <w:tcPr>
            <w:tcW w:w="2494"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4" w:right="0"/>
              <w:jc w:val="left"/>
              <w:rPr>
                <w:rFonts w:ascii="宋体" w:hAnsi="宋体" w:cs="宋体" w:eastAsia="宋体" w:hint="default"/>
                <w:sz w:val="21"/>
                <w:szCs w:val="21"/>
              </w:rPr>
            </w:pPr>
            <w:r>
              <w:rPr>
                <w:rFonts w:ascii="宋体" w:hAnsi="宋体" w:cs="宋体" w:eastAsia="宋体" w:hint="default"/>
                <w:sz w:val="21"/>
                <w:szCs w:val="21"/>
              </w:rPr>
              <w:t>北京教育科学研究院</w:t>
            </w:r>
          </w:p>
        </w:tc>
        <w:tc>
          <w:tcPr>
            <w:tcW w:w="1046"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保证金</w:t>
            </w:r>
          </w:p>
        </w:tc>
        <w:tc>
          <w:tcPr>
            <w:tcW w:w="1188"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left="225" w:right="-1"/>
              <w:jc w:val="left"/>
              <w:rPr>
                <w:rFonts w:ascii="Times New Roman" w:hAnsi="Times New Roman" w:cs="Times New Roman" w:eastAsia="Times New Roman" w:hint="default"/>
                <w:sz w:val="21"/>
                <w:szCs w:val="21"/>
              </w:rPr>
            </w:pPr>
            <w:r>
              <w:rPr>
                <w:rFonts w:ascii="Times New Roman"/>
                <w:sz w:val="21"/>
              </w:rPr>
              <w:t>160,000.00</w:t>
            </w:r>
          </w:p>
        </w:tc>
        <w:tc>
          <w:tcPr>
            <w:tcW w:w="1783" w:type="dxa"/>
            <w:tcBorders>
              <w:top w:val="single" w:sz="12" w:space="0" w:color="000000"/>
              <w:left w:val="single" w:sz="6" w:space="0" w:color="000000"/>
              <w:bottom w:val="single" w:sz="12" w:space="0" w:color="000000"/>
              <w:right w:val="single" w:sz="6" w:space="0" w:color="000000"/>
            </w:tcBorders>
          </w:tcPr>
          <w:p>
            <w:pPr>
              <w:pStyle w:val="TableParagraph"/>
              <w:spacing w:line="259"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1159"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z w:val="21"/>
              </w:rPr>
              <w:t>10.82</w:t>
            </w:r>
          </w:p>
        </w:tc>
        <w:tc>
          <w:tcPr>
            <w:tcW w:w="1421"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7"/>
              <w:jc w:val="right"/>
              <w:rPr>
                <w:rFonts w:ascii="Times New Roman" w:hAnsi="Times New Roman" w:cs="Times New Roman" w:eastAsia="Times New Roman" w:hint="default"/>
                <w:sz w:val="21"/>
                <w:szCs w:val="21"/>
              </w:rPr>
            </w:pPr>
            <w:r>
              <w:rPr>
                <w:rFonts w:ascii="Times New Roman"/>
                <w:spacing w:val="-1"/>
                <w:sz w:val="21"/>
              </w:rPr>
              <w:t>1,600.00</w:t>
            </w:r>
          </w:p>
        </w:tc>
      </w:tr>
      <w:tr>
        <w:trPr>
          <w:trHeight w:val="859" w:hRule="exact"/>
        </w:trPr>
        <w:tc>
          <w:tcPr>
            <w:tcW w:w="2494"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4" w:right="-15"/>
              <w:jc w:val="left"/>
              <w:rPr>
                <w:rFonts w:ascii="宋体" w:hAnsi="宋体" w:cs="宋体" w:eastAsia="宋体" w:hint="default"/>
                <w:sz w:val="21"/>
                <w:szCs w:val="21"/>
              </w:rPr>
            </w:pPr>
            <w:r>
              <w:rPr>
                <w:rFonts w:ascii="宋体" w:hAnsi="宋体" w:cs="宋体" w:eastAsia="宋体" w:hint="default"/>
                <w:spacing w:val="13"/>
                <w:sz w:val="21"/>
                <w:szCs w:val="21"/>
              </w:rPr>
              <w:t>深圳市高新区开发建设公</w:t>
            </w:r>
            <w:r>
              <w:rPr>
                <w:rFonts w:ascii="宋体" w:hAnsi="宋体" w:cs="宋体" w:eastAsia="宋体" w:hint="default"/>
                <w:sz w:val="21"/>
                <w:szCs w:val="21"/>
              </w:rPr>
            </w:r>
          </w:p>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046"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押金</w:t>
            </w:r>
          </w:p>
        </w:tc>
        <w:tc>
          <w:tcPr>
            <w:tcW w:w="1188"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left="225" w:right="-1"/>
              <w:jc w:val="left"/>
              <w:rPr>
                <w:rFonts w:ascii="Times New Roman" w:hAnsi="Times New Roman" w:cs="Times New Roman" w:eastAsia="Times New Roman" w:hint="default"/>
                <w:sz w:val="21"/>
                <w:szCs w:val="21"/>
              </w:rPr>
            </w:pPr>
            <w:r>
              <w:rPr>
                <w:rFonts w:ascii="Times New Roman"/>
                <w:sz w:val="21"/>
              </w:rPr>
              <w:t>121,072.14</w:t>
            </w:r>
          </w:p>
        </w:tc>
        <w:tc>
          <w:tcPr>
            <w:tcW w:w="1783" w:type="dxa"/>
            <w:tcBorders>
              <w:top w:val="single" w:sz="12" w:space="0" w:color="000000"/>
              <w:left w:val="single" w:sz="6" w:space="0" w:color="000000"/>
              <w:bottom w:val="single" w:sz="12" w:space="0" w:color="000000"/>
              <w:right w:val="single" w:sz="6" w:space="0" w:color="000000"/>
            </w:tcBorders>
          </w:tcPr>
          <w:p>
            <w:pPr>
              <w:pStyle w:val="TableParagraph"/>
              <w:spacing w:line="250"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r>
              <w:rPr>
                <w:rFonts w:ascii="Times New Roman" w:hAnsi="Times New Roman" w:cs="Times New Roman" w:eastAsia="Times New Roman" w:hint="default"/>
                <w:sz w:val="21"/>
                <w:szCs w:val="21"/>
              </w:rPr>
              <w:t>44,200.94</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元；</w:t>
            </w:r>
            <w:r>
              <w:rPr>
                <w:rFonts w:ascii="Times New Roman" w:hAnsi="Times New Roman" w:cs="Times New Roman" w:eastAsia="Times New Roman" w:hint="default"/>
                <w:sz w:val="21"/>
                <w:szCs w:val="21"/>
              </w:rPr>
              <w:t>3</w:t>
            </w:r>
            <w:r>
              <w:rPr>
                <w:rFonts w:ascii="宋体" w:hAnsi="宋体" w:cs="宋体" w:eastAsia="宋体" w:hint="default"/>
                <w:sz w:val="21"/>
                <w:szCs w:val="21"/>
              </w:rPr>
              <w:t>年以上</w:t>
            </w:r>
          </w:p>
          <w:p>
            <w:pPr>
              <w:pStyle w:val="TableParagraph"/>
              <w:spacing w:line="281"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76,871.20</w:t>
            </w:r>
            <w:r>
              <w:rPr>
                <w:rFonts w:ascii="宋体" w:hAnsi="宋体" w:cs="宋体" w:eastAsia="宋体" w:hint="default"/>
                <w:sz w:val="21"/>
                <w:szCs w:val="21"/>
              </w:rPr>
              <w:t>元</w:t>
            </w:r>
          </w:p>
        </w:tc>
        <w:tc>
          <w:tcPr>
            <w:tcW w:w="1159"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z w:val="21"/>
              </w:rPr>
              <w:t>8.19</w:t>
            </w:r>
          </w:p>
        </w:tc>
        <w:tc>
          <w:tcPr>
            <w:tcW w:w="1421"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7"/>
              <w:jc w:val="right"/>
              <w:rPr>
                <w:rFonts w:ascii="Times New Roman" w:hAnsi="Times New Roman" w:cs="Times New Roman" w:eastAsia="Times New Roman" w:hint="default"/>
                <w:sz w:val="21"/>
                <w:szCs w:val="21"/>
              </w:rPr>
            </w:pPr>
            <w:r>
              <w:rPr>
                <w:rFonts w:ascii="Times New Roman"/>
                <w:spacing w:val="-1"/>
                <w:sz w:val="21"/>
              </w:rPr>
              <w:t>77,313.21</w:t>
            </w:r>
          </w:p>
        </w:tc>
      </w:tr>
      <w:tr>
        <w:trPr>
          <w:trHeight w:val="314" w:hRule="exact"/>
        </w:trPr>
        <w:tc>
          <w:tcPr>
            <w:tcW w:w="2494"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7"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046" w:type="dxa"/>
            <w:tcBorders>
              <w:top w:val="single" w:sz="12" w:space="0" w:color="000000"/>
              <w:left w:val="single" w:sz="6" w:space="0" w:color="000000"/>
              <w:bottom w:val="single" w:sz="12" w:space="0" w:color="000000"/>
              <w:right w:val="single" w:sz="6" w:space="0" w:color="000000"/>
            </w:tcBorders>
          </w:tcPr>
          <w:p>
            <w:pPr/>
          </w:p>
        </w:tc>
        <w:tc>
          <w:tcPr>
            <w:tcW w:w="1188"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left="225" w:right="-1"/>
              <w:jc w:val="left"/>
              <w:rPr>
                <w:rFonts w:ascii="Times New Roman" w:hAnsi="Times New Roman" w:cs="Times New Roman" w:eastAsia="Times New Roman" w:hint="default"/>
                <w:sz w:val="21"/>
                <w:szCs w:val="21"/>
              </w:rPr>
            </w:pPr>
            <w:r>
              <w:rPr>
                <w:rFonts w:ascii="Times New Roman"/>
                <w:sz w:val="21"/>
              </w:rPr>
              <w:t>965,060.14</w:t>
            </w:r>
          </w:p>
        </w:tc>
        <w:tc>
          <w:tcPr>
            <w:tcW w:w="1783" w:type="dxa"/>
            <w:tcBorders>
              <w:top w:val="single" w:sz="12" w:space="0" w:color="000000"/>
              <w:left w:val="single" w:sz="6" w:space="0" w:color="000000"/>
              <w:bottom w:val="single" w:sz="12" w:space="0" w:color="000000"/>
              <w:right w:val="single" w:sz="6" w:space="0" w:color="000000"/>
            </w:tcBorders>
          </w:tcPr>
          <w:p>
            <w:pPr/>
          </w:p>
        </w:tc>
        <w:tc>
          <w:tcPr>
            <w:tcW w:w="1159"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z w:val="21"/>
              </w:rPr>
              <w:t>65.26</w:t>
            </w:r>
          </w:p>
        </w:tc>
        <w:tc>
          <w:tcPr>
            <w:tcW w:w="1421"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5"/>
              <w:jc w:val="right"/>
              <w:rPr>
                <w:rFonts w:ascii="Times New Roman" w:hAnsi="Times New Roman" w:cs="Times New Roman" w:eastAsia="Times New Roman" w:hint="default"/>
                <w:sz w:val="21"/>
                <w:szCs w:val="21"/>
              </w:rPr>
            </w:pPr>
            <w:r>
              <w:rPr>
                <w:rFonts w:ascii="Times New Roman"/>
                <w:spacing w:val="-1"/>
                <w:sz w:val="21"/>
              </w:rPr>
              <w:t>266,743.09</w:t>
            </w:r>
          </w:p>
        </w:tc>
      </w:tr>
    </w:tbl>
    <w:p>
      <w:pPr>
        <w:spacing w:line="240" w:lineRule="auto" w:before="3"/>
        <w:rPr>
          <w:rFonts w:ascii="宋体" w:hAnsi="宋体" w:cs="宋体" w:eastAsia="宋体" w:hint="default"/>
          <w:b/>
          <w:bCs/>
          <w:sz w:val="8"/>
          <w:szCs w:val="8"/>
        </w:rPr>
      </w:pPr>
    </w:p>
    <w:p>
      <w:pPr>
        <w:pStyle w:val="Heading5"/>
        <w:spacing w:line="256" w:lineRule="auto" w:before="36"/>
        <w:ind w:right="0" w:firstLine="412"/>
        <w:jc w:val="left"/>
        <w:rPr>
          <w:b w:val="0"/>
          <w:bCs w:val="0"/>
        </w:rPr>
      </w:pPr>
      <w:r>
        <w:rPr>
          <w:rFonts w:ascii="Times New Roman" w:hAnsi="Times New Roman" w:cs="Times New Roman" w:eastAsia="Times New Roman" w:hint="default"/>
          <w:spacing w:val="-2"/>
        </w:rPr>
        <w:t>6</w:t>
      </w:r>
      <w:r>
        <w:rPr>
          <w:spacing w:val="-2"/>
        </w:rPr>
        <w:t>、其他应收款期末余额比期初余额增加</w:t>
      </w:r>
      <w:r>
        <w:rPr>
          <w:rFonts w:ascii="Times New Roman" w:hAnsi="Times New Roman" w:cs="Times New Roman" w:eastAsia="Times New Roman" w:hint="default"/>
          <w:spacing w:val="-2"/>
        </w:rPr>
        <w:t>566,357.13</w:t>
      </w:r>
      <w:r>
        <w:rPr>
          <w:spacing w:val="-2"/>
        </w:rPr>
        <w:t>元，增幅为</w:t>
      </w:r>
      <w:r>
        <w:rPr>
          <w:rFonts w:ascii="Times New Roman" w:hAnsi="Times New Roman" w:cs="Times New Roman" w:eastAsia="Times New Roman" w:hint="default"/>
          <w:spacing w:val="-2"/>
        </w:rPr>
        <w:t>62.06%</w:t>
      </w:r>
      <w:r>
        <w:rPr>
          <w:spacing w:val="-2"/>
        </w:rPr>
        <w:t>，主要系本公司应收的保证金、</w:t>
      </w:r>
      <w:r>
        <w:rPr>
          <w:w w:val="100"/>
        </w:rPr>
        <w:t> </w:t>
      </w:r>
      <w:r>
        <w:rPr/>
        <w:t>押金及备用金增加所致。</w:t>
      </w:r>
      <w:r>
        <w:rPr>
          <w:b w:val="0"/>
          <w:bCs w:val="0"/>
        </w:rPr>
      </w:r>
    </w:p>
    <w:p>
      <w:pPr>
        <w:pStyle w:val="Heading5"/>
        <w:spacing w:line="240" w:lineRule="auto" w:before="178"/>
        <w:ind w:left="580" w:right="0"/>
        <w:jc w:val="left"/>
        <w:rPr>
          <w:b w:val="0"/>
          <w:bCs w:val="0"/>
        </w:rPr>
      </w:pPr>
      <w:r>
        <w:rPr/>
        <w:t>（七）存货</w:t>
      </w:r>
      <w:r>
        <w:rPr>
          <w:b w:val="0"/>
          <w:bCs w:val="0"/>
        </w:rPr>
      </w:r>
    </w:p>
    <w:p>
      <w:pPr>
        <w:pStyle w:val="Heading5"/>
        <w:spacing w:line="240" w:lineRule="auto" w:before="37"/>
        <w:ind w:left="580" w:right="0"/>
        <w:jc w:val="left"/>
        <w:rPr>
          <w:b w:val="0"/>
          <w:bCs w:val="0"/>
        </w:rPr>
      </w:pPr>
      <w:r>
        <w:rPr>
          <w:rFonts w:ascii="Times New Roman" w:hAnsi="Times New Roman" w:cs="Times New Roman" w:eastAsia="Times New Roman" w:hint="default"/>
        </w:rPr>
        <w:t>1</w:t>
      </w:r>
      <w:r>
        <w:rPr/>
        <w:t>、存货分类</w:t>
      </w:r>
      <w:r>
        <w:rPr>
          <w:b w:val="0"/>
          <w:bCs w:val="0"/>
        </w:rPr>
      </w:r>
    </w:p>
    <w:p>
      <w:pPr>
        <w:spacing w:line="240" w:lineRule="auto" w:before="8"/>
        <w:rPr>
          <w:rFonts w:ascii="宋体" w:hAnsi="宋体" w:cs="宋体" w:eastAsia="宋体" w:hint="default"/>
          <w:b/>
          <w:bCs/>
          <w:sz w:val="2"/>
          <w:szCs w:val="2"/>
        </w:rPr>
      </w:pPr>
    </w:p>
    <w:tbl>
      <w:tblPr>
        <w:tblW w:w="0" w:type="auto"/>
        <w:jc w:val="left"/>
        <w:tblInd w:w="145" w:type="dxa"/>
        <w:tblLayout w:type="fixed"/>
        <w:tblCellMar>
          <w:top w:w="0" w:type="dxa"/>
          <w:left w:w="0" w:type="dxa"/>
          <w:bottom w:w="0" w:type="dxa"/>
          <w:right w:w="0" w:type="dxa"/>
        </w:tblCellMar>
        <w:tblLook w:val="01E0"/>
      </w:tblPr>
      <w:tblGrid>
        <w:gridCol w:w="982"/>
        <w:gridCol w:w="1342"/>
        <w:gridCol w:w="1157"/>
        <w:gridCol w:w="1344"/>
        <w:gridCol w:w="1490"/>
        <w:gridCol w:w="1337"/>
        <w:gridCol w:w="1435"/>
      </w:tblGrid>
      <w:tr>
        <w:trPr>
          <w:trHeight w:val="355" w:hRule="exact"/>
        </w:trPr>
        <w:tc>
          <w:tcPr>
            <w:tcW w:w="982" w:type="dxa"/>
            <w:vMerge w:val="restart"/>
            <w:tcBorders>
              <w:top w:val="single" w:sz="6" w:space="0" w:color="000000"/>
              <w:left w:val="single" w:sz="6" w:space="0" w:color="000000"/>
              <w:right w:val="single" w:sz="6" w:space="0" w:color="000000"/>
            </w:tcBorders>
          </w:tcPr>
          <w:p>
            <w:pPr>
              <w:pStyle w:val="TableParagraph"/>
              <w:spacing w:line="253" w:lineRule="exact"/>
              <w:ind w:left="273"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3842" w:type="dxa"/>
            <w:gridSpan w:val="3"/>
            <w:tcBorders>
              <w:top w:val="single" w:sz="6" w:space="0" w:color="000000"/>
              <w:left w:val="single" w:sz="6" w:space="0" w:color="000000"/>
              <w:bottom w:val="single" w:sz="12" w:space="0" w:color="000000"/>
              <w:right w:val="single" w:sz="6"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262" w:type="dxa"/>
            <w:gridSpan w:val="3"/>
            <w:tcBorders>
              <w:top w:val="single" w:sz="6" w:space="0" w:color="000000"/>
              <w:left w:val="single" w:sz="6" w:space="0" w:color="000000"/>
              <w:bottom w:val="single" w:sz="12" w:space="0" w:color="000000"/>
              <w:right w:val="nil" w:sz="6" w:space="0" w:color="auto"/>
            </w:tcBorders>
          </w:tcPr>
          <w:p>
            <w:pPr>
              <w:pStyle w:val="TableParagraph"/>
              <w:spacing w:line="253" w:lineRule="exact"/>
              <w:ind w:right="2"/>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53" w:hRule="exact"/>
        </w:trPr>
        <w:tc>
          <w:tcPr>
            <w:tcW w:w="982" w:type="dxa"/>
            <w:vMerge/>
            <w:tcBorders>
              <w:left w:val="single" w:sz="6" w:space="0" w:color="000000"/>
              <w:bottom w:val="single" w:sz="12" w:space="0" w:color="000000"/>
              <w:right w:val="single" w:sz="6" w:space="0" w:color="000000"/>
            </w:tcBorders>
          </w:tcPr>
          <w:p>
            <w:pPr/>
          </w:p>
        </w:tc>
        <w:tc>
          <w:tcPr>
            <w:tcW w:w="1342"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24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57"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151"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344"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244"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490"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31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37"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242"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435" w:type="dxa"/>
            <w:tcBorders>
              <w:top w:val="single" w:sz="12" w:space="0" w:color="000000"/>
              <w:left w:val="single" w:sz="6" w:space="0" w:color="000000"/>
              <w:bottom w:val="single" w:sz="12" w:space="0" w:color="000000"/>
              <w:right w:val="nil" w:sz="6" w:space="0" w:color="auto"/>
            </w:tcBorders>
          </w:tcPr>
          <w:p>
            <w:pPr>
              <w:pStyle w:val="TableParagraph"/>
              <w:spacing w:line="241" w:lineRule="exact"/>
              <w:ind w:left="292"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350" w:hRule="exact"/>
        </w:trPr>
        <w:tc>
          <w:tcPr>
            <w:tcW w:w="982"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4"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342"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left="220" w:right="0"/>
              <w:jc w:val="left"/>
              <w:rPr>
                <w:rFonts w:ascii="Times New Roman" w:hAnsi="Times New Roman" w:cs="Times New Roman" w:eastAsia="Times New Roman" w:hint="default"/>
                <w:sz w:val="21"/>
                <w:szCs w:val="21"/>
              </w:rPr>
            </w:pPr>
            <w:r>
              <w:rPr>
                <w:rFonts w:ascii="Times New Roman"/>
                <w:sz w:val="21"/>
              </w:rPr>
              <w:t>4,959,212.75</w:t>
            </w:r>
          </w:p>
        </w:tc>
        <w:tc>
          <w:tcPr>
            <w:tcW w:w="1157"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left="194" w:right="-1"/>
              <w:jc w:val="left"/>
              <w:rPr>
                <w:rFonts w:ascii="Times New Roman" w:hAnsi="Times New Roman" w:cs="Times New Roman" w:eastAsia="Times New Roman" w:hint="default"/>
                <w:sz w:val="21"/>
                <w:szCs w:val="21"/>
              </w:rPr>
            </w:pPr>
            <w:r>
              <w:rPr>
                <w:rFonts w:ascii="Times New Roman"/>
                <w:sz w:val="21"/>
              </w:rPr>
              <w:t>789,537.49</w:t>
            </w:r>
          </w:p>
        </w:tc>
        <w:tc>
          <w:tcPr>
            <w:tcW w:w="1344"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4,169,675.26</w:t>
            </w:r>
          </w:p>
        </w:tc>
        <w:tc>
          <w:tcPr>
            <w:tcW w:w="1490"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left="371" w:right="-1"/>
              <w:jc w:val="left"/>
              <w:rPr>
                <w:rFonts w:ascii="Times New Roman" w:hAnsi="Times New Roman" w:cs="Times New Roman" w:eastAsia="Times New Roman" w:hint="default"/>
                <w:sz w:val="21"/>
                <w:szCs w:val="21"/>
              </w:rPr>
            </w:pPr>
            <w:r>
              <w:rPr>
                <w:rFonts w:ascii="Times New Roman"/>
                <w:sz w:val="21"/>
              </w:rPr>
              <w:t>6,446,834.28</w:t>
            </w:r>
          </w:p>
        </w:tc>
        <w:tc>
          <w:tcPr>
            <w:tcW w:w="1337"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542,045.90</w:t>
            </w:r>
          </w:p>
        </w:tc>
        <w:tc>
          <w:tcPr>
            <w:tcW w:w="1435"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left="319" w:right="0"/>
              <w:jc w:val="left"/>
              <w:rPr>
                <w:rFonts w:ascii="Times New Roman" w:hAnsi="Times New Roman" w:cs="Times New Roman" w:eastAsia="Times New Roman" w:hint="default"/>
                <w:sz w:val="21"/>
                <w:szCs w:val="21"/>
              </w:rPr>
            </w:pPr>
            <w:r>
              <w:rPr>
                <w:rFonts w:ascii="Times New Roman"/>
                <w:sz w:val="21"/>
              </w:rPr>
              <w:t>5,904,788.38</w:t>
            </w:r>
          </w:p>
        </w:tc>
      </w:tr>
      <w:tr>
        <w:trPr>
          <w:trHeight w:val="353" w:hRule="exact"/>
        </w:trPr>
        <w:tc>
          <w:tcPr>
            <w:tcW w:w="982"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4"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342"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left="220" w:right="0"/>
              <w:jc w:val="left"/>
              <w:rPr>
                <w:rFonts w:ascii="Times New Roman" w:hAnsi="Times New Roman" w:cs="Times New Roman" w:eastAsia="Times New Roman" w:hint="default"/>
                <w:sz w:val="21"/>
                <w:szCs w:val="21"/>
              </w:rPr>
            </w:pPr>
            <w:r>
              <w:rPr>
                <w:rFonts w:ascii="Times New Roman"/>
                <w:sz w:val="21"/>
              </w:rPr>
              <w:t>1,176,973.52</w:t>
            </w:r>
          </w:p>
        </w:tc>
        <w:tc>
          <w:tcPr>
            <w:tcW w:w="1157"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left="194" w:right="-1"/>
              <w:jc w:val="left"/>
              <w:rPr>
                <w:rFonts w:ascii="Times New Roman" w:hAnsi="Times New Roman" w:cs="Times New Roman" w:eastAsia="Times New Roman" w:hint="default"/>
                <w:sz w:val="21"/>
                <w:szCs w:val="21"/>
              </w:rPr>
            </w:pPr>
            <w:r>
              <w:rPr>
                <w:rFonts w:ascii="Times New Roman"/>
                <w:sz w:val="21"/>
              </w:rPr>
              <w:t>208,767.21</w:t>
            </w:r>
          </w:p>
        </w:tc>
        <w:tc>
          <w:tcPr>
            <w:tcW w:w="1344"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968,206.31</w:t>
            </w:r>
          </w:p>
        </w:tc>
        <w:tc>
          <w:tcPr>
            <w:tcW w:w="1490"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left="371" w:right="-1"/>
              <w:jc w:val="left"/>
              <w:rPr>
                <w:rFonts w:ascii="Times New Roman" w:hAnsi="Times New Roman" w:cs="Times New Roman" w:eastAsia="Times New Roman" w:hint="default"/>
                <w:sz w:val="21"/>
                <w:szCs w:val="21"/>
              </w:rPr>
            </w:pPr>
            <w:r>
              <w:rPr>
                <w:rFonts w:ascii="Times New Roman"/>
                <w:sz w:val="21"/>
              </w:rPr>
              <w:t>1,233,804.38</w:t>
            </w:r>
          </w:p>
        </w:tc>
        <w:tc>
          <w:tcPr>
            <w:tcW w:w="1337"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170,025.34</w:t>
            </w:r>
          </w:p>
        </w:tc>
        <w:tc>
          <w:tcPr>
            <w:tcW w:w="1435"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left="319" w:right="0"/>
              <w:jc w:val="left"/>
              <w:rPr>
                <w:rFonts w:ascii="Times New Roman" w:hAnsi="Times New Roman" w:cs="Times New Roman" w:eastAsia="Times New Roman" w:hint="default"/>
                <w:sz w:val="21"/>
                <w:szCs w:val="21"/>
              </w:rPr>
            </w:pPr>
            <w:r>
              <w:rPr>
                <w:rFonts w:ascii="Times New Roman"/>
                <w:sz w:val="21"/>
              </w:rPr>
              <w:t>1,063,779.04</w:t>
            </w:r>
          </w:p>
        </w:tc>
      </w:tr>
      <w:tr>
        <w:trPr>
          <w:trHeight w:val="353" w:hRule="exact"/>
        </w:trPr>
        <w:tc>
          <w:tcPr>
            <w:tcW w:w="982"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27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42"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left="220" w:right="0"/>
              <w:jc w:val="left"/>
              <w:rPr>
                <w:rFonts w:ascii="Times New Roman" w:hAnsi="Times New Roman" w:cs="Times New Roman" w:eastAsia="Times New Roman" w:hint="default"/>
                <w:sz w:val="21"/>
                <w:szCs w:val="21"/>
              </w:rPr>
            </w:pPr>
            <w:r>
              <w:rPr>
                <w:rFonts w:ascii="Times New Roman"/>
                <w:sz w:val="21"/>
              </w:rPr>
              <w:t>6,136,186.27</w:t>
            </w:r>
          </w:p>
        </w:tc>
        <w:tc>
          <w:tcPr>
            <w:tcW w:w="1157"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left="191" w:right="0"/>
              <w:jc w:val="left"/>
              <w:rPr>
                <w:rFonts w:ascii="Times New Roman" w:hAnsi="Times New Roman" w:cs="Times New Roman" w:eastAsia="Times New Roman" w:hint="default"/>
                <w:sz w:val="21"/>
                <w:szCs w:val="21"/>
              </w:rPr>
            </w:pPr>
            <w:r>
              <w:rPr>
                <w:rFonts w:ascii="Times New Roman"/>
                <w:sz w:val="21"/>
              </w:rPr>
              <w:t>998,304.70</w:t>
            </w:r>
          </w:p>
        </w:tc>
        <w:tc>
          <w:tcPr>
            <w:tcW w:w="1344"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Times New Roman" w:hAnsi="Times New Roman" w:cs="Times New Roman" w:eastAsia="Times New Roman" w:hint="default"/>
                <w:sz w:val="21"/>
                <w:szCs w:val="21"/>
              </w:rPr>
            </w:pPr>
            <w:r>
              <w:rPr>
                <w:rFonts w:ascii="Times New Roman"/>
                <w:spacing w:val="-1"/>
                <w:sz w:val="21"/>
              </w:rPr>
              <w:t>5,137,881.57</w:t>
            </w:r>
          </w:p>
        </w:tc>
        <w:tc>
          <w:tcPr>
            <w:tcW w:w="1490"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left="371" w:right="-1"/>
              <w:jc w:val="left"/>
              <w:rPr>
                <w:rFonts w:ascii="Times New Roman" w:hAnsi="Times New Roman" w:cs="Times New Roman" w:eastAsia="Times New Roman" w:hint="default"/>
                <w:sz w:val="21"/>
                <w:szCs w:val="21"/>
              </w:rPr>
            </w:pPr>
            <w:r>
              <w:rPr>
                <w:rFonts w:ascii="Times New Roman"/>
                <w:sz w:val="21"/>
              </w:rPr>
              <w:t>7,680,638.66</w:t>
            </w:r>
          </w:p>
        </w:tc>
        <w:tc>
          <w:tcPr>
            <w:tcW w:w="1337"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712,071.24</w:t>
            </w:r>
          </w:p>
        </w:tc>
        <w:tc>
          <w:tcPr>
            <w:tcW w:w="1435"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left="319" w:right="0"/>
              <w:jc w:val="left"/>
              <w:rPr>
                <w:rFonts w:ascii="Times New Roman" w:hAnsi="Times New Roman" w:cs="Times New Roman" w:eastAsia="Times New Roman" w:hint="default"/>
                <w:sz w:val="21"/>
                <w:szCs w:val="21"/>
              </w:rPr>
            </w:pPr>
            <w:r>
              <w:rPr>
                <w:rFonts w:ascii="Times New Roman"/>
                <w:sz w:val="21"/>
              </w:rPr>
              <w:t>6,968,567.42</w:t>
            </w:r>
          </w:p>
        </w:tc>
      </w:tr>
    </w:tbl>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3"/>
          <w:szCs w:val="23"/>
        </w:rPr>
      </w:pPr>
    </w:p>
    <w:p>
      <w:pPr>
        <w:pStyle w:val="Heading5"/>
        <w:spacing w:line="240" w:lineRule="auto" w:before="36"/>
        <w:ind w:left="575" w:right="0"/>
        <w:jc w:val="left"/>
        <w:rPr>
          <w:b w:val="0"/>
          <w:bCs w:val="0"/>
        </w:rPr>
      </w:pPr>
      <w:r>
        <w:rPr>
          <w:rFonts w:ascii="Times New Roman" w:hAnsi="Times New Roman" w:cs="Times New Roman" w:eastAsia="Times New Roman" w:hint="default"/>
        </w:rPr>
        <w:t>2</w:t>
      </w:r>
      <w:r>
        <w:rPr/>
        <w:t>．存货跌价准备</w:t>
      </w:r>
      <w:r>
        <w:rPr>
          <w:b w:val="0"/>
          <w:bCs w:val="0"/>
        </w:rPr>
      </w:r>
    </w:p>
    <w:p>
      <w:pPr>
        <w:spacing w:line="240" w:lineRule="auto" w:before="8"/>
        <w:rPr>
          <w:rFonts w:ascii="宋体" w:hAnsi="宋体" w:cs="宋体" w:eastAsia="宋体" w:hint="default"/>
          <w:b/>
          <w:bCs/>
          <w:sz w:val="2"/>
          <w:szCs w:val="2"/>
        </w:rPr>
      </w:pPr>
    </w:p>
    <w:tbl>
      <w:tblPr>
        <w:tblW w:w="0" w:type="auto"/>
        <w:jc w:val="left"/>
        <w:tblInd w:w="145" w:type="dxa"/>
        <w:tblLayout w:type="fixed"/>
        <w:tblCellMar>
          <w:top w:w="0" w:type="dxa"/>
          <w:left w:w="0" w:type="dxa"/>
          <w:bottom w:w="0" w:type="dxa"/>
          <w:right w:w="0" w:type="dxa"/>
        </w:tblCellMar>
        <w:tblLook w:val="01E0"/>
      </w:tblPr>
      <w:tblGrid>
        <w:gridCol w:w="1668"/>
        <w:gridCol w:w="1632"/>
        <w:gridCol w:w="1399"/>
        <w:gridCol w:w="1222"/>
        <w:gridCol w:w="1418"/>
        <w:gridCol w:w="1447"/>
      </w:tblGrid>
      <w:tr>
        <w:trPr>
          <w:trHeight w:val="355" w:hRule="exact"/>
        </w:trPr>
        <w:tc>
          <w:tcPr>
            <w:tcW w:w="1668" w:type="dxa"/>
            <w:vMerge w:val="restart"/>
            <w:tcBorders>
              <w:top w:val="single" w:sz="6" w:space="0" w:color="000000"/>
              <w:left w:val="single" w:sz="6" w:space="0" w:color="000000"/>
              <w:right w:val="single" w:sz="6" w:space="0" w:color="000000"/>
            </w:tcBorders>
          </w:tcPr>
          <w:p>
            <w:pPr>
              <w:pStyle w:val="TableParagraph"/>
              <w:spacing w:line="250" w:lineRule="exact"/>
              <w:ind w:left="408" w:right="0"/>
              <w:jc w:val="left"/>
              <w:rPr>
                <w:rFonts w:ascii="宋体" w:hAnsi="宋体" w:cs="宋体" w:eastAsia="宋体" w:hint="default"/>
                <w:sz w:val="21"/>
                <w:szCs w:val="21"/>
              </w:rPr>
            </w:pPr>
            <w:r>
              <w:rPr>
                <w:rFonts w:ascii="宋体" w:hAnsi="宋体" w:cs="宋体" w:eastAsia="宋体" w:hint="default"/>
                <w:sz w:val="21"/>
                <w:szCs w:val="21"/>
              </w:rPr>
              <w:t>存货种类</w:t>
            </w:r>
          </w:p>
        </w:tc>
        <w:tc>
          <w:tcPr>
            <w:tcW w:w="1632" w:type="dxa"/>
            <w:vMerge w:val="restart"/>
            <w:tcBorders>
              <w:top w:val="single" w:sz="6" w:space="0" w:color="000000"/>
              <w:left w:val="single" w:sz="6" w:space="0" w:color="000000"/>
              <w:right w:val="single" w:sz="6" w:space="0" w:color="000000"/>
            </w:tcBorders>
          </w:tcPr>
          <w:p>
            <w:pPr>
              <w:pStyle w:val="TableParagraph"/>
              <w:spacing w:line="250" w:lineRule="exact"/>
              <w:ind w:left="17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399" w:type="dxa"/>
            <w:vMerge w:val="restart"/>
            <w:tcBorders>
              <w:top w:val="single" w:sz="6" w:space="0" w:color="000000"/>
              <w:left w:val="single" w:sz="6" w:space="0" w:color="000000"/>
              <w:right w:val="single" w:sz="6" w:space="0" w:color="000000"/>
            </w:tcBorders>
          </w:tcPr>
          <w:p>
            <w:pPr>
              <w:pStyle w:val="TableParagraph"/>
              <w:spacing w:line="250" w:lineRule="exact"/>
              <w:ind w:left="168" w:right="0"/>
              <w:jc w:val="left"/>
              <w:rPr>
                <w:rFonts w:ascii="宋体" w:hAnsi="宋体" w:cs="宋体" w:eastAsia="宋体" w:hint="default"/>
                <w:sz w:val="21"/>
                <w:szCs w:val="21"/>
              </w:rPr>
            </w:pPr>
            <w:r>
              <w:rPr>
                <w:rFonts w:ascii="宋体" w:hAnsi="宋体" w:cs="宋体" w:eastAsia="宋体" w:hint="default"/>
                <w:sz w:val="21"/>
                <w:szCs w:val="21"/>
              </w:rPr>
              <w:t>本期计提额</w:t>
            </w:r>
          </w:p>
        </w:tc>
        <w:tc>
          <w:tcPr>
            <w:tcW w:w="2640" w:type="dxa"/>
            <w:gridSpan w:val="2"/>
            <w:tcBorders>
              <w:top w:val="single" w:sz="6" w:space="0" w:color="000000"/>
              <w:left w:val="single" w:sz="6" w:space="0" w:color="000000"/>
              <w:bottom w:val="single" w:sz="12" w:space="0" w:color="000000"/>
              <w:right w:val="single" w:sz="6" w:space="0" w:color="000000"/>
            </w:tcBorders>
          </w:tcPr>
          <w:p>
            <w:pPr>
              <w:pStyle w:val="TableParagraph"/>
              <w:spacing w:line="250" w:lineRule="exact"/>
              <w:ind w:left="787" w:right="0"/>
              <w:jc w:val="left"/>
              <w:rPr>
                <w:rFonts w:ascii="宋体" w:hAnsi="宋体" w:cs="宋体" w:eastAsia="宋体" w:hint="default"/>
                <w:sz w:val="21"/>
                <w:szCs w:val="21"/>
              </w:rPr>
            </w:pPr>
            <w:r>
              <w:rPr>
                <w:rFonts w:ascii="宋体" w:hAnsi="宋体" w:cs="宋体" w:eastAsia="宋体" w:hint="default"/>
                <w:sz w:val="21"/>
                <w:szCs w:val="21"/>
              </w:rPr>
              <w:t>本期减少额</w:t>
            </w:r>
          </w:p>
        </w:tc>
        <w:tc>
          <w:tcPr>
            <w:tcW w:w="1447" w:type="dxa"/>
            <w:vMerge w:val="restart"/>
            <w:tcBorders>
              <w:top w:val="single" w:sz="6" w:space="0" w:color="000000"/>
              <w:left w:val="single" w:sz="6" w:space="0" w:color="000000"/>
              <w:right w:val="nil" w:sz="6" w:space="0" w:color="auto"/>
            </w:tcBorders>
          </w:tcPr>
          <w:p>
            <w:pPr>
              <w:pStyle w:val="TableParagraph"/>
              <w:spacing w:line="250" w:lineRule="exact"/>
              <w:ind w:left="86"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350" w:hRule="exact"/>
        </w:trPr>
        <w:tc>
          <w:tcPr>
            <w:tcW w:w="1668" w:type="dxa"/>
            <w:vMerge/>
            <w:tcBorders>
              <w:left w:val="single" w:sz="6" w:space="0" w:color="000000"/>
              <w:bottom w:val="single" w:sz="12" w:space="0" w:color="000000"/>
              <w:right w:val="single" w:sz="6" w:space="0" w:color="000000"/>
            </w:tcBorders>
          </w:tcPr>
          <w:p>
            <w:pPr/>
          </w:p>
        </w:tc>
        <w:tc>
          <w:tcPr>
            <w:tcW w:w="1632" w:type="dxa"/>
            <w:vMerge/>
            <w:tcBorders>
              <w:left w:val="single" w:sz="6" w:space="0" w:color="000000"/>
              <w:bottom w:val="single" w:sz="12" w:space="0" w:color="000000"/>
              <w:right w:val="single" w:sz="6" w:space="0" w:color="000000"/>
            </w:tcBorders>
          </w:tcPr>
          <w:p>
            <w:pPr/>
          </w:p>
        </w:tc>
        <w:tc>
          <w:tcPr>
            <w:tcW w:w="1399" w:type="dxa"/>
            <w:vMerge/>
            <w:tcBorders>
              <w:left w:val="single" w:sz="6" w:space="0" w:color="000000"/>
              <w:bottom w:val="single" w:sz="12" w:space="0" w:color="000000"/>
              <w:right w:val="single" w:sz="6" w:space="0" w:color="000000"/>
            </w:tcBorders>
          </w:tcPr>
          <w:p>
            <w:pPr/>
          </w:p>
        </w:tc>
        <w:tc>
          <w:tcPr>
            <w:tcW w:w="1222"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393" w:right="0"/>
              <w:jc w:val="left"/>
              <w:rPr>
                <w:rFonts w:ascii="宋体" w:hAnsi="宋体" w:cs="宋体" w:eastAsia="宋体" w:hint="default"/>
                <w:sz w:val="21"/>
                <w:szCs w:val="21"/>
              </w:rPr>
            </w:pPr>
            <w:r>
              <w:rPr>
                <w:rFonts w:ascii="宋体" w:hAnsi="宋体" w:cs="宋体" w:eastAsia="宋体" w:hint="default"/>
                <w:sz w:val="21"/>
                <w:szCs w:val="21"/>
              </w:rPr>
              <w:t>转回</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转销</w:t>
            </w:r>
          </w:p>
        </w:tc>
        <w:tc>
          <w:tcPr>
            <w:tcW w:w="1447" w:type="dxa"/>
            <w:vMerge/>
            <w:tcBorders>
              <w:left w:val="single" w:sz="6" w:space="0" w:color="000000"/>
              <w:bottom w:val="single" w:sz="12" w:space="0" w:color="000000"/>
              <w:right w:val="nil" w:sz="6" w:space="0" w:color="auto"/>
            </w:tcBorders>
          </w:tcPr>
          <w:p>
            <w:pPr/>
          </w:p>
        </w:tc>
      </w:tr>
      <w:tr>
        <w:trPr>
          <w:trHeight w:val="353" w:hRule="exact"/>
        </w:trPr>
        <w:tc>
          <w:tcPr>
            <w:tcW w:w="1668"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4"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632"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3"/>
              <w:jc w:val="right"/>
              <w:rPr>
                <w:rFonts w:ascii="Times New Roman" w:hAnsi="Times New Roman" w:cs="Times New Roman" w:eastAsia="Times New Roman" w:hint="default"/>
                <w:sz w:val="21"/>
                <w:szCs w:val="21"/>
              </w:rPr>
            </w:pPr>
            <w:r>
              <w:rPr>
                <w:rFonts w:ascii="Times New Roman"/>
                <w:spacing w:val="-1"/>
                <w:sz w:val="21"/>
              </w:rPr>
              <w:t>542,045.90</w:t>
            </w:r>
          </w:p>
        </w:tc>
        <w:tc>
          <w:tcPr>
            <w:tcW w:w="1399"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1,425,339.91</w:t>
            </w:r>
          </w:p>
        </w:tc>
        <w:tc>
          <w:tcPr>
            <w:tcW w:w="1222"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left="362" w:right="0"/>
              <w:jc w:val="left"/>
              <w:rPr>
                <w:rFonts w:ascii="Times New Roman" w:hAnsi="Times New Roman" w:cs="Times New Roman" w:eastAsia="Times New Roman" w:hint="default"/>
                <w:sz w:val="21"/>
                <w:szCs w:val="21"/>
              </w:rPr>
            </w:pPr>
            <w:r>
              <w:rPr>
                <w:rFonts w:ascii="Times New Roman"/>
                <w:sz w:val="21"/>
              </w:rPr>
              <w:t>44,696.01</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2"/>
              <w:jc w:val="right"/>
              <w:rPr>
                <w:rFonts w:ascii="Times New Roman" w:hAnsi="Times New Roman" w:cs="Times New Roman" w:eastAsia="Times New Roman" w:hint="default"/>
                <w:sz w:val="21"/>
                <w:szCs w:val="21"/>
              </w:rPr>
            </w:pPr>
            <w:r>
              <w:rPr>
                <w:rFonts w:ascii="Times New Roman"/>
                <w:spacing w:val="-1"/>
                <w:sz w:val="21"/>
              </w:rPr>
              <w:t>1,133,152.31</w:t>
            </w:r>
          </w:p>
        </w:tc>
        <w:tc>
          <w:tcPr>
            <w:tcW w:w="1447"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5"/>
              <w:jc w:val="right"/>
              <w:rPr>
                <w:rFonts w:ascii="Times New Roman" w:hAnsi="Times New Roman" w:cs="Times New Roman" w:eastAsia="Times New Roman" w:hint="default"/>
                <w:sz w:val="21"/>
                <w:szCs w:val="21"/>
              </w:rPr>
            </w:pPr>
            <w:r>
              <w:rPr>
                <w:rFonts w:ascii="Times New Roman"/>
                <w:spacing w:val="-1"/>
                <w:sz w:val="21"/>
              </w:rPr>
              <w:t>789,537.49</w:t>
            </w:r>
          </w:p>
        </w:tc>
      </w:tr>
      <w:tr>
        <w:trPr>
          <w:trHeight w:val="353" w:hRule="exact"/>
        </w:trPr>
        <w:tc>
          <w:tcPr>
            <w:tcW w:w="1668"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4"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632"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3"/>
              <w:jc w:val="right"/>
              <w:rPr>
                <w:rFonts w:ascii="Times New Roman" w:hAnsi="Times New Roman" w:cs="Times New Roman" w:eastAsia="Times New Roman" w:hint="default"/>
                <w:sz w:val="21"/>
                <w:szCs w:val="21"/>
              </w:rPr>
            </w:pPr>
            <w:r>
              <w:rPr>
                <w:rFonts w:ascii="Times New Roman"/>
                <w:spacing w:val="-1"/>
                <w:sz w:val="21"/>
              </w:rPr>
              <w:t>170,025.34</w:t>
            </w:r>
          </w:p>
        </w:tc>
        <w:tc>
          <w:tcPr>
            <w:tcW w:w="1399"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182,485.17</w:t>
            </w:r>
          </w:p>
        </w:tc>
        <w:tc>
          <w:tcPr>
            <w:tcW w:w="1222"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left="362" w:right="0"/>
              <w:jc w:val="left"/>
              <w:rPr>
                <w:rFonts w:ascii="Times New Roman" w:hAnsi="Times New Roman" w:cs="Times New Roman" w:eastAsia="Times New Roman" w:hint="default"/>
                <w:sz w:val="21"/>
                <w:szCs w:val="21"/>
              </w:rPr>
            </w:pPr>
            <w:r>
              <w:rPr>
                <w:rFonts w:ascii="Times New Roman"/>
                <w:sz w:val="21"/>
              </w:rPr>
              <w:t>10,396.86</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2"/>
              <w:jc w:val="right"/>
              <w:rPr>
                <w:rFonts w:ascii="Times New Roman" w:hAnsi="Times New Roman" w:cs="Times New Roman" w:eastAsia="Times New Roman" w:hint="default"/>
                <w:sz w:val="21"/>
                <w:szCs w:val="21"/>
              </w:rPr>
            </w:pPr>
            <w:r>
              <w:rPr>
                <w:rFonts w:ascii="Times New Roman"/>
                <w:spacing w:val="-1"/>
                <w:sz w:val="21"/>
              </w:rPr>
              <w:t>133,346.44</w:t>
            </w:r>
          </w:p>
        </w:tc>
        <w:tc>
          <w:tcPr>
            <w:tcW w:w="1447"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5"/>
              <w:jc w:val="right"/>
              <w:rPr>
                <w:rFonts w:ascii="Times New Roman" w:hAnsi="Times New Roman" w:cs="Times New Roman" w:eastAsia="Times New Roman" w:hint="default"/>
                <w:sz w:val="21"/>
                <w:szCs w:val="21"/>
              </w:rPr>
            </w:pPr>
            <w:r>
              <w:rPr>
                <w:rFonts w:ascii="Times New Roman"/>
                <w:spacing w:val="-1"/>
                <w:sz w:val="21"/>
              </w:rPr>
              <w:t>208,767.21</w:t>
            </w:r>
          </w:p>
        </w:tc>
      </w:tr>
    </w:tbl>
    <w:p>
      <w:pPr>
        <w:spacing w:after="0" w:line="235" w:lineRule="exact"/>
        <w:jc w:val="right"/>
        <w:rPr>
          <w:rFonts w:ascii="Times New Roman" w:hAnsi="Times New Roman" w:cs="Times New Roman" w:eastAsia="Times New Roman" w:hint="default"/>
          <w:sz w:val="21"/>
          <w:szCs w:val="21"/>
        </w:rPr>
        <w:sectPr>
          <w:pgSz w:w="11910" w:h="16840"/>
          <w:pgMar w:header="880" w:footer="979" w:top="1060" w:bottom="1160" w:left="980" w:right="940"/>
        </w:sectPr>
      </w:pPr>
    </w:p>
    <w:p>
      <w:pPr>
        <w:spacing w:line="240" w:lineRule="auto" w:before="4"/>
        <w:rPr>
          <w:rFonts w:ascii="宋体" w:hAnsi="宋体" w:cs="宋体" w:eastAsia="宋体" w:hint="default"/>
          <w:b/>
          <w:bCs/>
          <w:sz w:val="28"/>
          <w:szCs w:val="28"/>
        </w:rPr>
      </w:pPr>
    </w:p>
    <w:tbl>
      <w:tblPr>
        <w:tblW w:w="0" w:type="auto"/>
        <w:jc w:val="left"/>
        <w:tblInd w:w="145" w:type="dxa"/>
        <w:tblLayout w:type="fixed"/>
        <w:tblCellMar>
          <w:top w:w="0" w:type="dxa"/>
          <w:left w:w="0" w:type="dxa"/>
          <w:bottom w:w="0" w:type="dxa"/>
          <w:right w:w="0" w:type="dxa"/>
        </w:tblCellMar>
        <w:tblLook w:val="01E0"/>
      </w:tblPr>
      <w:tblGrid>
        <w:gridCol w:w="1668"/>
        <w:gridCol w:w="1632"/>
        <w:gridCol w:w="1399"/>
        <w:gridCol w:w="1222"/>
        <w:gridCol w:w="1418"/>
        <w:gridCol w:w="1447"/>
      </w:tblGrid>
      <w:tr>
        <w:trPr>
          <w:trHeight w:val="355" w:hRule="exact"/>
        </w:trPr>
        <w:tc>
          <w:tcPr>
            <w:tcW w:w="1668"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left="7"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3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
              <w:ind w:left="671" w:right="-3"/>
              <w:jc w:val="left"/>
              <w:rPr>
                <w:rFonts w:ascii="Times New Roman" w:hAnsi="Times New Roman" w:cs="Times New Roman" w:eastAsia="Times New Roman" w:hint="default"/>
                <w:sz w:val="21"/>
                <w:szCs w:val="21"/>
              </w:rPr>
            </w:pPr>
            <w:r>
              <w:rPr>
                <w:rFonts w:ascii="Times New Roman"/>
                <w:sz w:val="21"/>
              </w:rPr>
              <w:t>712,071.24</w:t>
            </w:r>
          </w:p>
        </w:tc>
        <w:tc>
          <w:tcPr>
            <w:tcW w:w="139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
              <w:ind w:left="283" w:right="-3"/>
              <w:jc w:val="left"/>
              <w:rPr>
                <w:rFonts w:ascii="Times New Roman" w:hAnsi="Times New Roman" w:cs="Times New Roman" w:eastAsia="Times New Roman" w:hint="default"/>
                <w:sz w:val="21"/>
                <w:szCs w:val="21"/>
              </w:rPr>
            </w:pPr>
            <w:r>
              <w:rPr>
                <w:rFonts w:ascii="Times New Roman"/>
                <w:sz w:val="21"/>
              </w:rPr>
              <w:t>1,607,825.08</w:t>
            </w:r>
          </w:p>
        </w:tc>
        <w:tc>
          <w:tcPr>
            <w:tcW w:w="122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
              <w:ind w:left="364" w:right="-1"/>
              <w:jc w:val="left"/>
              <w:rPr>
                <w:rFonts w:ascii="Times New Roman" w:hAnsi="Times New Roman" w:cs="Times New Roman" w:eastAsia="Times New Roman" w:hint="default"/>
                <w:sz w:val="21"/>
                <w:szCs w:val="21"/>
              </w:rPr>
            </w:pPr>
            <w:r>
              <w:rPr>
                <w:rFonts w:ascii="Times New Roman"/>
                <w:sz w:val="21"/>
              </w:rPr>
              <w:t>55,092.87</w:t>
            </w: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
              <w:ind w:left="297" w:right="0"/>
              <w:jc w:val="left"/>
              <w:rPr>
                <w:rFonts w:ascii="Times New Roman" w:hAnsi="Times New Roman" w:cs="Times New Roman" w:eastAsia="Times New Roman" w:hint="default"/>
                <w:sz w:val="21"/>
                <w:szCs w:val="21"/>
              </w:rPr>
            </w:pPr>
            <w:r>
              <w:rPr>
                <w:rFonts w:ascii="Times New Roman"/>
                <w:sz w:val="21"/>
              </w:rPr>
              <w:t>1,266,498.75</w:t>
            </w:r>
          </w:p>
        </w:tc>
        <w:tc>
          <w:tcPr>
            <w:tcW w:w="144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
              <w:ind w:left="484" w:right="0"/>
              <w:jc w:val="left"/>
              <w:rPr>
                <w:rFonts w:ascii="Times New Roman" w:hAnsi="Times New Roman" w:cs="Times New Roman" w:eastAsia="Times New Roman" w:hint="default"/>
                <w:sz w:val="21"/>
                <w:szCs w:val="21"/>
              </w:rPr>
            </w:pPr>
            <w:r>
              <w:rPr>
                <w:rFonts w:ascii="Times New Roman"/>
                <w:sz w:val="21"/>
              </w:rPr>
              <w:t>998,304.70</w:t>
            </w:r>
          </w:p>
        </w:tc>
      </w:tr>
    </w:tbl>
    <w:p>
      <w:pPr>
        <w:spacing w:line="240" w:lineRule="auto" w:before="3"/>
        <w:rPr>
          <w:rFonts w:ascii="宋体" w:hAnsi="宋体" w:cs="宋体" w:eastAsia="宋体" w:hint="default"/>
          <w:b/>
          <w:bCs/>
          <w:sz w:val="8"/>
          <w:szCs w:val="8"/>
        </w:rPr>
      </w:pPr>
    </w:p>
    <w:p>
      <w:pPr>
        <w:pStyle w:val="Heading5"/>
        <w:spacing w:line="240" w:lineRule="auto" w:before="36"/>
        <w:ind w:left="580" w:right="0"/>
        <w:jc w:val="left"/>
        <w:rPr>
          <w:b w:val="0"/>
          <w:bCs w:val="0"/>
        </w:rPr>
      </w:pPr>
      <w:r>
        <w:rPr/>
        <w:t>（八）其他流动资产</w:t>
      </w:r>
      <w:r>
        <w:rPr>
          <w:b w:val="0"/>
          <w:bCs w:val="0"/>
        </w:rPr>
      </w:r>
    </w:p>
    <w:p>
      <w:pPr>
        <w:spacing w:line="240" w:lineRule="auto" w:before="10"/>
        <w:rPr>
          <w:rFonts w:ascii="宋体" w:hAnsi="宋体" w:cs="宋体" w:eastAsia="宋体" w:hint="default"/>
          <w:b/>
          <w:bCs/>
          <w:sz w:val="3"/>
          <w:szCs w:val="3"/>
        </w:rPr>
      </w:pPr>
    </w:p>
    <w:tbl>
      <w:tblPr>
        <w:tblW w:w="0" w:type="auto"/>
        <w:jc w:val="left"/>
        <w:tblInd w:w="145" w:type="dxa"/>
        <w:tblLayout w:type="fixed"/>
        <w:tblCellMar>
          <w:top w:w="0" w:type="dxa"/>
          <w:left w:w="0" w:type="dxa"/>
          <w:bottom w:w="0" w:type="dxa"/>
          <w:right w:w="0" w:type="dxa"/>
        </w:tblCellMar>
        <w:tblLook w:val="01E0"/>
      </w:tblPr>
      <w:tblGrid>
        <w:gridCol w:w="3259"/>
        <w:gridCol w:w="3050"/>
        <w:gridCol w:w="2465"/>
      </w:tblGrid>
      <w:tr>
        <w:trPr>
          <w:trHeight w:val="314" w:hRule="exact"/>
        </w:trPr>
        <w:tc>
          <w:tcPr>
            <w:tcW w:w="3259" w:type="dxa"/>
            <w:tcBorders>
              <w:top w:val="single" w:sz="6" w:space="0" w:color="000000"/>
              <w:left w:val="single" w:sz="6" w:space="0" w:color="000000"/>
              <w:bottom w:val="single" w:sz="12" w:space="0" w:color="000000"/>
              <w:right w:val="single" w:sz="6" w:space="0" w:color="000000"/>
            </w:tcBorders>
          </w:tcPr>
          <w:p>
            <w:pPr>
              <w:pStyle w:val="TableParagraph"/>
              <w:spacing w:line="253" w:lineRule="exact"/>
              <w:ind w:right="1406"/>
              <w:jc w:val="right"/>
              <w:rPr>
                <w:rFonts w:ascii="宋体" w:hAnsi="宋体" w:cs="宋体" w:eastAsia="宋体" w:hint="default"/>
                <w:sz w:val="21"/>
                <w:szCs w:val="21"/>
              </w:rPr>
            </w:pPr>
            <w:r>
              <w:rPr>
                <w:rFonts w:ascii="宋体" w:hAnsi="宋体" w:cs="宋体" w:eastAsia="宋体" w:hint="default"/>
                <w:sz w:val="21"/>
                <w:szCs w:val="21"/>
              </w:rPr>
              <w:t>项目</w:t>
            </w:r>
          </w:p>
        </w:tc>
        <w:tc>
          <w:tcPr>
            <w:tcW w:w="3050" w:type="dxa"/>
            <w:tcBorders>
              <w:top w:val="single" w:sz="6" w:space="0" w:color="000000"/>
              <w:left w:val="single" w:sz="6" w:space="0" w:color="000000"/>
              <w:bottom w:val="single" w:sz="12" w:space="0" w:color="000000"/>
              <w:right w:val="single" w:sz="6"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465" w:type="dxa"/>
            <w:tcBorders>
              <w:top w:val="single" w:sz="6" w:space="0" w:color="000000"/>
              <w:left w:val="single" w:sz="6" w:space="0" w:color="000000"/>
              <w:bottom w:val="single" w:sz="12" w:space="0" w:color="000000"/>
              <w:right w:val="nil" w:sz="6" w:space="0" w:color="auto"/>
            </w:tcBorders>
          </w:tcPr>
          <w:p>
            <w:pPr>
              <w:pStyle w:val="TableParagraph"/>
              <w:spacing w:line="253" w:lineRule="exact"/>
              <w:ind w:left="803"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314" w:hRule="exact"/>
        </w:trPr>
        <w:tc>
          <w:tcPr>
            <w:tcW w:w="3259"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4" w:right="0"/>
              <w:jc w:val="left"/>
              <w:rPr>
                <w:rFonts w:ascii="宋体" w:hAnsi="宋体" w:cs="宋体" w:eastAsia="宋体" w:hint="default"/>
                <w:sz w:val="21"/>
                <w:szCs w:val="21"/>
              </w:rPr>
            </w:pPr>
            <w:r>
              <w:rPr>
                <w:rFonts w:ascii="宋体" w:hAnsi="宋体" w:cs="宋体" w:eastAsia="宋体" w:hint="default"/>
                <w:sz w:val="21"/>
                <w:szCs w:val="21"/>
              </w:rPr>
              <w:t>银行理财产品</w:t>
            </w:r>
          </w:p>
        </w:tc>
        <w:tc>
          <w:tcPr>
            <w:tcW w:w="3050"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0"/>
              <w:jc w:val="right"/>
              <w:rPr>
                <w:rFonts w:ascii="Times New Roman" w:hAnsi="Times New Roman" w:cs="Times New Roman" w:eastAsia="Times New Roman" w:hint="default"/>
                <w:sz w:val="21"/>
                <w:szCs w:val="21"/>
              </w:rPr>
            </w:pPr>
            <w:r>
              <w:rPr>
                <w:rFonts w:ascii="Times New Roman"/>
                <w:spacing w:val="-1"/>
                <w:sz w:val="21"/>
              </w:rPr>
              <w:t>100,000,000.00</w:t>
            </w:r>
          </w:p>
        </w:tc>
        <w:tc>
          <w:tcPr>
            <w:tcW w:w="2465"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5"/>
              <w:jc w:val="right"/>
              <w:rPr>
                <w:rFonts w:ascii="Times New Roman" w:hAnsi="Times New Roman" w:cs="Times New Roman" w:eastAsia="Times New Roman" w:hint="default"/>
                <w:sz w:val="21"/>
                <w:szCs w:val="21"/>
              </w:rPr>
            </w:pPr>
            <w:r>
              <w:rPr>
                <w:rFonts w:ascii="Times New Roman"/>
                <w:spacing w:val="-1"/>
                <w:sz w:val="21"/>
              </w:rPr>
              <w:t>80,000,000.00</w:t>
            </w:r>
          </w:p>
        </w:tc>
      </w:tr>
      <w:tr>
        <w:trPr>
          <w:trHeight w:val="314" w:hRule="exact"/>
        </w:trPr>
        <w:tc>
          <w:tcPr>
            <w:tcW w:w="3259"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right="1406"/>
              <w:jc w:val="right"/>
              <w:rPr>
                <w:rFonts w:ascii="宋体" w:hAnsi="宋体" w:cs="宋体" w:eastAsia="宋体" w:hint="default"/>
                <w:sz w:val="21"/>
                <w:szCs w:val="21"/>
              </w:rPr>
            </w:pPr>
            <w:r>
              <w:rPr>
                <w:rFonts w:ascii="宋体" w:hAnsi="宋体" w:cs="宋体" w:eastAsia="宋体" w:hint="default"/>
                <w:sz w:val="21"/>
                <w:szCs w:val="21"/>
              </w:rPr>
              <w:t>合计</w:t>
            </w:r>
          </w:p>
        </w:tc>
        <w:tc>
          <w:tcPr>
            <w:tcW w:w="3050"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Times New Roman" w:hAnsi="Times New Roman" w:cs="Times New Roman" w:eastAsia="Times New Roman" w:hint="default"/>
                <w:sz w:val="21"/>
                <w:szCs w:val="21"/>
              </w:rPr>
            </w:pPr>
            <w:r>
              <w:rPr>
                <w:rFonts w:ascii="Times New Roman"/>
                <w:spacing w:val="-1"/>
                <w:sz w:val="21"/>
              </w:rPr>
              <w:t>100,000,000.00</w:t>
            </w:r>
          </w:p>
        </w:tc>
        <w:tc>
          <w:tcPr>
            <w:tcW w:w="2465"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5"/>
              <w:jc w:val="right"/>
              <w:rPr>
                <w:rFonts w:ascii="Times New Roman" w:hAnsi="Times New Roman" w:cs="Times New Roman" w:eastAsia="Times New Roman" w:hint="default"/>
                <w:sz w:val="21"/>
                <w:szCs w:val="21"/>
              </w:rPr>
            </w:pPr>
            <w:r>
              <w:rPr>
                <w:rFonts w:ascii="Times New Roman"/>
                <w:spacing w:val="-1"/>
                <w:sz w:val="21"/>
              </w:rPr>
              <w:t>80,000,000.00</w:t>
            </w:r>
          </w:p>
        </w:tc>
      </w:tr>
    </w:tbl>
    <w:p>
      <w:pPr>
        <w:spacing w:line="240" w:lineRule="auto" w:before="8"/>
        <w:rPr>
          <w:rFonts w:ascii="宋体" w:hAnsi="宋体" w:cs="宋体" w:eastAsia="宋体" w:hint="default"/>
          <w:b/>
          <w:bCs/>
          <w:sz w:val="14"/>
          <w:szCs w:val="14"/>
        </w:rPr>
      </w:pPr>
    </w:p>
    <w:p>
      <w:pPr>
        <w:pStyle w:val="Heading5"/>
        <w:spacing w:line="240" w:lineRule="auto" w:before="36"/>
        <w:ind w:left="668" w:right="0"/>
        <w:jc w:val="left"/>
        <w:rPr>
          <w:b w:val="0"/>
          <w:bCs w:val="0"/>
        </w:rPr>
      </w:pPr>
      <w:r>
        <w:rPr>
          <w:spacing w:val="7"/>
        </w:rPr>
        <w:t>其他流动资产为广发银行的广盈安盛理财产品</w:t>
      </w:r>
      <w:r>
        <w:rPr>
          <w:rFonts w:ascii="Times New Roman" w:hAnsi="Times New Roman" w:cs="Times New Roman" w:eastAsia="Times New Roman" w:hint="default"/>
          <w:spacing w:val="7"/>
        </w:rPr>
        <w:t>10,000,000.00</w:t>
      </w:r>
      <w:r>
        <w:rPr>
          <w:spacing w:val="7"/>
        </w:rPr>
        <w:t>元；包商银行的佳赢</w:t>
      </w:r>
      <w:r>
        <w:rPr>
          <w:rFonts w:ascii="Times New Roman" w:hAnsi="Times New Roman" w:cs="Times New Roman" w:eastAsia="Times New Roman" w:hint="default"/>
          <w:spacing w:val="7"/>
        </w:rPr>
        <w:t>14065</w:t>
      </w:r>
      <w:r>
        <w:rPr>
          <w:spacing w:val="7"/>
        </w:rPr>
        <w:t>理财产品</w:t>
      </w:r>
      <w:r>
        <w:rPr>
          <w:b w:val="0"/>
          <w:bCs w:val="0"/>
          <w:spacing w:val="7"/>
        </w:rPr>
      </w:r>
    </w:p>
    <w:p>
      <w:pPr>
        <w:pStyle w:val="Heading5"/>
        <w:spacing w:line="240" w:lineRule="auto" w:before="21"/>
        <w:ind w:right="0"/>
        <w:jc w:val="left"/>
        <w:rPr>
          <w:b w:val="0"/>
          <w:bCs w:val="0"/>
        </w:rPr>
      </w:pPr>
      <w:r>
        <w:rPr>
          <w:rFonts w:ascii="Times New Roman" w:hAnsi="Times New Roman" w:cs="Times New Roman" w:eastAsia="Times New Roman" w:hint="default"/>
        </w:rPr>
        <w:t>10,000,000.00</w:t>
      </w:r>
      <w:r>
        <w:rPr/>
        <w:t>元；宁波银行的启盈理财产品</w:t>
      </w:r>
      <w:r>
        <w:rPr>
          <w:rFonts w:ascii="Times New Roman" w:hAnsi="Times New Roman" w:cs="Times New Roman" w:eastAsia="Times New Roman" w:hint="default"/>
        </w:rPr>
        <w:t>10,000,000.00</w:t>
      </w:r>
      <w:r>
        <w:rPr/>
        <w:t>元；浦发银行的利多多理财产品</w:t>
      </w:r>
      <w:r>
        <w:rPr>
          <w:rFonts w:ascii="Times New Roman" w:hAnsi="Times New Roman" w:cs="Times New Roman" w:eastAsia="Times New Roman" w:hint="default"/>
        </w:rPr>
        <w:t>70,000,000.00</w:t>
      </w:r>
      <w:r>
        <w:rPr/>
        <w:t>元。</w:t>
      </w:r>
      <w:r>
        <w:rPr>
          <w:b w:val="0"/>
          <w:bCs w:val="0"/>
        </w:rPr>
      </w:r>
    </w:p>
    <w:p>
      <w:pPr>
        <w:spacing w:line="240" w:lineRule="auto" w:before="6"/>
        <w:rPr>
          <w:rFonts w:ascii="宋体" w:hAnsi="宋体" w:cs="宋体" w:eastAsia="宋体" w:hint="default"/>
          <w:b/>
          <w:bCs/>
          <w:sz w:val="25"/>
          <w:szCs w:val="25"/>
        </w:rPr>
      </w:pPr>
    </w:p>
    <w:p>
      <w:pPr>
        <w:pStyle w:val="Heading5"/>
        <w:spacing w:line="240" w:lineRule="auto"/>
        <w:ind w:left="580" w:right="0"/>
        <w:jc w:val="left"/>
        <w:rPr>
          <w:b w:val="0"/>
          <w:bCs w:val="0"/>
        </w:rPr>
      </w:pPr>
      <w:r>
        <w:rPr/>
        <w:t>（九）可供出售金融资产</w:t>
      </w:r>
      <w:r>
        <w:rPr>
          <w:b w:val="0"/>
          <w:bCs w:val="0"/>
        </w:rPr>
      </w:r>
    </w:p>
    <w:p>
      <w:pPr>
        <w:pStyle w:val="Heading5"/>
        <w:spacing w:line="240" w:lineRule="auto" w:before="37"/>
        <w:ind w:right="0"/>
        <w:jc w:val="left"/>
        <w:rPr>
          <w:b w:val="0"/>
          <w:bCs w:val="0"/>
        </w:rPr>
      </w:pPr>
      <w:r>
        <w:rPr>
          <w:rFonts w:ascii="宋体" w:hAnsi="宋体" w:cs="宋体" w:eastAsia="宋体" w:hint="default"/>
        </w:rPr>
        <w:t>1.</w:t>
      </w:r>
      <w:r>
        <w:rPr>
          <w:rFonts w:ascii="宋体" w:hAnsi="宋体" w:cs="宋体" w:eastAsia="宋体" w:hint="default"/>
          <w:spacing w:val="36"/>
        </w:rPr>
        <w:t> </w:t>
      </w:r>
      <w:r>
        <w:rPr/>
        <w:t>可供出售金融资产情况</w:t>
      </w:r>
      <w:r>
        <w:rPr>
          <w:b w:val="0"/>
          <w:bCs w:val="0"/>
        </w:rPr>
      </w:r>
    </w:p>
    <w:p>
      <w:pPr>
        <w:spacing w:line="240" w:lineRule="auto" w:before="10"/>
        <w:rPr>
          <w:rFonts w:ascii="宋体" w:hAnsi="宋体" w:cs="宋体" w:eastAsia="宋体" w:hint="default"/>
          <w:b/>
          <w:bCs/>
          <w:sz w:val="3"/>
          <w:szCs w:val="3"/>
        </w:rPr>
      </w:pPr>
    </w:p>
    <w:tbl>
      <w:tblPr>
        <w:tblW w:w="0" w:type="auto"/>
        <w:jc w:val="left"/>
        <w:tblInd w:w="145" w:type="dxa"/>
        <w:tblLayout w:type="fixed"/>
        <w:tblCellMar>
          <w:top w:w="0" w:type="dxa"/>
          <w:left w:w="0" w:type="dxa"/>
          <w:bottom w:w="0" w:type="dxa"/>
          <w:right w:w="0" w:type="dxa"/>
        </w:tblCellMar>
        <w:tblLook w:val="01E0"/>
      </w:tblPr>
      <w:tblGrid>
        <w:gridCol w:w="1723"/>
        <w:gridCol w:w="1469"/>
        <w:gridCol w:w="1042"/>
        <w:gridCol w:w="1392"/>
        <w:gridCol w:w="1188"/>
        <w:gridCol w:w="1176"/>
        <w:gridCol w:w="1102"/>
      </w:tblGrid>
      <w:tr>
        <w:trPr>
          <w:trHeight w:val="353" w:hRule="exact"/>
        </w:trPr>
        <w:tc>
          <w:tcPr>
            <w:tcW w:w="1723" w:type="dxa"/>
            <w:vMerge w:val="restart"/>
            <w:tcBorders>
              <w:top w:val="single" w:sz="6" w:space="0" w:color="000000"/>
              <w:left w:val="single" w:sz="6" w:space="0" w:color="000000"/>
              <w:right w:val="single" w:sz="6" w:space="0" w:color="000000"/>
            </w:tcBorders>
          </w:tcPr>
          <w:p>
            <w:pPr>
              <w:pStyle w:val="TableParagraph"/>
              <w:spacing w:line="250"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902" w:type="dxa"/>
            <w:gridSpan w:val="3"/>
            <w:tcBorders>
              <w:top w:val="single" w:sz="6" w:space="0" w:color="000000"/>
              <w:left w:val="single" w:sz="6" w:space="0" w:color="000000"/>
              <w:bottom w:val="single" w:sz="12" w:space="0" w:color="000000"/>
              <w:right w:val="single" w:sz="6" w:space="0" w:color="000000"/>
            </w:tcBorders>
          </w:tcPr>
          <w:p>
            <w:pPr>
              <w:pStyle w:val="TableParagraph"/>
              <w:spacing w:line="250"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466" w:type="dxa"/>
            <w:gridSpan w:val="3"/>
            <w:tcBorders>
              <w:top w:val="single" w:sz="6" w:space="0" w:color="000000"/>
              <w:left w:val="single" w:sz="6" w:space="0" w:color="000000"/>
              <w:bottom w:val="single" w:sz="12" w:space="0" w:color="000000"/>
              <w:right w:val="nil" w:sz="6" w:space="0" w:color="auto"/>
            </w:tcBorders>
          </w:tcPr>
          <w:p>
            <w:pPr>
              <w:pStyle w:val="TableParagraph"/>
              <w:spacing w:line="250" w:lineRule="exact"/>
              <w:ind w:right="2"/>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53" w:hRule="exact"/>
        </w:trPr>
        <w:tc>
          <w:tcPr>
            <w:tcW w:w="1723" w:type="dxa"/>
            <w:vMerge/>
            <w:tcBorders>
              <w:left w:val="single" w:sz="6" w:space="0" w:color="000000"/>
              <w:bottom w:val="single" w:sz="12" w:space="0" w:color="000000"/>
              <w:right w:val="single" w:sz="6" w:space="0" w:color="000000"/>
            </w:tcBorders>
          </w:tcPr>
          <w:p>
            <w:pPr/>
          </w:p>
        </w:tc>
        <w:tc>
          <w:tcPr>
            <w:tcW w:w="1469"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30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042"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93"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392"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268"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188"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16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76"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160"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102" w:type="dxa"/>
            <w:tcBorders>
              <w:top w:val="single" w:sz="12" w:space="0" w:color="000000"/>
              <w:left w:val="single" w:sz="6" w:space="0" w:color="000000"/>
              <w:bottom w:val="single" w:sz="12" w:space="0" w:color="000000"/>
              <w:right w:val="nil" w:sz="6" w:space="0" w:color="auto"/>
            </w:tcBorders>
          </w:tcPr>
          <w:p>
            <w:pPr>
              <w:pStyle w:val="TableParagraph"/>
              <w:spacing w:line="243" w:lineRule="exact"/>
              <w:ind w:left="122"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353" w:hRule="exact"/>
        </w:trPr>
        <w:tc>
          <w:tcPr>
            <w:tcW w:w="1723"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4" w:right="0"/>
              <w:jc w:val="left"/>
              <w:rPr>
                <w:rFonts w:ascii="宋体" w:hAnsi="宋体" w:cs="宋体" w:eastAsia="宋体" w:hint="default"/>
                <w:sz w:val="21"/>
                <w:szCs w:val="21"/>
              </w:rPr>
            </w:pPr>
            <w:r>
              <w:rPr>
                <w:rFonts w:ascii="宋体" w:hAnsi="宋体" w:cs="宋体" w:eastAsia="宋体" w:hint="default"/>
                <w:sz w:val="21"/>
                <w:szCs w:val="21"/>
              </w:rPr>
              <w:t>可供出售权益工具</w:t>
            </w:r>
          </w:p>
        </w:tc>
        <w:tc>
          <w:tcPr>
            <w:tcW w:w="1469"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042"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392"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188"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176"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102"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6"/>
              <w:jc w:val="right"/>
              <w:rPr>
                <w:rFonts w:ascii="Times New Roman" w:hAnsi="Times New Roman" w:cs="Times New Roman" w:eastAsia="Times New Roman" w:hint="default"/>
                <w:sz w:val="21"/>
                <w:szCs w:val="21"/>
              </w:rPr>
            </w:pPr>
            <w:r>
              <w:rPr>
                <w:rFonts w:ascii="Times New Roman"/>
                <w:spacing w:val="-1"/>
                <w:sz w:val="21"/>
              </w:rPr>
              <w:t>---</w:t>
            </w:r>
          </w:p>
        </w:tc>
      </w:tr>
      <w:tr>
        <w:trPr>
          <w:trHeight w:val="350" w:hRule="exact"/>
        </w:trPr>
        <w:tc>
          <w:tcPr>
            <w:tcW w:w="1723"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4" w:right="0"/>
              <w:jc w:val="left"/>
              <w:rPr>
                <w:rFonts w:ascii="宋体" w:hAnsi="宋体" w:cs="宋体" w:eastAsia="宋体" w:hint="default"/>
                <w:sz w:val="21"/>
                <w:szCs w:val="21"/>
              </w:rPr>
            </w:pPr>
            <w:r>
              <w:rPr>
                <w:rFonts w:ascii="宋体" w:hAnsi="宋体" w:cs="宋体" w:eastAsia="宋体" w:hint="default"/>
                <w:sz w:val="21"/>
                <w:szCs w:val="21"/>
              </w:rPr>
              <w:t>按公允价值计量</w:t>
            </w:r>
          </w:p>
        </w:tc>
        <w:tc>
          <w:tcPr>
            <w:tcW w:w="1469"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042"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392"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188"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176"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102"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6"/>
              <w:jc w:val="right"/>
              <w:rPr>
                <w:rFonts w:ascii="Times New Roman" w:hAnsi="Times New Roman" w:cs="Times New Roman" w:eastAsia="Times New Roman" w:hint="default"/>
                <w:sz w:val="21"/>
                <w:szCs w:val="21"/>
              </w:rPr>
            </w:pPr>
            <w:r>
              <w:rPr>
                <w:rFonts w:ascii="Times New Roman"/>
                <w:spacing w:val="-1"/>
                <w:sz w:val="21"/>
              </w:rPr>
              <w:t>---</w:t>
            </w:r>
          </w:p>
        </w:tc>
      </w:tr>
      <w:tr>
        <w:trPr>
          <w:trHeight w:val="353" w:hRule="exact"/>
        </w:trPr>
        <w:tc>
          <w:tcPr>
            <w:tcW w:w="1723"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4" w:right="0"/>
              <w:jc w:val="left"/>
              <w:rPr>
                <w:rFonts w:ascii="宋体" w:hAnsi="宋体" w:cs="宋体" w:eastAsia="宋体" w:hint="default"/>
                <w:sz w:val="21"/>
                <w:szCs w:val="21"/>
              </w:rPr>
            </w:pPr>
            <w:r>
              <w:rPr>
                <w:rFonts w:ascii="宋体" w:hAnsi="宋体" w:cs="宋体" w:eastAsia="宋体" w:hint="default"/>
                <w:sz w:val="21"/>
                <w:szCs w:val="21"/>
              </w:rPr>
              <w:t>按成本计量</w:t>
            </w:r>
          </w:p>
        </w:tc>
        <w:tc>
          <w:tcPr>
            <w:tcW w:w="1469"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0"/>
              <w:jc w:val="right"/>
              <w:rPr>
                <w:rFonts w:ascii="Times New Roman" w:hAnsi="Times New Roman" w:cs="Times New Roman" w:eastAsia="Times New Roman" w:hint="default"/>
                <w:sz w:val="21"/>
                <w:szCs w:val="21"/>
              </w:rPr>
            </w:pPr>
            <w:r>
              <w:rPr>
                <w:rFonts w:ascii="Times New Roman"/>
                <w:spacing w:val="-1"/>
                <w:sz w:val="21"/>
              </w:rPr>
              <w:t>6,000,000.00</w:t>
            </w:r>
          </w:p>
        </w:tc>
        <w:tc>
          <w:tcPr>
            <w:tcW w:w="1042"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392"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0"/>
              <w:jc w:val="right"/>
              <w:rPr>
                <w:rFonts w:ascii="Times New Roman" w:hAnsi="Times New Roman" w:cs="Times New Roman" w:eastAsia="Times New Roman" w:hint="default"/>
                <w:sz w:val="21"/>
                <w:szCs w:val="21"/>
              </w:rPr>
            </w:pPr>
            <w:r>
              <w:rPr>
                <w:rFonts w:ascii="Times New Roman"/>
                <w:spacing w:val="-1"/>
                <w:sz w:val="21"/>
              </w:rPr>
              <w:t>6,000,000.00</w:t>
            </w:r>
          </w:p>
        </w:tc>
        <w:tc>
          <w:tcPr>
            <w:tcW w:w="1188"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176"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102"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6"/>
              <w:jc w:val="right"/>
              <w:rPr>
                <w:rFonts w:ascii="Times New Roman" w:hAnsi="Times New Roman" w:cs="Times New Roman" w:eastAsia="Times New Roman" w:hint="default"/>
                <w:sz w:val="21"/>
                <w:szCs w:val="21"/>
              </w:rPr>
            </w:pPr>
            <w:r>
              <w:rPr>
                <w:rFonts w:ascii="Times New Roman"/>
                <w:spacing w:val="-1"/>
                <w:sz w:val="21"/>
              </w:rPr>
              <w:t>---</w:t>
            </w:r>
          </w:p>
        </w:tc>
      </w:tr>
      <w:tr>
        <w:trPr>
          <w:trHeight w:val="353" w:hRule="exact"/>
        </w:trPr>
        <w:tc>
          <w:tcPr>
            <w:tcW w:w="1723"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69"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Times New Roman" w:hAnsi="Times New Roman" w:cs="Times New Roman" w:eastAsia="Times New Roman" w:hint="default"/>
                <w:sz w:val="21"/>
                <w:szCs w:val="21"/>
              </w:rPr>
            </w:pPr>
            <w:r>
              <w:rPr>
                <w:rFonts w:ascii="Times New Roman"/>
                <w:spacing w:val="-1"/>
                <w:sz w:val="21"/>
              </w:rPr>
              <w:t>6,000,000.00</w:t>
            </w:r>
          </w:p>
        </w:tc>
        <w:tc>
          <w:tcPr>
            <w:tcW w:w="1042"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392"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Times New Roman" w:hAnsi="Times New Roman" w:cs="Times New Roman" w:eastAsia="Times New Roman" w:hint="default"/>
                <w:sz w:val="21"/>
                <w:szCs w:val="21"/>
              </w:rPr>
            </w:pPr>
            <w:r>
              <w:rPr>
                <w:rFonts w:ascii="Times New Roman"/>
                <w:spacing w:val="-1"/>
                <w:sz w:val="21"/>
              </w:rPr>
              <w:t>6,000,000.00</w:t>
            </w:r>
          </w:p>
        </w:tc>
        <w:tc>
          <w:tcPr>
            <w:tcW w:w="1188"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176"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102"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6"/>
              <w:jc w:val="right"/>
              <w:rPr>
                <w:rFonts w:ascii="Times New Roman" w:hAnsi="Times New Roman" w:cs="Times New Roman" w:eastAsia="Times New Roman" w:hint="default"/>
                <w:sz w:val="21"/>
                <w:szCs w:val="21"/>
              </w:rPr>
            </w:pPr>
            <w:r>
              <w:rPr>
                <w:rFonts w:ascii="Times New Roman"/>
                <w:spacing w:val="-1"/>
                <w:sz w:val="21"/>
              </w:rPr>
              <w:t>---</w:t>
            </w:r>
          </w:p>
        </w:tc>
      </w:tr>
    </w:tbl>
    <w:p>
      <w:pPr>
        <w:spacing w:line="240" w:lineRule="auto" w:before="3"/>
        <w:rPr>
          <w:rFonts w:ascii="宋体" w:hAnsi="宋体" w:cs="宋体" w:eastAsia="宋体" w:hint="default"/>
          <w:b/>
          <w:bCs/>
          <w:sz w:val="8"/>
          <w:szCs w:val="8"/>
        </w:rPr>
      </w:pPr>
    </w:p>
    <w:p>
      <w:pPr>
        <w:pStyle w:val="Heading5"/>
        <w:spacing w:line="240" w:lineRule="auto" w:before="36"/>
        <w:ind w:right="0"/>
        <w:jc w:val="left"/>
        <w:rPr>
          <w:b w:val="0"/>
          <w:bCs w:val="0"/>
        </w:rPr>
      </w:pPr>
      <w:r>
        <w:rPr>
          <w:rFonts w:ascii="宋体" w:hAnsi="宋体" w:cs="宋体" w:eastAsia="宋体" w:hint="default"/>
        </w:rPr>
        <w:t>1.</w:t>
      </w:r>
      <w:r>
        <w:rPr>
          <w:rFonts w:ascii="宋体" w:hAnsi="宋体" w:cs="宋体" w:eastAsia="宋体" w:hint="default"/>
          <w:spacing w:val="34"/>
        </w:rPr>
        <w:t> </w:t>
      </w:r>
      <w:r>
        <w:rPr/>
        <w:t>期末按成本计量的权益工具</w:t>
      </w:r>
      <w:r>
        <w:rPr>
          <w:b w:val="0"/>
          <w:bCs w:val="0"/>
        </w:rPr>
      </w:r>
    </w:p>
    <w:p>
      <w:pPr>
        <w:spacing w:line="240" w:lineRule="auto" w:before="10"/>
        <w:rPr>
          <w:rFonts w:ascii="宋体" w:hAnsi="宋体" w:cs="宋体" w:eastAsia="宋体" w:hint="default"/>
          <w:b/>
          <w:bCs/>
          <w:sz w:val="3"/>
          <w:szCs w:val="3"/>
        </w:rPr>
      </w:pPr>
    </w:p>
    <w:tbl>
      <w:tblPr>
        <w:tblW w:w="0" w:type="auto"/>
        <w:jc w:val="left"/>
        <w:tblInd w:w="145" w:type="dxa"/>
        <w:tblLayout w:type="fixed"/>
        <w:tblCellMar>
          <w:top w:w="0" w:type="dxa"/>
          <w:left w:w="0" w:type="dxa"/>
          <w:bottom w:w="0" w:type="dxa"/>
          <w:right w:w="0" w:type="dxa"/>
        </w:tblCellMar>
        <w:tblLook w:val="01E0"/>
      </w:tblPr>
      <w:tblGrid>
        <w:gridCol w:w="2695"/>
        <w:gridCol w:w="1390"/>
        <w:gridCol w:w="1082"/>
        <w:gridCol w:w="1361"/>
        <w:gridCol w:w="763"/>
        <w:gridCol w:w="1795"/>
      </w:tblGrid>
      <w:tr>
        <w:trPr>
          <w:trHeight w:val="355" w:hRule="exact"/>
        </w:trPr>
        <w:tc>
          <w:tcPr>
            <w:tcW w:w="2695" w:type="dxa"/>
            <w:vMerge w:val="restart"/>
            <w:tcBorders>
              <w:top w:val="single" w:sz="6" w:space="0" w:color="000000"/>
              <w:left w:val="single" w:sz="6" w:space="0" w:color="000000"/>
              <w:right w:val="single" w:sz="6" w:space="0" w:color="000000"/>
            </w:tcBorders>
          </w:tcPr>
          <w:p>
            <w:pPr>
              <w:pStyle w:val="TableParagraph"/>
              <w:spacing w:line="253" w:lineRule="exact"/>
              <w:ind w:left="816"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390" w:type="dxa"/>
            <w:vMerge w:val="restart"/>
            <w:tcBorders>
              <w:top w:val="single" w:sz="6" w:space="0" w:color="000000"/>
              <w:left w:val="single" w:sz="6" w:space="0" w:color="000000"/>
              <w:right w:val="single" w:sz="6" w:space="0" w:color="000000"/>
            </w:tcBorders>
          </w:tcPr>
          <w:p>
            <w:pPr>
              <w:pStyle w:val="TableParagraph"/>
              <w:spacing w:line="272" w:lineRule="exact" w:before="5"/>
              <w:ind w:left="110" w:right="53" w:hanging="53"/>
              <w:jc w:val="left"/>
              <w:rPr>
                <w:rFonts w:ascii="Times New Roman" w:hAnsi="Times New Roman" w:cs="Times New Roman" w:eastAsia="Times New Roman" w:hint="default"/>
                <w:sz w:val="21"/>
                <w:szCs w:val="21"/>
              </w:rPr>
            </w:pPr>
            <w:r>
              <w:rPr>
                <w:rFonts w:ascii="宋体" w:hAnsi="宋体" w:cs="宋体" w:eastAsia="宋体" w:hint="default"/>
                <w:sz w:val="21"/>
                <w:szCs w:val="21"/>
              </w:rPr>
              <w:t>在被投资单位</w:t>
            </w:r>
            <w:r>
              <w:rPr>
                <w:rFonts w:ascii="宋体" w:hAnsi="宋体" w:cs="宋体" w:eastAsia="宋体" w:hint="default"/>
                <w:w w:val="100"/>
                <w:sz w:val="21"/>
                <w:szCs w:val="21"/>
              </w:rPr>
              <w:t> </w:t>
            </w:r>
            <w:r>
              <w:rPr>
                <w:rFonts w:ascii="宋体" w:hAnsi="宋体" w:cs="宋体" w:eastAsia="宋体" w:hint="default"/>
                <w:sz w:val="21"/>
                <w:szCs w:val="21"/>
              </w:rPr>
              <w:t>持股比例</w:t>
            </w:r>
            <w:r>
              <w:rPr>
                <w:rFonts w:ascii="Times New Roman" w:hAnsi="Times New Roman" w:cs="Times New Roman" w:eastAsia="Times New Roman" w:hint="default"/>
                <w:sz w:val="21"/>
                <w:szCs w:val="21"/>
              </w:rPr>
              <w:t>(%)</w:t>
            </w:r>
          </w:p>
        </w:tc>
        <w:tc>
          <w:tcPr>
            <w:tcW w:w="5002" w:type="dxa"/>
            <w:gridSpan w:val="4"/>
            <w:tcBorders>
              <w:top w:val="single" w:sz="6" w:space="0" w:color="000000"/>
              <w:left w:val="single" w:sz="6" w:space="0" w:color="000000"/>
              <w:bottom w:val="single" w:sz="12" w:space="0" w:color="000000"/>
              <w:right w:val="nil" w:sz="6" w:space="0" w:color="auto"/>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r>
      <w:tr>
        <w:trPr>
          <w:trHeight w:val="586" w:hRule="exact"/>
        </w:trPr>
        <w:tc>
          <w:tcPr>
            <w:tcW w:w="2695" w:type="dxa"/>
            <w:vMerge/>
            <w:tcBorders>
              <w:left w:val="single" w:sz="6" w:space="0" w:color="000000"/>
              <w:bottom w:val="single" w:sz="12" w:space="0" w:color="000000"/>
              <w:right w:val="single" w:sz="6" w:space="0" w:color="000000"/>
            </w:tcBorders>
          </w:tcPr>
          <w:p>
            <w:pPr/>
          </w:p>
        </w:tc>
        <w:tc>
          <w:tcPr>
            <w:tcW w:w="1390" w:type="dxa"/>
            <w:vMerge/>
            <w:tcBorders>
              <w:left w:val="single" w:sz="6" w:space="0" w:color="000000"/>
              <w:bottom w:val="single" w:sz="12" w:space="0" w:color="000000"/>
              <w:right w:val="single" w:sz="6" w:space="0" w:color="000000"/>
            </w:tcBorders>
          </w:tcPr>
          <w:p>
            <w:pPr/>
          </w:p>
        </w:tc>
        <w:tc>
          <w:tcPr>
            <w:tcW w:w="1082"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11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361"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25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763" w:type="dxa"/>
            <w:tcBorders>
              <w:top w:val="single" w:sz="12" w:space="0" w:color="000000"/>
              <w:left w:val="single" w:sz="6" w:space="0" w:color="000000"/>
              <w:bottom w:val="single" w:sz="12" w:space="0" w:color="000000"/>
              <w:right w:val="single" w:sz="6"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本期减</w:t>
            </w:r>
          </w:p>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少</w:t>
            </w:r>
          </w:p>
        </w:tc>
        <w:tc>
          <w:tcPr>
            <w:tcW w:w="1795" w:type="dxa"/>
            <w:tcBorders>
              <w:top w:val="single" w:sz="12" w:space="0" w:color="000000"/>
              <w:left w:val="single" w:sz="6" w:space="0" w:color="000000"/>
              <w:bottom w:val="single" w:sz="12" w:space="0" w:color="000000"/>
              <w:right w:val="nil" w:sz="6" w:space="0" w:color="auto"/>
            </w:tcBorders>
          </w:tcPr>
          <w:p>
            <w:pPr>
              <w:pStyle w:val="TableParagraph"/>
              <w:spacing w:line="241" w:lineRule="exact"/>
              <w:ind w:left="47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86" w:hRule="exact"/>
        </w:trPr>
        <w:tc>
          <w:tcPr>
            <w:tcW w:w="2695" w:type="dxa"/>
            <w:tcBorders>
              <w:top w:val="single" w:sz="12" w:space="0" w:color="000000"/>
              <w:left w:val="single" w:sz="6" w:space="0" w:color="000000"/>
              <w:bottom w:val="single" w:sz="12" w:space="0" w:color="000000"/>
              <w:right w:val="single" w:sz="6" w:space="0" w:color="000000"/>
            </w:tcBorders>
          </w:tcPr>
          <w:p>
            <w:pPr>
              <w:pStyle w:val="TableParagraph"/>
              <w:spacing w:line="240" w:lineRule="exact"/>
              <w:ind w:left="4" w:right="-3"/>
              <w:jc w:val="left"/>
              <w:rPr>
                <w:rFonts w:ascii="宋体" w:hAnsi="宋体" w:cs="宋体" w:eastAsia="宋体" w:hint="default"/>
                <w:sz w:val="21"/>
                <w:szCs w:val="21"/>
              </w:rPr>
            </w:pPr>
            <w:r>
              <w:rPr>
                <w:rFonts w:ascii="宋体" w:hAnsi="宋体" w:cs="宋体" w:eastAsia="宋体" w:hint="default"/>
                <w:spacing w:val="10"/>
                <w:sz w:val="21"/>
                <w:szCs w:val="21"/>
              </w:rPr>
              <w:t>深圳市科葩信息技术有限公</w:t>
            </w:r>
          </w:p>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390"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Times New Roman" w:hAnsi="Times New Roman" w:cs="Times New Roman" w:eastAsia="Times New Roman" w:hint="default"/>
                <w:sz w:val="21"/>
                <w:szCs w:val="21"/>
              </w:rPr>
            </w:pPr>
            <w:r>
              <w:rPr>
                <w:rFonts w:ascii="Times New Roman"/>
                <w:sz w:val="21"/>
              </w:rPr>
              <w:t>15</w:t>
            </w:r>
          </w:p>
        </w:tc>
        <w:tc>
          <w:tcPr>
            <w:tcW w:w="1082"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361"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left="242" w:right="-1"/>
              <w:jc w:val="left"/>
              <w:rPr>
                <w:rFonts w:ascii="Times New Roman" w:hAnsi="Times New Roman" w:cs="Times New Roman" w:eastAsia="Times New Roman" w:hint="default"/>
                <w:sz w:val="21"/>
                <w:szCs w:val="21"/>
              </w:rPr>
            </w:pPr>
            <w:r>
              <w:rPr>
                <w:rFonts w:ascii="Times New Roman"/>
                <w:sz w:val="21"/>
              </w:rPr>
              <w:t>6,000,000.00</w:t>
            </w:r>
          </w:p>
        </w:tc>
        <w:tc>
          <w:tcPr>
            <w:tcW w:w="763"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795"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5"/>
              <w:jc w:val="right"/>
              <w:rPr>
                <w:rFonts w:ascii="Times New Roman" w:hAnsi="Times New Roman" w:cs="Times New Roman" w:eastAsia="Times New Roman" w:hint="default"/>
                <w:sz w:val="21"/>
                <w:szCs w:val="21"/>
              </w:rPr>
            </w:pPr>
            <w:r>
              <w:rPr>
                <w:rFonts w:ascii="Times New Roman"/>
                <w:spacing w:val="-1"/>
                <w:sz w:val="21"/>
              </w:rPr>
              <w:t>6,000,000.00</w:t>
            </w:r>
          </w:p>
        </w:tc>
      </w:tr>
      <w:tr>
        <w:trPr>
          <w:trHeight w:val="353" w:hRule="exact"/>
        </w:trPr>
        <w:tc>
          <w:tcPr>
            <w:tcW w:w="2695"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7"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90"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082"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361"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left="242" w:right="-1"/>
              <w:jc w:val="left"/>
              <w:rPr>
                <w:rFonts w:ascii="Times New Roman" w:hAnsi="Times New Roman" w:cs="Times New Roman" w:eastAsia="Times New Roman" w:hint="default"/>
                <w:sz w:val="21"/>
                <w:szCs w:val="21"/>
              </w:rPr>
            </w:pPr>
            <w:r>
              <w:rPr>
                <w:rFonts w:ascii="Times New Roman"/>
                <w:sz w:val="21"/>
              </w:rPr>
              <w:t>6,000,000.00</w:t>
            </w:r>
          </w:p>
        </w:tc>
        <w:tc>
          <w:tcPr>
            <w:tcW w:w="763"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795"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5"/>
              <w:jc w:val="right"/>
              <w:rPr>
                <w:rFonts w:ascii="Times New Roman" w:hAnsi="Times New Roman" w:cs="Times New Roman" w:eastAsia="Times New Roman" w:hint="default"/>
                <w:sz w:val="21"/>
                <w:szCs w:val="21"/>
              </w:rPr>
            </w:pPr>
            <w:r>
              <w:rPr>
                <w:rFonts w:ascii="Times New Roman"/>
                <w:spacing w:val="-1"/>
                <w:sz w:val="21"/>
              </w:rPr>
              <w:t>6,000,000.00</w:t>
            </w:r>
          </w:p>
        </w:tc>
      </w:tr>
    </w:tbl>
    <w:p>
      <w:pPr>
        <w:spacing w:line="240" w:lineRule="auto" w:before="3"/>
        <w:rPr>
          <w:rFonts w:ascii="宋体" w:hAnsi="宋体" w:cs="宋体" w:eastAsia="宋体" w:hint="default"/>
          <w:b/>
          <w:bCs/>
          <w:sz w:val="8"/>
          <w:szCs w:val="8"/>
        </w:rPr>
      </w:pPr>
    </w:p>
    <w:p>
      <w:pPr>
        <w:pStyle w:val="BodyText"/>
        <w:spacing w:line="240" w:lineRule="auto" w:before="36"/>
        <w:ind w:left="572" w:right="0"/>
        <w:jc w:val="left"/>
      </w:pPr>
      <w:r>
        <w:rPr/>
        <w:t>续：</w:t>
      </w:r>
    </w:p>
    <w:p>
      <w:pPr>
        <w:spacing w:line="240" w:lineRule="auto" w:before="10"/>
        <w:rPr>
          <w:rFonts w:ascii="宋体" w:hAnsi="宋体" w:cs="宋体" w:eastAsia="宋体" w:hint="default"/>
          <w:sz w:val="3"/>
          <w:szCs w:val="3"/>
        </w:rPr>
      </w:pPr>
    </w:p>
    <w:tbl>
      <w:tblPr>
        <w:tblW w:w="0" w:type="auto"/>
        <w:jc w:val="left"/>
        <w:tblInd w:w="145" w:type="dxa"/>
        <w:tblLayout w:type="fixed"/>
        <w:tblCellMar>
          <w:top w:w="0" w:type="dxa"/>
          <w:left w:w="0" w:type="dxa"/>
          <w:bottom w:w="0" w:type="dxa"/>
          <w:right w:w="0" w:type="dxa"/>
        </w:tblCellMar>
        <w:tblLook w:val="01E0"/>
      </w:tblPr>
      <w:tblGrid>
        <w:gridCol w:w="2693"/>
        <w:gridCol w:w="1087"/>
        <w:gridCol w:w="1159"/>
        <w:gridCol w:w="1234"/>
        <w:gridCol w:w="1202"/>
        <w:gridCol w:w="1711"/>
      </w:tblGrid>
      <w:tr>
        <w:trPr>
          <w:trHeight w:val="355" w:hRule="exact"/>
        </w:trPr>
        <w:tc>
          <w:tcPr>
            <w:tcW w:w="2693" w:type="dxa"/>
            <w:vMerge w:val="restart"/>
            <w:tcBorders>
              <w:top w:val="single" w:sz="6" w:space="0" w:color="000000"/>
              <w:left w:val="single" w:sz="6" w:space="0" w:color="000000"/>
              <w:right w:val="single" w:sz="6" w:space="0" w:color="000000"/>
            </w:tcBorders>
          </w:tcPr>
          <w:p>
            <w:pPr>
              <w:pStyle w:val="TableParagraph"/>
              <w:spacing w:line="253" w:lineRule="exact"/>
              <w:ind w:left="813"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4682" w:type="dxa"/>
            <w:gridSpan w:val="4"/>
            <w:tcBorders>
              <w:top w:val="single" w:sz="6" w:space="0" w:color="000000"/>
              <w:left w:val="single" w:sz="6" w:space="0" w:color="000000"/>
              <w:bottom w:val="single" w:sz="12" w:space="0" w:color="000000"/>
              <w:right w:val="single" w:sz="6"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减值准备</w:t>
            </w:r>
          </w:p>
        </w:tc>
        <w:tc>
          <w:tcPr>
            <w:tcW w:w="1711" w:type="dxa"/>
            <w:vMerge w:val="restart"/>
            <w:tcBorders>
              <w:top w:val="single" w:sz="6" w:space="0" w:color="000000"/>
              <w:left w:val="single" w:sz="6" w:space="0" w:color="000000"/>
              <w:right w:val="nil" w:sz="6" w:space="0" w:color="auto"/>
            </w:tcBorders>
          </w:tcPr>
          <w:p>
            <w:pPr>
              <w:pStyle w:val="TableParagraph"/>
              <w:spacing w:line="253" w:lineRule="exact"/>
              <w:ind w:left="220" w:right="0"/>
              <w:jc w:val="left"/>
              <w:rPr>
                <w:rFonts w:ascii="宋体" w:hAnsi="宋体" w:cs="宋体" w:eastAsia="宋体" w:hint="default"/>
                <w:sz w:val="21"/>
                <w:szCs w:val="21"/>
              </w:rPr>
            </w:pPr>
            <w:r>
              <w:rPr>
                <w:rFonts w:ascii="宋体" w:hAnsi="宋体" w:cs="宋体" w:eastAsia="宋体" w:hint="default"/>
                <w:sz w:val="21"/>
                <w:szCs w:val="21"/>
              </w:rPr>
              <w:t>本期现金红利</w:t>
            </w:r>
          </w:p>
        </w:tc>
      </w:tr>
      <w:tr>
        <w:trPr>
          <w:trHeight w:val="350" w:hRule="exact"/>
        </w:trPr>
        <w:tc>
          <w:tcPr>
            <w:tcW w:w="2693" w:type="dxa"/>
            <w:vMerge/>
            <w:tcBorders>
              <w:left w:val="single" w:sz="6" w:space="0" w:color="000000"/>
              <w:bottom w:val="single" w:sz="12" w:space="0" w:color="000000"/>
              <w:right w:val="single" w:sz="6" w:space="0" w:color="000000"/>
            </w:tcBorders>
          </w:tcPr>
          <w:p>
            <w:pPr/>
          </w:p>
        </w:tc>
        <w:tc>
          <w:tcPr>
            <w:tcW w:w="1087"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11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159"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153"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234"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18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202"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172"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711" w:type="dxa"/>
            <w:vMerge/>
            <w:tcBorders>
              <w:left w:val="single" w:sz="6" w:space="0" w:color="000000"/>
              <w:bottom w:val="single" w:sz="12" w:space="0" w:color="000000"/>
              <w:right w:val="nil" w:sz="6" w:space="0" w:color="auto"/>
            </w:tcBorders>
          </w:tcPr>
          <w:p>
            <w:pPr/>
          </w:p>
        </w:tc>
      </w:tr>
      <w:tr>
        <w:trPr>
          <w:trHeight w:val="588" w:hRule="exact"/>
        </w:trPr>
        <w:tc>
          <w:tcPr>
            <w:tcW w:w="2693"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4" w:right="-3"/>
              <w:jc w:val="left"/>
              <w:rPr>
                <w:rFonts w:ascii="宋体" w:hAnsi="宋体" w:cs="宋体" w:eastAsia="宋体" w:hint="default"/>
                <w:sz w:val="21"/>
                <w:szCs w:val="21"/>
              </w:rPr>
            </w:pPr>
            <w:r>
              <w:rPr>
                <w:rFonts w:ascii="宋体" w:hAnsi="宋体" w:cs="宋体" w:eastAsia="宋体" w:hint="default"/>
                <w:spacing w:val="10"/>
                <w:sz w:val="21"/>
                <w:szCs w:val="21"/>
              </w:rPr>
              <w:t>深圳市科葩信息技术有限公</w:t>
            </w:r>
          </w:p>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087"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159"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234"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202"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711"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4"/>
              <w:jc w:val="right"/>
              <w:rPr>
                <w:rFonts w:ascii="Times New Roman" w:hAnsi="Times New Roman" w:cs="Times New Roman" w:eastAsia="Times New Roman" w:hint="default"/>
                <w:sz w:val="21"/>
                <w:szCs w:val="21"/>
              </w:rPr>
            </w:pPr>
            <w:r>
              <w:rPr>
                <w:rFonts w:ascii="Times New Roman"/>
                <w:spacing w:val="-1"/>
                <w:sz w:val="21"/>
              </w:rPr>
              <w:t>---</w:t>
            </w:r>
          </w:p>
        </w:tc>
      </w:tr>
      <w:tr>
        <w:trPr>
          <w:trHeight w:val="353" w:hRule="exact"/>
        </w:trPr>
        <w:tc>
          <w:tcPr>
            <w:tcW w:w="2693"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087"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159"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234"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202"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711"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4"/>
              <w:jc w:val="right"/>
              <w:rPr>
                <w:rFonts w:ascii="Times New Roman" w:hAnsi="Times New Roman" w:cs="Times New Roman" w:eastAsia="Times New Roman" w:hint="default"/>
                <w:sz w:val="21"/>
                <w:szCs w:val="21"/>
              </w:rPr>
            </w:pPr>
            <w:r>
              <w:rPr>
                <w:rFonts w:ascii="Times New Roman"/>
                <w:spacing w:val="-1"/>
                <w:sz w:val="21"/>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pStyle w:val="Heading5"/>
        <w:spacing w:line="240" w:lineRule="auto" w:before="36"/>
        <w:ind w:left="580" w:right="0"/>
        <w:jc w:val="left"/>
        <w:rPr>
          <w:b w:val="0"/>
          <w:bCs w:val="0"/>
        </w:rPr>
      </w:pPr>
      <w:r>
        <w:rPr/>
        <w:t>（十）固定资产</w:t>
      </w:r>
      <w:r>
        <w:rPr>
          <w:b w:val="0"/>
          <w:bCs w:val="0"/>
        </w:rPr>
      </w:r>
    </w:p>
    <w:p>
      <w:pPr>
        <w:pStyle w:val="Heading5"/>
        <w:spacing w:line="240" w:lineRule="auto" w:before="37"/>
        <w:ind w:left="575" w:right="0"/>
        <w:jc w:val="left"/>
        <w:rPr>
          <w:b w:val="0"/>
          <w:bCs w:val="0"/>
        </w:rPr>
      </w:pPr>
      <w:r>
        <w:rPr>
          <w:rFonts w:ascii="Times New Roman" w:hAnsi="Times New Roman" w:cs="Times New Roman" w:eastAsia="Times New Roman" w:hint="default"/>
        </w:rPr>
        <w:t>1</w:t>
      </w:r>
      <w:r>
        <w:rPr/>
        <w:t>、固定资产情况</w:t>
      </w:r>
      <w:r>
        <w:rPr>
          <w:b w:val="0"/>
          <w:bCs w:val="0"/>
        </w:rPr>
      </w:r>
    </w:p>
    <w:p>
      <w:pPr>
        <w:spacing w:line="240" w:lineRule="auto" w:before="8"/>
        <w:rPr>
          <w:rFonts w:ascii="宋体" w:hAnsi="宋体" w:cs="宋体" w:eastAsia="宋体" w:hint="default"/>
          <w:b/>
          <w:bCs/>
          <w:sz w:val="2"/>
          <w:szCs w:val="2"/>
        </w:rPr>
      </w:pPr>
    </w:p>
    <w:tbl>
      <w:tblPr>
        <w:tblW w:w="0" w:type="auto"/>
        <w:jc w:val="left"/>
        <w:tblInd w:w="145" w:type="dxa"/>
        <w:tblLayout w:type="fixed"/>
        <w:tblCellMar>
          <w:top w:w="0" w:type="dxa"/>
          <w:left w:w="0" w:type="dxa"/>
          <w:bottom w:w="0" w:type="dxa"/>
          <w:right w:w="0" w:type="dxa"/>
        </w:tblCellMar>
        <w:tblLook w:val="01E0"/>
      </w:tblPr>
      <w:tblGrid>
        <w:gridCol w:w="1819"/>
        <w:gridCol w:w="1529"/>
        <w:gridCol w:w="1399"/>
        <w:gridCol w:w="1433"/>
        <w:gridCol w:w="1414"/>
        <w:gridCol w:w="1447"/>
      </w:tblGrid>
      <w:tr>
        <w:trPr>
          <w:trHeight w:val="314" w:hRule="exact"/>
        </w:trPr>
        <w:tc>
          <w:tcPr>
            <w:tcW w:w="1819"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29"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left="232"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399"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left="271"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433"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left="290"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414"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left="280"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447" w:type="dxa"/>
            <w:tcBorders>
              <w:top w:val="single" w:sz="6" w:space="0" w:color="000000"/>
              <w:left w:val="single" w:sz="6" w:space="0" w:color="000000"/>
              <w:bottom w:val="single" w:sz="12" w:space="0" w:color="000000"/>
              <w:right w:val="nil" w:sz="6" w:space="0" w:color="auto"/>
            </w:tcBorders>
          </w:tcPr>
          <w:p>
            <w:pPr>
              <w:pStyle w:val="TableParagraph"/>
              <w:spacing w:line="250" w:lineRule="exact"/>
              <w:ind w:right="2"/>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314" w:hRule="exact"/>
        </w:trPr>
        <w:tc>
          <w:tcPr>
            <w:tcW w:w="1819"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45"/>
                <w:sz w:val="21"/>
                <w:szCs w:val="21"/>
              </w:rPr>
              <w:t> </w:t>
            </w:r>
            <w:r>
              <w:rPr>
                <w:rFonts w:ascii="宋体" w:hAnsi="宋体" w:cs="宋体" w:eastAsia="宋体" w:hint="default"/>
                <w:sz w:val="21"/>
                <w:szCs w:val="21"/>
              </w:rPr>
              <w:t>账面原值合计</w:t>
            </w:r>
          </w:p>
        </w:tc>
        <w:tc>
          <w:tcPr>
            <w:tcW w:w="1529" w:type="dxa"/>
            <w:tcBorders>
              <w:top w:val="single" w:sz="12" w:space="0" w:color="000000"/>
              <w:left w:val="single" w:sz="6" w:space="0" w:color="000000"/>
              <w:bottom w:val="single" w:sz="12" w:space="0" w:color="000000"/>
              <w:right w:val="single" w:sz="6" w:space="0" w:color="000000"/>
            </w:tcBorders>
          </w:tcPr>
          <w:p>
            <w:pPr/>
          </w:p>
        </w:tc>
        <w:tc>
          <w:tcPr>
            <w:tcW w:w="1399" w:type="dxa"/>
            <w:tcBorders>
              <w:top w:val="single" w:sz="12" w:space="0" w:color="000000"/>
              <w:left w:val="single" w:sz="6" w:space="0" w:color="000000"/>
              <w:bottom w:val="single" w:sz="12" w:space="0" w:color="000000"/>
              <w:right w:val="single" w:sz="6" w:space="0" w:color="000000"/>
            </w:tcBorders>
          </w:tcPr>
          <w:p>
            <w:pPr/>
          </w:p>
        </w:tc>
        <w:tc>
          <w:tcPr>
            <w:tcW w:w="1433" w:type="dxa"/>
            <w:tcBorders>
              <w:top w:val="single" w:sz="12" w:space="0" w:color="000000"/>
              <w:left w:val="single" w:sz="6" w:space="0" w:color="000000"/>
              <w:bottom w:val="single" w:sz="12" w:space="0" w:color="000000"/>
              <w:right w:val="single" w:sz="6" w:space="0" w:color="000000"/>
            </w:tcBorders>
          </w:tcPr>
          <w:p>
            <w:pPr/>
          </w:p>
        </w:tc>
        <w:tc>
          <w:tcPr>
            <w:tcW w:w="1414" w:type="dxa"/>
            <w:tcBorders>
              <w:top w:val="single" w:sz="12" w:space="0" w:color="000000"/>
              <w:left w:val="single" w:sz="6" w:space="0" w:color="000000"/>
              <w:bottom w:val="single" w:sz="12" w:space="0" w:color="000000"/>
              <w:right w:val="single" w:sz="6" w:space="0" w:color="000000"/>
            </w:tcBorders>
          </w:tcPr>
          <w:p>
            <w:pPr/>
          </w:p>
        </w:tc>
        <w:tc>
          <w:tcPr>
            <w:tcW w:w="1447" w:type="dxa"/>
            <w:tcBorders>
              <w:top w:val="single" w:sz="12" w:space="0" w:color="000000"/>
              <w:left w:val="single" w:sz="6" w:space="0" w:color="000000"/>
              <w:bottom w:val="single" w:sz="12" w:space="0" w:color="000000"/>
              <w:right w:val="nil" w:sz="6" w:space="0" w:color="auto"/>
            </w:tcBorders>
          </w:tcPr>
          <w:p>
            <w:pPr/>
          </w:p>
        </w:tc>
      </w:tr>
      <w:tr>
        <w:trPr>
          <w:trHeight w:val="312" w:hRule="exact"/>
        </w:trPr>
        <w:tc>
          <w:tcPr>
            <w:tcW w:w="1819"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46"/>
                <w:sz w:val="21"/>
                <w:szCs w:val="21"/>
              </w:rPr>
              <w:t> </w:t>
            </w:r>
            <w:r>
              <w:rPr>
                <w:rFonts w:ascii="宋体" w:hAnsi="宋体" w:cs="宋体" w:eastAsia="宋体" w:hint="default"/>
                <w:sz w:val="21"/>
                <w:szCs w:val="21"/>
              </w:rPr>
              <w:t>期初余额</w:t>
            </w:r>
          </w:p>
        </w:tc>
        <w:tc>
          <w:tcPr>
            <w:tcW w:w="1529"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15,840,463.91</w:t>
            </w:r>
          </w:p>
        </w:tc>
        <w:tc>
          <w:tcPr>
            <w:tcW w:w="1399"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left="280" w:right="-1"/>
              <w:jc w:val="left"/>
              <w:rPr>
                <w:rFonts w:ascii="Times New Roman" w:hAnsi="Times New Roman" w:cs="Times New Roman" w:eastAsia="Times New Roman" w:hint="default"/>
                <w:sz w:val="21"/>
                <w:szCs w:val="21"/>
              </w:rPr>
            </w:pPr>
            <w:r>
              <w:rPr>
                <w:rFonts w:ascii="Times New Roman"/>
                <w:sz w:val="21"/>
              </w:rPr>
              <w:t>2,990,305.00</w:t>
            </w:r>
          </w:p>
        </w:tc>
        <w:tc>
          <w:tcPr>
            <w:tcW w:w="1433"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3"/>
              <w:jc w:val="right"/>
              <w:rPr>
                <w:rFonts w:ascii="Times New Roman" w:hAnsi="Times New Roman" w:cs="Times New Roman" w:eastAsia="Times New Roman" w:hint="default"/>
                <w:sz w:val="21"/>
                <w:szCs w:val="21"/>
              </w:rPr>
            </w:pPr>
            <w:r>
              <w:rPr>
                <w:rFonts w:ascii="Times New Roman"/>
                <w:spacing w:val="-1"/>
                <w:sz w:val="21"/>
              </w:rPr>
              <w:t>2,387,994.68</w:t>
            </w:r>
          </w:p>
        </w:tc>
        <w:tc>
          <w:tcPr>
            <w:tcW w:w="1414"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1,104,276.43</w:t>
            </w:r>
          </w:p>
        </w:tc>
        <w:tc>
          <w:tcPr>
            <w:tcW w:w="1447"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5"/>
              <w:jc w:val="right"/>
              <w:rPr>
                <w:rFonts w:ascii="Times New Roman" w:hAnsi="Times New Roman" w:cs="Times New Roman" w:eastAsia="Times New Roman" w:hint="default"/>
                <w:sz w:val="21"/>
                <w:szCs w:val="21"/>
              </w:rPr>
            </w:pPr>
            <w:r>
              <w:rPr>
                <w:rFonts w:ascii="Times New Roman"/>
                <w:spacing w:val="-1"/>
                <w:sz w:val="21"/>
              </w:rPr>
              <w:t>22,323,040.02</w:t>
            </w:r>
          </w:p>
        </w:tc>
      </w:tr>
      <w:tr>
        <w:trPr>
          <w:trHeight w:val="312" w:hRule="exact"/>
        </w:trPr>
        <w:tc>
          <w:tcPr>
            <w:tcW w:w="1819"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45"/>
                <w:sz w:val="21"/>
                <w:szCs w:val="21"/>
              </w:rPr>
              <w:t> </w:t>
            </w:r>
            <w:r>
              <w:rPr>
                <w:rFonts w:ascii="宋体" w:hAnsi="宋体" w:cs="宋体" w:eastAsia="宋体" w:hint="default"/>
                <w:sz w:val="21"/>
                <w:szCs w:val="21"/>
              </w:rPr>
              <w:t>本期增加金额</w:t>
            </w:r>
          </w:p>
        </w:tc>
        <w:tc>
          <w:tcPr>
            <w:tcW w:w="1529"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399"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left="278" w:right="0"/>
              <w:jc w:val="left"/>
              <w:rPr>
                <w:rFonts w:ascii="Times New Roman" w:hAnsi="Times New Roman" w:cs="Times New Roman" w:eastAsia="Times New Roman" w:hint="default"/>
                <w:sz w:val="21"/>
                <w:szCs w:val="21"/>
              </w:rPr>
            </w:pPr>
            <w:r>
              <w:rPr>
                <w:rFonts w:ascii="Times New Roman"/>
                <w:sz w:val="21"/>
              </w:rPr>
              <w:t>1,049,730.00</w:t>
            </w:r>
          </w:p>
        </w:tc>
        <w:tc>
          <w:tcPr>
            <w:tcW w:w="1433"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577,692.42</w:t>
            </w:r>
          </w:p>
        </w:tc>
        <w:tc>
          <w:tcPr>
            <w:tcW w:w="1414"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Times New Roman" w:hAnsi="Times New Roman" w:cs="Times New Roman" w:eastAsia="Times New Roman" w:hint="default"/>
                <w:sz w:val="21"/>
                <w:szCs w:val="21"/>
              </w:rPr>
            </w:pPr>
            <w:r>
              <w:rPr>
                <w:rFonts w:ascii="Times New Roman"/>
                <w:sz w:val="21"/>
              </w:rPr>
              <w:t>8,290.59</w:t>
            </w:r>
          </w:p>
        </w:tc>
        <w:tc>
          <w:tcPr>
            <w:tcW w:w="1447"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7"/>
              <w:jc w:val="right"/>
              <w:rPr>
                <w:rFonts w:ascii="Times New Roman" w:hAnsi="Times New Roman" w:cs="Times New Roman" w:eastAsia="Times New Roman" w:hint="default"/>
                <w:sz w:val="21"/>
                <w:szCs w:val="21"/>
              </w:rPr>
            </w:pPr>
            <w:r>
              <w:rPr>
                <w:rFonts w:ascii="Times New Roman"/>
                <w:spacing w:val="-1"/>
                <w:sz w:val="21"/>
              </w:rPr>
              <w:t>1,635,713.01</w:t>
            </w:r>
          </w:p>
        </w:tc>
      </w:tr>
      <w:tr>
        <w:trPr>
          <w:trHeight w:val="314" w:hRule="exact"/>
        </w:trPr>
        <w:tc>
          <w:tcPr>
            <w:tcW w:w="1819"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4" w:right="0"/>
              <w:jc w:val="left"/>
              <w:rPr>
                <w:rFonts w:ascii="宋体" w:hAnsi="宋体" w:cs="宋体" w:eastAsia="宋体" w:hint="default"/>
                <w:sz w:val="21"/>
                <w:szCs w:val="21"/>
              </w:rPr>
            </w:pPr>
            <w:r>
              <w:rPr>
                <w:rFonts w:ascii="宋体" w:hAnsi="宋体" w:cs="宋体" w:eastAsia="宋体" w:hint="default"/>
                <w:sz w:val="21"/>
                <w:szCs w:val="21"/>
              </w:rPr>
              <w:t>购置</w:t>
            </w:r>
          </w:p>
        </w:tc>
        <w:tc>
          <w:tcPr>
            <w:tcW w:w="1529"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399"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left="278" w:right="0"/>
              <w:jc w:val="left"/>
              <w:rPr>
                <w:rFonts w:ascii="Times New Roman" w:hAnsi="Times New Roman" w:cs="Times New Roman" w:eastAsia="Times New Roman" w:hint="default"/>
                <w:sz w:val="21"/>
                <w:szCs w:val="21"/>
              </w:rPr>
            </w:pPr>
            <w:r>
              <w:rPr>
                <w:rFonts w:ascii="Times New Roman"/>
                <w:sz w:val="21"/>
              </w:rPr>
              <w:t>1,049,730.00</w:t>
            </w:r>
          </w:p>
        </w:tc>
        <w:tc>
          <w:tcPr>
            <w:tcW w:w="1433"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577,692.42</w:t>
            </w:r>
          </w:p>
        </w:tc>
        <w:tc>
          <w:tcPr>
            <w:tcW w:w="1414"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0"/>
              <w:jc w:val="right"/>
              <w:rPr>
                <w:rFonts w:ascii="Times New Roman" w:hAnsi="Times New Roman" w:cs="Times New Roman" w:eastAsia="Times New Roman" w:hint="default"/>
                <w:sz w:val="21"/>
                <w:szCs w:val="21"/>
              </w:rPr>
            </w:pPr>
            <w:r>
              <w:rPr>
                <w:rFonts w:ascii="Times New Roman"/>
                <w:sz w:val="21"/>
              </w:rPr>
              <w:t>8,290.59</w:t>
            </w:r>
          </w:p>
        </w:tc>
        <w:tc>
          <w:tcPr>
            <w:tcW w:w="1447"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7"/>
              <w:jc w:val="right"/>
              <w:rPr>
                <w:rFonts w:ascii="Times New Roman" w:hAnsi="Times New Roman" w:cs="Times New Roman" w:eastAsia="Times New Roman" w:hint="default"/>
                <w:sz w:val="21"/>
                <w:szCs w:val="21"/>
              </w:rPr>
            </w:pPr>
            <w:r>
              <w:rPr>
                <w:rFonts w:ascii="Times New Roman"/>
                <w:spacing w:val="-1"/>
                <w:sz w:val="21"/>
              </w:rPr>
              <w:t>1,635,713.01</w:t>
            </w:r>
          </w:p>
        </w:tc>
      </w:tr>
      <w:tr>
        <w:trPr>
          <w:trHeight w:val="314" w:hRule="exact"/>
        </w:trPr>
        <w:tc>
          <w:tcPr>
            <w:tcW w:w="1819"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45"/>
                <w:sz w:val="21"/>
                <w:szCs w:val="21"/>
              </w:rPr>
              <w:t> </w:t>
            </w:r>
            <w:r>
              <w:rPr>
                <w:rFonts w:ascii="宋体" w:hAnsi="宋体" w:cs="宋体" w:eastAsia="宋体" w:hint="default"/>
                <w:sz w:val="21"/>
                <w:szCs w:val="21"/>
              </w:rPr>
              <w:t>本期减少金额</w:t>
            </w:r>
          </w:p>
        </w:tc>
        <w:tc>
          <w:tcPr>
            <w:tcW w:w="1529"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399"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left="278" w:right="0"/>
              <w:jc w:val="left"/>
              <w:rPr>
                <w:rFonts w:ascii="Times New Roman" w:hAnsi="Times New Roman" w:cs="Times New Roman" w:eastAsia="Times New Roman" w:hint="default"/>
                <w:sz w:val="21"/>
                <w:szCs w:val="21"/>
              </w:rPr>
            </w:pPr>
            <w:r>
              <w:rPr>
                <w:rFonts w:ascii="Times New Roman"/>
                <w:sz w:val="21"/>
              </w:rPr>
              <w:t>1,330,000.00</w:t>
            </w:r>
          </w:p>
        </w:tc>
        <w:tc>
          <w:tcPr>
            <w:tcW w:w="1433"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167,423.54</w:t>
            </w:r>
          </w:p>
        </w:tc>
        <w:tc>
          <w:tcPr>
            <w:tcW w:w="1414"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Times New Roman" w:hAnsi="Times New Roman" w:cs="Times New Roman" w:eastAsia="Times New Roman" w:hint="default"/>
                <w:sz w:val="21"/>
                <w:szCs w:val="21"/>
              </w:rPr>
            </w:pPr>
            <w:r>
              <w:rPr>
                <w:rFonts w:ascii="Times New Roman"/>
                <w:sz w:val="21"/>
              </w:rPr>
              <w:t>3,990.00</w:t>
            </w:r>
          </w:p>
        </w:tc>
        <w:tc>
          <w:tcPr>
            <w:tcW w:w="1447"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7"/>
              <w:jc w:val="right"/>
              <w:rPr>
                <w:rFonts w:ascii="Times New Roman" w:hAnsi="Times New Roman" w:cs="Times New Roman" w:eastAsia="Times New Roman" w:hint="default"/>
                <w:sz w:val="21"/>
                <w:szCs w:val="21"/>
              </w:rPr>
            </w:pPr>
            <w:r>
              <w:rPr>
                <w:rFonts w:ascii="Times New Roman"/>
                <w:spacing w:val="-1"/>
                <w:sz w:val="21"/>
              </w:rPr>
              <w:t>1,501,413.54</w:t>
            </w:r>
          </w:p>
        </w:tc>
      </w:tr>
    </w:tbl>
    <w:p>
      <w:pPr>
        <w:spacing w:after="0" w:line="235" w:lineRule="exact"/>
        <w:jc w:val="right"/>
        <w:rPr>
          <w:rFonts w:ascii="Times New Roman" w:hAnsi="Times New Roman" w:cs="Times New Roman" w:eastAsia="Times New Roman" w:hint="default"/>
          <w:sz w:val="21"/>
          <w:szCs w:val="21"/>
        </w:rPr>
        <w:sectPr>
          <w:pgSz w:w="11910" w:h="16840"/>
          <w:pgMar w:header="880" w:footer="979" w:top="1060" w:bottom="1160" w:left="980" w:right="940"/>
        </w:sectPr>
      </w:pPr>
    </w:p>
    <w:p>
      <w:pPr>
        <w:spacing w:line="240" w:lineRule="auto" w:before="4"/>
        <w:rPr>
          <w:rFonts w:ascii="宋体" w:hAnsi="宋体" w:cs="宋体" w:eastAsia="宋体" w:hint="default"/>
          <w:b/>
          <w:bCs/>
          <w:sz w:val="28"/>
          <w:szCs w:val="28"/>
        </w:rPr>
      </w:pPr>
    </w:p>
    <w:tbl>
      <w:tblPr>
        <w:tblW w:w="0" w:type="auto"/>
        <w:jc w:val="left"/>
        <w:tblInd w:w="145" w:type="dxa"/>
        <w:tblLayout w:type="fixed"/>
        <w:tblCellMar>
          <w:top w:w="0" w:type="dxa"/>
          <w:left w:w="0" w:type="dxa"/>
          <w:bottom w:w="0" w:type="dxa"/>
          <w:right w:w="0" w:type="dxa"/>
        </w:tblCellMar>
        <w:tblLook w:val="01E0"/>
      </w:tblPr>
      <w:tblGrid>
        <w:gridCol w:w="1819"/>
        <w:gridCol w:w="1529"/>
        <w:gridCol w:w="1399"/>
        <w:gridCol w:w="1433"/>
        <w:gridCol w:w="1414"/>
        <w:gridCol w:w="1447"/>
      </w:tblGrid>
      <w:tr>
        <w:trPr>
          <w:trHeight w:val="314" w:hRule="exact"/>
        </w:trPr>
        <w:tc>
          <w:tcPr>
            <w:tcW w:w="1819"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left="4" w:right="0"/>
              <w:jc w:val="left"/>
              <w:rPr>
                <w:rFonts w:ascii="宋体" w:hAnsi="宋体" w:cs="宋体" w:eastAsia="宋体" w:hint="default"/>
                <w:sz w:val="21"/>
                <w:szCs w:val="21"/>
              </w:rPr>
            </w:pPr>
            <w:r>
              <w:rPr>
                <w:rFonts w:ascii="宋体" w:hAnsi="宋体" w:cs="宋体" w:eastAsia="宋体" w:hint="default"/>
                <w:sz w:val="21"/>
                <w:szCs w:val="21"/>
              </w:rPr>
              <w:t>处置或报废</w:t>
            </w:r>
          </w:p>
        </w:tc>
        <w:tc>
          <w:tcPr>
            <w:tcW w:w="152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
              <w:ind w:right="1"/>
              <w:jc w:val="right"/>
              <w:rPr>
                <w:rFonts w:ascii="Times New Roman" w:hAnsi="Times New Roman" w:cs="Times New Roman" w:eastAsia="Times New Roman" w:hint="default"/>
                <w:sz w:val="21"/>
                <w:szCs w:val="21"/>
              </w:rPr>
            </w:pPr>
            <w:r>
              <w:rPr>
                <w:rFonts w:ascii="Times New Roman"/>
                <w:spacing w:val="-1"/>
                <w:sz w:val="21"/>
              </w:rPr>
              <w:t>---</w:t>
            </w:r>
          </w:p>
        </w:tc>
        <w:tc>
          <w:tcPr>
            <w:tcW w:w="139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
              <w:ind w:right="0"/>
              <w:jc w:val="right"/>
              <w:rPr>
                <w:rFonts w:ascii="Times New Roman" w:hAnsi="Times New Roman" w:cs="Times New Roman" w:eastAsia="Times New Roman" w:hint="default"/>
                <w:sz w:val="21"/>
                <w:szCs w:val="21"/>
              </w:rPr>
            </w:pPr>
            <w:r>
              <w:rPr>
                <w:rFonts w:ascii="Times New Roman"/>
                <w:spacing w:val="-1"/>
                <w:sz w:val="21"/>
              </w:rPr>
              <w:t>1,330,000.00</w:t>
            </w:r>
          </w:p>
        </w:tc>
        <w:tc>
          <w:tcPr>
            <w:tcW w:w="143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
              <w:ind w:right="-1"/>
              <w:jc w:val="right"/>
              <w:rPr>
                <w:rFonts w:ascii="Times New Roman" w:hAnsi="Times New Roman" w:cs="Times New Roman" w:eastAsia="Times New Roman" w:hint="default"/>
                <w:sz w:val="21"/>
                <w:szCs w:val="21"/>
              </w:rPr>
            </w:pPr>
            <w:r>
              <w:rPr>
                <w:rFonts w:ascii="Times New Roman"/>
                <w:spacing w:val="-1"/>
                <w:sz w:val="21"/>
              </w:rPr>
              <w:t>167,423.54</w:t>
            </w:r>
          </w:p>
        </w:tc>
        <w:tc>
          <w:tcPr>
            <w:tcW w:w="14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
              <w:ind w:right="0"/>
              <w:jc w:val="right"/>
              <w:rPr>
                <w:rFonts w:ascii="Times New Roman" w:hAnsi="Times New Roman" w:cs="Times New Roman" w:eastAsia="Times New Roman" w:hint="default"/>
                <w:sz w:val="21"/>
                <w:szCs w:val="21"/>
              </w:rPr>
            </w:pPr>
            <w:r>
              <w:rPr>
                <w:rFonts w:ascii="Times New Roman"/>
                <w:sz w:val="21"/>
              </w:rPr>
              <w:t>3,990.00</w:t>
            </w:r>
          </w:p>
        </w:tc>
        <w:tc>
          <w:tcPr>
            <w:tcW w:w="144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
              <w:ind w:right="7"/>
              <w:jc w:val="right"/>
              <w:rPr>
                <w:rFonts w:ascii="Times New Roman" w:hAnsi="Times New Roman" w:cs="Times New Roman" w:eastAsia="Times New Roman" w:hint="default"/>
                <w:sz w:val="21"/>
                <w:szCs w:val="21"/>
              </w:rPr>
            </w:pPr>
            <w:r>
              <w:rPr>
                <w:rFonts w:ascii="Times New Roman"/>
                <w:spacing w:val="-1"/>
                <w:sz w:val="21"/>
              </w:rPr>
              <w:t>1,501,413.54</w:t>
            </w:r>
          </w:p>
        </w:tc>
      </w:tr>
      <w:tr>
        <w:trPr>
          <w:trHeight w:val="314" w:hRule="exact"/>
        </w:trPr>
        <w:tc>
          <w:tcPr>
            <w:tcW w:w="1819"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46"/>
                <w:sz w:val="21"/>
                <w:szCs w:val="21"/>
              </w:rPr>
              <w:t> </w:t>
            </w:r>
            <w:r>
              <w:rPr>
                <w:rFonts w:ascii="宋体" w:hAnsi="宋体" w:cs="宋体" w:eastAsia="宋体" w:hint="default"/>
                <w:sz w:val="21"/>
                <w:szCs w:val="21"/>
              </w:rPr>
              <w:t>期末余额</w:t>
            </w:r>
          </w:p>
        </w:tc>
        <w:tc>
          <w:tcPr>
            <w:tcW w:w="1529"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0"/>
              <w:jc w:val="right"/>
              <w:rPr>
                <w:rFonts w:ascii="Times New Roman" w:hAnsi="Times New Roman" w:cs="Times New Roman" w:eastAsia="Times New Roman" w:hint="default"/>
                <w:sz w:val="21"/>
                <w:szCs w:val="21"/>
              </w:rPr>
            </w:pPr>
            <w:r>
              <w:rPr>
                <w:rFonts w:ascii="Times New Roman"/>
                <w:spacing w:val="-1"/>
                <w:sz w:val="21"/>
              </w:rPr>
              <w:t>15,840,463.91</w:t>
            </w:r>
          </w:p>
        </w:tc>
        <w:tc>
          <w:tcPr>
            <w:tcW w:w="1399"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0"/>
              <w:jc w:val="right"/>
              <w:rPr>
                <w:rFonts w:ascii="Times New Roman" w:hAnsi="Times New Roman" w:cs="Times New Roman" w:eastAsia="Times New Roman" w:hint="default"/>
                <w:sz w:val="21"/>
                <w:szCs w:val="21"/>
              </w:rPr>
            </w:pPr>
            <w:r>
              <w:rPr>
                <w:rFonts w:ascii="Times New Roman"/>
                <w:spacing w:val="-1"/>
                <w:sz w:val="21"/>
              </w:rPr>
              <w:t>2,710,035.00</w:t>
            </w:r>
          </w:p>
        </w:tc>
        <w:tc>
          <w:tcPr>
            <w:tcW w:w="1433"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2,798,263.56</w:t>
            </w:r>
          </w:p>
        </w:tc>
        <w:tc>
          <w:tcPr>
            <w:tcW w:w="1414"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0"/>
              <w:jc w:val="right"/>
              <w:rPr>
                <w:rFonts w:ascii="Times New Roman" w:hAnsi="Times New Roman" w:cs="Times New Roman" w:eastAsia="Times New Roman" w:hint="default"/>
                <w:sz w:val="21"/>
                <w:szCs w:val="21"/>
              </w:rPr>
            </w:pPr>
            <w:r>
              <w:rPr>
                <w:rFonts w:ascii="Times New Roman"/>
                <w:spacing w:val="-1"/>
                <w:sz w:val="21"/>
              </w:rPr>
              <w:t>1,108,577.02</w:t>
            </w:r>
          </w:p>
        </w:tc>
        <w:tc>
          <w:tcPr>
            <w:tcW w:w="1447"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7"/>
              <w:jc w:val="right"/>
              <w:rPr>
                <w:rFonts w:ascii="Times New Roman" w:hAnsi="Times New Roman" w:cs="Times New Roman" w:eastAsia="Times New Roman" w:hint="default"/>
                <w:sz w:val="21"/>
                <w:szCs w:val="21"/>
              </w:rPr>
            </w:pPr>
            <w:r>
              <w:rPr>
                <w:rFonts w:ascii="Times New Roman"/>
                <w:spacing w:val="-1"/>
                <w:sz w:val="21"/>
              </w:rPr>
              <w:t>22,457,339.49</w:t>
            </w:r>
          </w:p>
        </w:tc>
      </w:tr>
      <w:tr>
        <w:trPr>
          <w:trHeight w:val="312" w:hRule="exact"/>
        </w:trPr>
        <w:tc>
          <w:tcPr>
            <w:tcW w:w="1819"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46"/>
                <w:sz w:val="21"/>
                <w:szCs w:val="21"/>
              </w:rPr>
              <w:t> </w:t>
            </w:r>
            <w:r>
              <w:rPr>
                <w:rFonts w:ascii="宋体" w:hAnsi="宋体" w:cs="宋体" w:eastAsia="宋体" w:hint="default"/>
                <w:sz w:val="21"/>
                <w:szCs w:val="21"/>
              </w:rPr>
              <w:t>累计折旧</w:t>
            </w:r>
          </w:p>
        </w:tc>
        <w:tc>
          <w:tcPr>
            <w:tcW w:w="1529" w:type="dxa"/>
            <w:tcBorders>
              <w:top w:val="single" w:sz="12" w:space="0" w:color="000000"/>
              <w:left w:val="single" w:sz="6" w:space="0" w:color="000000"/>
              <w:bottom w:val="single" w:sz="12" w:space="0" w:color="000000"/>
              <w:right w:val="single" w:sz="6" w:space="0" w:color="000000"/>
            </w:tcBorders>
          </w:tcPr>
          <w:p>
            <w:pPr/>
          </w:p>
        </w:tc>
        <w:tc>
          <w:tcPr>
            <w:tcW w:w="1399" w:type="dxa"/>
            <w:tcBorders>
              <w:top w:val="single" w:sz="12" w:space="0" w:color="000000"/>
              <w:left w:val="single" w:sz="6" w:space="0" w:color="000000"/>
              <w:bottom w:val="single" w:sz="12" w:space="0" w:color="000000"/>
              <w:right w:val="single" w:sz="6" w:space="0" w:color="000000"/>
            </w:tcBorders>
          </w:tcPr>
          <w:p>
            <w:pPr/>
          </w:p>
        </w:tc>
        <w:tc>
          <w:tcPr>
            <w:tcW w:w="1433" w:type="dxa"/>
            <w:tcBorders>
              <w:top w:val="single" w:sz="12" w:space="0" w:color="000000"/>
              <w:left w:val="single" w:sz="6" w:space="0" w:color="000000"/>
              <w:bottom w:val="single" w:sz="12" w:space="0" w:color="000000"/>
              <w:right w:val="single" w:sz="6" w:space="0" w:color="000000"/>
            </w:tcBorders>
          </w:tcPr>
          <w:p>
            <w:pPr/>
          </w:p>
        </w:tc>
        <w:tc>
          <w:tcPr>
            <w:tcW w:w="1414" w:type="dxa"/>
            <w:tcBorders>
              <w:top w:val="single" w:sz="12" w:space="0" w:color="000000"/>
              <w:left w:val="single" w:sz="6" w:space="0" w:color="000000"/>
              <w:bottom w:val="single" w:sz="12" w:space="0" w:color="000000"/>
              <w:right w:val="single" w:sz="6" w:space="0" w:color="000000"/>
            </w:tcBorders>
          </w:tcPr>
          <w:p>
            <w:pPr/>
          </w:p>
        </w:tc>
        <w:tc>
          <w:tcPr>
            <w:tcW w:w="1447" w:type="dxa"/>
            <w:tcBorders>
              <w:top w:val="single" w:sz="12" w:space="0" w:color="000000"/>
              <w:left w:val="single" w:sz="6" w:space="0" w:color="000000"/>
              <w:bottom w:val="single" w:sz="12" w:space="0" w:color="000000"/>
              <w:right w:val="nil" w:sz="6" w:space="0" w:color="auto"/>
            </w:tcBorders>
          </w:tcPr>
          <w:p>
            <w:pPr/>
          </w:p>
        </w:tc>
      </w:tr>
      <w:tr>
        <w:trPr>
          <w:trHeight w:val="314" w:hRule="exact"/>
        </w:trPr>
        <w:tc>
          <w:tcPr>
            <w:tcW w:w="1819"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46"/>
                <w:sz w:val="21"/>
                <w:szCs w:val="21"/>
              </w:rPr>
              <w:t> </w:t>
            </w:r>
            <w:r>
              <w:rPr>
                <w:rFonts w:ascii="宋体" w:hAnsi="宋体" w:cs="宋体" w:eastAsia="宋体" w:hint="default"/>
                <w:sz w:val="21"/>
                <w:szCs w:val="21"/>
              </w:rPr>
              <w:t>期初余额</w:t>
            </w:r>
          </w:p>
        </w:tc>
        <w:tc>
          <w:tcPr>
            <w:tcW w:w="1529"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64,652.36</w:t>
            </w:r>
          </w:p>
        </w:tc>
        <w:tc>
          <w:tcPr>
            <w:tcW w:w="1399"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1,419,783.70</w:t>
            </w:r>
          </w:p>
        </w:tc>
        <w:tc>
          <w:tcPr>
            <w:tcW w:w="1433"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3"/>
              <w:jc w:val="right"/>
              <w:rPr>
                <w:rFonts w:ascii="Times New Roman" w:hAnsi="Times New Roman" w:cs="Times New Roman" w:eastAsia="Times New Roman" w:hint="default"/>
                <w:sz w:val="21"/>
                <w:szCs w:val="21"/>
              </w:rPr>
            </w:pPr>
            <w:r>
              <w:rPr>
                <w:rFonts w:ascii="Times New Roman"/>
                <w:spacing w:val="-1"/>
                <w:sz w:val="21"/>
              </w:rPr>
              <w:t>1,206,233.20</w:t>
            </w:r>
          </w:p>
        </w:tc>
        <w:tc>
          <w:tcPr>
            <w:tcW w:w="1414"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253,347.92</w:t>
            </w:r>
          </w:p>
        </w:tc>
        <w:tc>
          <w:tcPr>
            <w:tcW w:w="1447"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5"/>
              <w:jc w:val="right"/>
              <w:rPr>
                <w:rFonts w:ascii="Times New Roman" w:hAnsi="Times New Roman" w:cs="Times New Roman" w:eastAsia="Times New Roman" w:hint="default"/>
                <w:sz w:val="21"/>
                <w:szCs w:val="21"/>
              </w:rPr>
            </w:pPr>
            <w:r>
              <w:rPr>
                <w:rFonts w:ascii="Times New Roman"/>
                <w:spacing w:val="-1"/>
                <w:sz w:val="21"/>
              </w:rPr>
              <w:t>2,944,017.18</w:t>
            </w:r>
          </w:p>
        </w:tc>
      </w:tr>
      <w:tr>
        <w:trPr>
          <w:trHeight w:val="312" w:hRule="exact"/>
        </w:trPr>
        <w:tc>
          <w:tcPr>
            <w:tcW w:w="1819"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4"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45"/>
                <w:sz w:val="21"/>
                <w:szCs w:val="21"/>
              </w:rPr>
              <w:t> </w:t>
            </w:r>
            <w:r>
              <w:rPr>
                <w:rFonts w:ascii="宋体" w:hAnsi="宋体" w:cs="宋体" w:eastAsia="宋体" w:hint="default"/>
                <w:sz w:val="21"/>
                <w:szCs w:val="21"/>
              </w:rPr>
              <w:t>本期增加金额</w:t>
            </w:r>
          </w:p>
        </w:tc>
        <w:tc>
          <w:tcPr>
            <w:tcW w:w="1529"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Times New Roman" w:hAnsi="Times New Roman" w:cs="Times New Roman" w:eastAsia="Times New Roman" w:hint="default"/>
                <w:sz w:val="21"/>
                <w:szCs w:val="21"/>
              </w:rPr>
            </w:pPr>
            <w:r>
              <w:rPr>
                <w:rFonts w:ascii="Times New Roman"/>
                <w:spacing w:val="-1"/>
                <w:sz w:val="21"/>
              </w:rPr>
              <w:t>494,222.52</w:t>
            </w:r>
          </w:p>
        </w:tc>
        <w:tc>
          <w:tcPr>
            <w:tcW w:w="1399"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Times New Roman" w:hAnsi="Times New Roman" w:cs="Times New Roman" w:eastAsia="Times New Roman" w:hint="default"/>
                <w:sz w:val="21"/>
                <w:szCs w:val="21"/>
              </w:rPr>
            </w:pPr>
            <w:r>
              <w:rPr>
                <w:rFonts w:ascii="Times New Roman"/>
                <w:spacing w:val="-1"/>
                <w:sz w:val="21"/>
              </w:rPr>
              <w:t>511,848.21</w:t>
            </w:r>
          </w:p>
        </w:tc>
        <w:tc>
          <w:tcPr>
            <w:tcW w:w="1433"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362,266.97</w:t>
            </w:r>
          </w:p>
        </w:tc>
        <w:tc>
          <w:tcPr>
            <w:tcW w:w="1414"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Times New Roman" w:hAnsi="Times New Roman" w:cs="Times New Roman" w:eastAsia="Times New Roman" w:hint="default"/>
                <w:sz w:val="21"/>
                <w:szCs w:val="21"/>
              </w:rPr>
            </w:pPr>
            <w:r>
              <w:rPr>
                <w:rFonts w:ascii="Times New Roman"/>
                <w:spacing w:val="-1"/>
                <w:sz w:val="21"/>
              </w:rPr>
              <w:t>173,223.85</w:t>
            </w:r>
          </w:p>
        </w:tc>
        <w:tc>
          <w:tcPr>
            <w:tcW w:w="1447"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7"/>
              <w:jc w:val="right"/>
              <w:rPr>
                <w:rFonts w:ascii="Times New Roman" w:hAnsi="Times New Roman" w:cs="Times New Roman" w:eastAsia="Times New Roman" w:hint="default"/>
                <w:sz w:val="21"/>
                <w:szCs w:val="21"/>
              </w:rPr>
            </w:pPr>
            <w:r>
              <w:rPr>
                <w:rFonts w:ascii="Times New Roman"/>
                <w:spacing w:val="-1"/>
                <w:sz w:val="21"/>
              </w:rPr>
              <w:t>1,541,561.55</w:t>
            </w:r>
          </w:p>
        </w:tc>
      </w:tr>
      <w:tr>
        <w:trPr>
          <w:trHeight w:val="312" w:hRule="exact"/>
        </w:trPr>
        <w:tc>
          <w:tcPr>
            <w:tcW w:w="1819"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4" w:right="0"/>
              <w:jc w:val="left"/>
              <w:rPr>
                <w:rFonts w:ascii="宋体" w:hAnsi="宋体" w:cs="宋体" w:eastAsia="宋体" w:hint="default"/>
                <w:sz w:val="21"/>
                <w:szCs w:val="21"/>
              </w:rPr>
            </w:pPr>
            <w:r>
              <w:rPr>
                <w:rFonts w:ascii="宋体" w:hAnsi="宋体" w:cs="宋体" w:eastAsia="宋体" w:hint="default"/>
                <w:sz w:val="21"/>
                <w:szCs w:val="21"/>
              </w:rPr>
              <w:t>计提</w:t>
            </w:r>
          </w:p>
        </w:tc>
        <w:tc>
          <w:tcPr>
            <w:tcW w:w="1529"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Times New Roman" w:hAnsi="Times New Roman" w:cs="Times New Roman" w:eastAsia="Times New Roman" w:hint="default"/>
                <w:sz w:val="21"/>
                <w:szCs w:val="21"/>
              </w:rPr>
            </w:pPr>
            <w:r>
              <w:rPr>
                <w:rFonts w:ascii="Times New Roman"/>
                <w:spacing w:val="-1"/>
                <w:sz w:val="21"/>
              </w:rPr>
              <w:t>494,222.52</w:t>
            </w:r>
          </w:p>
        </w:tc>
        <w:tc>
          <w:tcPr>
            <w:tcW w:w="1399"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Times New Roman" w:hAnsi="Times New Roman" w:cs="Times New Roman" w:eastAsia="Times New Roman" w:hint="default"/>
                <w:sz w:val="21"/>
                <w:szCs w:val="21"/>
              </w:rPr>
            </w:pPr>
            <w:r>
              <w:rPr>
                <w:rFonts w:ascii="Times New Roman"/>
                <w:spacing w:val="-1"/>
                <w:sz w:val="21"/>
              </w:rPr>
              <w:t>511,848.21</w:t>
            </w:r>
          </w:p>
        </w:tc>
        <w:tc>
          <w:tcPr>
            <w:tcW w:w="1433"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362,266.97</w:t>
            </w:r>
          </w:p>
        </w:tc>
        <w:tc>
          <w:tcPr>
            <w:tcW w:w="1414"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Times New Roman" w:hAnsi="Times New Roman" w:cs="Times New Roman" w:eastAsia="Times New Roman" w:hint="default"/>
                <w:sz w:val="21"/>
                <w:szCs w:val="21"/>
              </w:rPr>
            </w:pPr>
            <w:r>
              <w:rPr>
                <w:rFonts w:ascii="Times New Roman"/>
                <w:spacing w:val="-1"/>
                <w:sz w:val="21"/>
              </w:rPr>
              <w:t>173,223.85</w:t>
            </w:r>
          </w:p>
        </w:tc>
        <w:tc>
          <w:tcPr>
            <w:tcW w:w="1447"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7"/>
              <w:jc w:val="right"/>
              <w:rPr>
                <w:rFonts w:ascii="Times New Roman" w:hAnsi="Times New Roman" w:cs="Times New Roman" w:eastAsia="Times New Roman" w:hint="default"/>
                <w:sz w:val="21"/>
                <w:szCs w:val="21"/>
              </w:rPr>
            </w:pPr>
            <w:r>
              <w:rPr>
                <w:rFonts w:ascii="Times New Roman"/>
                <w:spacing w:val="-1"/>
                <w:sz w:val="21"/>
              </w:rPr>
              <w:t>1,541,561.55</w:t>
            </w:r>
          </w:p>
        </w:tc>
      </w:tr>
      <w:tr>
        <w:trPr>
          <w:trHeight w:val="314" w:hRule="exact"/>
        </w:trPr>
        <w:tc>
          <w:tcPr>
            <w:tcW w:w="1819"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45"/>
                <w:sz w:val="21"/>
                <w:szCs w:val="21"/>
              </w:rPr>
              <w:t> </w:t>
            </w:r>
            <w:r>
              <w:rPr>
                <w:rFonts w:ascii="宋体" w:hAnsi="宋体" w:cs="宋体" w:eastAsia="宋体" w:hint="default"/>
                <w:sz w:val="21"/>
                <w:szCs w:val="21"/>
              </w:rPr>
              <w:t>本期减少金额</w:t>
            </w:r>
          </w:p>
        </w:tc>
        <w:tc>
          <w:tcPr>
            <w:tcW w:w="1529"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399"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left="345" w:right="0"/>
              <w:jc w:val="left"/>
              <w:rPr>
                <w:rFonts w:ascii="Times New Roman" w:hAnsi="Times New Roman" w:cs="Times New Roman" w:eastAsia="Times New Roman" w:hint="default"/>
                <w:sz w:val="21"/>
                <w:szCs w:val="21"/>
              </w:rPr>
            </w:pPr>
            <w:r>
              <w:rPr>
                <w:rFonts w:ascii="Times New Roman"/>
                <w:sz w:val="21"/>
              </w:rPr>
              <w:t>714,476.00</w:t>
            </w:r>
          </w:p>
        </w:tc>
        <w:tc>
          <w:tcPr>
            <w:tcW w:w="1433"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159,052.36</w:t>
            </w:r>
          </w:p>
        </w:tc>
        <w:tc>
          <w:tcPr>
            <w:tcW w:w="1414"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0"/>
              <w:jc w:val="right"/>
              <w:rPr>
                <w:rFonts w:ascii="Times New Roman" w:hAnsi="Times New Roman" w:cs="Times New Roman" w:eastAsia="Times New Roman" w:hint="default"/>
                <w:sz w:val="21"/>
                <w:szCs w:val="21"/>
              </w:rPr>
            </w:pPr>
            <w:r>
              <w:rPr>
                <w:rFonts w:ascii="Times New Roman"/>
                <w:sz w:val="21"/>
              </w:rPr>
              <w:t>3,790.50</w:t>
            </w:r>
          </w:p>
        </w:tc>
        <w:tc>
          <w:tcPr>
            <w:tcW w:w="1447"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7"/>
              <w:jc w:val="right"/>
              <w:rPr>
                <w:rFonts w:ascii="Times New Roman" w:hAnsi="Times New Roman" w:cs="Times New Roman" w:eastAsia="Times New Roman" w:hint="default"/>
                <w:sz w:val="21"/>
                <w:szCs w:val="21"/>
              </w:rPr>
            </w:pPr>
            <w:r>
              <w:rPr>
                <w:rFonts w:ascii="Times New Roman"/>
                <w:spacing w:val="-1"/>
                <w:sz w:val="21"/>
              </w:rPr>
              <w:t>877,318.86</w:t>
            </w:r>
          </w:p>
        </w:tc>
      </w:tr>
      <w:tr>
        <w:trPr>
          <w:trHeight w:val="312" w:hRule="exact"/>
        </w:trPr>
        <w:tc>
          <w:tcPr>
            <w:tcW w:w="1819"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4" w:right="0"/>
              <w:jc w:val="left"/>
              <w:rPr>
                <w:rFonts w:ascii="宋体" w:hAnsi="宋体" w:cs="宋体" w:eastAsia="宋体" w:hint="default"/>
                <w:sz w:val="21"/>
                <w:szCs w:val="21"/>
              </w:rPr>
            </w:pPr>
            <w:r>
              <w:rPr>
                <w:rFonts w:ascii="宋体" w:hAnsi="宋体" w:cs="宋体" w:eastAsia="宋体" w:hint="default"/>
                <w:sz w:val="21"/>
                <w:szCs w:val="21"/>
              </w:rPr>
              <w:t>处置或报废</w:t>
            </w:r>
          </w:p>
        </w:tc>
        <w:tc>
          <w:tcPr>
            <w:tcW w:w="1529"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399"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Times New Roman" w:hAnsi="Times New Roman" w:cs="Times New Roman" w:eastAsia="Times New Roman" w:hint="default"/>
                <w:sz w:val="21"/>
                <w:szCs w:val="21"/>
              </w:rPr>
            </w:pPr>
            <w:r>
              <w:rPr>
                <w:rFonts w:ascii="Times New Roman"/>
                <w:spacing w:val="-1"/>
                <w:sz w:val="21"/>
              </w:rPr>
              <w:t>714,476.00</w:t>
            </w:r>
          </w:p>
        </w:tc>
        <w:tc>
          <w:tcPr>
            <w:tcW w:w="1433"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159,052.36</w:t>
            </w:r>
          </w:p>
        </w:tc>
        <w:tc>
          <w:tcPr>
            <w:tcW w:w="1414"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Times New Roman" w:hAnsi="Times New Roman" w:cs="Times New Roman" w:eastAsia="Times New Roman" w:hint="default"/>
                <w:sz w:val="21"/>
                <w:szCs w:val="21"/>
              </w:rPr>
            </w:pPr>
            <w:r>
              <w:rPr>
                <w:rFonts w:ascii="Times New Roman"/>
                <w:sz w:val="21"/>
              </w:rPr>
              <w:t>3,790.50</w:t>
            </w:r>
          </w:p>
        </w:tc>
        <w:tc>
          <w:tcPr>
            <w:tcW w:w="1447"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7"/>
              <w:jc w:val="right"/>
              <w:rPr>
                <w:rFonts w:ascii="Times New Roman" w:hAnsi="Times New Roman" w:cs="Times New Roman" w:eastAsia="Times New Roman" w:hint="default"/>
                <w:sz w:val="21"/>
                <w:szCs w:val="21"/>
              </w:rPr>
            </w:pPr>
            <w:r>
              <w:rPr>
                <w:rFonts w:ascii="Times New Roman"/>
                <w:spacing w:val="-1"/>
                <w:sz w:val="21"/>
              </w:rPr>
              <w:t>877,318.86</w:t>
            </w:r>
          </w:p>
        </w:tc>
      </w:tr>
      <w:tr>
        <w:trPr>
          <w:trHeight w:val="314" w:hRule="exact"/>
        </w:trPr>
        <w:tc>
          <w:tcPr>
            <w:tcW w:w="1819"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46"/>
                <w:sz w:val="21"/>
                <w:szCs w:val="21"/>
              </w:rPr>
              <w:t> </w:t>
            </w:r>
            <w:r>
              <w:rPr>
                <w:rFonts w:ascii="宋体" w:hAnsi="宋体" w:cs="宋体" w:eastAsia="宋体" w:hint="default"/>
                <w:sz w:val="21"/>
                <w:szCs w:val="21"/>
              </w:rPr>
              <w:t>期末余额</w:t>
            </w:r>
          </w:p>
        </w:tc>
        <w:tc>
          <w:tcPr>
            <w:tcW w:w="1529"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0"/>
              <w:jc w:val="right"/>
              <w:rPr>
                <w:rFonts w:ascii="Times New Roman" w:hAnsi="Times New Roman" w:cs="Times New Roman" w:eastAsia="Times New Roman" w:hint="default"/>
                <w:sz w:val="21"/>
                <w:szCs w:val="21"/>
              </w:rPr>
            </w:pPr>
            <w:r>
              <w:rPr>
                <w:rFonts w:ascii="Times New Roman"/>
                <w:spacing w:val="-1"/>
                <w:sz w:val="21"/>
              </w:rPr>
              <w:t>558,874.88</w:t>
            </w:r>
          </w:p>
        </w:tc>
        <w:tc>
          <w:tcPr>
            <w:tcW w:w="1399"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0"/>
              <w:jc w:val="right"/>
              <w:rPr>
                <w:rFonts w:ascii="Times New Roman" w:hAnsi="Times New Roman" w:cs="Times New Roman" w:eastAsia="Times New Roman" w:hint="default"/>
                <w:sz w:val="21"/>
                <w:szCs w:val="21"/>
              </w:rPr>
            </w:pPr>
            <w:r>
              <w:rPr>
                <w:rFonts w:ascii="Times New Roman"/>
                <w:spacing w:val="-1"/>
                <w:sz w:val="21"/>
              </w:rPr>
              <w:t>1,217,155.91</w:t>
            </w:r>
          </w:p>
        </w:tc>
        <w:tc>
          <w:tcPr>
            <w:tcW w:w="1433"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1,409,447.81</w:t>
            </w:r>
          </w:p>
        </w:tc>
        <w:tc>
          <w:tcPr>
            <w:tcW w:w="1414"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0"/>
              <w:jc w:val="right"/>
              <w:rPr>
                <w:rFonts w:ascii="Times New Roman" w:hAnsi="Times New Roman" w:cs="Times New Roman" w:eastAsia="Times New Roman" w:hint="default"/>
                <w:sz w:val="21"/>
                <w:szCs w:val="21"/>
              </w:rPr>
            </w:pPr>
            <w:r>
              <w:rPr>
                <w:rFonts w:ascii="Times New Roman"/>
                <w:spacing w:val="-1"/>
                <w:sz w:val="21"/>
              </w:rPr>
              <w:t>422,781.27</w:t>
            </w:r>
          </w:p>
        </w:tc>
        <w:tc>
          <w:tcPr>
            <w:tcW w:w="1447"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7"/>
              <w:jc w:val="right"/>
              <w:rPr>
                <w:rFonts w:ascii="Times New Roman" w:hAnsi="Times New Roman" w:cs="Times New Roman" w:eastAsia="Times New Roman" w:hint="default"/>
                <w:sz w:val="21"/>
                <w:szCs w:val="21"/>
              </w:rPr>
            </w:pPr>
            <w:r>
              <w:rPr>
                <w:rFonts w:ascii="Times New Roman"/>
                <w:spacing w:val="-1"/>
                <w:sz w:val="21"/>
              </w:rPr>
              <w:t>3,608,259.87</w:t>
            </w:r>
          </w:p>
        </w:tc>
      </w:tr>
      <w:tr>
        <w:trPr>
          <w:trHeight w:val="312" w:hRule="exact"/>
        </w:trPr>
        <w:tc>
          <w:tcPr>
            <w:tcW w:w="1819"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46"/>
                <w:sz w:val="21"/>
                <w:szCs w:val="21"/>
              </w:rPr>
              <w:t> </w:t>
            </w:r>
            <w:r>
              <w:rPr>
                <w:rFonts w:ascii="宋体" w:hAnsi="宋体" w:cs="宋体" w:eastAsia="宋体" w:hint="default"/>
                <w:sz w:val="21"/>
                <w:szCs w:val="21"/>
              </w:rPr>
              <w:t>减值准备</w:t>
            </w:r>
          </w:p>
        </w:tc>
        <w:tc>
          <w:tcPr>
            <w:tcW w:w="1529" w:type="dxa"/>
            <w:tcBorders>
              <w:top w:val="single" w:sz="12" w:space="0" w:color="000000"/>
              <w:left w:val="single" w:sz="6" w:space="0" w:color="000000"/>
              <w:bottom w:val="single" w:sz="12" w:space="0" w:color="000000"/>
              <w:right w:val="single" w:sz="6" w:space="0" w:color="000000"/>
            </w:tcBorders>
          </w:tcPr>
          <w:p>
            <w:pPr/>
          </w:p>
        </w:tc>
        <w:tc>
          <w:tcPr>
            <w:tcW w:w="1399" w:type="dxa"/>
            <w:tcBorders>
              <w:top w:val="single" w:sz="12" w:space="0" w:color="000000"/>
              <w:left w:val="single" w:sz="6" w:space="0" w:color="000000"/>
              <w:bottom w:val="single" w:sz="12" w:space="0" w:color="000000"/>
              <w:right w:val="single" w:sz="6" w:space="0" w:color="000000"/>
            </w:tcBorders>
          </w:tcPr>
          <w:p>
            <w:pPr/>
          </w:p>
        </w:tc>
        <w:tc>
          <w:tcPr>
            <w:tcW w:w="1433" w:type="dxa"/>
            <w:tcBorders>
              <w:top w:val="single" w:sz="12" w:space="0" w:color="000000"/>
              <w:left w:val="single" w:sz="6" w:space="0" w:color="000000"/>
              <w:bottom w:val="single" w:sz="12" w:space="0" w:color="000000"/>
              <w:right w:val="single" w:sz="6" w:space="0" w:color="000000"/>
            </w:tcBorders>
          </w:tcPr>
          <w:p>
            <w:pPr/>
          </w:p>
        </w:tc>
        <w:tc>
          <w:tcPr>
            <w:tcW w:w="1414" w:type="dxa"/>
            <w:tcBorders>
              <w:top w:val="single" w:sz="12" w:space="0" w:color="000000"/>
              <w:left w:val="single" w:sz="6" w:space="0" w:color="000000"/>
              <w:bottom w:val="single" w:sz="12" w:space="0" w:color="000000"/>
              <w:right w:val="single" w:sz="6" w:space="0" w:color="000000"/>
            </w:tcBorders>
          </w:tcPr>
          <w:p>
            <w:pPr/>
          </w:p>
        </w:tc>
        <w:tc>
          <w:tcPr>
            <w:tcW w:w="1447" w:type="dxa"/>
            <w:tcBorders>
              <w:top w:val="single" w:sz="12" w:space="0" w:color="000000"/>
              <w:left w:val="single" w:sz="6" w:space="0" w:color="000000"/>
              <w:bottom w:val="single" w:sz="12" w:space="0" w:color="000000"/>
              <w:right w:val="nil" w:sz="6" w:space="0" w:color="auto"/>
            </w:tcBorders>
          </w:tcPr>
          <w:p>
            <w:pPr/>
          </w:p>
        </w:tc>
      </w:tr>
      <w:tr>
        <w:trPr>
          <w:trHeight w:val="312" w:hRule="exact"/>
        </w:trPr>
        <w:tc>
          <w:tcPr>
            <w:tcW w:w="1819"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46"/>
                <w:sz w:val="21"/>
                <w:szCs w:val="21"/>
              </w:rPr>
              <w:t> </w:t>
            </w:r>
            <w:r>
              <w:rPr>
                <w:rFonts w:ascii="宋体" w:hAnsi="宋体" w:cs="宋体" w:eastAsia="宋体" w:hint="default"/>
                <w:sz w:val="21"/>
                <w:szCs w:val="21"/>
              </w:rPr>
              <w:t>期初余额</w:t>
            </w:r>
          </w:p>
        </w:tc>
        <w:tc>
          <w:tcPr>
            <w:tcW w:w="1529"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399"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433"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414"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447"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6"/>
              <w:jc w:val="right"/>
              <w:rPr>
                <w:rFonts w:ascii="Times New Roman" w:hAnsi="Times New Roman" w:cs="Times New Roman" w:eastAsia="Times New Roman" w:hint="default"/>
                <w:sz w:val="21"/>
                <w:szCs w:val="21"/>
              </w:rPr>
            </w:pPr>
            <w:r>
              <w:rPr>
                <w:rFonts w:ascii="Times New Roman"/>
                <w:spacing w:val="-1"/>
                <w:sz w:val="21"/>
              </w:rPr>
              <w:t>---</w:t>
            </w:r>
          </w:p>
        </w:tc>
      </w:tr>
      <w:tr>
        <w:trPr>
          <w:trHeight w:val="314" w:hRule="exact"/>
        </w:trPr>
        <w:tc>
          <w:tcPr>
            <w:tcW w:w="1819"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4"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45"/>
                <w:sz w:val="21"/>
                <w:szCs w:val="21"/>
              </w:rPr>
              <w:t> </w:t>
            </w:r>
            <w:r>
              <w:rPr>
                <w:rFonts w:ascii="宋体" w:hAnsi="宋体" w:cs="宋体" w:eastAsia="宋体" w:hint="default"/>
                <w:sz w:val="21"/>
                <w:szCs w:val="21"/>
              </w:rPr>
              <w:t>本期增加金额</w:t>
            </w:r>
          </w:p>
        </w:tc>
        <w:tc>
          <w:tcPr>
            <w:tcW w:w="1529"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399"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433"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414"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447"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6"/>
              <w:jc w:val="right"/>
              <w:rPr>
                <w:rFonts w:ascii="Times New Roman" w:hAnsi="Times New Roman" w:cs="Times New Roman" w:eastAsia="Times New Roman" w:hint="default"/>
                <w:sz w:val="21"/>
                <w:szCs w:val="21"/>
              </w:rPr>
            </w:pPr>
            <w:r>
              <w:rPr>
                <w:rFonts w:ascii="Times New Roman"/>
                <w:spacing w:val="-1"/>
                <w:sz w:val="21"/>
              </w:rPr>
              <w:t>---</w:t>
            </w:r>
          </w:p>
        </w:tc>
      </w:tr>
      <w:tr>
        <w:trPr>
          <w:trHeight w:val="312" w:hRule="exact"/>
        </w:trPr>
        <w:tc>
          <w:tcPr>
            <w:tcW w:w="1819"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4"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45"/>
                <w:sz w:val="21"/>
                <w:szCs w:val="21"/>
              </w:rPr>
              <w:t> </w:t>
            </w:r>
            <w:r>
              <w:rPr>
                <w:rFonts w:ascii="宋体" w:hAnsi="宋体" w:cs="宋体" w:eastAsia="宋体" w:hint="default"/>
                <w:sz w:val="21"/>
                <w:szCs w:val="21"/>
              </w:rPr>
              <w:t>本期减少金额</w:t>
            </w:r>
          </w:p>
        </w:tc>
        <w:tc>
          <w:tcPr>
            <w:tcW w:w="1529"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399"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433"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414"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447"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6"/>
              <w:jc w:val="right"/>
              <w:rPr>
                <w:rFonts w:ascii="Times New Roman" w:hAnsi="Times New Roman" w:cs="Times New Roman" w:eastAsia="Times New Roman" w:hint="default"/>
                <w:sz w:val="21"/>
                <w:szCs w:val="21"/>
              </w:rPr>
            </w:pPr>
            <w:r>
              <w:rPr>
                <w:rFonts w:ascii="Times New Roman"/>
                <w:spacing w:val="-1"/>
                <w:sz w:val="21"/>
              </w:rPr>
              <w:t>---</w:t>
            </w:r>
          </w:p>
        </w:tc>
      </w:tr>
      <w:tr>
        <w:trPr>
          <w:trHeight w:val="314" w:hRule="exact"/>
        </w:trPr>
        <w:tc>
          <w:tcPr>
            <w:tcW w:w="1819"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4"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46"/>
                <w:sz w:val="21"/>
                <w:szCs w:val="21"/>
              </w:rPr>
              <w:t> </w:t>
            </w:r>
            <w:r>
              <w:rPr>
                <w:rFonts w:ascii="宋体" w:hAnsi="宋体" w:cs="宋体" w:eastAsia="宋体" w:hint="default"/>
                <w:sz w:val="21"/>
                <w:szCs w:val="21"/>
              </w:rPr>
              <w:t>期末余额</w:t>
            </w:r>
          </w:p>
        </w:tc>
        <w:tc>
          <w:tcPr>
            <w:tcW w:w="1529"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399"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433"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414"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447"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6"/>
              <w:jc w:val="right"/>
              <w:rPr>
                <w:rFonts w:ascii="Times New Roman" w:hAnsi="Times New Roman" w:cs="Times New Roman" w:eastAsia="Times New Roman" w:hint="default"/>
                <w:sz w:val="21"/>
                <w:szCs w:val="21"/>
              </w:rPr>
            </w:pPr>
            <w:r>
              <w:rPr>
                <w:rFonts w:ascii="Times New Roman"/>
                <w:spacing w:val="-1"/>
                <w:sz w:val="21"/>
              </w:rPr>
              <w:t>---</w:t>
            </w:r>
          </w:p>
        </w:tc>
      </w:tr>
      <w:tr>
        <w:trPr>
          <w:trHeight w:val="312" w:hRule="exact"/>
        </w:trPr>
        <w:tc>
          <w:tcPr>
            <w:tcW w:w="1819"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4" w:right="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pacing w:val="45"/>
                <w:sz w:val="21"/>
                <w:szCs w:val="21"/>
              </w:rPr>
              <w:t> </w:t>
            </w:r>
            <w:r>
              <w:rPr>
                <w:rFonts w:ascii="宋体" w:hAnsi="宋体" w:cs="宋体" w:eastAsia="宋体" w:hint="default"/>
                <w:sz w:val="21"/>
                <w:szCs w:val="21"/>
              </w:rPr>
              <w:t>账面价值合计</w:t>
            </w:r>
          </w:p>
        </w:tc>
        <w:tc>
          <w:tcPr>
            <w:tcW w:w="1529" w:type="dxa"/>
            <w:tcBorders>
              <w:top w:val="single" w:sz="12" w:space="0" w:color="000000"/>
              <w:left w:val="single" w:sz="6" w:space="0" w:color="000000"/>
              <w:bottom w:val="single" w:sz="12" w:space="0" w:color="000000"/>
              <w:right w:val="single" w:sz="6" w:space="0" w:color="000000"/>
            </w:tcBorders>
          </w:tcPr>
          <w:p>
            <w:pPr/>
          </w:p>
        </w:tc>
        <w:tc>
          <w:tcPr>
            <w:tcW w:w="1399" w:type="dxa"/>
            <w:tcBorders>
              <w:top w:val="single" w:sz="12" w:space="0" w:color="000000"/>
              <w:left w:val="single" w:sz="6" w:space="0" w:color="000000"/>
              <w:bottom w:val="single" w:sz="12" w:space="0" w:color="000000"/>
              <w:right w:val="single" w:sz="6" w:space="0" w:color="000000"/>
            </w:tcBorders>
          </w:tcPr>
          <w:p>
            <w:pPr/>
          </w:p>
        </w:tc>
        <w:tc>
          <w:tcPr>
            <w:tcW w:w="1433" w:type="dxa"/>
            <w:tcBorders>
              <w:top w:val="single" w:sz="12" w:space="0" w:color="000000"/>
              <w:left w:val="single" w:sz="6" w:space="0" w:color="000000"/>
              <w:bottom w:val="single" w:sz="12" w:space="0" w:color="000000"/>
              <w:right w:val="single" w:sz="6" w:space="0" w:color="000000"/>
            </w:tcBorders>
          </w:tcPr>
          <w:p>
            <w:pPr/>
          </w:p>
        </w:tc>
        <w:tc>
          <w:tcPr>
            <w:tcW w:w="1414" w:type="dxa"/>
            <w:tcBorders>
              <w:top w:val="single" w:sz="12" w:space="0" w:color="000000"/>
              <w:left w:val="single" w:sz="6" w:space="0" w:color="000000"/>
              <w:bottom w:val="single" w:sz="12" w:space="0" w:color="000000"/>
              <w:right w:val="single" w:sz="6" w:space="0" w:color="000000"/>
            </w:tcBorders>
          </w:tcPr>
          <w:p>
            <w:pPr/>
          </w:p>
        </w:tc>
        <w:tc>
          <w:tcPr>
            <w:tcW w:w="1447" w:type="dxa"/>
            <w:tcBorders>
              <w:top w:val="single" w:sz="12" w:space="0" w:color="000000"/>
              <w:left w:val="single" w:sz="6" w:space="0" w:color="000000"/>
              <w:bottom w:val="single" w:sz="12" w:space="0" w:color="000000"/>
              <w:right w:val="nil" w:sz="6" w:space="0" w:color="auto"/>
            </w:tcBorders>
          </w:tcPr>
          <w:p>
            <w:pPr/>
          </w:p>
        </w:tc>
      </w:tr>
      <w:tr>
        <w:trPr>
          <w:trHeight w:val="314" w:hRule="exact"/>
        </w:trPr>
        <w:tc>
          <w:tcPr>
            <w:tcW w:w="1819"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4" w:right="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pacing w:val="45"/>
                <w:sz w:val="21"/>
                <w:szCs w:val="21"/>
              </w:rPr>
              <w:t> </w:t>
            </w:r>
            <w:r>
              <w:rPr>
                <w:rFonts w:ascii="宋体" w:hAnsi="宋体" w:cs="宋体" w:eastAsia="宋体" w:hint="default"/>
                <w:sz w:val="21"/>
                <w:szCs w:val="21"/>
              </w:rPr>
              <w:t>期末账面价值</w:t>
            </w:r>
          </w:p>
        </w:tc>
        <w:tc>
          <w:tcPr>
            <w:tcW w:w="1529"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0"/>
              <w:jc w:val="right"/>
              <w:rPr>
                <w:rFonts w:ascii="Times New Roman" w:hAnsi="Times New Roman" w:cs="Times New Roman" w:eastAsia="Times New Roman" w:hint="default"/>
                <w:sz w:val="21"/>
                <w:szCs w:val="21"/>
              </w:rPr>
            </w:pPr>
            <w:r>
              <w:rPr>
                <w:rFonts w:ascii="Times New Roman"/>
                <w:spacing w:val="-1"/>
                <w:sz w:val="21"/>
              </w:rPr>
              <w:t>15,281,589.03</w:t>
            </w:r>
          </w:p>
        </w:tc>
        <w:tc>
          <w:tcPr>
            <w:tcW w:w="1399"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0"/>
              <w:jc w:val="right"/>
              <w:rPr>
                <w:rFonts w:ascii="Times New Roman" w:hAnsi="Times New Roman" w:cs="Times New Roman" w:eastAsia="Times New Roman" w:hint="default"/>
                <w:sz w:val="21"/>
                <w:szCs w:val="21"/>
              </w:rPr>
            </w:pPr>
            <w:r>
              <w:rPr>
                <w:rFonts w:ascii="Times New Roman"/>
                <w:spacing w:val="-1"/>
                <w:sz w:val="21"/>
              </w:rPr>
              <w:t>1,492,879.09</w:t>
            </w:r>
          </w:p>
        </w:tc>
        <w:tc>
          <w:tcPr>
            <w:tcW w:w="1433"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1,388,815.75</w:t>
            </w:r>
          </w:p>
        </w:tc>
        <w:tc>
          <w:tcPr>
            <w:tcW w:w="1414"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0"/>
              <w:jc w:val="right"/>
              <w:rPr>
                <w:rFonts w:ascii="Times New Roman" w:hAnsi="Times New Roman" w:cs="Times New Roman" w:eastAsia="Times New Roman" w:hint="default"/>
                <w:sz w:val="21"/>
                <w:szCs w:val="21"/>
              </w:rPr>
            </w:pPr>
            <w:r>
              <w:rPr>
                <w:rFonts w:ascii="Times New Roman"/>
                <w:spacing w:val="-1"/>
                <w:sz w:val="21"/>
              </w:rPr>
              <w:t>685,795.75</w:t>
            </w:r>
          </w:p>
        </w:tc>
        <w:tc>
          <w:tcPr>
            <w:tcW w:w="1447"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7"/>
              <w:jc w:val="right"/>
              <w:rPr>
                <w:rFonts w:ascii="Times New Roman" w:hAnsi="Times New Roman" w:cs="Times New Roman" w:eastAsia="Times New Roman" w:hint="default"/>
                <w:sz w:val="21"/>
                <w:szCs w:val="21"/>
              </w:rPr>
            </w:pPr>
            <w:r>
              <w:rPr>
                <w:rFonts w:ascii="Times New Roman"/>
                <w:spacing w:val="-1"/>
                <w:sz w:val="21"/>
              </w:rPr>
              <w:t>18,849,079.62</w:t>
            </w:r>
          </w:p>
        </w:tc>
      </w:tr>
      <w:tr>
        <w:trPr>
          <w:trHeight w:val="312" w:hRule="exact"/>
        </w:trPr>
        <w:tc>
          <w:tcPr>
            <w:tcW w:w="1819"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4"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pacing w:val="45"/>
                <w:sz w:val="21"/>
                <w:szCs w:val="21"/>
              </w:rPr>
              <w:t> </w:t>
            </w:r>
            <w:r>
              <w:rPr>
                <w:rFonts w:ascii="宋体" w:hAnsi="宋体" w:cs="宋体" w:eastAsia="宋体" w:hint="default"/>
                <w:sz w:val="21"/>
                <w:szCs w:val="21"/>
              </w:rPr>
              <w:t>期初账面价值</w:t>
            </w:r>
          </w:p>
        </w:tc>
        <w:tc>
          <w:tcPr>
            <w:tcW w:w="1529"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15,775,811.55</w:t>
            </w:r>
          </w:p>
        </w:tc>
        <w:tc>
          <w:tcPr>
            <w:tcW w:w="1399"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1,570,521.30</w:t>
            </w:r>
          </w:p>
        </w:tc>
        <w:tc>
          <w:tcPr>
            <w:tcW w:w="1433"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3"/>
              <w:jc w:val="right"/>
              <w:rPr>
                <w:rFonts w:ascii="Times New Roman" w:hAnsi="Times New Roman" w:cs="Times New Roman" w:eastAsia="Times New Roman" w:hint="default"/>
                <w:sz w:val="21"/>
                <w:szCs w:val="21"/>
              </w:rPr>
            </w:pPr>
            <w:r>
              <w:rPr>
                <w:rFonts w:ascii="Times New Roman"/>
                <w:spacing w:val="-1"/>
                <w:sz w:val="21"/>
              </w:rPr>
              <w:t>1,181,761.48</w:t>
            </w:r>
          </w:p>
        </w:tc>
        <w:tc>
          <w:tcPr>
            <w:tcW w:w="1414"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850,928.51</w:t>
            </w:r>
          </w:p>
        </w:tc>
        <w:tc>
          <w:tcPr>
            <w:tcW w:w="1447"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5"/>
              <w:jc w:val="right"/>
              <w:rPr>
                <w:rFonts w:ascii="Times New Roman" w:hAnsi="Times New Roman" w:cs="Times New Roman" w:eastAsia="Times New Roman" w:hint="default"/>
                <w:sz w:val="21"/>
                <w:szCs w:val="21"/>
              </w:rPr>
            </w:pPr>
            <w:r>
              <w:rPr>
                <w:rFonts w:ascii="Times New Roman"/>
                <w:spacing w:val="-1"/>
                <w:sz w:val="21"/>
              </w:rPr>
              <w:t>19,379,022.84</w:t>
            </w:r>
          </w:p>
        </w:tc>
      </w:tr>
    </w:tbl>
    <w:p>
      <w:pPr>
        <w:spacing w:line="240" w:lineRule="auto" w:before="3"/>
        <w:rPr>
          <w:rFonts w:ascii="宋体" w:hAnsi="宋体" w:cs="宋体" w:eastAsia="宋体" w:hint="default"/>
          <w:b/>
          <w:bCs/>
          <w:sz w:val="8"/>
          <w:szCs w:val="8"/>
        </w:rPr>
      </w:pPr>
    </w:p>
    <w:p>
      <w:pPr>
        <w:pStyle w:val="Heading5"/>
        <w:spacing w:line="240" w:lineRule="auto" w:before="36"/>
        <w:ind w:left="359" w:right="0"/>
        <w:jc w:val="left"/>
        <w:rPr>
          <w:b w:val="0"/>
          <w:bCs w:val="0"/>
        </w:rPr>
      </w:pPr>
      <w:r>
        <w:rPr>
          <w:rFonts w:ascii="Times New Roman" w:hAnsi="Times New Roman" w:cs="Times New Roman" w:eastAsia="Times New Roman" w:hint="default"/>
        </w:rPr>
        <w:t>2</w:t>
      </w:r>
      <w:r>
        <w:rPr/>
        <w:t>、本公司认为期末固定资产不存在账面价值高于可收回金额的情况，故未计提固定资产减值准备。</w:t>
      </w:r>
      <w:r>
        <w:rPr>
          <w:b w:val="0"/>
          <w:bCs w:val="0"/>
        </w:rPr>
      </w:r>
    </w:p>
    <w:p>
      <w:pPr>
        <w:pStyle w:val="Heading5"/>
        <w:spacing w:line="240" w:lineRule="auto" w:before="177"/>
        <w:ind w:left="359" w:right="0"/>
        <w:jc w:val="left"/>
        <w:rPr>
          <w:b w:val="0"/>
          <w:bCs w:val="0"/>
        </w:rPr>
      </w:pPr>
      <w:r>
        <w:rPr>
          <w:rFonts w:ascii="Times New Roman" w:hAnsi="Times New Roman" w:cs="Times New Roman" w:eastAsia="Times New Roman" w:hint="default"/>
        </w:rPr>
        <w:t>3.</w:t>
      </w:r>
      <w:r>
        <w:rPr/>
        <w:t>本公司期末固定资产不存在抵押情况。</w:t>
      </w:r>
      <w:r>
        <w:rPr>
          <w:b w:val="0"/>
          <w:bCs w:val="0"/>
        </w:rPr>
      </w:r>
    </w:p>
    <w:p>
      <w:pPr>
        <w:pStyle w:val="Heading5"/>
        <w:spacing w:line="240" w:lineRule="auto" w:before="177"/>
        <w:ind w:left="580" w:right="0"/>
        <w:jc w:val="left"/>
        <w:rPr>
          <w:b w:val="0"/>
          <w:bCs w:val="0"/>
        </w:rPr>
      </w:pPr>
      <w:r>
        <w:rPr/>
        <w:t>（十一）无形资产</w:t>
      </w:r>
      <w:r>
        <w:rPr>
          <w:b w:val="0"/>
          <w:bCs w:val="0"/>
        </w:rPr>
      </w:r>
    </w:p>
    <w:p>
      <w:pPr>
        <w:pStyle w:val="Heading5"/>
        <w:spacing w:line="240" w:lineRule="auto" w:before="37"/>
        <w:ind w:left="575" w:right="0"/>
        <w:jc w:val="left"/>
        <w:rPr>
          <w:b w:val="0"/>
          <w:bCs w:val="0"/>
        </w:rPr>
      </w:pPr>
      <w:r>
        <w:rPr>
          <w:rFonts w:ascii="Times New Roman" w:hAnsi="Times New Roman" w:cs="Times New Roman" w:eastAsia="Times New Roman" w:hint="default"/>
        </w:rPr>
        <w:t>1</w:t>
      </w:r>
      <w:r>
        <w:rPr/>
        <w:t>、无形资产情况</w:t>
      </w:r>
      <w:r>
        <w:rPr>
          <w:b w:val="0"/>
          <w:bCs w:val="0"/>
        </w:rPr>
      </w:r>
    </w:p>
    <w:p>
      <w:pPr>
        <w:spacing w:line="240" w:lineRule="auto" w:before="8"/>
        <w:rPr>
          <w:rFonts w:ascii="宋体" w:hAnsi="宋体" w:cs="宋体" w:eastAsia="宋体" w:hint="default"/>
          <w:b/>
          <w:bCs/>
          <w:sz w:val="2"/>
          <w:szCs w:val="2"/>
        </w:rPr>
      </w:pPr>
    </w:p>
    <w:tbl>
      <w:tblPr>
        <w:tblW w:w="0" w:type="auto"/>
        <w:jc w:val="left"/>
        <w:tblInd w:w="145" w:type="dxa"/>
        <w:tblLayout w:type="fixed"/>
        <w:tblCellMar>
          <w:top w:w="0" w:type="dxa"/>
          <w:left w:w="0" w:type="dxa"/>
          <w:bottom w:w="0" w:type="dxa"/>
          <w:right w:w="0" w:type="dxa"/>
        </w:tblCellMar>
        <w:tblLook w:val="01E0"/>
      </w:tblPr>
      <w:tblGrid>
        <w:gridCol w:w="1642"/>
        <w:gridCol w:w="1466"/>
        <w:gridCol w:w="1186"/>
        <w:gridCol w:w="1234"/>
        <w:gridCol w:w="1157"/>
        <w:gridCol w:w="1157"/>
        <w:gridCol w:w="1207"/>
      </w:tblGrid>
      <w:tr>
        <w:trPr>
          <w:trHeight w:val="629" w:hRule="exact"/>
        </w:trPr>
        <w:tc>
          <w:tcPr>
            <w:tcW w:w="1642" w:type="dxa"/>
            <w:tcBorders>
              <w:top w:val="single" w:sz="6" w:space="0" w:color="000000"/>
              <w:left w:val="single" w:sz="6" w:space="0" w:color="000000"/>
              <w:bottom w:val="single" w:sz="12" w:space="0" w:color="000000"/>
              <w:right w:val="single" w:sz="6" w:space="0" w:color="000000"/>
            </w:tcBorders>
          </w:tcPr>
          <w:p>
            <w:pPr>
              <w:pStyle w:val="TableParagraph"/>
              <w:spacing w:line="184" w:lineRule="exact"/>
              <w:ind w:left="4"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466" w:type="dxa"/>
            <w:tcBorders>
              <w:top w:val="single" w:sz="6" w:space="0" w:color="000000"/>
              <w:left w:val="single" w:sz="6" w:space="0" w:color="000000"/>
              <w:bottom w:val="single" w:sz="12" w:space="0" w:color="000000"/>
              <w:right w:val="single" w:sz="6" w:space="0" w:color="000000"/>
            </w:tcBorders>
          </w:tcPr>
          <w:p>
            <w:pPr>
              <w:pStyle w:val="TableParagraph"/>
              <w:spacing w:line="194" w:lineRule="exact" w:before="8"/>
              <w:ind w:left="352" w:right="22" w:hanging="324"/>
              <w:jc w:val="left"/>
              <w:rPr>
                <w:rFonts w:ascii="宋体" w:hAnsi="宋体" w:cs="宋体" w:eastAsia="宋体" w:hint="default"/>
                <w:sz w:val="15"/>
                <w:szCs w:val="15"/>
              </w:rPr>
            </w:pPr>
            <w:r>
              <w:rPr>
                <w:rFonts w:ascii="宋体" w:hAnsi="宋体" w:cs="宋体" w:eastAsia="宋体" w:hint="default"/>
                <w:spacing w:val="-2"/>
                <w:sz w:val="15"/>
                <w:szCs w:val="15"/>
              </w:rPr>
              <w:t>自行开发软件</w:t>
            </w:r>
            <w:r>
              <w:rPr>
                <w:rFonts w:ascii="Times New Roman" w:hAnsi="Times New Roman" w:cs="Times New Roman" w:eastAsia="Times New Roman" w:hint="default"/>
                <w:spacing w:val="-2"/>
                <w:sz w:val="15"/>
                <w:szCs w:val="15"/>
              </w:rPr>
              <w:t>-</w:t>
            </w:r>
            <w:r>
              <w:rPr>
                <w:rFonts w:ascii="宋体" w:hAnsi="宋体" w:cs="宋体" w:eastAsia="宋体" w:hint="default"/>
                <w:spacing w:val="-2"/>
                <w:sz w:val="15"/>
                <w:szCs w:val="15"/>
              </w:rPr>
              <w:t>同步课</w:t>
            </w:r>
            <w:r>
              <w:rPr>
                <w:rFonts w:ascii="宋体" w:hAnsi="宋体" w:cs="宋体" w:eastAsia="宋体" w:hint="default"/>
                <w:spacing w:val="-59"/>
                <w:sz w:val="15"/>
                <w:szCs w:val="15"/>
              </w:rPr>
              <w:t> </w:t>
            </w:r>
            <w:r>
              <w:rPr>
                <w:rFonts w:ascii="宋体" w:hAnsi="宋体" w:cs="宋体" w:eastAsia="宋体" w:hint="default"/>
                <w:spacing w:val="-59"/>
                <w:sz w:val="15"/>
                <w:szCs w:val="15"/>
              </w:rPr>
            </w:r>
            <w:r>
              <w:rPr>
                <w:rFonts w:ascii="宋体" w:hAnsi="宋体" w:cs="宋体" w:eastAsia="宋体" w:hint="default"/>
                <w:sz w:val="15"/>
                <w:szCs w:val="15"/>
              </w:rPr>
              <w:t>堂网络平台</w:t>
            </w:r>
          </w:p>
        </w:tc>
        <w:tc>
          <w:tcPr>
            <w:tcW w:w="1186" w:type="dxa"/>
            <w:tcBorders>
              <w:top w:val="single" w:sz="6" w:space="0" w:color="000000"/>
              <w:left w:val="single" w:sz="6" w:space="0" w:color="000000"/>
              <w:bottom w:val="single" w:sz="12" w:space="0" w:color="000000"/>
              <w:right w:val="single" w:sz="6" w:space="0" w:color="000000"/>
            </w:tcBorders>
          </w:tcPr>
          <w:p>
            <w:pPr>
              <w:pStyle w:val="TableParagraph"/>
              <w:spacing w:line="194" w:lineRule="exact" w:before="8"/>
              <w:ind w:left="285" w:right="31" w:hanging="250"/>
              <w:jc w:val="left"/>
              <w:rPr>
                <w:rFonts w:ascii="宋体" w:hAnsi="宋体" w:cs="宋体" w:eastAsia="宋体" w:hint="default"/>
                <w:sz w:val="15"/>
                <w:szCs w:val="15"/>
              </w:rPr>
            </w:pPr>
            <w:r>
              <w:rPr>
                <w:rFonts w:ascii="宋体" w:hAnsi="宋体" w:cs="宋体" w:eastAsia="宋体" w:hint="default"/>
                <w:sz w:val="15"/>
                <w:szCs w:val="15"/>
              </w:rPr>
              <w:t>自行开发软件</w:t>
            </w:r>
            <w:r>
              <w:rPr>
                <w:rFonts w:ascii="Times New Roman" w:hAnsi="Times New Roman" w:cs="Times New Roman" w:eastAsia="Times New Roman" w:hint="default"/>
                <w:sz w:val="15"/>
                <w:szCs w:val="15"/>
              </w:rPr>
              <w:t>-</w:t>
            </w:r>
            <w:r>
              <w:rPr>
                <w:rFonts w:ascii="宋体" w:hAnsi="宋体" w:cs="宋体" w:eastAsia="宋体" w:hint="default"/>
                <w:sz w:val="15"/>
                <w:szCs w:val="15"/>
              </w:rPr>
              <w:t>分</w:t>
            </w:r>
            <w:r>
              <w:rPr>
                <w:rFonts w:ascii="宋体" w:hAnsi="宋体" w:cs="宋体" w:eastAsia="宋体" w:hint="default"/>
                <w:w w:val="100"/>
                <w:sz w:val="15"/>
                <w:szCs w:val="15"/>
              </w:rPr>
              <w:t> </w:t>
            </w:r>
            <w:r>
              <w:rPr>
                <w:rFonts w:ascii="宋体" w:hAnsi="宋体" w:cs="宋体" w:eastAsia="宋体" w:hint="default"/>
                <w:sz w:val="15"/>
                <w:szCs w:val="15"/>
              </w:rPr>
              <w:t>站式项目</w:t>
            </w:r>
          </w:p>
        </w:tc>
        <w:tc>
          <w:tcPr>
            <w:tcW w:w="1234" w:type="dxa"/>
            <w:tcBorders>
              <w:top w:val="single" w:sz="6" w:space="0" w:color="000000"/>
              <w:left w:val="single" w:sz="6" w:space="0" w:color="000000"/>
              <w:bottom w:val="single" w:sz="12" w:space="0" w:color="000000"/>
              <w:right w:val="single" w:sz="6" w:space="0" w:color="000000"/>
            </w:tcBorders>
          </w:tcPr>
          <w:p>
            <w:pPr>
              <w:pStyle w:val="TableParagraph"/>
              <w:spacing w:line="194" w:lineRule="exact" w:before="8"/>
              <w:ind w:left="9" w:right="5" w:firstLine="50"/>
              <w:jc w:val="left"/>
              <w:rPr>
                <w:rFonts w:ascii="宋体" w:hAnsi="宋体" w:cs="宋体" w:eastAsia="宋体" w:hint="default"/>
                <w:sz w:val="15"/>
                <w:szCs w:val="15"/>
              </w:rPr>
            </w:pPr>
            <w:r>
              <w:rPr>
                <w:rFonts w:ascii="宋体" w:hAnsi="宋体" w:cs="宋体" w:eastAsia="宋体" w:hint="default"/>
                <w:sz w:val="15"/>
                <w:szCs w:val="15"/>
              </w:rPr>
              <w:t>自行开发软件</w:t>
            </w:r>
            <w:r>
              <w:rPr>
                <w:rFonts w:ascii="Times New Roman" w:hAnsi="Times New Roman" w:cs="Times New Roman" w:eastAsia="Times New Roman" w:hint="default"/>
                <w:sz w:val="15"/>
                <w:szCs w:val="15"/>
              </w:rPr>
              <w:t>-</w:t>
            </w:r>
            <w:r>
              <w:rPr>
                <w:rFonts w:ascii="宋体" w:hAnsi="宋体" w:cs="宋体" w:eastAsia="宋体" w:hint="default"/>
                <w:sz w:val="15"/>
                <w:szCs w:val="15"/>
              </w:rPr>
              <w:t>中</w:t>
            </w:r>
            <w:r>
              <w:rPr>
                <w:rFonts w:ascii="宋体" w:hAnsi="宋体" w:cs="宋体" w:eastAsia="宋体" w:hint="default"/>
                <w:w w:val="100"/>
                <w:sz w:val="15"/>
                <w:szCs w:val="15"/>
              </w:rPr>
              <w:t> </w:t>
            </w:r>
            <w:r>
              <w:rPr>
                <w:rFonts w:ascii="宋体" w:hAnsi="宋体" w:cs="宋体" w:eastAsia="宋体" w:hint="default"/>
                <w:sz w:val="15"/>
                <w:szCs w:val="15"/>
              </w:rPr>
              <w:t>小学教材同步辅导</w:t>
            </w:r>
          </w:p>
        </w:tc>
        <w:tc>
          <w:tcPr>
            <w:tcW w:w="1157" w:type="dxa"/>
            <w:tcBorders>
              <w:top w:val="single" w:sz="6" w:space="0" w:color="000000"/>
              <w:left w:val="single" w:sz="6" w:space="0" w:color="000000"/>
              <w:bottom w:val="single" w:sz="12" w:space="0" w:color="000000"/>
              <w:right w:val="single" w:sz="6" w:space="0" w:color="000000"/>
            </w:tcBorders>
          </w:tcPr>
          <w:p>
            <w:pPr>
              <w:pStyle w:val="TableParagraph"/>
              <w:spacing w:line="194" w:lineRule="exact" w:before="8"/>
              <w:ind w:left="21" w:right="17"/>
              <w:jc w:val="center"/>
              <w:rPr>
                <w:rFonts w:ascii="宋体" w:hAnsi="宋体" w:cs="宋体" w:eastAsia="宋体" w:hint="default"/>
                <w:sz w:val="15"/>
                <w:szCs w:val="15"/>
              </w:rPr>
            </w:pPr>
            <w:r>
              <w:rPr>
                <w:rFonts w:ascii="宋体" w:hAnsi="宋体" w:cs="宋体" w:eastAsia="宋体" w:hint="default"/>
                <w:spacing w:val="-2"/>
                <w:sz w:val="15"/>
                <w:szCs w:val="15"/>
              </w:rPr>
              <w:t>自行开发软件</w:t>
            </w:r>
            <w:r>
              <w:rPr>
                <w:rFonts w:ascii="Times New Roman" w:hAnsi="Times New Roman" w:cs="Times New Roman" w:eastAsia="Times New Roman" w:hint="default"/>
                <w:spacing w:val="-2"/>
                <w:sz w:val="15"/>
                <w:szCs w:val="15"/>
              </w:rPr>
              <w:t>-</w:t>
            </w:r>
            <w:r>
              <w:rPr>
                <w:rFonts w:ascii="宋体" w:hAnsi="宋体" w:cs="宋体" w:eastAsia="宋体" w:hint="default"/>
                <w:spacing w:val="-2"/>
                <w:sz w:val="15"/>
                <w:szCs w:val="15"/>
              </w:rPr>
              <w:t>金</w:t>
            </w:r>
            <w:r>
              <w:rPr>
                <w:rFonts w:ascii="宋体" w:hAnsi="宋体" w:cs="宋体" w:eastAsia="宋体" w:hint="default"/>
                <w:spacing w:val="-69"/>
                <w:sz w:val="15"/>
                <w:szCs w:val="15"/>
              </w:rPr>
              <w:t> </w:t>
            </w:r>
            <w:r>
              <w:rPr>
                <w:rFonts w:ascii="宋体" w:hAnsi="宋体" w:cs="宋体" w:eastAsia="宋体" w:hint="default"/>
                <w:sz w:val="15"/>
                <w:szCs w:val="15"/>
              </w:rPr>
              <w:t>太阳练习测评管</w:t>
            </w:r>
            <w:r>
              <w:rPr>
                <w:rFonts w:ascii="宋体" w:hAnsi="宋体" w:cs="宋体" w:eastAsia="宋体" w:hint="default"/>
                <w:w w:val="100"/>
                <w:sz w:val="15"/>
                <w:szCs w:val="15"/>
              </w:rPr>
              <w:t> </w:t>
            </w:r>
            <w:r>
              <w:rPr>
                <w:rFonts w:ascii="宋体" w:hAnsi="宋体" w:cs="宋体" w:eastAsia="宋体" w:hint="default"/>
                <w:sz w:val="15"/>
                <w:szCs w:val="15"/>
              </w:rPr>
              <w:t>理系统</w:t>
            </w:r>
          </w:p>
        </w:tc>
        <w:tc>
          <w:tcPr>
            <w:tcW w:w="1157" w:type="dxa"/>
            <w:tcBorders>
              <w:top w:val="single" w:sz="6" w:space="0" w:color="000000"/>
              <w:left w:val="single" w:sz="6" w:space="0" w:color="000000"/>
              <w:bottom w:val="single" w:sz="12" w:space="0" w:color="000000"/>
              <w:right w:val="single" w:sz="6" w:space="0" w:color="000000"/>
            </w:tcBorders>
          </w:tcPr>
          <w:p>
            <w:pPr>
              <w:pStyle w:val="TableParagraph"/>
              <w:spacing w:line="184" w:lineRule="exact"/>
              <w:ind w:left="271" w:right="0"/>
              <w:jc w:val="left"/>
              <w:rPr>
                <w:rFonts w:ascii="宋体" w:hAnsi="宋体" w:cs="宋体" w:eastAsia="宋体" w:hint="default"/>
                <w:sz w:val="15"/>
                <w:szCs w:val="15"/>
              </w:rPr>
            </w:pPr>
            <w:r>
              <w:rPr>
                <w:rFonts w:ascii="宋体" w:hAnsi="宋体" w:cs="宋体" w:eastAsia="宋体" w:hint="default"/>
                <w:sz w:val="15"/>
                <w:szCs w:val="15"/>
              </w:rPr>
              <w:t>外购软件</w:t>
            </w:r>
          </w:p>
        </w:tc>
        <w:tc>
          <w:tcPr>
            <w:tcW w:w="1207" w:type="dxa"/>
            <w:tcBorders>
              <w:top w:val="single" w:sz="6" w:space="0" w:color="000000"/>
              <w:left w:val="single" w:sz="6" w:space="0" w:color="000000"/>
              <w:bottom w:val="single" w:sz="12" w:space="0" w:color="000000"/>
              <w:right w:val="nil" w:sz="6" w:space="0" w:color="auto"/>
            </w:tcBorders>
          </w:tcPr>
          <w:p>
            <w:pPr>
              <w:pStyle w:val="TableParagraph"/>
              <w:spacing w:line="184" w:lineRule="exact"/>
              <w:ind w:right="2"/>
              <w:jc w:val="center"/>
              <w:rPr>
                <w:rFonts w:ascii="宋体" w:hAnsi="宋体" w:cs="宋体" w:eastAsia="宋体" w:hint="default"/>
                <w:sz w:val="15"/>
                <w:szCs w:val="15"/>
              </w:rPr>
            </w:pPr>
            <w:r>
              <w:rPr>
                <w:rFonts w:ascii="宋体" w:hAnsi="宋体" w:cs="宋体" w:eastAsia="宋体" w:hint="default"/>
                <w:sz w:val="15"/>
                <w:szCs w:val="15"/>
              </w:rPr>
              <w:t>合计</w:t>
            </w:r>
          </w:p>
        </w:tc>
      </w:tr>
      <w:tr>
        <w:trPr>
          <w:trHeight w:val="235" w:hRule="exact"/>
        </w:trPr>
        <w:tc>
          <w:tcPr>
            <w:tcW w:w="1642" w:type="dxa"/>
            <w:tcBorders>
              <w:top w:val="single" w:sz="12" w:space="0" w:color="000000"/>
              <w:left w:val="single" w:sz="6" w:space="0" w:color="000000"/>
              <w:bottom w:val="single" w:sz="12" w:space="0" w:color="000000"/>
              <w:right w:val="single" w:sz="6" w:space="0" w:color="000000"/>
            </w:tcBorders>
          </w:tcPr>
          <w:p>
            <w:pPr>
              <w:pStyle w:val="TableParagraph"/>
              <w:tabs>
                <w:tab w:pos="364" w:val="left" w:leader="none"/>
              </w:tabs>
              <w:spacing w:line="172" w:lineRule="exact"/>
              <w:ind w:left="4" w:right="0"/>
              <w:jc w:val="left"/>
              <w:rPr>
                <w:rFonts w:ascii="宋体" w:hAnsi="宋体" w:cs="宋体" w:eastAsia="宋体" w:hint="default"/>
                <w:sz w:val="15"/>
                <w:szCs w:val="15"/>
              </w:rPr>
            </w:pPr>
            <w:r>
              <w:rPr>
                <w:rFonts w:ascii="宋体" w:hAnsi="宋体" w:cs="宋体" w:eastAsia="宋体" w:hint="default"/>
                <w:sz w:val="15"/>
                <w:szCs w:val="15"/>
              </w:rPr>
              <w:t>1.</w:t>
              <w:tab/>
            </w:r>
            <w:r>
              <w:rPr>
                <w:rFonts w:ascii="宋体" w:hAnsi="宋体" w:cs="宋体" w:eastAsia="宋体" w:hint="default"/>
                <w:sz w:val="15"/>
                <w:szCs w:val="15"/>
              </w:rPr>
              <w:t>账面原值合计</w:t>
            </w:r>
          </w:p>
        </w:tc>
        <w:tc>
          <w:tcPr>
            <w:tcW w:w="1466" w:type="dxa"/>
            <w:tcBorders>
              <w:top w:val="single" w:sz="12" w:space="0" w:color="000000"/>
              <w:left w:val="single" w:sz="6" w:space="0" w:color="000000"/>
              <w:bottom w:val="single" w:sz="12" w:space="0" w:color="000000"/>
              <w:right w:val="single" w:sz="6" w:space="0" w:color="000000"/>
            </w:tcBorders>
          </w:tcPr>
          <w:p>
            <w:pPr/>
          </w:p>
        </w:tc>
        <w:tc>
          <w:tcPr>
            <w:tcW w:w="1186" w:type="dxa"/>
            <w:tcBorders>
              <w:top w:val="single" w:sz="12" w:space="0" w:color="000000"/>
              <w:left w:val="single" w:sz="6" w:space="0" w:color="000000"/>
              <w:bottom w:val="single" w:sz="12" w:space="0" w:color="000000"/>
              <w:right w:val="single" w:sz="6" w:space="0" w:color="000000"/>
            </w:tcBorders>
          </w:tcPr>
          <w:p>
            <w:pPr/>
          </w:p>
        </w:tc>
        <w:tc>
          <w:tcPr>
            <w:tcW w:w="1234" w:type="dxa"/>
            <w:tcBorders>
              <w:top w:val="single" w:sz="12" w:space="0" w:color="000000"/>
              <w:left w:val="single" w:sz="6" w:space="0" w:color="000000"/>
              <w:bottom w:val="single" w:sz="12" w:space="0" w:color="000000"/>
              <w:right w:val="single" w:sz="6" w:space="0" w:color="000000"/>
            </w:tcBorders>
          </w:tcPr>
          <w:p>
            <w:pPr/>
          </w:p>
        </w:tc>
        <w:tc>
          <w:tcPr>
            <w:tcW w:w="1157" w:type="dxa"/>
            <w:tcBorders>
              <w:top w:val="single" w:sz="12" w:space="0" w:color="000000"/>
              <w:left w:val="single" w:sz="6" w:space="0" w:color="000000"/>
              <w:bottom w:val="single" w:sz="12" w:space="0" w:color="000000"/>
              <w:right w:val="single" w:sz="6" w:space="0" w:color="000000"/>
            </w:tcBorders>
          </w:tcPr>
          <w:p>
            <w:pPr/>
          </w:p>
        </w:tc>
        <w:tc>
          <w:tcPr>
            <w:tcW w:w="1157" w:type="dxa"/>
            <w:tcBorders>
              <w:top w:val="single" w:sz="12" w:space="0" w:color="000000"/>
              <w:left w:val="single" w:sz="6" w:space="0" w:color="000000"/>
              <w:bottom w:val="single" w:sz="12" w:space="0" w:color="000000"/>
              <w:right w:val="single" w:sz="6" w:space="0" w:color="000000"/>
            </w:tcBorders>
          </w:tcPr>
          <w:p>
            <w:pPr/>
          </w:p>
        </w:tc>
        <w:tc>
          <w:tcPr>
            <w:tcW w:w="1207" w:type="dxa"/>
            <w:tcBorders>
              <w:top w:val="single" w:sz="12" w:space="0" w:color="000000"/>
              <w:left w:val="single" w:sz="6" w:space="0" w:color="000000"/>
              <w:bottom w:val="single" w:sz="12" w:space="0" w:color="000000"/>
              <w:right w:val="nil" w:sz="6" w:space="0" w:color="auto"/>
            </w:tcBorders>
          </w:tcPr>
          <w:p>
            <w:pPr/>
          </w:p>
        </w:tc>
      </w:tr>
      <w:tr>
        <w:trPr>
          <w:trHeight w:val="235" w:hRule="exact"/>
        </w:trPr>
        <w:tc>
          <w:tcPr>
            <w:tcW w:w="1642" w:type="dxa"/>
            <w:tcBorders>
              <w:top w:val="single" w:sz="12" w:space="0" w:color="000000"/>
              <w:left w:val="single" w:sz="6" w:space="0" w:color="000000"/>
              <w:bottom w:val="single" w:sz="12" w:space="0" w:color="000000"/>
              <w:right w:val="single" w:sz="6" w:space="0" w:color="000000"/>
            </w:tcBorders>
          </w:tcPr>
          <w:p>
            <w:pPr>
              <w:pStyle w:val="TableParagraph"/>
              <w:tabs>
                <w:tab w:pos="364" w:val="left" w:leader="none"/>
              </w:tabs>
              <w:spacing w:line="172" w:lineRule="exact"/>
              <w:ind w:left="4" w:right="0"/>
              <w:jc w:val="left"/>
              <w:rPr>
                <w:rFonts w:ascii="宋体" w:hAnsi="宋体" w:cs="宋体" w:eastAsia="宋体" w:hint="default"/>
                <w:sz w:val="15"/>
                <w:szCs w:val="15"/>
              </w:rPr>
            </w:pPr>
            <w:r>
              <w:rPr>
                <w:rFonts w:ascii="宋体" w:hAnsi="宋体" w:cs="宋体" w:eastAsia="宋体" w:hint="default"/>
                <w:sz w:val="15"/>
                <w:szCs w:val="15"/>
              </w:rPr>
              <w:t>2.</w:t>
              <w:tab/>
            </w:r>
            <w:r>
              <w:rPr>
                <w:rFonts w:ascii="宋体" w:hAnsi="宋体" w:cs="宋体" w:eastAsia="宋体" w:hint="default"/>
                <w:sz w:val="15"/>
                <w:szCs w:val="15"/>
              </w:rPr>
              <w:t>期初余额</w:t>
            </w:r>
          </w:p>
        </w:tc>
        <w:tc>
          <w:tcPr>
            <w:tcW w:w="1466" w:type="dxa"/>
            <w:tcBorders>
              <w:top w:val="single" w:sz="12" w:space="0" w:color="000000"/>
              <w:left w:val="single" w:sz="6" w:space="0" w:color="000000"/>
              <w:bottom w:val="single" w:sz="12" w:space="0" w:color="000000"/>
              <w:right w:val="single" w:sz="6" w:space="0" w:color="000000"/>
            </w:tcBorders>
          </w:tcPr>
          <w:p>
            <w:pPr>
              <w:pStyle w:val="TableParagraph"/>
              <w:spacing w:line="167" w:lineRule="exact"/>
              <w:ind w:right="0"/>
              <w:jc w:val="right"/>
              <w:rPr>
                <w:rFonts w:ascii="Times New Roman" w:hAnsi="Times New Roman" w:cs="Times New Roman" w:eastAsia="Times New Roman" w:hint="default"/>
                <w:sz w:val="15"/>
                <w:szCs w:val="15"/>
              </w:rPr>
            </w:pPr>
            <w:r>
              <w:rPr>
                <w:rFonts w:ascii="Times New Roman"/>
                <w:spacing w:val="-2"/>
                <w:sz w:val="15"/>
              </w:rPr>
              <w:t>1,017,166.92</w:t>
            </w:r>
            <w:r>
              <w:rPr>
                <w:rFonts w:ascii="Times New Roman"/>
                <w:sz w:val="15"/>
              </w:rPr>
            </w:r>
          </w:p>
        </w:tc>
        <w:tc>
          <w:tcPr>
            <w:tcW w:w="1186" w:type="dxa"/>
            <w:tcBorders>
              <w:top w:val="single" w:sz="12" w:space="0" w:color="000000"/>
              <w:left w:val="single" w:sz="6" w:space="0" w:color="000000"/>
              <w:bottom w:val="single" w:sz="12" w:space="0" w:color="000000"/>
              <w:right w:val="single" w:sz="6" w:space="0" w:color="000000"/>
            </w:tcBorders>
          </w:tcPr>
          <w:p>
            <w:pPr>
              <w:pStyle w:val="TableParagraph"/>
              <w:spacing w:line="167" w:lineRule="exact"/>
              <w:ind w:right="2"/>
              <w:jc w:val="right"/>
              <w:rPr>
                <w:rFonts w:ascii="Times New Roman" w:hAnsi="Times New Roman" w:cs="Times New Roman" w:eastAsia="Times New Roman" w:hint="default"/>
                <w:sz w:val="15"/>
                <w:szCs w:val="15"/>
              </w:rPr>
            </w:pPr>
            <w:r>
              <w:rPr>
                <w:rFonts w:ascii="Times New Roman"/>
                <w:spacing w:val="-2"/>
                <w:sz w:val="15"/>
              </w:rPr>
              <w:t>121,757.76</w:t>
            </w:r>
            <w:r>
              <w:rPr>
                <w:rFonts w:ascii="Times New Roman"/>
                <w:sz w:val="15"/>
              </w:rPr>
            </w:r>
          </w:p>
        </w:tc>
        <w:tc>
          <w:tcPr>
            <w:tcW w:w="1234" w:type="dxa"/>
            <w:tcBorders>
              <w:top w:val="single" w:sz="12" w:space="0" w:color="000000"/>
              <w:left w:val="single" w:sz="6" w:space="0" w:color="000000"/>
              <w:bottom w:val="single" w:sz="12" w:space="0" w:color="000000"/>
              <w:right w:val="single" w:sz="6" w:space="0" w:color="000000"/>
            </w:tcBorders>
          </w:tcPr>
          <w:p>
            <w:pPr>
              <w:pStyle w:val="TableParagraph"/>
              <w:spacing w:line="167" w:lineRule="exact"/>
              <w:ind w:right="2"/>
              <w:jc w:val="right"/>
              <w:rPr>
                <w:rFonts w:ascii="Times New Roman" w:hAnsi="Times New Roman" w:cs="Times New Roman" w:eastAsia="Times New Roman" w:hint="default"/>
                <w:sz w:val="15"/>
                <w:szCs w:val="15"/>
              </w:rPr>
            </w:pPr>
            <w:r>
              <w:rPr>
                <w:rFonts w:ascii="Times New Roman"/>
                <w:spacing w:val="-2"/>
                <w:sz w:val="15"/>
              </w:rPr>
              <w:t>7,211,030.03</w:t>
            </w:r>
            <w:r>
              <w:rPr>
                <w:rFonts w:ascii="Times New Roman"/>
                <w:sz w:val="15"/>
              </w:rPr>
            </w:r>
          </w:p>
        </w:tc>
        <w:tc>
          <w:tcPr>
            <w:tcW w:w="1157" w:type="dxa"/>
            <w:tcBorders>
              <w:top w:val="single" w:sz="12" w:space="0" w:color="000000"/>
              <w:left w:val="single" w:sz="6" w:space="0" w:color="000000"/>
              <w:bottom w:val="single" w:sz="12" w:space="0" w:color="000000"/>
              <w:right w:val="single" w:sz="6" w:space="0" w:color="000000"/>
            </w:tcBorders>
          </w:tcPr>
          <w:p>
            <w:pPr>
              <w:pStyle w:val="TableParagraph"/>
              <w:spacing w:line="167" w:lineRule="exact"/>
              <w:ind w:right="2"/>
              <w:jc w:val="right"/>
              <w:rPr>
                <w:rFonts w:ascii="Times New Roman" w:hAnsi="Times New Roman" w:cs="Times New Roman" w:eastAsia="Times New Roman" w:hint="default"/>
                <w:sz w:val="15"/>
                <w:szCs w:val="15"/>
              </w:rPr>
            </w:pPr>
            <w:r>
              <w:rPr>
                <w:rFonts w:ascii="Times New Roman"/>
                <w:spacing w:val="-2"/>
                <w:sz w:val="15"/>
              </w:rPr>
              <w:t>829,475.71</w:t>
            </w:r>
            <w:r>
              <w:rPr>
                <w:rFonts w:ascii="Times New Roman"/>
                <w:sz w:val="15"/>
              </w:rPr>
            </w:r>
          </w:p>
        </w:tc>
        <w:tc>
          <w:tcPr>
            <w:tcW w:w="1157" w:type="dxa"/>
            <w:tcBorders>
              <w:top w:val="single" w:sz="12" w:space="0" w:color="000000"/>
              <w:left w:val="single" w:sz="6" w:space="0" w:color="000000"/>
              <w:bottom w:val="single" w:sz="12" w:space="0" w:color="000000"/>
              <w:right w:val="single" w:sz="6" w:space="0" w:color="000000"/>
            </w:tcBorders>
          </w:tcPr>
          <w:p>
            <w:pPr>
              <w:pStyle w:val="TableParagraph"/>
              <w:spacing w:line="167" w:lineRule="exact"/>
              <w:ind w:right="2"/>
              <w:jc w:val="right"/>
              <w:rPr>
                <w:rFonts w:ascii="Times New Roman" w:hAnsi="Times New Roman" w:cs="Times New Roman" w:eastAsia="Times New Roman" w:hint="default"/>
                <w:sz w:val="15"/>
                <w:szCs w:val="15"/>
              </w:rPr>
            </w:pPr>
            <w:r>
              <w:rPr>
                <w:rFonts w:ascii="Times New Roman"/>
                <w:spacing w:val="-2"/>
                <w:sz w:val="15"/>
              </w:rPr>
              <w:t>472,766.68</w:t>
            </w:r>
            <w:r>
              <w:rPr>
                <w:rFonts w:ascii="Times New Roman"/>
                <w:sz w:val="15"/>
              </w:rPr>
            </w:r>
          </w:p>
        </w:tc>
        <w:tc>
          <w:tcPr>
            <w:tcW w:w="1207" w:type="dxa"/>
            <w:tcBorders>
              <w:top w:val="single" w:sz="12" w:space="0" w:color="000000"/>
              <w:left w:val="single" w:sz="6" w:space="0" w:color="000000"/>
              <w:bottom w:val="single" w:sz="12" w:space="0" w:color="000000"/>
              <w:right w:val="nil" w:sz="6" w:space="0" w:color="auto"/>
            </w:tcBorders>
          </w:tcPr>
          <w:p>
            <w:pPr>
              <w:pStyle w:val="TableParagraph"/>
              <w:spacing w:line="167" w:lineRule="exact"/>
              <w:ind w:right="10"/>
              <w:jc w:val="right"/>
              <w:rPr>
                <w:rFonts w:ascii="Times New Roman" w:hAnsi="Times New Roman" w:cs="Times New Roman" w:eastAsia="Times New Roman" w:hint="default"/>
                <w:sz w:val="15"/>
                <w:szCs w:val="15"/>
              </w:rPr>
            </w:pPr>
            <w:r>
              <w:rPr>
                <w:rFonts w:ascii="Times New Roman"/>
                <w:spacing w:val="-2"/>
                <w:sz w:val="15"/>
              </w:rPr>
              <w:t>9,652,197.10</w:t>
            </w:r>
            <w:r>
              <w:rPr>
                <w:rFonts w:ascii="Times New Roman"/>
                <w:sz w:val="15"/>
              </w:rPr>
            </w:r>
          </w:p>
        </w:tc>
      </w:tr>
      <w:tr>
        <w:trPr>
          <w:trHeight w:val="235" w:hRule="exact"/>
        </w:trPr>
        <w:tc>
          <w:tcPr>
            <w:tcW w:w="1642" w:type="dxa"/>
            <w:tcBorders>
              <w:top w:val="single" w:sz="12" w:space="0" w:color="000000"/>
              <w:left w:val="single" w:sz="6" w:space="0" w:color="000000"/>
              <w:bottom w:val="single" w:sz="12" w:space="0" w:color="000000"/>
              <w:right w:val="single" w:sz="6" w:space="0" w:color="000000"/>
            </w:tcBorders>
          </w:tcPr>
          <w:p>
            <w:pPr>
              <w:pStyle w:val="TableParagraph"/>
              <w:tabs>
                <w:tab w:pos="364" w:val="left" w:leader="none"/>
              </w:tabs>
              <w:spacing w:line="172" w:lineRule="exact"/>
              <w:ind w:left="4" w:right="0"/>
              <w:jc w:val="left"/>
              <w:rPr>
                <w:rFonts w:ascii="宋体" w:hAnsi="宋体" w:cs="宋体" w:eastAsia="宋体" w:hint="default"/>
                <w:sz w:val="15"/>
                <w:szCs w:val="15"/>
              </w:rPr>
            </w:pPr>
            <w:r>
              <w:rPr>
                <w:rFonts w:ascii="宋体" w:hAnsi="宋体" w:cs="宋体" w:eastAsia="宋体" w:hint="default"/>
                <w:sz w:val="15"/>
                <w:szCs w:val="15"/>
              </w:rPr>
              <w:t>3.</w:t>
              <w:tab/>
            </w:r>
            <w:r>
              <w:rPr>
                <w:rFonts w:ascii="宋体" w:hAnsi="宋体" w:cs="宋体" w:eastAsia="宋体" w:hint="default"/>
                <w:sz w:val="15"/>
                <w:szCs w:val="15"/>
              </w:rPr>
              <w:t>本期增加金额</w:t>
            </w:r>
          </w:p>
        </w:tc>
        <w:tc>
          <w:tcPr>
            <w:tcW w:w="1466" w:type="dxa"/>
            <w:tcBorders>
              <w:top w:val="single" w:sz="12" w:space="0" w:color="000000"/>
              <w:left w:val="single" w:sz="6" w:space="0" w:color="000000"/>
              <w:bottom w:val="single" w:sz="12" w:space="0" w:color="000000"/>
              <w:right w:val="single" w:sz="6" w:space="0" w:color="000000"/>
            </w:tcBorders>
          </w:tcPr>
          <w:p>
            <w:pPr>
              <w:pStyle w:val="TableParagraph"/>
              <w:spacing w:line="167" w:lineRule="exact"/>
              <w:ind w:right="0"/>
              <w:jc w:val="right"/>
              <w:rPr>
                <w:rFonts w:ascii="Times New Roman" w:hAnsi="Times New Roman" w:cs="Times New Roman" w:eastAsia="Times New Roman" w:hint="default"/>
                <w:sz w:val="15"/>
                <w:szCs w:val="15"/>
              </w:rPr>
            </w:pPr>
            <w:r>
              <w:rPr>
                <w:rFonts w:ascii="Times New Roman"/>
                <w:spacing w:val="-1"/>
                <w:sz w:val="15"/>
              </w:rPr>
              <w:t>---</w:t>
            </w:r>
          </w:p>
        </w:tc>
        <w:tc>
          <w:tcPr>
            <w:tcW w:w="1186" w:type="dxa"/>
            <w:tcBorders>
              <w:top w:val="single" w:sz="12" w:space="0" w:color="000000"/>
              <w:left w:val="single" w:sz="6" w:space="0" w:color="000000"/>
              <w:bottom w:val="single" w:sz="12" w:space="0" w:color="000000"/>
              <w:right w:val="single" w:sz="6" w:space="0" w:color="000000"/>
            </w:tcBorders>
          </w:tcPr>
          <w:p>
            <w:pPr>
              <w:pStyle w:val="TableParagraph"/>
              <w:spacing w:line="167" w:lineRule="exact"/>
              <w:ind w:right="0"/>
              <w:jc w:val="right"/>
              <w:rPr>
                <w:rFonts w:ascii="Times New Roman" w:hAnsi="Times New Roman" w:cs="Times New Roman" w:eastAsia="Times New Roman" w:hint="default"/>
                <w:sz w:val="15"/>
                <w:szCs w:val="15"/>
              </w:rPr>
            </w:pPr>
            <w:r>
              <w:rPr>
                <w:rFonts w:ascii="Times New Roman"/>
                <w:spacing w:val="-1"/>
                <w:sz w:val="15"/>
              </w:rPr>
              <w:t>---</w:t>
            </w:r>
          </w:p>
        </w:tc>
        <w:tc>
          <w:tcPr>
            <w:tcW w:w="1234" w:type="dxa"/>
            <w:tcBorders>
              <w:top w:val="single" w:sz="12" w:space="0" w:color="000000"/>
              <w:left w:val="single" w:sz="6" w:space="0" w:color="000000"/>
              <w:bottom w:val="single" w:sz="12" w:space="0" w:color="000000"/>
              <w:right w:val="single" w:sz="6" w:space="0" w:color="000000"/>
            </w:tcBorders>
          </w:tcPr>
          <w:p>
            <w:pPr>
              <w:pStyle w:val="TableParagraph"/>
              <w:spacing w:line="167" w:lineRule="exact"/>
              <w:ind w:right="2"/>
              <w:jc w:val="right"/>
              <w:rPr>
                <w:rFonts w:ascii="Times New Roman" w:hAnsi="Times New Roman" w:cs="Times New Roman" w:eastAsia="Times New Roman" w:hint="default"/>
                <w:sz w:val="15"/>
                <w:szCs w:val="15"/>
              </w:rPr>
            </w:pPr>
            <w:r>
              <w:rPr>
                <w:rFonts w:ascii="Times New Roman"/>
                <w:spacing w:val="-2"/>
                <w:sz w:val="15"/>
              </w:rPr>
              <w:t>22,294.32</w:t>
            </w:r>
            <w:r>
              <w:rPr>
                <w:rFonts w:ascii="Times New Roman"/>
                <w:sz w:val="15"/>
              </w:rPr>
            </w:r>
          </w:p>
        </w:tc>
        <w:tc>
          <w:tcPr>
            <w:tcW w:w="1157" w:type="dxa"/>
            <w:tcBorders>
              <w:top w:val="single" w:sz="12" w:space="0" w:color="000000"/>
              <w:left w:val="single" w:sz="6" w:space="0" w:color="000000"/>
              <w:bottom w:val="single" w:sz="12" w:space="0" w:color="000000"/>
              <w:right w:val="single" w:sz="6" w:space="0" w:color="000000"/>
            </w:tcBorders>
          </w:tcPr>
          <w:p>
            <w:pPr>
              <w:pStyle w:val="TableParagraph"/>
              <w:spacing w:line="167" w:lineRule="exact"/>
              <w:ind w:right="0"/>
              <w:jc w:val="right"/>
              <w:rPr>
                <w:rFonts w:ascii="Times New Roman" w:hAnsi="Times New Roman" w:cs="Times New Roman" w:eastAsia="Times New Roman" w:hint="default"/>
                <w:sz w:val="15"/>
                <w:szCs w:val="15"/>
              </w:rPr>
            </w:pPr>
            <w:r>
              <w:rPr>
                <w:rFonts w:ascii="Times New Roman"/>
                <w:spacing w:val="-1"/>
                <w:sz w:val="15"/>
              </w:rPr>
              <w:t>---</w:t>
            </w:r>
          </w:p>
        </w:tc>
        <w:tc>
          <w:tcPr>
            <w:tcW w:w="1157" w:type="dxa"/>
            <w:tcBorders>
              <w:top w:val="single" w:sz="12" w:space="0" w:color="000000"/>
              <w:left w:val="single" w:sz="6" w:space="0" w:color="000000"/>
              <w:bottom w:val="single" w:sz="12" w:space="0" w:color="000000"/>
              <w:right w:val="single" w:sz="6" w:space="0" w:color="000000"/>
            </w:tcBorders>
          </w:tcPr>
          <w:p>
            <w:pPr>
              <w:pStyle w:val="TableParagraph"/>
              <w:spacing w:line="167" w:lineRule="exact"/>
              <w:ind w:right="2"/>
              <w:jc w:val="right"/>
              <w:rPr>
                <w:rFonts w:ascii="Times New Roman" w:hAnsi="Times New Roman" w:cs="Times New Roman" w:eastAsia="Times New Roman" w:hint="default"/>
                <w:sz w:val="15"/>
                <w:szCs w:val="15"/>
              </w:rPr>
            </w:pPr>
            <w:r>
              <w:rPr>
                <w:rFonts w:ascii="Times New Roman"/>
                <w:spacing w:val="-2"/>
                <w:sz w:val="15"/>
              </w:rPr>
              <w:t>175,699.07</w:t>
            </w:r>
            <w:r>
              <w:rPr>
                <w:rFonts w:ascii="Times New Roman"/>
                <w:sz w:val="15"/>
              </w:rPr>
            </w:r>
          </w:p>
        </w:tc>
        <w:tc>
          <w:tcPr>
            <w:tcW w:w="1207" w:type="dxa"/>
            <w:tcBorders>
              <w:top w:val="single" w:sz="12" w:space="0" w:color="000000"/>
              <w:left w:val="single" w:sz="6" w:space="0" w:color="000000"/>
              <w:bottom w:val="single" w:sz="12" w:space="0" w:color="000000"/>
              <w:right w:val="nil" w:sz="6" w:space="0" w:color="auto"/>
            </w:tcBorders>
          </w:tcPr>
          <w:p>
            <w:pPr>
              <w:pStyle w:val="TableParagraph"/>
              <w:spacing w:line="167" w:lineRule="exact"/>
              <w:ind w:right="10"/>
              <w:jc w:val="right"/>
              <w:rPr>
                <w:rFonts w:ascii="Times New Roman" w:hAnsi="Times New Roman" w:cs="Times New Roman" w:eastAsia="Times New Roman" w:hint="default"/>
                <w:sz w:val="15"/>
                <w:szCs w:val="15"/>
              </w:rPr>
            </w:pPr>
            <w:r>
              <w:rPr>
                <w:rFonts w:ascii="Times New Roman"/>
                <w:spacing w:val="-2"/>
                <w:sz w:val="15"/>
              </w:rPr>
              <w:t>197,993.39</w:t>
            </w:r>
            <w:r>
              <w:rPr>
                <w:rFonts w:ascii="Times New Roman"/>
                <w:sz w:val="15"/>
              </w:rPr>
            </w:r>
          </w:p>
        </w:tc>
      </w:tr>
      <w:tr>
        <w:trPr>
          <w:trHeight w:val="233" w:hRule="exact"/>
        </w:trPr>
        <w:tc>
          <w:tcPr>
            <w:tcW w:w="1642" w:type="dxa"/>
            <w:tcBorders>
              <w:top w:val="single" w:sz="12" w:space="0" w:color="000000"/>
              <w:left w:val="single" w:sz="6" w:space="0" w:color="000000"/>
              <w:bottom w:val="single" w:sz="12" w:space="0" w:color="000000"/>
              <w:right w:val="single" w:sz="6" w:space="0" w:color="000000"/>
            </w:tcBorders>
          </w:tcPr>
          <w:p>
            <w:pPr>
              <w:pStyle w:val="TableParagraph"/>
              <w:spacing w:line="172" w:lineRule="exact"/>
              <w:ind w:left="4" w:right="0"/>
              <w:jc w:val="left"/>
              <w:rPr>
                <w:rFonts w:ascii="宋体" w:hAnsi="宋体" w:cs="宋体" w:eastAsia="宋体" w:hint="default"/>
                <w:sz w:val="15"/>
                <w:szCs w:val="15"/>
              </w:rPr>
            </w:pPr>
            <w:r>
              <w:rPr>
                <w:rFonts w:ascii="宋体" w:hAnsi="宋体" w:cs="宋体" w:eastAsia="宋体" w:hint="default"/>
                <w:sz w:val="15"/>
                <w:szCs w:val="15"/>
              </w:rPr>
              <w:t>购置</w:t>
            </w:r>
          </w:p>
        </w:tc>
        <w:tc>
          <w:tcPr>
            <w:tcW w:w="1466" w:type="dxa"/>
            <w:tcBorders>
              <w:top w:val="single" w:sz="12" w:space="0" w:color="000000"/>
              <w:left w:val="single" w:sz="6" w:space="0" w:color="000000"/>
              <w:bottom w:val="single" w:sz="12" w:space="0" w:color="000000"/>
              <w:right w:val="single" w:sz="6" w:space="0" w:color="000000"/>
            </w:tcBorders>
          </w:tcPr>
          <w:p>
            <w:pPr>
              <w:pStyle w:val="TableParagraph"/>
              <w:spacing w:line="167" w:lineRule="exact"/>
              <w:ind w:right="0"/>
              <w:jc w:val="right"/>
              <w:rPr>
                <w:rFonts w:ascii="Times New Roman" w:hAnsi="Times New Roman" w:cs="Times New Roman" w:eastAsia="Times New Roman" w:hint="default"/>
                <w:sz w:val="15"/>
                <w:szCs w:val="15"/>
              </w:rPr>
            </w:pPr>
            <w:r>
              <w:rPr>
                <w:rFonts w:ascii="Times New Roman"/>
                <w:spacing w:val="-1"/>
                <w:sz w:val="15"/>
              </w:rPr>
              <w:t>---</w:t>
            </w:r>
          </w:p>
        </w:tc>
        <w:tc>
          <w:tcPr>
            <w:tcW w:w="1186" w:type="dxa"/>
            <w:tcBorders>
              <w:top w:val="single" w:sz="12" w:space="0" w:color="000000"/>
              <w:left w:val="single" w:sz="6" w:space="0" w:color="000000"/>
              <w:bottom w:val="single" w:sz="12" w:space="0" w:color="000000"/>
              <w:right w:val="single" w:sz="6" w:space="0" w:color="000000"/>
            </w:tcBorders>
          </w:tcPr>
          <w:p>
            <w:pPr>
              <w:pStyle w:val="TableParagraph"/>
              <w:spacing w:line="167" w:lineRule="exact"/>
              <w:ind w:right="0"/>
              <w:jc w:val="right"/>
              <w:rPr>
                <w:rFonts w:ascii="Times New Roman" w:hAnsi="Times New Roman" w:cs="Times New Roman" w:eastAsia="Times New Roman" w:hint="default"/>
                <w:sz w:val="15"/>
                <w:szCs w:val="15"/>
              </w:rPr>
            </w:pPr>
            <w:r>
              <w:rPr>
                <w:rFonts w:ascii="Times New Roman"/>
                <w:spacing w:val="-1"/>
                <w:sz w:val="15"/>
              </w:rPr>
              <w:t>---</w:t>
            </w:r>
          </w:p>
        </w:tc>
        <w:tc>
          <w:tcPr>
            <w:tcW w:w="1234" w:type="dxa"/>
            <w:tcBorders>
              <w:top w:val="single" w:sz="12" w:space="0" w:color="000000"/>
              <w:left w:val="single" w:sz="6" w:space="0" w:color="000000"/>
              <w:bottom w:val="single" w:sz="12" w:space="0" w:color="000000"/>
              <w:right w:val="single" w:sz="6" w:space="0" w:color="000000"/>
            </w:tcBorders>
          </w:tcPr>
          <w:p>
            <w:pPr>
              <w:pStyle w:val="TableParagraph"/>
              <w:spacing w:line="167" w:lineRule="exact"/>
              <w:ind w:right="0"/>
              <w:jc w:val="right"/>
              <w:rPr>
                <w:rFonts w:ascii="Times New Roman" w:hAnsi="Times New Roman" w:cs="Times New Roman" w:eastAsia="Times New Roman" w:hint="default"/>
                <w:sz w:val="15"/>
                <w:szCs w:val="15"/>
              </w:rPr>
            </w:pPr>
            <w:r>
              <w:rPr>
                <w:rFonts w:ascii="Times New Roman"/>
                <w:spacing w:val="-1"/>
                <w:sz w:val="15"/>
              </w:rPr>
              <w:t>---</w:t>
            </w:r>
          </w:p>
        </w:tc>
        <w:tc>
          <w:tcPr>
            <w:tcW w:w="1157" w:type="dxa"/>
            <w:tcBorders>
              <w:top w:val="single" w:sz="12" w:space="0" w:color="000000"/>
              <w:left w:val="single" w:sz="6" w:space="0" w:color="000000"/>
              <w:bottom w:val="single" w:sz="12" w:space="0" w:color="000000"/>
              <w:right w:val="single" w:sz="6" w:space="0" w:color="000000"/>
            </w:tcBorders>
          </w:tcPr>
          <w:p>
            <w:pPr>
              <w:pStyle w:val="TableParagraph"/>
              <w:spacing w:line="167" w:lineRule="exact"/>
              <w:ind w:right="0"/>
              <w:jc w:val="right"/>
              <w:rPr>
                <w:rFonts w:ascii="Times New Roman" w:hAnsi="Times New Roman" w:cs="Times New Roman" w:eastAsia="Times New Roman" w:hint="default"/>
                <w:sz w:val="15"/>
                <w:szCs w:val="15"/>
              </w:rPr>
            </w:pPr>
            <w:r>
              <w:rPr>
                <w:rFonts w:ascii="Times New Roman"/>
                <w:spacing w:val="-1"/>
                <w:sz w:val="15"/>
              </w:rPr>
              <w:t>---</w:t>
            </w:r>
          </w:p>
        </w:tc>
        <w:tc>
          <w:tcPr>
            <w:tcW w:w="1157" w:type="dxa"/>
            <w:tcBorders>
              <w:top w:val="single" w:sz="12" w:space="0" w:color="000000"/>
              <w:left w:val="single" w:sz="6" w:space="0" w:color="000000"/>
              <w:bottom w:val="single" w:sz="12" w:space="0" w:color="000000"/>
              <w:right w:val="single" w:sz="6" w:space="0" w:color="000000"/>
            </w:tcBorders>
          </w:tcPr>
          <w:p>
            <w:pPr>
              <w:pStyle w:val="TableParagraph"/>
              <w:spacing w:line="167" w:lineRule="exact"/>
              <w:ind w:right="2"/>
              <w:jc w:val="right"/>
              <w:rPr>
                <w:rFonts w:ascii="Times New Roman" w:hAnsi="Times New Roman" w:cs="Times New Roman" w:eastAsia="Times New Roman" w:hint="default"/>
                <w:sz w:val="15"/>
                <w:szCs w:val="15"/>
              </w:rPr>
            </w:pPr>
            <w:r>
              <w:rPr>
                <w:rFonts w:ascii="Times New Roman"/>
                <w:spacing w:val="-2"/>
                <w:sz w:val="15"/>
              </w:rPr>
              <w:t>175,699.07</w:t>
            </w:r>
            <w:r>
              <w:rPr>
                <w:rFonts w:ascii="Times New Roman"/>
                <w:sz w:val="15"/>
              </w:rPr>
            </w:r>
          </w:p>
        </w:tc>
        <w:tc>
          <w:tcPr>
            <w:tcW w:w="1207" w:type="dxa"/>
            <w:tcBorders>
              <w:top w:val="single" w:sz="12" w:space="0" w:color="000000"/>
              <w:left w:val="single" w:sz="6" w:space="0" w:color="000000"/>
              <w:bottom w:val="single" w:sz="12" w:space="0" w:color="000000"/>
              <w:right w:val="nil" w:sz="6" w:space="0" w:color="auto"/>
            </w:tcBorders>
          </w:tcPr>
          <w:p>
            <w:pPr>
              <w:pStyle w:val="TableParagraph"/>
              <w:spacing w:line="167" w:lineRule="exact"/>
              <w:ind w:right="10"/>
              <w:jc w:val="right"/>
              <w:rPr>
                <w:rFonts w:ascii="Times New Roman" w:hAnsi="Times New Roman" w:cs="Times New Roman" w:eastAsia="Times New Roman" w:hint="default"/>
                <w:sz w:val="15"/>
                <w:szCs w:val="15"/>
              </w:rPr>
            </w:pPr>
            <w:r>
              <w:rPr>
                <w:rFonts w:ascii="Times New Roman"/>
                <w:spacing w:val="-2"/>
                <w:sz w:val="15"/>
              </w:rPr>
              <w:t>175,699.07</w:t>
            </w:r>
            <w:r>
              <w:rPr>
                <w:rFonts w:ascii="Times New Roman"/>
                <w:sz w:val="15"/>
              </w:rPr>
            </w:r>
          </w:p>
        </w:tc>
      </w:tr>
      <w:tr>
        <w:trPr>
          <w:trHeight w:val="235" w:hRule="exact"/>
        </w:trPr>
        <w:tc>
          <w:tcPr>
            <w:tcW w:w="1642" w:type="dxa"/>
            <w:tcBorders>
              <w:top w:val="single" w:sz="12" w:space="0" w:color="000000"/>
              <w:left w:val="single" w:sz="6" w:space="0" w:color="000000"/>
              <w:bottom w:val="single" w:sz="12" w:space="0" w:color="000000"/>
              <w:right w:val="single" w:sz="6" w:space="0" w:color="000000"/>
            </w:tcBorders>
          </w:tcPr>
          <w:p>
            <w:pPr>
              <w:pStyle w:val="TableParagraph"/>
              <w:spacing w:line="175" w:lineRule="exact"/>
              <w:ind w:left="4" w:right="0"/>
              <w:jc w:val="left"/>
              <w:rPr>
                <w:rFonts w:ascii="宋体" w:hAnsi="宋体" w:cs="宋体" w:eastAsia="宋体" w:hint="default"/>
                <w:sz w:val="15"/>
                <w:szCs w:val="15"/>
              </w:rPr>
            </w:pPr>
            <w:r>
              <w:rPr>
                <w:rFonts w:ascii="宋体" w:hAnsi="宋体" w:cs="宋体" w:eastAsia="宋体" w:hint="default"/>
                <w:sz w:val="15"/>
                <w:szCs w:val="15"/>
              </w:rPr>
              <w:t>其他转入</w:t>
            </w:r>
          </w:p>
        </w:tc>
        <w:tc>
          <w:tcPr>
            <w:tcW w:w="1466" w:type="dxa"/>
            <w:tcBorders>
              <w:top w:val="single" w:sz="12" w:space="0" w:color="000000"/>
              <w:left w:val="single" w:sz="6" w:space="0" w:color="000000"/>
              <w:bottom w:val="single" w:sz="12" w:space="0" w:color="000000"/>
              <w:right w:val="single" w:sz="6" w:space="0" w:color="000000"/>
            </w:tcBorders>
          </w:tcPr>
          <w:p>
            <w:pPr>
              <w:pStyle w:val="TableParagraph"/>
              <w:spacing w:line="169" w:lineRule="exact"/>
              <w:ind w:right="0"/>
              <w:jc w:val="right"/>
              <w:rPr>
                <w:rFonts w:ascii="Times New Roman" w:hAnsi="Times New Roman" w:cs="Times New Roman" w:eastAsia="Times New Roman" w:hint="default"/>
                <w:sz w:val="15"/>
                <w:szCs w:val="15"/>
              </w:rPr>
            </w:pPr>
            <w:r>
              <w:rPr>
                <w:rFonts w:ascii="Times New Roman"/>
                <w:spacing w:val="-1"/>
                <w:sz w:val="15"/>
              </w:rPr>
              <w:t>---</w:t>
            </w:r>
          </w:p>
        </w:tc>
        <w:tc>
          <w:tcPr>
            <w:tcW w:w="1186" w:type="dxa"/>
            <w:tcBorders>
              <w:top w:val="single" w:sz="12" w:space="0" w:color="000000"/>
              <w:left w:val="single" w:sz="6" w:space="0" w:color="000000"/>
              <w:bottom w:val="single" w:sz="12" w:space="0" w:color="000000"/>
              <w:right w:val="single" w:sz="6" w:space="0" w:color="000000"/>
            </w:tcBorders>
          </w:tcPr>
          <w:p>
            <w:pPr>
              <w:pStyle w:val="TableParagraph"/>
              <w:spacing w:line="169" w:lineRule="exact"/>
              <w:ind w:right="0"/>
              <w:jc w:val="right"/>
              <w:rPr>
                <w:rFonts w:ascii="Times New Roman" w:hAnsi="Times New Roman" w:cs="Times New Roman" w:eastAsia="Times New Roman" w:hint="default"/>
                <w:sz w:val="15"/>
                <w:szCs w:val="15"/>
              </w:rPr>
            </w:pPr>
            <w:r>
              <w:rPr>
                <w:rFonts w:ascii="Times New Roman"/>
                <w:spacing w:val="-1"/>
                <w:sz w:val="15"/>
              </w:rPr>
              <w:t>---</w:t>
            </w:r>
          </w:p>
        </w:tc>
        <w:tc>
          <w:tcPr>
            <w:tcW w:w="1234" w:type="dxa"/>
            <w:tcBorders>
              <w:top w:val="single" w:sz="12" w:space="0" w:color="000000"/>
              <w:left w:val="single" w:sz="6" w:space="0" w:color="000000"/>
              <w:bottom w:val="single" w:sz="12" w:space="0" w:color="000000"/>
              <w:right w:val="single" w:sz="6" w:space="0" w:color="000000"/>
            </w:tcBorders>
          </w:tcPr>
          <w:p>
            <w:pPr>
              <w:pStyle w:val="TableParagraph"/>
              <w:spacing w:line="169" w:lineRule="exact"/>
              <w:ind w:right="2"/>
              <w:jc w:val="right"/>
              <w:rPr>
                <w:rFonts w:ascii="Times New Roman" w:hAnsi="Times New Roman" w:cs="Times New Roman" w:eastAsia="Times New Roman" w:hint="default"/>
                <w:sz w:val="15"/>
                <w:szCs w:val="15"/>
              </w:rPr>
            </w:pPr>
            <w:r>
              <w:rPr>
                <w:rFonts w:ascii="Times New Roman"/>
                <w:spacing w:val="-2"/>
                <w:sz w:val="15"/>
              </w:rPr>
              <w:t>22,294.32</w:t>
            </w:r>
            <w:r>
              <w:rPr>
                <w:rFonts w:ascii="Times New Roman"/>
                <w:sz w:val="15"/>
              </w:rPr>
            </w:r>
          </w:p>
        </w:tc>
        <w:tc>
          <w:tcPr>
            <w:tcW w:w="1157" w:type="dxa"/>
            <w:tcBorders>
              <w:top w:val="single" w:sz="12" w:space="0" w:color="000000"/>
              <w:left w:val="single" w:sz="6" w:space="0" w:color="000000"/>
              <w:bottom w:val="single" w:sz="12" w:space="0" w:color="000000"/>
              <w:right w:val="single" w:sz="6" w:space="0" w:color="000000"/>
            </w:tcBorders>
          </w:tcPr>
          <w:p>
            <w:pPr>
              <w:pStyle w:val="TableParagraph"/>
              <w:spacing w:line="169" w:lineRule="exact"/>
              <w:ind w:right="0"/>
              <w:jc w:val="right"/>
              <w:rPr>
                <w:rFonts w:ascii="Times New Roman" w:hAnsi="Times New Roman" w:cs="Times New Roman" w:eastAsia="Times New Roman" w:hint="default"/>
                <w:sz w:val="15"/>
                <w:szCs w:val="15"/>
              </w:rPr>
            </w:pPr>
            <w:r>
              <w:rPr>
                <w:rFonts w:ascii="Times New Roman"/>
                <w:spacing w:val="-1"/>
                <w:sz w:val="15"/>
              </w:rPr>
              <w:t>---</w:t>
            </w:r>
          </w:p>
        </w:tc>
        <w:tc>
          <w:tcPr>
            <w:tcW w:w="1157" w:type="dxa"/>
            <w:tcBorders>
              <w:top w:val="single" w:sz="12" w:space="0" w:color="000000"/>
              <w:left w:val="single" w:sz="6" w:space="0" w:color="000000"/>
              <w:bottom w:val="single" w:sz="12" w:space="0" w:color="000000"/>
              <w:right w:val="single" w:sz="6" w:space="0" w:color="000000"/>
            </w:tcBorders>
          </w:tcPr>
          <w:p>
            <w:pPr>
              <w:pStyle w:val="TableParagraph"/>
              <w:spacing w:line="169" w:lineRule="exact"/>
              <w:ind w:right="0"/>
              <w:jc w:val="right"/>
              <w:rPr>
                <w:rFonts w:ascii="Times New Roman" w:hAnsi="Times New Roman" w:cs="Times New Roman" w:eastAsia="Times New Roman" w:hint="default"/>
                <w:sz w:val="15"/>
                <w:szCs w:val="15"/>
              </w:rPr>
            </w:pPr>
            <w:r>
              <w:rPr>
                <w:rFonts w:ascii="Times New Roman"/>
                <w:spacing w:val="-1"/>
                <w:sz w:val="15"/>
              </w:rPr>
              <w:t>---</w:t>
            </w:r>
          </w:p>
        </w:tc>
        <w:tc>
          <w:tcPr>
            <w:tcW w:w="1207" w:type="dxa"/>
            <w:tcBorders>
              <w:top w:val="single" w:sz="12" w:space="0" w:color="000000"/>
              <w:left w:val="single" w:sz="6" w:space="0" w:color="000000"/>
              <w:bottom w:val="single" w:sz="12" w:space="0" w:color="000000"/>
              <w:right w:val="nil" w:sz="6" w:space="0" w:color="auto"/>
            </w:tcBorders>
          </w:tcPr>
          <w:p>
            <w:pPr>
              <w:pStyle w:val="TableParagraph"/>
              <w:spacing w:line="169" w:lineRule="exact"/>
              <w:ind w:right="10"/>
              <w:jc w:val="right"/>
              <w:rPr>
                <w:rFonts w:ascii="Times New Roman" w:hAnsi="Times New Roman" w:cs="Times New Roman" w:eastAsia="Times New Roman" w:hint="default"/>
                <w:sz w:val="15"/>
                <w:szCs w:val="15"/>
              </w:rPr>
            </w:pPr>
            <w:r>
              <w:rPr>
                <w:rFonts w:ascii="Times New Roman"/>
                <w:spacing w:val="-1"/>
                <w:sz w:val="15"/>
              </w:rPr>
              <w:t>22,294.32</w:t>
            </w:r>
            <w:r>
              <w:rPr>
                <w:rFonts w:ascii="Times New Roman"/>
                <w:sz w:val="15"/>
              </w:rPr>
            </w:r>
          </w:p>
        </w:tc>
      </w:tr>
      <w:tr>
        <w:trPr>
          <w:trHeight w:val="235" w:hRule="exact"/>
        </w:trPr>
        <w:tc>
          <w:tcPr>
            <w:tcW w:w="1642" w:type="dxa"/>
            <w:tcBorders>
              <w:top w:val="single" w:sz="12" w:space="0" w:color="000000"/>
              <w:left w:val="single" w:sz="6" w:space="0" w:color="000000"/>
              <w:bottom w:val="single" w:sz="12" w:space="0" w:color="000000"/>
              <w:right w:val="single" w:sz="6" w:space="0" w:color="000000"/>
            </w:tcBorders>
          </w:tcPr>
          <w:p>
            <w:pPr>
              <w:pStyle w:val="TableParagraph"/>
              <w:tabs>
                <w:tab w:pos="364" w:val="left" w:leader="none"/>
              </w:tabs>
              <w:spacing w:line="175" w:lineRule="exact"/>
              <w:ind w:left="4" w:right="0"/>
              <w:jc w:val="left"/>
              <w:rPr>
                <w:rFonts w:ascii="宋体" w:hAnsi="宋体" w:cs="宋体" w:eastAsia="宋体" w:hint="default"/>
                <w:sz w:val="15"/>
                <w:szCs w:val="15"/>
              </w:rPr>
            </w:pPr>
            <w:r>
              <w:rPr>
                <w:rFonts w:ascii="宋体" w:hAnsi="宋体" w:cs="宋体" w:eastAsia="宋体" w:hint="default"/>
                <w:sz w:val="15"/>
                <w:szCs w:val="15"/>
              </w:rPr>
              <w:t>1.</w:t>
              <w:tab/>
            </w:r>
            <w:r>
              <w:rPr>
                <w:rFonts w:ascii="宋体" w:hAnsi="宋体" w:cs="宋体" w:eastAsia="宋体" w:hint="default"/>
                <w:sz w:val="15"/>
                <w:szCs w:val="15"/>
              </w:rPr>
              <w:t>本期减少金额</w:t>
            </w:r>
          </w:p>
        </w:tc>
        <w:tc>
          <w:tcPr>
            <w:tcW w:w="1466" w:type="dxa"/>
            <w:tcBorders>
              <w:top w:val="single" w:sz="12" w:space="0" w:color="000000"/>
              <w:left w:val="single" w:sz="6" w:space="0" w:color="000000"/>
              <w:bottom w:val="single" w:sz="12" w:space="0" w:color="000000"/>
              <w:right w:val="single" w:sz="6" w:space="0" w:color="000000"/>
            </w:tcBorders>
          </w:tcPr>
          <w:p>
            <w:pPr>
              <w:pStyle w:val="TableParagraph"/>
              <w:spacing w:line="169" w:lineRule="exact"/>
              <w:ind w:right="0"/>
              <w:jc w:val="right"/>
              <w:rPr>
                <w:rFonts w:ascii="Times New Roman" w:hAnsi="Times New Roman" w:cs="Times New Roman" w:eastAsia="Times New Roman" w:hint="default"/>
                <w:sz w:val="15"/>
                <w:szCs w:val="15"/>
              </w:rPr>
            </w:pPr>
            <w:r>
              <w:rPr>
                <w:rFonts w:ascii="Times New Roman"/>
                <w:spacing w:val="-1"/>
                <w:sz w:val="15"/>
              </w:rPr>
              <w:t>---</w:t>
            </w:r>
          </w:p>
        </w:tc>
        <w:tc>
          <w:tcPr>
            <w:tcW w:w="1186" w:type="dxa"/>
            <w:tcBorders>
              <w:top w:val="single" w:sz="12" w:space="0" w:color="000000"/>
              <w:left w:val="single" w:sz="6" w:space="0" w:color="000000"/>
              <w:bottom w:val="single" w:sz="12" w:space="0" w:color="000000"/>
              <w:right w:val="single" w:sz="6" w:space="0" w:color="000000"/>
            </w:tcBorders>
          </w:tcPr>
          <w:p>
            <w:pPr>
              <w:pStyle w:val="TableParagraph"/>
              <w:spacing w:line="169" w:lineRule="exact"/>
              <w:ind w:right="0"/>
              <w:jc w:val="right"/>
              <w:rPr>
                <w:rFonts w:ascii="Times New Roman" w:hAnsi="Times New Roman" w:cs="Times New Roman" w:eastAsia="Times New Roman" w:hint="default"/>
                <w:sz w:val="15"/>
                <w:szCs w:val="15"/>
              </w:rPr>
            </w:pPr>
            <w:r>
              <w:rPr>
                <w:rFonts w:ascii="Times New Roman"/>
                <w:spacing w:val="-1"/>
                <w:sz w:val="15"/>
              </w:rPr>
              <w:t>---</w:t>
            </w:r>
          </w:p>
        </w:tc>
        <w:tc>
          <w:tcPr>
            <w:tcW w:w="1234" w:type="dxa"/>
            <w:tcBorders>
              <w:top w:val="single" w:sz="12" w:space="0" w:color="000000"/>
              <w:left w:val="single" w:sz="6" w:space="0" w:color="000000"/>
              <w:bottom w:val="single" w:sz="12" w:space="0" w:color="000000"/>
              <w:right w:val="single" w:sz="6" w:space="0" w:color="000000"/>
            </w:tcBorders>
          </w:tcPr>
          <w:p>
            <w:pPr>
              <w:pStyle w:val="TableParagraph"/>
              <w:spacing w:line="169" w:lineRule="exact"/>
              <w:ind w:right="0"/>
              <w:jc w:val="right"/>
              <w:rPr>
                <w:rFonts w:ascii="Times New Roman" w:hAnsi="Times New Roman" w:cs="Times New Roman" w:eastAsia="Times New Roman" w:hint="default"/>
                <w:sz w:val="15"/>
                <w:szCs w:val="15"/>
              </w:rPr>
            </w:pPr>
            <w:r>
              <w:rPr>
                <w:rFonts w:ascii="Times New Roman"/>
                <w:spacing w:val="-1"/>
                <w:sz w:val="15"/>
              </w:rPr>
              <w:t>---</w:t>
            </w:r>
          </w:p>
        </w:tc>
        <w:tc>
          <w:tcPr>
            <w:tcW w:w="1157" w:type="dxa"/>
            <w:tcBorders>
              <w:top w:val="single" w:sz="12" w:space="0" w:color="000000"/>
              <w:left w:val="single" w:sz="6" w:space="0" w:color="000000"/>
              <w:bottom w:val="single" w:sz="12" w:space="0" w:color="000000"/>
              <w:right w:val="single" w:sz="6" w:space="0" w:color="000000"/>
            </w:tcBorders>
          </w:tcPr>
          <w:p>
            <w:pPr>
              <w:pStyle w:val="TableParagraph"/>
              <w:spacing w:line="169" w:lineRule="exact"/>
              <w:ind w:right="0"/>
              <w:jc w:val="right"/>
              <w:rPr>
                <w:rFonts w:ascii="Times New Roman" w:hAnsi="Times New Roman" w:cs="Times New Roman" w:eastAsia="Times New Roman" w:hint="default"/>
                <w:sz w:val="15"/>
                <w:szCs w:val="15"/>
              </w:rPr>
            </w:pPr>
            <w:r>
              <w:rPr>
                <w:rFonts w:ascii="Times New Roman"/>
                <w:spacing w:val="-1"/>
                <w:sz w:val="15"/>
              </w:rPr>
              <w:t>---</w:t>
            </w:r>
          </w:p>
        </w:tc>
        <w:tc>
          <w:tcPr>
            <w:tcW w:w="1157" w:type="dxa"/>
            <w:tcBorders>
              <w:top w:val="single" w:sz="12" w:space="0" w:color="000000"/>
              <w:left w:val="single" w:sz="6" w:space="0" w:color="000000"/>
              <w:bottom w:val="single" w:sz="12" w:space="0" w:color="000000"/>
              <w:right w:val="single" w:sz="6" w:space="0" w:color="000000"/>
            </w:tcBorders>
          </w:tcPr>
          <w:p>
            <w:pPr>
              <w:pStyle w:val="TableParagraph"/>
              <w:spacing w:line="169" w:lineRule="exact"/>
              <w:ind w:right="0"/>
              <w:jc w:val="right"/>
              <w:rPr>
                <w:rFonts w:ascii="Times New Roman" w:hAnsi="Times New Roman" w:cs="Times New Roman" w:eastAsia="Times New Roman" w:hint="default"/>
                <w:sz w:val="15"/>
                <w:szCs w:val="15"/>
              </w:rPr>
            </w:pPr>
            <w:r>
              <w:rPr>
                <w:rFonts w:ascii="Times New Roman"/>
                <w:spacing w:val="-1"/>
                <w:sz w:val="15"/>
              </w:rPr>
              <w:t>---</w:t>
            </w:r>
          </w:p>
        </w:tc>
        <w:tc>
          <w:tcPr>
            <w:tcW w:w="1207" w:type="dxa"/>
            <w:tcBorders>
              <w:top w:val="single" w:sz="12" w:space="0" w:color="000000"/>
              <w:left w:val="single" w:sz="6" w:space="0" w:color="000000"/>
              <w:bottom w:val="single" w:sz="12" w:space="0" w:color="000000"/>
              <w:right w:val="nil" w:sz="6" w:space="0" w:color="auto"/>
            </w:tcBorders>
          </w:tcPr>
          <w:p>
            <w:pPr>
              <w:pStyle w:val="TableParagraph"/>
              <w:spacing w:line="169" w:lineRule="exact"/>
              <w:ind w:right="5"/>
              <w:jc w:val="right"/>
              <w:rPr>
                <w:rFonts w:ascii="Times New Roman" w:hAnsi="Times New Roman" w:cs="Times New Roman" w:eastAsia="Times New Roman" w:hint="default"/>
                <w:sz w:val="15"/>
                <w:szCs w:val="15"/>
              </w:rPr>
            </w:pPr>
            <w:r>
              <w:rPr>
                <w:rFonts w:ascii="Times New Roman"/>
                <w:spacing w:val="-1"/>
                <w:sz w:val="15"/>
              </w:rPr>
              <w:t>---</w:t>
            </w:r>
          </w:p>
        </w:tc>
      </w:tr>
      <w:tr>
        <w:trPr>
          <w:trHeight w:val="235" w:hRule="exact"/>
        </w:trPr>
        <w:tc>
          <w:tcPr>
            <w:tcW w:w="1642" w:type="dxa"/>
            <w:tcBorders>
              <w:top w:val="single" w:sz="12" w:space="0" w:color="000000"/>
              <w:left w:val="single" w:sz="6" w:space="0" w:color="000000"/>
              <w:bottom w:val="single" w:sz="12" w:space="0" w:color="000000"/>
              <w:right w:val="single" w:sz="6" w:space="0" w:color="000000"/>
            </w:tcBorders>
          </w:tcPr>
          <w:p>
            <w:pPr>
              <w:pStyle w:val="TableParagraph"/>
              <w:tabs>
                <w:tab w:pos="364" w:val="left" w:leader="none"/>
              </w:tabs>
              <w:spacing w:line="175" w:lineRule="exact"/>
              <w:ind w:left="4" w:right="0"/>
              <w:jc w:val="left"/>
              <w:rPr>
                <w:rFonts w:ascii="宋体" w:hAnsi="宋体" w:cs="宋体" w:eastAsia="宋体" w:hint="default"/>
                <w:sz w:val="15"/>
                <w:szCs w:val="15"/>
              </w:rPr>
            </w:pPr>
            <w:r>
              <w:rPr>
                <w:rFonts w:ascii="宋体" w:hAnsi="宋体" w:cs="宋体" w:eastAsia="宋体" w:hint="default"/>
                <w:sz w:val="15"/>
                <w:szCs w:val="15"/>
              </w:rPr>
              <w:t>2.</w:t>
              <w:tab/>
            </w:r>
            <w:r>
              <w:rPr>
                <w:rFonts w:ascii="宋体" w:hAnsi="宋体" w:cs="宋体" w:eastAsia="宋体" w:hint="default"/>
                <w:sz w:val="15"/>
                <w:szCs w:val="15"/>
              </w:rPr>
              <w:t>期末余额</w:t>
            </w:r>
          </w:p>
        </w:tc>
        <w:tc>
          <w:tcPr>
            <w:tcW w:w="1466" w:type="dxa"/>
            <w:tcBorders>
              <w:top w:val="single" w:sz="12" w:space="0" w:color="000000"/>
              <w:left w:val="single" w:sz="6" w:space="0" w:color="000000"/>
              <w:bottom w:val="single" w:sz="12" w:space="0" w:color="000000"/>
              <w:right w:val="single" w:sz="6" w:space="0" w:color="000000"/>
            </w:tcBorders>
          </w:tcPr>
          <w:p>
            <w:pPr>
              <w:pStyle w:val="TableParagraph"/>
              <w:spacing w:line="169" w:lineRule="exact"/>
              <w:ind w:right="0"/>
              <w:jc w:val="right"/>
              <w:rPr>
                <w:rFonts w:ascii="Times New Roman" w:hAnsi="Times New Roman" w:cs="Times New Roman" w:eastAsia="Times New Roman" w:hint="default"/>
                <w:sz w:val="15"/>
                <w:szCs w:val="15"/>
              </w:rPr>
            </w:pPr>
            <w:r>
              <w:rPr>
                <w:rFonts w:ascii="Times New Roman"/>
                <w:spacing w:val="-2"/>
                <w:sz w:val="15"/>
              </w:rPr>
              <w:t>1,017,166.92</w:t>
            </w:r>
            <w:r>
              <w:rPr>
                <w:rFonts w:ascii="Times New Roman"/>
                <w:sz w:val="15"/>
              </w:rPr>
            </w:r>
          </w:p>
        </w:tc>
        <w:tc>
          <w:tcPr>
            <w:tcW w:w="1186" w:type="dxa"/>
            <w:tcBorders>
              <w:top w:val="single" w:sz="12" w:space="0" w:color="000000"/>
              <w:left w:val="single" w:sz="6" w:space="0" w:color="000000"/>
              <w:bottom w:val="single" w:sz="12" w:space="0" w:color="000000"/>
              <w:right w:val="single" w:sz="6" w:space="0" w:color="000000"/>
            </w:tcBorders>
          </w:tcPr>
          <w:p>
            <w:pPr>
              <w:pStyle w:val="TableParagraph"/>
              <w:spacing w:line="169" w:lineRule="exact"/>
              <w:ind w:right="2"/>
              <w:jc w:val="right"/>
              <w:rPr>
                <w:rFonts w:ascii="Times New Roman" w:hAnsi="Times New Roman" w:cs="Times New Roman" w:eastAsia="Times New Roman" w:hint="default"/>
                <w:sz w:val="15"/>
                <w:szCs w:val="15"/>
              </w:rPr>
            </w:pPr>
            <w:r>
              <w:rPr>
                <w:rFonts w:ascii="Times New Roman"/>
                <w:spacing w:val="-2"/>
                <w:sz w:val="15"/>
              </w:rPr>
              <w:t>121,757.76</w:t>
            </w:r>
            <w:r>
              <w:rPr>
                <w:rFonts w:ascii="Times New Roman"/>
                <w:sz w:val="15"/>
              </w:rPr>
            </w:r>
          </w:p>
        </w:tc>
        <w:tc>
          <w:tcPr>
            <w:tcW w:w="1234" w:type="dxa"/>
            <w:tcBorders>
              <w:top w:val="single" w:sz="12" w:space="0" w:color="000000"/>
              <w:left w:val="single" w:sz="6" w:space="0" w:color="000000"/>
              <w:bottom w:val="single" w:sz="12" w:space="0" w:color="000000"/>
              <w:right w:val="single" w:sz="6" w:space="0" w:color="000000"/>
            </w:tcBorders>
          </w:tcPr>
          <w:p>
            <w:pPr>
              <w:pStyle w:val="TableParagraph"/>
              <w:spacing w:line="169" w:lineRule="exact"/>
              <w:ind w:right="2"/>
              <w:jc w:val="right"/>
              <w:rPr>
                <w:rFonts w:ascii="Times New Roman" w:hAnsi="Times New Roman" w:cs="Times New Roman" w:eastAsia="Times New Roman" w:hint="default"/>
                <w:sz w:val="15"/>
                <w:szCs w:val="15"/>
              </w:rPr>
            </w:pPr>
            <w:r>
              <w:rPr>
                <w:rFonts w:ascii="Times New Roman"/>
                <w:spacing w:val="-2"/>
                <w:sz w:val="15"/>
              </w:rPr>
              <w:t>7,233,324.35</w:t>
            </w:r>
            <w:r>
              <w:rPr>
                <w:rFonts w:ascii="Times New Roman"/>
                <w:sz w:val="15"/>
              </w:rPr>
            </w:r>
          </w:p>
        </w:tc>
        <w:tc>
          <w:tcPr>
            <w:tcW w:w="1157" w:type="dxa"/>
            <w:tcBorders>
              <w:top w:val="single" w:sz="12" w:space="0" w:color="000000"/>
              <w:left w:val="single" w:sz="6" w:space="0" w:color="000000"/>
              <w:bottom w:val="single" w:sz="12" w:space="0" w:color="000000"/>
              <w:right w:val="single" w:sz="6" w:space="0" w:color="000000"/>
            </w:tcBorders>
          </w:tcPr>
          <w:p>
            <w:pPr>
              <w:pStyle w:val="TableParagraph"/>
              <w:spacing w:line="169" w:lineRule="exact"/>
              <w:ind w:right="2"/>
              <w:jc w:val="right"/>
              <w:rPr>
                <w:rFonts w:ascii="Times New Roman" w:hAnsi="Times New Roman" w:cs="Times New Roman" w:eastAsia="Times New Roman" w:hint="default"/>
                <w:sz w:val="15"/>
                <w:szCs w:val="15"/>
              </w:rPr>
            </w:pPr>
            <w:r>
              <w:rPr>
                <w:rFonts w:ascii="Times New Roman"/>
                <w:spacing w:val="-2"/>
                <w:sz w:val="15"/>
              </w:rPr>
              <w:t>829,475.71</w:t>
            </w:r>
            <w:r>
              <w:rPr>
                <w:rFonts w:ascii="Times New Roman"/>
                <w:sz w:val="15"/>
              </w:rPr>
            </w:r>
          </w:p>
        </w:tc>
        <w:tc>
          <w:tcPr>
            <w:tcW w:w="1157" w:type="dxa"/>
            <w:tcBorders>
              <w:top w:val="single" w:sz="12" w:space="0" w:color="000000"/>
              <w:left w:val="single" w:sz="6" w:space="0" w:color="000000"/>
              <w:bottom w:val="single" w:sz="12" w:space="0" w:color="000000"/>
              <w:right w:val="single" w:sz="6" w:space="0" w:color="000000"/>
            </w:tcBorders>
          </w:tcPr>
          <w:p>
            <w:pPr>
              <w:pStyle w:val="TableParagraph"/>
              <w:spacing w:line="169" w:lineRule="exact"/>
              <w:ind w:right="2"/>
              <w:jc w:val="right"/>
              <w:rPr>
                <w:rFonts w:ascii="Times New Roman" w:hAnsi="Times New Roman" w:cs="Times New Roman" w:eastAsia="Times New Roman" w:hint="default"/>
                <w:sz w:val="15"/>
                <w:szCs w:val="15"/>
              </w:rPr>
            </w:pPr>
            <w:r>
              <w:rPr>
                <w:rFonts w:ascii="Times New Roman"/>
                <w:spacing w:val="-2"/>
                <w:sz w:val="15"/>
              </w:rPr>
              <w:t>648,465.75</w:t>
            </w:r>
            <w:r>
              <w:rPr>
                <w:rFonts w:ascii="Times New Roman"/>
                <w:sz w:val="15"/>
              </w:rPr>
            </w:r>
          </w:p>
        </w:tc>
        <w:tc>
          <w:tcPr>
            <w:tcW w:w="1207" w:type="dxa"/>
            <w:tcBorders>
              <w:top w:val="single" w:sz="12" w:space="0" w:color="000000"/>
              <w:left w:val="single" w:sz="6" w:space="0" w:color="000000"/>
              <w:bottom w:val="single" w:sz="12" w:space="0" w:color="000000"/>
              <w:right w:val="nil" w:sz="6" w:space="0" w:color="auto"/>
            </w:tcBorders>
          </w:tcPr>
          <w:p>
            <w:pPr>
              <w:pStyle w:val="TableParagraph"/>
              <w:spacing w:line="169" w:lineRule="exact"/>
              <w:ind w:right="10"/>
              <w:jc w:val="right"/>
              <w:rPr>
                <w:rFonts w:ascii="Times New Roman" w:hAnsi="Times New Roman" w:cs="Times New Roman" w:eastAsia="Times New Roman" w:hint="default"/>
                <w:sz w:val="15"/>
                <w:szCs w:val="15"/>
              </w:rPr>
            </w:pPr>
            <w:r>
              <w:rPr>
                <w:rFonts w:ascii="Times New Roman"/>
                <w:spacing w:val="-2"/>
                <w:sz w:val="15"/>
              </w:rPr>
              <w:t>9,850,190.49</w:t>
            </w:r>
            <w:r>
              <w:rPr>
                <w:rFonts w:ascii="Times New Roman"/>
                <w:sz w:val="15"/>
              </w:rPr>
            </w:r>
          </w:p>
        </w:tc>
      </w:tr>
      <w:tr>
        <w:trPr>
          <w:trHeight w:val="235" w:hRule="exact"/>
        </w:trPr>
        <w:tc>
          <w:tcPr>
            <w:tcW w:w="1642" w:type="dxa"/>
            <w:tcBorders>
              <w:top w:val="single" w:sz="12" w:space="0" w:color="000000"/>
              <w:left w:val="single" w:sz="6" w:space="0" w:color="000000"/>
              <w:bottom w:val="single" w:sz="12" w:space="0" w:color="000000"/>
              <w:right w:val="single" w:sz="6" w:space="0" w:color="000000"/>
            </w:tcBorders>
          </w:tcPr>
          <w:p>
            <w:pPr>
              <w:pStyle w:val="TableParagraph"/>
              <w:tabs>
                <w:tab w:pos="364" w:val="left" w:leader="none"/>
              </w:tabs>
              <w:spacing w:line="175" w:lineRule="exact"/>
              <w:ind w:left="4" w:right="0"/>
              <w:jc w:val="left"/>
              <w:rPr>
                <w:rFonts w:ascii="宋体" w:hAnsi="宋体" w:cs="宋体" w:eastAsia="宋体" w:hint="default"/>
                <w:sz w:val="15"/>
                <w:szCs w:val="15"/>
              </w:rPr>
            </w:pPr>
            <w:r>
              <w:rPr>
                <w:rFonts w:ascii="宋体" w:hAnsi="宋体" w:cs="宋体" w:eastAsia="宋体" w:hint="default"/>
                <w:sz w:val="15"/>
                <w:szCs w:val="15"/>
              </w:rPr>
              <w:t>3.</w:t>
              <w:tab/>
            </w:r>
            <w:r>
              <w:rPr>
                <w:rFonts w:ascii="宋体" w:hAnsi="宋体" w:cs="宋体" w:eastAsia="宋体" w:hint="default"/>
                <w:sz w:val="15"/>
                <w:szCs w:val="15"/>
              </w:rPr>
              <w:t>累计摊销</w:t>
            </w:r>
          </w:p>
        </w:tc>
        <w:tc>
          <w:tcPr>
            <w:tcW w:w="1466" w:type="dxa"/>
            <w:tcBorders>
              <w:top w:val="single" w:sz="12" w:space="0" w:color="000000"/>
              <w:left w:val="single" w:sz="6" w:space="0" w:color="000000"/>
              <w:bottom w:val="single" w:sz="12" w:space="0" w:color="000000"/>
              <w:right w:val="single" w:sz="6" w:space="0" w:color="000000"/>
            </w:tcBorders>
          </w:tcPr>
          <w:p>
            <w:pPr/>
          </w:p>
        </w:tc>
        <w:tc>
          <w:tcPr>
            <w:tcW w:w="1186" w:type="dxa"/>
            <w:tcBorders>
              <w:top w:val="single" w:sz="12" w:space="0" w:color="000000"/>
              <w:left w:val="single" w:sz="6" w:space="0" w:color="000000"/>
              <w:bottom w:val="single" w:sz="12" w:space="0" w:color="000000"/>
              <w:right w:val="single" w:sz="6" w:space="0" w:color="000000"/>
            </w:tcBorders>
          </w:tcPr>
          <w:p>
            <w:pPr/>
          </w:p>
        </w:tc>
        <w:tc>
          <w:tcPr>
            <w:tcW w:w="1234" w:type="dxa"/>
            <w:tcBorders>
              <w:top w:val="single" w:sz="12" w:space="0" w:color="000000"/>
              <w:left w:val="single" w:sz="6" w:space="0" w:color="000000"/>
              <w:bottom w:val="single" w:sz="12" w:space="0" w:color="000000"/>
              <w:right w:val="single" w:sz="6" w:space="0" w:color="000000"/>
            </w:tcBorders>
          </w:tcPr>
          <w:p>
            <w:pPr/>
          </w:p>
        </w:tc>
        <w:tc>
          <w:tcPr>
            <w:tcW w:w="1157" w:type="dxa"/>
            <w:tcBorders>
              <w:top w:val="single" w:sz="12" w:space="0" w:color="000000"/>
              <w:left w:val="single" w:sz="6" w:space="0" w:color="000000"/>
              <w:bottom w:val="single" w:sz="12" w:space="0" w:color="000000"/>
              <w:right w:val="single" w:sz="6" w:space="0" w:color="000000"/>
            </w:tcBorders>
          </w:tcPr>
          <w:p>
            <w:pPr/>
          </w:p>
        </w:tc>
        <w:tc>
          <w:tcPr>
            <w:tcW w:w="1157" w:type="dxa"/>
            <w:tcBorders>
              <w:top w:val="single" w:sz="12" w:space="0" w:color="000000"/>
              <w:left w:val="single" w:sz="6" w:space="0" w:color="000000"/>
              <w:bottom w:val="single" w:sz="12" w:space="0" w:color="000000"/>
              <w:right w:val="single" w:sz="6" w:space="0" w:color="000000"/>
            </w:tcBorders>
          </w:tcPr>
          <w:p>
            <w:pPr/>
          </w:p>
        </w:tc>
        <w:tc>
          <w:tcPr>
            <w:tcW w:w="1207" w:type="dxa"/>
            <w:tcBorders>
              <w:top w:val="single" w:sz="12" w:space="0" w:color="000000"/>
              <w:left w:val="single" w:sz="6" w:space="0" w:color="000000"/>
              <w:bottom w:val="single" w:sz="12" w:space="0" w:color="000000"/>
              <w:right w:val="nil" w:sz="6" w:space="0" w:color="auto"/>
            </w:tcBorders>
          </w:tcPr>
          <w:p>
            <w:pPr/>
          </w:p>
        </w:tc>
      </w:tr>
      <w:tr>
        <w:trPr>
          <w:trHeight w:val="235" w:hRule="exact"/>
        </w:trPr>
        <w:tc>
          <w:tcPr>
            <w:tcW w:w="1642" w:type="dxa"/>
            <w:tcBorders>
              <w:top w:val="single" w:sz="12" w:space="0" w:color="000000"/>
              <w:left w:val="single" w:sz="6" w:space="0" w:color="000000"/>
              <w:bottom w:val="single" w:sz="12" w:space="0" w:color="000000"/>
              <w:right w:val="single" w:sz="6" w:space="0" w:color="000000"/>
            </w:tcBorders>
          </w:tcPr>
          <w:p>
            <w:pPr>
              <w:pStyle w:val="TableParagraph"/>
              <w:tabs>
                <w:tab w:pos="364" w:val="left" w:leader="none"/>
              </w:tabs>
              <w:spacing w:line="175" w:lineRule="exact"/>
              <w:ind w:left="4" w:right="0"/>
              <w:jc w:val="left"/>
              <w:rPr>
                <w:rFonts w:ascii="宋体" w:hAnsi="宋体" w:cs="宋体" w:eastAsia="宋体" w:hint="default"/>
                <w:sz w:val="15"/>
                <w:szCs w:val="15"/>
              </w:rPr>
            </w:pPr>
            <w:r>
              <w:rPr>
                <w:rFonts w:ascii="宋体" w:hAnsi="宋体" w:cs="宋体" w:eastAsia="宋体" w:hint="default"/>
                <w:sz w:val="15"/>
                <w:szCs w:val="15"/>
              </w:rPr>
              <w:t>4.</w:t>
              <w:tab/>
            </w:r>
            <w:r>
              <w:rPr>
                <w:rFonts w:ascii="宋体" w:hAnsi="宋体" w:cs="宋体" w:eastAsia="宋体" w:hint="default"/>
                <w:sz w:val="15"/>
                <w:szCs w:val="15"/>
              </w:rPr>
              <w:t>期初余额</w:t>
            </w:r>
          </w:p>
        </w:tc>
        <w:tc>
          <w:tcPr>
            <w:tcW w:w="1466" w:type="dxa"/>
            <w:tcBorders>
              <w:top w:val="single" w:sz="12" w:space="0" w:color="000000"/>
              <w:left w:val="single" w:sz="6" w:space="0" w:color="000000"/>
              <w:bottom w:val="single" w:sz="12" w:space="0" w:color="000000"/>
              <w:right w:val="single" w:sz="6" w:space="0" w:color="000000"/>
            </w:tcBorders>
          </w:tcPr>
          <w:p>
            <w:pPr>
              <w:pStyle w:val="TableParagraph"/>
              <w:spacing w:line="169" w:lineRule="exact"/>
              <w:ind w:right="0"/>
              <w:jc w:val="right"/>
              <w:rPr>
                <w:rFonts w:ascii="Times New Roman" w:hAnsi="Times New Roman" w:cs="Times New Roman" w:eastAsia="Times New Roman" w:hint="default"/>
                <w:sz w:val="15"/>
                <w:szCs w:val="15"/>
              </w:rPr>
            </w:pPr>
            <w:r>
              <w:rPr>
                <w:rFonts w:ascii="Times New Roman"/>
                <w:spacing w:val="-2"/>
                <w:sz w:val="15"/>
              </w:rPr>
              <w:t>847,639.05</w:t>
            </w:r>
            <w:r>
              <w:rPr>
                <w:rFonts w:ascii="Times New Roman"/>
                <w:sz w:val="15"/>
              </w:rPr>
            </w:r>
          </w:p>
        </w:tc>
        <w:tc>
          <w:tcPr>
            <w:tcW w:w="1186" w:type="dxa"/>
            <w:tcBorders>
              <w:top w:val="single" w:sz="12" w:space="0" w:color="000000"/>
              <w:left w:val="single" w:sz="6" w:space="0" w:color="000000"/>
              <w:bottom w:val="single" w:sz="12" w:space="0" w:color="000000"/>
              <w:right w:val="single" w:sz="6" w:space="0" w:color="000000"/>
            </w:tcBorders>
          </w:tcPr>
          <w:p>
            <w:pPr>
              <w:pStyle w:val="TableParagraph"/>
              <w:spacing w:line="169" w:lineRule="exact"/>
              <w:ind w:right="1"/>
              <w:jc w:val="right"/>
              <w:rPr>
                <w:rFonts w:ascii="Times New Roman" w:hAnsi="Times New Roman" w:cs="Times New Roman" w:eastAsia="Times New Roman" w:hint="default"/>
                <w:sz w:val="15"/>
                <w:szCs w:val="15"/>
              </w:rPr>
            </w:pPr>
            <w:r>
              <w:rPr>
                <w:rFonts w:ascii="Times New Roman"/>
                <w:spacing w:val="-1"/>
                <w:sz w:val="15"/>
              </w:rPr>
              <w:t>93,347.77</w:t>
            </w:r>
          </w:p>
        </w:tc>
        <w:tc>
          <w:tcPr>
            <w:tcW w:w="1234" w:type="dxa"/>
            <w:tcBorders>
              <w:top w:val="single" w:sz="12" w:space="0" w:color="000000"/>
              <w:left w:val="single" w:sz="6" w:space="0" w:color="000000"/>
              <w:bottom w:val="single" w:sz="12" w:space="0" w:color="000000"/>
              <w:right w:val="single" w:sz="6" w:space="0" w:color="000000"/>
            </w:tcBorders>
          </w:tcPr>
          <w:p>
            <w:pPr>
              <w:pStyle w:val="TableParagraph"/>
              <w:spacing w:line="169" w:lineRule="exact"/>
              <w:ind w:right="2"/>
              <w:jc w:val="right"/>
              <w:rPr>
                <w:rFonts w:ascii="Times New Roman" w:hAnsi="Times New Roman" w:cs="Times New Roman" w:eastAsia="Times New Roman" w:hint="default"/>
                <w:sz w:val="15"/>
                <w:szCs w:val="15"/>
              </w:rPr>
            </w:pPr>
            <w:r>
              <w:rPr>
                <w:rFonts w:ascii="Times New Roman"/>
                <w:spacing w:val="-2"/>
                <w:sz w:val="15"/>
              </w:rPr>
              <w:t>3,095,628.25</w:t>
            </w:r>
            <w:r>
              <w:rPr>
                <w:rFonts w:ascii="Times New Roman"/>
                <w:sz w:val="15"/>
              </w:rPr>
            </w:r>
          </w:p>
        </w:tc>
        <w:tc>
          <w:tcPr>
            <w:tcW w:w="1157" w:type="dxa"/>
            <w:tcBorders>
              <w:top w:val="single" w:sz="12" w:space="0" w:color="000000"/>
              <w:left w:val="single" w:sz="6" w:space="0" w:color="000000"/>
              <w:bottom w:val="single" w:sz="12" w:space="0" w:color="000000"/>
              <w:right w:val="single" w:sz="6" w:space="0" w:color="000000"/>
            </w:tcBorders>
          </w:tcPr>
          <w:p>
            <w:pPr>
              <w:pStyle w:val="TableParagraph"/>
              <w:spacing w:line="169" w:lineRule="exact"/>
              <w:ind w:right="2"/>
              <w:jc w:val="right"/>
              <w:rPr>
                <w:rFonts w:ascii="Times New Roman" w:hAnsi="Times New Roman" w:cs="Times New Roman" w:eastAsia="Times New Roman" w:hint="default"/>
                <w:sz w:val="15"/>
                <w:szCs w:val="15"/>
              </w:rPr>
            </w:pPr>
            <w:r>
              <w:rPr>
                <w:rFonts w:ascii="Times New Roman"/>
                <w:spacing w:val="-2"/>
                <w:sz w:val="15"/>
              </w:rPr>
              <w:t>345,614.94</w:t>
            </w:r>
            <w:r>
              <w:rPr>
                <w:rFonts w:ascii="Times New Roman"/>
                <w:sz w:val="15"/>
              </w:rPr>
            </w:r>
          </w:p>
        </w:tc>
        <w:tc>
          <w:tcPr>
            <w:tcW w:w="1157" w:type="dxa"/>
            <w:tcBorders>
              <w:top w:val="single" w:sz="12" w:space="0" w:color="000000"/>
              <w:left w:val="single" w:sz="6" w:space="0" w:color="000000"/>
              <w:bottom w:val="single" w:sz="12" w:space="0" w:color="000000"/>
              <w:right w:val="single" w:sz="6" w:space="0" w:color="000000"/>
            </w:tcBorders>
          </w:tcPr>
          <w:p>
            <w:pPr>
              <w:pStyle w:val="TableParagraph"/>
              <w:spacing w:line="169" w:lineRule="exact"/>
              <w:ind w:right="2"/>
              <w:jc w:val="right"/>
              <w:rPr>
                <w:rFonts w:ascii="Times New Roman" w:hAnsi="Times New Roman" w:cs="Times New Roman" w:eastAsia="Times New Roman" w:hint="default"/>
                <w:sz w:val="15"/>
                <w:szCs w:val="15"/>
              </w:rPr>
            </w:pPr>
            <w:r>
              <w:rPr>
                <w:rFonts w:ascii="Times New Roman"/>
                <w:spacing w:val="-2"/>
                <w:sz w:val="15"/>
              </w:rPr>
              <w:t>145,026.87</w:t>
            </w:r>
            <w:r>
              <w:rPr>
                <w:rFonts w:ascii="Times New Roman"/>
                <w:sz w:val="15"/>
              </w:rPr>
            </w:r>
          </w:p>
        </w:tc>
        <w:tc>
          <w:tcPr>
            <w:tcW w:w="1207" w:type="dxa"/>
            <w:tcBorders>
              <w:top w:val="single" w:sz="12" w:space="0" w:color="000000"/>
              <w:left w:val="single" w:sz="6" w:space="0" w:color="000000"/>
              <w:bottom w:val="single" w:sz="12" w:space="0" w:color="000000"/>
              <w:right w:val="nil" w:sz="6" w:space="0" w:color="auto"/>
            </w:tcBorders>
          </w:tcPr>
          <w:p>
            <w:pPr>
              <w:pStyle w:val="TableParagraph"/>
              <w:spacing w:line="169" w:lineRule="exact"/>
              <w:ind w:right="10"/>
              <w:jc w:val="right"/>
              <w:rPr>
                <w:rFonts w:ascii="Times New Roman" w:hAnsi="Times New Roman" w:cs="Times New Roman" w:eastAsia="Times New Roman" w:hint="default"/>
                <w:sz w:val="15"/>
                <w:szCs w:val="15"/>
              </w:rPr>
            </w:pPr>
            <w:r>
              <w:rPr>
                <w:rFonts w:ascii="Times New Roman"/>
                <w:spacing w:val="-2"/>
                <w:sz w:val="15"/>
              </w:rPr>
              <w:t>4,527,256.88</w:t>
            </w:r>
            <w:r>
              <w:rPr>
                <w:rFonts w:ascii="Times New Roman"/>
                <w:sz w:val="15"/>
              </w:rPr>
            </w:r>
          </w:p>
        </w:tc>
      </w:tr>
      <w:tr>
        <w:trPr>
          <w:trHeight w:val="235" w:hRule="exact"/>
        </w:trPr>
        <w:tc>
          <w:tcPr>
            <w:tcW w:w="1642" w:type="dxa"/>
            <w:tcBorders>
              <w:top w:val="single" w:sz="12" w:space="0" w:color="000000"/>
              <w:left w:val="single" w:sz="6" w:space="0" w:color="000000"/>
              <w:bottom w:val="single" w:sz="12" w:space="0" w:color="000000"/>
              <w:right w:val="single" w:sz="6" w:space="0" w:color="000000"/>
            </w:tcBorders>
          </w:tcPr>
          <w:p>
            <w:pPr>
              <w:pStyle w:val="TableParagraph"/>
              <w:tabs>
                <w:tab w:pos="364" w:val="left" w:leader="none"/>
              </w:tabs>
              <w:spacing w:line="175" w:lineRule="exact"/>
              <w:ind w:left="4" w:right="0"/>
              <w:jc w:val="left"/>
              <w:rPr>
                <w:rFonts w:ascii="宋体" w:hAnsi="宋体" w:cs="宋体" w:eastAsia="宋体" w:hint="default"/>
                <w:sz w:val="15"/>
                <w:szCs w:val="15"/>
              </w:rPr>
            </w:pPr>
            <w:r>
              <w:rPr>
                <w:rFonts w:ascii="宋体" w:hAnsi="宋体" w:cs="宋体" w:eastAsia="宋体" w:hint="default"/>
                <w:sz w:val="15"/>
                <w:szCs w:val="15"/>
              </w:rPr>
              <w:t>5.</w:t>
              <w:tab/>
            </w:r>
            <w:r>
              <w:rPr>
                <w:rFonts w:ascii="宋体" w:hAnsi="宋体" w:cs="宋体" w:eastAsia="宋体" w:hint="default"/>
                <w:sz w:val="15"/>
                <w:szCs w:val="15"/>
              </w:rPr>
              <w:t>本期增加金额</w:t>
            </w:r>
          </w:p>
        </w:tc>
        <w:tc>
          <w:tcPr>
            <w:tcW w:w="1466" w:type="dxa"/>
            <w:tcBorders>
              <w:top w:val="single" w:sz="12" w:space="0" w:color="000000"/>
              <w:left w:val="single" w:sz="6" w:space="0" w:color="000000"/>
              <w:bottom w:val="single" w:sz="12" w:space="0" w:color="000000"/>
              <w:right w:val="single" w:sz="6" w:space="0" w:color="000000"/>
            </w:tcBorders>
          </w:tcPr>
          <w:p>
            <w:pPr>
              <w:pStyle w:val="TableParagraph"/>
              <w:spacing w:line="169" w:lineRule="exact"/>
              <w:ind w:right="0"/>
              <w:jc w:val="right"/>
              <w:rPr>
                <w:rFonts w:ascii="Times New Roman" w:hAnsi="Times New Roman" w:cs="Times New Roman" w:eastAsia="Times New Roman" w:hint="default"/>
                <w:sz w:val="15"/>
                <w:szCs w:val="15"/>
              </w:rPr>
            </w:pPr>
            <w:r>
              <w:rPr>
                <w:rFonts w:ascii="Times New Roman"/>
                <w:spacing w:val="-2"/>
                <w:sz w:val="15"/>
              </w:rPr>
              <w:t>169,527.80</w:t>
            </w:r>
            <w:r>
              <w:rPr>
                <w:rFonts w:ascii="Times New Roman"/>
                <w:sz w:val="15"/>
              </w:rPr>
            </w:r>
          </w:p>
        </w:tc>
        <w:tc>
          <w:tcPr>
            <w:tcW w:w="1186" w:type="dxa"/>
            <w:tcBorders>
              <w:top w:val="single" w:sz="12" w:space="0" w:color="000000"/>
              <w:left w:val="single" w:sz="6" w:space="0" w:color="000000"/>
              <w:bottom w:val="single" w:sz="12" w:space="0" w:color="000000"/>
              <w:right w:val="single" w:sz="6" w:space="0" w:color="000000"/>
            </w:tcBorders>
          </w:tcPr>
          <w:p>
            <w:pPr>
              <w:pStyle w:val="TableParagraph"/>
              <w:spacing w:line="169" w:lineRule="exact"/>
              <w:ind w:right="1"/>
              <w:jc w:val="right"/>
              <w:rPr>
                <w:rFonts w:ascii="Times New Roman" w:hAnsi="Times New Roman" w:cs="Times New Roman" w:eastAsia="Times New Roman" w:hint="default"/>
                <w:sz w:val="15"/>
                <w:szCs w:val="15"/>
              </w:rPr>
            </w:pPr>
            <w:r>
              <w:rPr>
                <w:rFonts w:ascii="Times New Roman"/>
                <w:spacing w:val="-1"/>
                <w:sz w:val="15"/>
              </w:rPr>
              <w:t>24,351.60</w:t>
            </w:r>
          </w:p>
        </w:tc>
        <w:tc>
          <w:tcPr>
            <w:tcW w:w="1234" w:type="dxa"/>
            <w:tcBorders>
              <w:top w:val="single" w:sz="12" w:space="0" w:color="000000"/>
              <w:left w:val="single" w:sz="6" w:space="0" w:color="000000"/>
              <w:bottom w:val="single" w:sz="12" w:space="0" w:color="000000"/>
              <w:right w:val="single" w:sz="6" w:space="0" w:color="000000"/>
            </w:tcBorders>
          </w:tcPr>
          <w:p>
            <w:pPr>
              <w:pStyle w:val="TableParagraph"/>
              <w:spacing w:line="169" w:lineRule="exact"/>
              <w:ind w:right="2"/>
              <w:jc w:val="right"/>
              <w:rPr>
                <w:rFonts w:ascii="Times New Roman" w:hAnsi="Times New Roman" w:cs="Times New Roman" w:eastAsia="Times New Roman" w:hint="default"/>
                <w:sz w:val="15"/>
                <w:szCs w:val="15"/>
              </w:rPr>
            </w:pPr>
            <w:r>
              <w:rPr>
                <w:rFonts w:ascii="Times New Roman"/>
                <w:spacing w:val="-2"/>
                <w:sz w:val="15"/>
              </w:rPr>
              <w:t>1,148,715.44</w:t>
            </w:r>
            <w:r>
              <w:rPr>
                <w:rFonts w:ascii="Times New Roman"/>
                <w:sz w:val="15"/>
              </w:rPr>
            </w:r>
          </w:p>
        </w:tc>
        <w:tc>
          <w:tcPr>
            <w:tcW w:w="1157" w:type="dxa"/>
            <w:tcBorders>
              <w:top w:val="single" w:sz="12" w:space="0" w:color="000000"/>
              <w:left w:val="single" w:sz="6" w:space="0" w:color="000000"/>
              <w:bottom w:val="single" w:sz="12" w:space="0" w:color="000000"/>
              <w:right w:val="single" w:sz="6" w:space="0" w:color="000000"/>
            </w:tcBorders>
          </w:tcPr>
          <w:p>
            <w:pPr>
              <w:pStyle w:val="TableParagraph"/>
              <w:spacing w:line="169" w:lineRule="exact"/>
              <w:ind w:right="2"/>
              <w:jc w:val="right"/>
              <w:rPr>
                <w:rFonts w:ascii="Times New Roman" w:hAnsi="Times New Roman" w:cs="Times New Roman" w:eastAsia="Times New Roman" w:hint="default"/>
                <w:sz w:val="15"/>
                <w:szCs w:val="15"/>
              </w:rPr>
            </w:pPr>
            <w:r>
              <w:rPr>
                <w:rFonts w:ascii="Times New Roman"/>
                <w:spacing w:val="-2"/>
                <w:sz w:val="15"/>
              </w:rPr>
              <w:t>165,895.20</w:t>
            </w:r>
            <w:r>
              <w:rPr>
                <w:rFonts w:ascii="Times New Roman"/>
                <w:sz w:val="15"/>
              </w:rPr>
            </w:r>
          </w:p>
        </w:tc>
        <w:tc>
          <w:tcPr>
            <w:tcW w:w="1157" w:type="dxa"/>
            <w:tcBorders>
              <w:top w:val="single" w:sz="12" w:space="0" w:color="000000"/>
              <w:left w:val="single" w:sz="6" w:space="0" w:color="000000"/>
              <w:bottom w:val="single" w:sz="12" w:space="0" w:color="000000"/>
              <w:right w:val="single" w:sz="6" w:space="0" w:color="000000"/>
            </w:tcBorders>
          </w:tcPr>
          <w:p>
            <w:pPr>
              <w:pStyle w:val="TableParagraph"/>
              <w:spacing w:line="169" w:lineRule="exact"/>
              <w:ind w:right="2"/>
              <w:jc w:val="right"/>
              <w:rPr>
                <w:rFonts w:ascii="Times New Roman" w:hAnsi="Times New Roman" w:cs="Times New Roman" w:eastAsia="Times New Roman" w:hint="default"/>
                <w:sz w:val="15"/>
                <w:szCs w:val="15"/>
              </w:rPr>
            </w:pPr>
            <w:r>
              <w:rPr>
                <w:rFonts w:ascii="Times New Roman"/>
                <w:spacing w:val="-2"/>
                <w:sz w:val="15"/>
              </w:rPr>
              <w:t>136,143.70</w:t>
            </w:r>
            <w:r>
              <w:rPr>
                <w:rFonts w:ascii="Times New Roman"/>
                <w:sz w:val="15"/>
              </w:rPr>
            </w:r>
          </w:p>
        </w:tc>
        <w:tc>
          <w:tcPr>
            <w:tcW w:w="1207" w:type="dxa"/>
            <w:tcBorders>
              <w:top w:val="single" w:sz="12" w:space="0" w:color="000000"/>
              <w:left w:val="single" w:sz="6" w:space="0" w:color="000000"/>
              <w:bottom w:val="single" w:sz="12" w:space="0" w:color="000000"/>
              <w:right w:val="nil" w:sz="6" w:space="0" w:color="auto"/>
            </w:tcBorders>
          </w:tcPr>
          <w:p>
            <w:pPr>
              <w:pStyle w:val="TableParagraph"/>
              <w:spacing w:line="169" w:lineRule="exact"/>
              <w:ind w:right="10"/>
              <w:jc w:val="right"/>
              <w:rPr>
                <w:rFonts w:ascii="Times New Roman" w:hAnsi="Times New Roman" w:cs="Times New Roman" w:eastAsia="Times New Roman" w:hint="default"/>
                <w:sz w:val="15"/>
                <w:szCs w:val="15"/>
              </w:rPr>
            </w:pPr>
            <w:r>
              <w:rPr>
                <w:rFonts w:ascii="Times New Roman"/>
                <w:spacing w:val="-2"/>
                <w:sz w:val="15"/>
              </w:rPr>
              <w:t>1,644,633.74</w:t>
            </w:r>
            <w:r>
              <w:rPr>
                <w:rFonts w:ascii="Times New Roman"/>
                <w:sz w:val="15"/>
              </w:rPr>
            </w:r>
          </w:p>
        </w:tc>
      </w:tr>
      <w:tr>
        <w:trPr>
          <w:trHeight w:val="235" w:hRule="exact"/>
        </w:trPr>
        <w:tc>
          <w:tcPr>
            <w:tcW w:w="1642" w:type="dxa"/>
            <w:tcBorders>
              <w:top w:val="single" w:sz="12" w:space="0" w:color="000000"/>
              <w:left w:val="single" w:sz="6" w:space="0" w:color="000000"/>
              <w:bottom w:val="single" w:sz="12" w:space="0" w:color="000000"/>
              <w:right w:val="single" w:sz="6" w:space="0" w:color="000000"/>
            </w:tcBorders>
          </w:tcPr>
          <w:p>
            <w:pPr>
              <w:pStyle w:val="TableParagraph"/>
              <w:spacing w:line="172" w:lineRule="exact"/>
              <w:ind w:left="4" w:right="0"/>
              <w:jc w:val="left"/>
              <w:rPr>
                <w:rFonts w:ascii="宋体" w:hAnsi="宋体" w:cs="宋体" w:eastAsia="宋体" w:hint="default"/>
                <w:sz w:val="15"/>
                <w:szCs w:val="15"/>
              </w:rPr>
            </w:pPr>
            <w:r>
              <w:rPr>
                <w:rFonts w:ascii="宋体" w:hAnsi="宋体" w:cs="宋体" w:eastAsia="宋体" w:hint="default"/>
                <w:sz w:val="15"/>
                <w:szCs w:val="15"/>
              </w:rPr>
              <w:t>计提</w:t>
            </w:r>
          </w:p>
        </w:tc>
        <w:tc>
          <w:tcPr>
            <w:tcW w:w="1466" w:type="dxa"/>
            <w:tcBorders>
              <w:top w:val="single" w:sz="12" w:space="0" w:color="000000"/>
              <w:left w:val="single" w:sz="6" w:space="0" w:color="000000"/>
              <w:bottom w:val="single" w:sz="12" w:space="0" w:color="000000"/>
              <w:right w:val="single" w:sz="6" w:space="0" w:color="000000"/>
            </w:tcBorders>
          </w:tcPr>
          <w:p>
            <w:pPr>
              <w:pStyle w:val="TableParagraph"/>
              <w:spacing w:line="167" w:lineRule="exact"/>
              <w:ind w:right="0"/>
              <w:jc w:val="right"/>
              <w:rPr>
                <w:rFonts w:ascii="Times New Roman" w:hAnsi="Times New Roman" w:cs="Times New Roman" w:eastAsia="Times New Roman" w:hint="default"/>
                <w:sz w:val="15"/>
                <w:szCs w:val="15"/>
              </w:rPr>
            </w:pPr>
            <w:r>
              <w:rPr>
                <w:rFonts w:ascii="Times New Roman"/>
                <w:spacing w:val="-2"/>
                <w:sz w:val="15"/>
              </w:rPr>
              <w:t>169,527.80</w:t>
            </w:r>
            <w:r>
              <w:rPr>
                <w:rFonts w:ascii="Times New Roman"/>
                <w:sz w:val="15"/>
              </w:rPr>
            </w:r>
          </w:p>
        </w:tc>
        <w:tc>
          <w:tcPr>
            <w:tcW w:w="1186" w:type="dxa"/>
            <w:tcBorders>
              <w:top w:val="single" w:sz="12" w:space="0" w:color="000000"/>
              <w:left w:val="single" w:sz="6" w:space="0" w:color="000000"/>
              <w:bottom w:val="single" w:sz="12" w:space="0" w:color="000000"/>
              <w:right w:val="single" w:sz="6" w:space="0" w:color="000000"/>
            </w:tcBorders>
          </w:tcPr>
          <w:p>
            <w:pPr>
              <w:pStyle w:val="TableParagraph"/>
              <w:spacing w:line="167" w:lineRule="exact"/>
              <w:ind w:right="1"/>
              <w:jc w:val="right"/>
              <w:rPr>
                <w:rFonts w:ascii="Times New Roman" w:hAnsi="Times New Roman" w:cs="Times New Roman" w:eastAsia="Times New Roman" w:hint="default"/>
                <w:sz w:val="15"/>
                <w:szCs w:val="15"/>
              </w:rPr>
            </w:pPr>
            <w:r>
              <w:rPr>
                <w:rFonts w:ascii="Times New Roman"/>
                <w:spacing w:val="-1"/>
                <w:sz w:val="15"/>
              </w:rPr>
              <w:t>24,351.60</w:t>
            </w:r>
          </w:p>
        </w:tc>
        <w:tc>
          <w:tcPr>
            <w:tcW w:w="1234" w:type="dxa"/>
            <w:tcBorders>
              <w:top w:val="single" w:sz="12" w:space="0" w:color="000000"/>
              <w:left w:val="single" w:sz="6" w:space="0" w:color="000000"/>
              <w:bottom w:val="single" w:sz="12" w:space="0" w:color="000000"/>
              <w:right w:val="single" w:sz="6" w:space="0" w:color="000000"/>
            </w:tcBorders>
          </w:tcPr>
          <w:p>
            <w:pPr>
              <w:pStyle w:val="TableParagraph"/>
              <w:spacing w:line="167" w:lineRule="exact"/>
              <w:ind w:right="2"/>
              <w:jc w:val="right"/>
              <w:rPr>
                <w:rFonts w:ascii="Times New Roman" w:hAnsi="Times New Roman" w:cs="Times New Roman" w:eastAsia="Times New Roman" w:hint="default"/>
                <w:sz w:val="15"/>
                <w:szCs w:val="15"/>
              </w:rPr>
            </w:pPr>
            <w:r>
              <w:rPr>
                <w:rFonts w:ascii="Times New Roman"/>
                <w:spacing w:val="-2"/>
                <w:sz w:val="15"/>
              </w:rPr>
              <w:t>1,148,715.44</w:t>
            </w:r>
            <w:r>
              <w:rPr>
                <w:rFonts w:ascii="Times New Roman"/>
                <w:sz w:val="15"/>
              </w:rPr>
            </w:r>
          </w:p>
        </w:tc>
        <w:tc>
          <w:tcPr>
            <w:tcW w:w="1157" w:type="dxa"/>
            <w:tcBorders>
              <w:top w:val="single" w:sz="12" w:space="0" w:color="000000"/>
              <w:left w:val="single" w:sz="6" w:space="0" w:color="000000"/>
              <w:bottom w:val="single" w:sz="12" w:space="0" w:color="000000"/>
              <w:right w:val="single" w:sz="6" w:space="0" w:color="000000"/>
            </w:tcBorders>
          </w:tcPr>
          <w:p>
            <w:pPr>
              <w:pStyle w:val="TableParagraph"/>
              <w:spacing w:line="167" w:lineRule="exact"/>
              <w:ind w:right="2"/>
              <w:jc w:val="right"/>
              <w:rPr>
                <w:rFonts w:ascii="Times New Roman" w:hAnsi="Times New Roman" w:cs="Times New Roman" w:eastAsia="Times New Roman" w:hint="default"/>
                <w:sz w:val="15"/>
                <w:szCs w:val="15"/>
              </w:rPr>
            </w:pPr>
            <w:r>
              <w:rPr>
                <w:rFonts w:ascii="Times New Roman"/>
                <w:spacing w:val="-2"/>
                <w:sz w:val="15"/>
              </w:rPr>
              <w:t>165,895.20</w:t>
            </w:r>
            <w:r>
              <w:rPr>
                <w:rFonts w:ascii="Times New Roman"/>
                <w:sz w:val="15"/>
              </w:rPr>
            </w:r>
          </w:p>
        </w:tc>
        <w:tc>
          <w:tcPr>
            <w:tcW w:w="1157" w:type="dxa"/>
            <w:tcBorders>
              <w:top w:val="single" w:sz="12" w:space="0" w:color="000000"/>
              <w:left w:val="single" w:sz="6" w:space="0" w:color="000000"/>
              <w:bottom w:val="single" w:sz="12" w:space="0" w:color="000000"/>
              <w:right w:val="single" w:sz="6" w:space="0" w:color="000000"/>
            </w:tcBorders>
          </w:tcPr>
          <w:p>
            <w:pPr>
              <w:pStyle w:val="TableParagraph"/>
              <w:spacing w:line="167" w:lineRule="exact"/>
              <w:ind w:right="2"/>
              <w:jc w:val="right"/>
              <w:rPr>
                <w:rFonts w:ascii="Times New Roman" w:hAnsi="Times New Roman" w:cs="Times New Roman" w:eastAsia="Times New Roman" w:hint="default"/>
                <w:sz w:val="15"/>
                <w:szCs w:val="15"/>
              </w:rPr>
            </w:pPr>
            <w:r>
              <w:rPr>
                <w:rFonts w:ascii="Times New Roman"/>
                <w:spacing w:val="-2"/>
                <w:sz w:val="15"/>
              </w:rPr>
              <w:t>136,143.70</w:t>
            </w:r>
            <w:r>
              <w:rPr>
                <w:rFonts w:ascii="Times New Roman"/>
                <w:sz w:val="15"/>
              </w:rPr>
            </w:r>
          </w:p>
        </w:tc>
        <w:tc>
          <w:tcPr>
            <w:tcW w:w="1207" w:type="dxa"/>
            <w:tcBorders>
              <w:top w:val="single" w:sz="12" w:space="0" w:color="000000"/>
              <w:left w:val="single" w:sz="6" w:space="0" w:color="000000"/>
              <w:bottom w:val="single" w:sz="12" w:space="0" w:color="000000"/>
              <w:right w:val="nil" w:sz="6" w:space="0" w:color="auto"/>
            </w:tcBorders>
          </w:tcPr>
          <w:p>
            <w:pPr>
              <w:pStyle w:val="TableParagraph"/>
              <w:spacing w:line="167" w:lineRule="exact"/>
              <w:ind w:right="10"/>
              <w:jc w:val="right"/>
              <w:rPr>
                <w:rFonts w:ascii="Times New Roman" w:hAnsi="Times New Roman" w:cs="Times New Roman" w:eastAsia="Times New Roman" w:hint="default"/>
                <w:sz w:val="15"/>
                <w:szCs w:val="15"/>
              </w:rPr>
            </w:pPr>
            <w:r>
              <w:rPr>
                <w:rFonts w:ascii="Times New Roman"/>
                <w:spacing w:val="-2"/>
                <w:sz w:val="15"/>
              </w:rPr>
              <w:t>1,644,633.74</w:t>
            </w:r>
            <w:r>
              <w:rPr>
                <w:rFonts w:ascii="Times New Roman"/>
                <w:sz w:val="15"/>
              </w:rPr>
            </w:r>
          </w:p>
        </w:tc>
      </w:tr>
      <w:tr>
        <w:trPr>
          <w:trHeight w:val="235" w:hRule="exact"/>
        </w:trPr>
        <w:tc>
          <w:tcPr>
            <w:tcW w:w="1642" w:type="dxa"/>
            <w:tcBorders>
              <w:top w:val="single" w:sz="12" w:space="0" w:color="000000"/>
              <w:left w:val="single" w:sz="6" w:space="0" w:color="000000"/>
              <w:bottom w:val="single" w:sz="12" w:space="0" w:color="000000"/>
              <w:right w:val="single" w:sz="6" w:space="0" w:color="000000"/>
            </w:tcBorders>
          </w:tcPr>
          <w:p>
            <w:pPr>
              <w:pStyle w:val="TableParagraph"/>
              <w:tabs>
                <w:tab w:pos="364" w:val="left" w:leader="none"/>
              </w:tabs>
              <w:spacing w:line="172" w:lineRule="exact"/>
              <w:ind w:left="4" w:right="0"/>
              <w:jc w:val="left"/>
              <w:rPr>
                <w:rFonts w:ascii="宋体" w:hAnsi="宋体" w:cs="宋体" w:eastAsia="宋体" w:hint="default"/>
                <w:sz w:val="15"/>
                <w:szCs w:val="15"/>
              </w:rPr>
            </w:pPr>
            <w:r>
              <w:rPr>
                <w:rFonts w:ascii="宋体" w:hAnsi="宋体" w:cs="宋体" w:eastAsia="宋体" w:hint="default"/>
                <w:sz w:val="15"/>
                <w:szCs w:val="15"/>
              </w:rPr>
              <w:t>1.</w:t>
              <w:tab/>
            </w:r>
            <w:r>
              <w:rPr>
                <w:rFonts w:ascii="宋体" w:hAnsi="宋体" w:cs="宋体" w:eastAsia="宋体" w:hint="default"/>
                <w:sz w:val="15"/>
                <w:szCs w:val="15"/>
              </w:rPr>
              <w:t>本期减少金额</w:t>
            </w:r>
          </w:p>
        </w:tc>
        <w:tc>
          <w:tcPr>
            <w:tcW w:w="1466" w:type="dxa"/>
            <w:tcBorders>
              <w:top w:val="single" w:sz="12" w:space="0" w:color="000000"/>
              <w:left w:val="single" w:sz="6" w:space="0" w:color="000000"/>
              <w:bottom w:val="single" w:sz="12" w:space="0" w:color="000000"/>
              <w:right w:val="single" w:sz="6" w:space="0" w:color="000000"/>
            </w:tcBorders>
          </w:tcPr>
          <w:p>
            <w:pPr>
              <w:pStyle w:val="TableParagraph"/>
              <w:spacing w:line="167" w:lineRule="exact"/>
              <w:ind w:right="0"/>
              <w:jc w:val="right"/>
              <w:rPr>
                <w:rFonts w:ascii="Times New Roman" w:hAnsi="Times New Roman" w:cs="Times New Roman" w:eastAsia="Times New Roman" w:hint="default"/>
                <w:sz w:val="15"/>
                <w:szCs w:val="15"/>
              </w:rPr>
            </w:pPr>
            <w:r>
              <w:rPr>
                <w:rFonts w:ascii="Times New Roman"/>
                <w:spacing w:val="-1"/>
                <w:sz w:val="15"/>
              </w:rPr>
              <w:t>---</w:t>
            </w:r>
          </w:p>
        </w:tc>
        <w:tc>
          <w:tcPr>
            <w:tcW w:w="1186" w:type="dxa"/>
            <w:tcBorders>
              <w:top w:val="single" w:sz="12" w:space="0" w:color="000000"/>
              <w:left w:val="single" w:sz="6" w:space="0" w:color="000000"/>
              <w:bottom w:val="single" w:sz="12" w:space="0" w:color="000000"/>
              <w:right w:val="single" w:sz="6" w:space="0" w:color="000000"/>
            </w:tcBorders>
          </w:tcPr>
          <w:p>
            <w:pPr>
              <w:pStyle w:val="TableParagraph"/>
              <w:spacing w:line="167" w:lineRule="exact"/>
              <w:ind w:right="0"/>
              <w:jc w:val="right"/>
              <w:rPr>
                <w:rFonts w:ascii="Times New Roman" w:hAnsi="Times New Roman" w:cs="Times New Roman" w:eastAsia="Times New Roman" w:hint="default"/>
                <w:sz w:val="15"/>
                <w:szCs w:val="15"/>
              </w:rPr>
            </w:pPr>
            <w:r>
              <w:rPr>
                <w:rFonts w:ascii="Times New Roman"/>
                <w:spacing w:val="-1"/>
                <w:sz w:val="15"/>
              </w:rPr>
              <w:t>---</w:t>
            </w:r>
          </w:p>
        </w:tc>
        <w:tc>
          <w:tcPr>
            <w:tcW w:w="1234" w:type="dxa"/>
            <w:tcBorders>
              <w:top w:val="single" w:sz="12" w:space="0" w:color="000000"/>
              <w:left w:val="single" w:sz="6" w:space="0" w:color="000000"/>
              <w:bottom w:val="single" w:sz="12" w:space="0" w:color="000000"/>
              <w:right w:val="single" w:sz="6" w:space="0" w:color="000000"/>
            </w:tcBorders>
          </w:tcPr>
          <w:p>
            <w:pPr>
              <w:pStyle w:val="TableParagraph"/>
              <w:spacing w:line="167" w:lineRule="exact"/>
              <w:ind w:right="0"/>
              <w:jc w:val="right"/>
              <w:rPr>
                <w:rFonts w:ascii="Times New Roman" w:hAnsi="Times New Roman" w:cs="Times New Roman" w:eastAsia="Times New Roman" w:hint="default"/>
                <w:sz w:val="15"/>
                <w:szCs w:val="15"/>
              </w:rPr>
            </w:pPr>
            <w:r>
              <w:rPr>
                <w:rFonts w:ascii="Times New Roman"/>
                <w:spacing w:val="-1"/>
                <w:sz w:val="15"/>
              </w:rPr>
              <w:t>---</w:t>
            </w:r>
          </w:p>
        </w:tc>
        <w:tc>
          <w:tcPr>
            <w:tcW w:w="1157" w:type="dxa"/>
            <w:tcBorders>
              <w:top w:val="single" w:sz="12" w:space="0" w:color="000000"/>
              <w:left w:val="single" w:sz="6" w:space="0" w:color="000000"/>
              <w:bottom w:val="single" w:sz="12" w:space="0" w:color="000000"/>
              <w:right w:val="single" w:sz="6" w:space="0" w:color="000000"/>
            </w:tcBorders>
          </w:tcPr>
          <w:p>
            <w:pPr>
              <w:pStyle w:val="TableParagraph"/>
              <w:spacing w:line="167" w:lineRule="exact"/>
              <w:ind w:right="0"/>
              <w:jc w:val="right"/>
              <w:rPr>
                <w:rFonts w:ascii="Times New Roman" w:hAnsi="Times New Roman" w:cs="Times New Roman" w:eastAsia="Times New Roman" w:hint="default"/>
                <w:sz w:val="15"/>
                <w:szCs w:val="15"/>
              </w:rPr>
            </w:pPr>
            <w:r>
              <w:rPr>
                <w:rFonts w:ascii="Times New Roman"/>
                <w:spacing w:val="-1"/>
                <w:sz w:val="15"/>
              </w:rPr>
              <w:t>---</w:t>
            </w:r>
          </w:p>
        </w:tc>
        <w:tc>
          <w:tcPr>
            <w:tcW w:w="1157" w:type="dxa"/>
            <w:tcBorders>
              <w:top w:val="single" w:sz="12" w:space="0" w:color="000000"/>
              <w:left w:val="single" w:sz="6" w:space="0" w:color="000000"/>
              <w:bottom w:val="single" w:sz="12" w:space="0" w:color="000000"/>
              <w:right w:val="single" w:sz="6" w:space="0" w:color="000000"/>
            </w:tcBorders>
          </w:tcPr>
          <w:p>
            <w:pPr>
              <w:pStyle w:val="TableParagraph"/>
              <w:spacing w:line="167" w:lineRule="exact"/>
              <w:ind w:right="0"/>
              <w:jc w:val="right"/>
              <w:rPr>
                <w:rFonts w:ascii="Times New Roman" w:hAnsi="Times New Roman" w:cs="Times New Roman" w:eastAsia="Times New Roman" w:hint="default"/>
                <w:sz w:val="15"/>
                <w:szCs w:val="15"/>
              </w:rPr>
            </w:pPr>
            <w:r>
              <w:rPr>
                <w:rFonts w:ascii="Times New Roman"/>
                <w:spacing w:val="-1"/>
                <w:sz w:val="15"/>
              </w:rPr>
              <w:t>---</w:t>
            </w:r>
          </w:p>
        </w:tc>
        <w:tc>
          <w:tcPr>
            <w:tcW w:w="1207" w:type="dxa"/>
            <w:tcBorders>
              <w:top w:val="single" w:sz="12" w:space="0" w:color="000000"/>
              <w:left w:val="single" w:sz="6" w:space="0" w:color="000000"/>
              <w:bottom w:val="single" w:sz="12" w:space="0" w:color="000000"/>
              <w:right w:val="nil" w:sz="6" w:space="0" w:color="auto"/>
            </w:tcBorders>
          </w:tcPr>
          <w:p>
            <w:pPr>
              <w:pStyle w:val="TableParagraph"/>
              <w:spacing w:line="167" w:lineRule="exact"/>
              <w:ind w:right="5"/>
              <w:jc w:val="right"/>
              <w:rPr>
                <w:rFonts w:ascii="Times New Roman" w:hAnsi="Times New Roman" w:cs="Times New Roman" w:eastAsia="Times New Roman" w:hint="default"/>
                <w:sz w:val="15"/>
                <w:szCs w:val="15"/>
              </w:rPr>
            </w:pPr>
            <w:r>
              <w:rPr>
                <w:rFonts w:ascii="Times New Roman"/>
                <w:spacing w:val="-1"/>
                <w:sz w:val="15"/>
              </w:rPr>
              <w:t>---</w:t>
            </w:r>
          </w:p>
        </w:tc>
      </w:tr>
      <w:tr>
        <w:trPr>
          <w:trHeight w:val="235" w:hRule="exact"/>
        </w:trPr>
        <w:tc>
          <w:tcPr>
            <w:tcW w:w="1642" w:type="dxa"/>
            <w:tcBorders>
              <w:top w:val="single" w:sz="12" w:space="0" w:color="000000"/>
              <w:left w:val="single" w:sz="6" w:space="0" w:color="000000"/>
              <w:bottom w:val="single" w:sz="12" w:space="0" w:color="000000"/>
              <w:right w:val="single" w:sz="6" w:space="0" w:color="000000"/>
            </w:tcBorders>
          </w:tcPr>
          <w:p>
            <w:pPr>
              <w:pStyle w:val="TableParagraph"/>
              <w:tabs>
                <w:tab w:pos="364" w:val="left" w:leader="none"/>
              </w:tabs>
              <w:spacing w:line="172" w:lineRule="exact"/>
              <w:ind w:left="4" w:right="0"/>
              <w:jc w:val="left"/>
              <w:rPr>
                <w:rFonts w:ascii="宋体" w:hAnsi="宋体" w:cs="宋体" w:eastAsia="宋体" w:hint="default"/>
                <w:sz w:val="15"/>
                <w:szCs w:val="15"/>
              </w:rPr>
            </w:pPr>
            <w:r>
              <w:rPr>
                <w:rFonts w:ascii="宋体" w:hAnsi="宋体" w:cs="宋体" w:eastAsia="宋体" w:hint="default"/>
                <w:sz w:val="15"/>
                <w:szCs w:val="15"/>
              </w:rPr>
              <w:t>2.</w:t>
              <w:tab/>
            </w:r>
            <w:r>
              <w:rPr>
                <w:rFonts w:ascii="宋体" w:hAnsi="宋体" w:cs="宋体" w:eastAsia="宋体" w:hint="default"/>
                <w:sz w:val="15"/>
                <w:szCs w:val="15"/>
              </w:rPr>
              <w:t>期末余额</w:t>
            </w:r>
          </w:p>
        </w:tc>
        <w:tc>
          <w:tcPr>
            <w:tcW w:w="1466" w:type="dxa"/>
            <w:tcBorders>
              <w:top w:val="single" w:sz="12" w:space="0" w:color="000000"/>
              <w:left w:val="single" w:sz="6" w:space="0" w:color="000000"/>
              <w:bottom w:val="single" w:sz="12" w:space="0" w:color="000000"/>
              <w:right w:val="single" w:sz="6" w:space="0" w:color="000000"/>
            </w:tcBorders>
          </w:tcPr>
          <w:p>
            <w:pPr>
              <w:pStyle w:val="TableParagraph"/>
              <w:spacing w:line="167" w:lineRule="exact"/>
              <w:ind w:right="0"/>
              <w:jc w:val="right"/>
              <w:rPr>
                <w:rFonts w:ascii="Times New Roman" w:hAnsi="Times New Roman" w:cs="Times New Roman" w:eastAsia="Times New Roman" w:hint="default"/>
                <w:sz w:val="15"/>
                <w:szCs w:val="15"/>
              </w:rPr>
            </w:pPr>
            <w:r>
              <w:rPr>
                <w:rFonts w:ascii="Times New Roman"/>
                <w:spacing w:val="-2"/>
                <w:sz w:val="15"/>
              </w:rPr>
              <w:t>1,017,166.85</w:t>
            </w:r>
            <w:r>
              <w:rPr>
                <w:rFonts w:ascii="Times New Roman"/>
                <w:sz w:val="15"/>
              </w:rPr>
            </w:r>
          </w:p>
        </w:tc>
        <w:tc>
          <w:tcPr>
            <w:tcW w:w="1186" w:type="dxa"/>
            <w:tcBorders>
              <w:top w:val="single" w:sz="12" w:space="0" w:color="000000"/>
              <w:left w:val="single" w:sz="6" w:space="0" w:color="000000"/>
              <w:bottom w:val="single" w:sz="12" w:space="0" w:color="000000"/>
              <w:right w:val="single" w:sz="6" w:space="0" w:color="000000"/>
            </w:tcBorders>
          </w:tcPr>
          <w:p>
            <w:pPr>
              <w:pStyle w:val="TableParagraph"/>
              <w:spacing w:line="167" w:lineRule="exact"/>
              <w:ind w:right="2"/>
              <w:jc w:val="right"/>
              <w:rPr>
                <w:rFonts w:ascii="Times New Roman" w:hAnsi="Times New Roman" w:cs="Times New Roman" w:eastAsia="Times New Roman" w:hint="default"/>
                <w:sz w:val="15"/>
                <w:szCs w:val="15"/>
              </w:rPr>
            </w:pPr>
            <w:r>
              <w:rPr>
                <w:rFonts w:ascii="Times New Roman"/>
                <w:spacing w:val="-2"/>
                <w:sz w:val="15"/>
              </w:rPr>
              <w:t>117,699.37</w:t>
            </w:r>
            <w:r>
              <w:rPr>
                <w:rFonts w:ascii="Times New Roman"/>
                <w:sz w:val="15"/>
              </w:rPr>
            </w:r>
          </w:p>
        </w:tc>
        <w:tc>
          <w:tcPr>
            <w:tcW w:w="1234" w:type="dxa"/>
            <w:tcBorders>
              <w:top w:val="single" w:sz="12" w:space="0" w:color="000000"/>
              <w:left w:val="single" w:sz="6" w:space="0" w:color="000000"/>
              <w:bottom w:val="single" w:sz="12" w:space="0" w:color="000000"/>
              <w:right w:val="single" w:sz="6" w:space="0" w:color="000000"/>
            </w:tcBorders>
          </w:tcPr>
          <w:p>
            <w:pPr>
              <w:pStyle w:val="TableParagraph"/>
              <w:spacing w:line="167" w:lineRule="exact"/>
              <w:ind w:right="2"/>
              <w:jc w:val="right"/>
              <w:rPr>
                <w:rFonts w:ascii="Times New Roman" w:hAnsi="Times New Roman" w:cs="Times New Roman" w:eastAsia="Times New Roman" w:hint="default"/>
                <w:sz w:val="15"/>
                <w:szCs w:val="15"/>
              </w:rPr>
            </w:pPr>
            <w:r>
              <w:rPr>
                <w:rFonts w:ascii="Times New Roman"/>
                <w:spacing w:val="-2"/>
                <w:sz w:val="15"/>
              </w:rPr>
              <w:t>4,244,343.69</w:t>
            </w:r>
            <w:r>
              <w:rPr>
                <w:rFonts w:ascii="Times New Roman"/>
                <w:sz w:val="15"/>
              </w:rPr>
            </w:r>
          </w:p>
        </w:tc>
        <w:tc>
          <w:tcPr>
            <w:tcW w:w="1157" w:type="dxa"/>
            <w:tcBorders>
              <w:top w:val="single" w:sz="12" w:space="0" w:color="000000"/>
              <w:left w:val="single" w:sz="6" w:space="0" w:color="000000"/>
              <w:bottom w:val="single" w:sz="12" w:space="0" w:color="000000"/>
              <w:right w:val="single" w:sz="6" w:space="0" w:color="000000"/>
            </w:tcBorders>
          </w:tcPr>
          <w:p>
            <w:pPr>
              <w:pStyle w:val="TableParagraph"/>
              <w:spacing w:line="167" w:lineRule="exact"/>
              <w:ind w:right="2"/>
              <w:jc w:val="right"/>
              <w:rPr>
                <w:rFonts w:ascii="Times New Roman" w:hAnsi="Times New Roman" w:cs="Times New Roman" w:eastAsia="Times New Roman" w:hint="default"/>
                <w:sz w:val="15"/>
                <w:szCs w:val="15"/>
              </w:rPr>
            </w:pPr>
            <w:r>
              <w:rPr>
                <w:rFonts w:ascii="Times New Roman"/>
                <w:spacing w:val="-2"/>
                <w:sz w:val="15"/>
              </w:rPr>
              <w:t>511,510.14</w:t>
            </w:r>
            <w:r>
              <w:rPr>
                <w:rFonts w:ascii="Times New Roman"/>
                <w:sz w:val="15"/>
              </w:rPr>
            </w:r>
          </w:p>
        </w:tc>
        <w:tc>
          <w:tcPr>
            <w:tcW w:w="1157" w:type="dxa"/>
            <w:tcBorders>
              <w:top w:val="single" w:sz="12" w:space="0" w:color="000000"/>
              <w:left w:val="single" w:sz="6" w:space="0" w:color="000000"/>
              <w:bottom w:val="single" w:sz="12" w:space="0" w:color="000000"/>
              <w:right w:val="single" w:sz="6" w:space="0" w:color="000000"/>
            </w:tcBorders>
          </w:tcPr>
          <w:p>
            <w:pPr>
              <w:pStyle w:val="TableParagraph"/>
              <w:spacing w:line="167" w:lineRule="exact"/>
              <w:ind w:right="2"/>
              <w:jc w:val="right"/>
              <w:rPr>
                <w:rFonts w:ascii="Times New Roman" w:hAnsi="Times New Roman" w:cs="Times New Roman" w:eastAsia="Times New Roman" w:hint="default"/>
                <w:sz w:val="15"/>
                <w:szCs w:val="15"/>
              </w:rPr>
            </w:pPr>
            <w:r>
              <w:rPr>
                <w:rFonts w:ascii="Times New Roman"/>
                <w:spacing w:val="-2"/>
                <w:sz w:val="15"/>
              </w:rPr>
              <w:t>281,170.57</w:t>
            </w:r>
            <w:r>
              <w:rPr>
                <w:rFonts w:ascii="Times New Roman"/>
                <w:sz w:val="15"/>
              </w:rPr>
            </w:r>
          </w:p>
        </w:tc>
        <w:tc>
          <w:tcPr>
            <w:tcW w:w="1207" w:type="dxa"/>
            <w:tcBorders>
              <w:top w:val="single" w:sz="12" w:space="0" w:color="000000"/>
              <w:left w:val="single" w:sz="6" w:space="0" w:color="000000"/>
              <w:bottom w:val="single" w:sz="12" w:space="0" w:color="000000"/>
              <w:right w:val="nil" w:sz="6" w:space="0" w:color="auto"/>
            </w:tcBorders>
          </w:tcPr>
          <w:p>
            <w:pPr>
              <w:pStyle w:val="TableParagraph"/>
              <w:spacing w:line="167" w:lineRule="exact"/>
              <w:ind w:right="10"/>
              <w:jc w:val="right"/>
              <w:rPr>
                <w:rFonts w:ascii="Times New Roman" w:hAnsi="Times New Roman" w:cs="Times New Roman" w:eastAsia="Times New Roman" w:hint="default"/>
                <w:sz w:val="15"/>
                <w:szCs w:val="15"/>
              </w:rPr>
            </w:pPr>
            <w:r>
              <w:rPr>
                <w:rFonts w:ascii="Times New Roman"/>
                <w:spacing w:val="-2"/>
                <w:sz w:val="15"/>
              </w:rPr>
              <w:t>6,171,890.62</w:t>
            </w:r>
            <w:r>
              <w:rPr>
                <w:rFonts w:ascii="Times New Roman"/>
                <w:sz w:val="15"/>
              </w:rPr>
            </w:r>
          </w:p>
        </w:tc>
      </w:tr>
      <w:tr>
        <w:trPr>
          <w:trHeight w:val="235" w:hRule="exact"/>
        </w:trPr>
        <w:tc>
          <w:tcPr>
            <w:tcW w:w="1642" w:type="dxa"/>
            <w:tcBorders>
              <w:top w:val="single" w:sz="12" w:space="0" w:color="000000"/>
              <w:left w:val="single" w:sz="6" w:space="0" w:color="000000"/>
              <w:bottom w:val="single" w:sz="12" w:space="0" w:color="000000"/>
              <w:right w:val="single" w:sz="6" w:space="0" w:color="000000"/>
            </w:tcBorders>
          </w:tcPr>
          <w:p>
            <w:pPr>
              <w:pStyle w:val="TableParagraph"/>
              <w:tabs>
                <w:tab w:pos="364" w:val="left" w:leader="none"/>
              </w:tabs>
              <w:spacing w:line="172" w:lineRule="exact"/>
              <w:ind w:left="4" w:right="0"/>
              <w:jc w:val="left"/>
              <w:rPr>
                <w:rFonts w:ascii="宋体" w:hAnsi="宋体" w:cs="宋体" w:eastAsia="宋体" w:hint="default"/>
                <w:sz w:val="15"/>
                <w:szCs w:val="15"/>
              </w:rPr>
            </w:pPr>
            <w:r>
              <w:rPr>
                <w:rFonts w:ascii="宋体" w:hAnsi="宋体" w:cs="宋体" w:eastAsia="宋体" w:hint="default"/>
                <w:sz w:val="15"/>
                <w:szCs w:val="15"/>
              </w:rPr>
              <w:t>3.</w:t>
              <w:tab/>
            </w:r>
            <w:r>
              <w:rPr>
                <w:rFonts w:ascii="宋体" w:hAnsi="宋体" w:cs="宋体" w:eastAsia="宋体" w:hint="default"/>
                <w:sz w:val="15"/>
                <w:szCs w:val="15"/>
              </w:rPr>
              <w:t>减值准备</w:t>
            </w:r>
          </w:p>
        </w:tc>
        <w:tc>
          <w:tcPr>
            <w:tcW w:w="1466" w:type="dxa"/>
            <w:tcBorders>
              <w:top w:val="single" w:sz="12" w:space="0" w:color="000000"/>
              <w:left w:val="single" w:sz="6" w:space="0" w:color="000000"/>
              <w:bottom w:val="single" w:sz="12" w:space="0" w:color="000000"/>
              <w:right w:val="single" w:sz="6" w:space="0" w:color="000000"/>
            </w:tcBorders>
          </w:tcPr>
          <w:p>
            <w:pPr/>
          </w:p>
        </w:tc>
        <w:tc>
          <w:tcPr>
            <w:tcW w:w="1186" w:type="dxa"/>
            <w:tcBorders>
              <w:top w:val="single" w:sz="12" w:space="0" w:color="000000"/>
              <w:left w:val="single" w:sz="6" w:space="0" w:color="000000"/>
              <w:bottom w:val="single" w:sz="12" w:space="0" w:color="000000"/>
              <w:right w:val="single" w:sz="6" w:space="0" w:color="000000"/>
            </w:tcBorders>
          </w:tcPr>
          <w:p>
            <w:pPr/>
          </w:p>
        </w:tc>
        <w:tc>
          <w:tcPr>
            <w:tcW w:w="1234" w:type="dxa"/>
            <w:tcBorders>
              <w:top w:val="single" w:sz="12" w:space="0" w:color="000000"/>
              <w:left w:val="single" w:sz="6" w:space="0" w:color="000000"/>
              <w:bottom w:val="single" w:sz="12" w:space="0" w:color="000000"/>
              <w:right w:val="single" w:sz="6" w:space="0" w:color="000000"/>
            </w:tcBorders>
          </w:tcPr>
          <w:p>
            <w:pPr/>
          </w:p>
        </w:tc>
        <w:tc>
          <w:tcPr>
            <w:tcW w:w="1157" w:type="dxa"/>
            <w:tcBorders>
              <w:top w:val="single" w:sz="12" w:space="0" w:color="000000"/>
              <w:left w:val="single" w:sz="6" w:space="0" w:color="000000"/>
              <w:bottom w:val="single" w:sz="12" w:space="0" w:color="000000"/>
              <w:right w:val="single" w:sz="6" w:space="0" w:color="000000"/>
            </w:tcBorders>
          </w:tcPr>
          <w:p>
            <w:pPr/>
          </w:p>
        </w:tc>
        <w:tc>
          <w:tcPr>
            <w:tcW w:w="1157" w:type="dxa"/>
            <w:tcBorders>
              <w:top w:val="single" w:sz="12" w:space="0" w:color="000000"/>
              <w:left w:val="single" w:sz="6" w:space="0" w:color="000000"/>
              <w:bottom w:val="single" w:sz="12" w:space="0" w:color="000000"/>
              <w:right w:val="single" w:sz="6" w:space="0" w:color="000000"/>
            </w:tcBorders>
          </w:tcPr>
          <w:p>
            <w:pPr/>
          </w:p>
        </w:tc>
        <w:tc>
          <w:tcPr>
            <w:tcW w:w="1207" w:type="dxa"/>
            <w:tcBorders>
              <w:top w:val="single" w:sz="12" w:space="0" w:color="000000"/>
              <w:left w:val="single" w:sz="6" w:space="0" w:color="000000"/>
              <w:bottom w:val="single" w:sz="12" w:space="0" w:color="000000"/>
              <w:right w:val="nil" w:sz="6" w:space="0" w:color="auto"/>
            </w:tcBorders>
          </w:tcPr>
          <w:p>
            <w:pPr/>
          </w:p>
        </w:tc>
      </w:tr>
      <w:tr>
        <w:trPr>
          <w:trHeight w:val="235" w:hRule="exact"/>
        </w:trPr>
        <w:tc>
          <w:tcPr>
            <w:tcW w:w="1642" w:type="dxa"/>
            <w:tcBorders>
              <w:top w:val="single" w:sz="12" w:space="0" w:color="000000"/>
              <w:left w:val="single" w:sz="6" w:space="0" w:color="000000"/>
              <w:bottom w:val="single" w:sz="12" w:space="0" w:color="000000"/>
              <w:right w:val="single" w:sz="6" w:space="0" w:color="000000"/>
            </w:tcBorders>
          </w:tcPr>
          <w:p>
            <w:pPr>
              <w:pStyle w:val="TableParagraph"/>
              <w:tabs>
                <w:tab w:pos="364" w:val="left" w:leader="none"/>
              </w:tabs>
              <w:spacing w:line="172" w:lineRule="exact"/>
              <w:ind w:left="4" w:right="0"/>
              <w:jc w:val="left"/>
              <w:rPr>
                <w:rFonts w:ascii="宋体" w:hAnsi="宋体" w:cs="宋体" w:eastAsia="宋体" w:hint="default"/>
                <w:sz w:val="15"/>
                <w:szCs w:val="15"/>
              </w:rPr>
            </w:pPr>
            <w:r>
              <w:rPr>
                <w:rFonts w:ascii="宋体" w:hAnsi="宋体" w:cs="宋体" w:eastAsia="宋体" w:hint="default"/>
                <w:sz w:val="15"/>
                <w:szCs w:val="15"/>
              </w:rPr>
              <w:t>4.</w:t>
              <w:tab/>
            </w:r>
            <w:r>
              <w:rPr>
                <w:rFonts w:ascii="宋体" w:hAnsi="宋体" w:cs="宋体" w:eastAsia="宋体" w:hint="default"/>
                <w:sz w:val="15"/>
                <w:szCs w:val="15"/>
              </w:rPr>
              <w:t>期初余额</w:t>
            </w:r>
          </w:p>
        </w:tc>
        <w:tc>
          <w:tcPr>
            <w:tcW w:w="1466" w:type="dxa"/>
            <w:tcBorders>
              <w:top w:val="single" w:sz="12" w:space="0" w:color="000000"/>
              <w:left w:val="single" w:sz="6" w:space="0" w:color="000000"/>
              <w:bottom w:val="single" w:sz="12" w:space="0" w:color="000000"/>
              <w:right w:val="single" w:sz="6" w:space="0" w:color="000000"/>
            </w:tcBorders>
          </w:tcPr>
          <w:p>
            <w:pPr>
              <w:pStyle w:val="TableParagraph"/>
              <w:spacing w:line="167" w:lineRule="exact"/>
              <w:ind w:right="0"/>
              <w:jc w:val="right"/>
              <w:rPr>
                <w:rFonts w:ascii="Times New Roman" w:hAnsi="Times New Roman" w:cs="Times New Roman" w:eastAsia="Times New Roman" w:hint="default"/>
                <w:sz w:val="15"/>
                <w:szCs w:val="15"/>
              </w:rPr>
            </w:pPr>
            <w:r>
              <w:rPr>
                <w:rFonts w:ascii="Times New Roman"/>
                <w:spacing w:val="-1"/>
                <w:sz w:val="15"/>
              </w:rPr>
              <w:t>---</w:t>
            </w:r>
          </w:p>
        </w:tc>
        <w:tc>
          <w:tcPr>
            <w:tcW w:w="1186" w:type="dxa"/>
            <w:tcBorders>
              <w:top w:val="single" w:sz="12" w:space="0" w:color="000000"/>
              <w:left w:val="single" w:sz="6" w:space="0" w:color="000000"/>
              <w:bottom w:val="single" w:sz="12" w:space="0" w:color="000000"/>
              <w:right w:val="single" w:sz="6" w:space="0" w:color="000000"/>
            </w:tcBorders>
          </w:tcPr>
          <w:p>
            <w:pPr>
              <w:pStyle w:val="TableParagraph"/>
              <w:spacing w:line="167" w:lineRule="exact"/>
              <w:ind w:right="0"/>
              <w:jc w:val="right"/>
              <w:rPr>
                <w:rFonts w:ascii="Times New Roman" w:hAnsi="Times New Roman" w:cs="Times New Roman" w:eastAsia="Times New Roman" w:hint="default"/>
                <w:sz w:val="15"/>
                <w:szCs w:val="15"/>
              </w:rPr>
            </w:pPr>
            <w:r>
              <w:rPr>
                <w:rFonts w:ascii="Times New Roman"/>
                <w:spacing w:val="-1"/>
                <w:sz w:val="15"/>
              </w:rPr>
              <w:t>---</w:t>
            </w:r>
          </w:p>
        </w:tc>
        <w:tc>
          <w:tcPr>
            <w:tcW w:w="1234" w:type="dxa"/>
            <w:tcBorders>
              <w:top w:val="single" w:sz="12" w:space="0" w:color="000000"/>
              <w:left w:val="single" w:sz="6" w:space="0" w:color="000000"/>
              <w:bottom w:val="single" w:sz="12" w:space="0" w:color="000000"/>
              <w:right w:val="single" w:sz="6" w:space="0" w:color="000000"/>
            </w:tcBorders>
          </w:tcPr>
          <w:p>
            <w:pPr>
              <w:pStyle w:val="TableParagraph"/>
              <w:spacing w:line="167" w:lineRule="exact"/>
              <w:ind w:right="0"/>
              <w:jc w:val="right"/>
              <w:rPr>
                <w:rFonts w:ascii="Times New Roman" w:hAnsi="Times New Roman" w:cs="Times New Roman" w:eastAsia="Times New Roman" w:hint="default"/>
                <w:sz w:val="15"/>
                <w:szCs w:val="15"/>
              </w:rPr>
            </w:pPr>
            <w:r>
              <w:rPr>
                <w:rFonts w:ascii="Times New Roman"/>
                <w:spacing w:val="-1"/>
                <w:sz w:val="15"/>
              </w:rPr>
              <w:t>---</w:t>
            </w:r>
          </w:p>
        </w:tc>
        <w:tc>
          <w:tcPr>
            <w:tcW w:w="1157" w:type="dxa"/>
            <w:tcBorders>
              <w:top w:val="single" w:sz="12" w:space="0" w:color="000000"/>
              <w:left w:val="single" w:sz="6" w:space="0" w:color="000000"/>
              <w:bottom w:val="single" w:sz="12" w:space="0" w:color="000000"/>
              <w:right w:val="single" w:sz="6" w:space="0" w:color="000000"/>
            </w:tcBorders>
          </w:tcPr>
          <w:p>
            <w:pPr>
              <w:pStyle w:val="TableParagraph"/>
              <w:spacing w:line="167" w:lineRule="exact"/>
              <w:ind w:right="0"/>
              <w:jc w:val="right"/>
              <w:rPr>
                <w:rFonts w:ascii="Times New Roman" w:hAnsi="Times New Roman" w:cs="Times New Roman" w:eastAsia="Times New Roman" w:hint="default"/>
                <w:sz w:val="15"/>
                <w:szCs w:val="15"/>
              </w:rPr>
            </w:pPr>
            <w:r>
              <w:rPr>
                <w:rFonts w:ascii="Times New Roman"/>
                <w:spacing w:val="-1"/>
                <w:sz w:val="15"/>
              </w:rPr>
              <w:t>---</w:t>
            </w:r>
          </w:p>
        </w:tc>
        <w:tc>
          <w:tcPr>
            <w:tcW w:w="1157" w:type="dxa"/>
            <w:tcBorders>
              <w:top w:val="single" w:sz="12" w:space="0" w:color="000000"/>
              <w:left w:val="single" w:sz="6" w:space="0" w:color="000000"/>
              <w:bottom w:val="single" w:sz="12" w:space="0" w:color="000000"/>
              <w:right w:val="single" w:sz="6" w:space="0" w:color="000000"/>
            </w:tcBorders>
          </w:tcPr>
          <w:p>
            <w:pPr>
              <w:pStyle w:val="TableParagraph"/>
              <w:spacing w:line="167" w:lineRule="exact"/>
              <w:ind w:right="0"/>
              <w:jc w:val="right"/>
              <w:rPr>
                <w:rFonts w:ascii="Times New Roman" w:hAnsi="Times New Roman" w:cs="Times New Roman" w:eastAsia="Times New Roman" w:hint="default"/>
                <w:sz w:val="15"/>
                <w:szCs w:val="15"/>
              </w:rPr>
            </w:pPr>
            <w:r>
              <w:rPr>
                <w:rFonts w:ascii="Times New Roman"/>
                <w:spacing w:val="-1"/>
                <w:sz w:val="15"/>
              </w:rPr>
              <w:t>---</w:t>
            </w:r>
          </w:p>
        </w:tc>
        <w:tc>
          <w:tcPr>
            <w:tcW w:w="1207" w:type="dxa"/>
            <w:tcBorders>
              <w:top w:val="single" w:sz="12" w:space="0" w:color="000000"/>
              <w:left w:val="single" w:sz="6" w:space="0" w:color="000000"/>
              <w:bottom w:val="single" w:sz="12" w:space="0" w:color="000000"/>
              <w:right w:val="nil" w:sz="6" w:space="0" w:color="auto"/>
            </w:tcBorders>
          </w:tcPr>
          <w:p>
            <w:pPr>
              <w:pStyle w:val="TableParagraph"/>
              <w:spacing w:line="167" w:lineRule="exact"/>
              <w:ind w:right="5"/>
              <w:jc w:val="right"/>
              <w:rPr>
                <w:rFonts w:ascii="Times New Roman" w:hAnsi="Times New Roman" w:cs="Times New Roman" w:eastAsia="Times New Roman" w:hint="default"/>
                <w:sz w:val="15"/>
                <w:szCs w:val="15"/>
              </w:rPr>
            </w:pPr>
            <w:r>
              <w:rPr>
                <w:rFonts w:ascii="Times New Roman"/>
                <w:spacing w:val="-1"/>
                <w:sz w:val="15"/>
              </w:rPr>
              <w:t>---</w:t>
            </w:r>
          </w:p>
        </w:tc>
      </w:tr>
      <w:tr>
        <w:trPr>
          <w:trHeight w:val="233" w:hRule="exact"/>
        </w:trPr>
        <w:tc>
          <w:tcPr>
            <w:tcW w:w="1642" w:type="dxa"/>
            <w:tcBorders>
              <w:top w:val="single" w:sz="12" w:space="0" w:color="000000"/>
              <w:left w:val="single" w:sz="6" w:space="0" w:color="000000"/>
              <w:bottom w:val="single" w:sz="12" w:space="0" w:color="000000"/>
              <w:right w:val="single" w:sz="6" w:space="0" w:color="000000"/>
            </w:tcBorders>
          </w:tcPr>
          <w:p>
            <w:pPr>
              <w:pStyle w:val="TableParagraph"/>
              <w:tabs>
                <w:tab w:pos="364" w:val="left" w:leader="none"/>
              </w:tabs>
              <w:spacing w:line="172" w:lineRule="exact"/>
              <w:ind w:left="4" w:right="0"/>
              <w:jc w:val="left"/>
              <w:rPr>
                <w:rFonts w:ascii="宋体" w:hAnsi="宋体" w:cs="宋体" w:eastAsia="宋体" w:hint="default"/>
                <w:sz w:val="15"/>
                <w:szCs w:val="15"/>
              </w:rPr>
            </w:pPr>
            <w:r>
              <w:rPr>
                <w:rFonts w:ascii="宋体" w:hAnsi="宋体" w:cs="宋体" w:eastAsia="宋体" w:hint="default"/>
                <w:sz w:val="15"/>
                <w:szCs w:val="15"/>
              </w:rPr>
              <w:t>5.</w:t>
              <w:tab/>
            </w:r>
            <w:r>
              <w:rPr>
                <w:rFonts w:ascii="宋体" w:hAnsi="宋体" w:cs="宋体" w:eastAsia="宋体" w:hint="default"/>
                <w:sz w:val="15"/>
                <w:szCs w:val="15"/>
              </w:rPr>
              <w:t>本期增加金额</w:t>
            </w:r>
          </w:p>
        </w:tc>
        <w:tc>
          <w:tcPr>
            <w:tcW w:w="1466" w:type="dxa"/>
            <w:tcBorders>
              <w:top w:val="single" w:sz="12" w:space="0" w:color="000000"/>
              <w:left w:val="single" w:sz="6" w:space="0" w:color="000000"/>
              <w:bottom w:val="single" w:sz="12" w:space="0" w:color="000000"/>
              <w:right w:val="single" w:sz="6" w:space="0" w:color="000000"/>
            </w:tcBorders>
          </w:tcPr>
          <w:p>
            <w:pPr>
              <w:pStyle w:val="TableParagraph"/>
              <w:spacing w:line="167" w:lineRule="exact"/>
              <w:ind w:right="0"/>
              <w:jc w:val="right"/>
              <w:rPr>
                <w:rFonts w:ascii="Times New Roman" w:hAnsi="Times New Roman" w:cs="Times New Roman" w:eastAsia="Times New Roman" w:hint="default"/>
                <w:sz w:val="15"/>
                <w:szCs w:val="15"/>
              </w:rPr>
            </w:pPr>
            <w:r>
              <w:rPr>
                <w:rFonts w:ascii="Times New Roman"/>
                <w:spacing w:val="-1"/>
                <w:sz w:val="15"/>
              </w:rPr>
              <w:t>---</w:t>
            </w:r>
          </w:p>
        </w:tc>
        <w:tc>
          <w:tcPr>
            <w:tcW w:w="1186" w:type="dxa"/>
            <w:tcBorders>
              <w:top w:val="single" w:sz="12" w:space="0" w:color="000000"/>
              <w:left w:val="single" w:sz="6" w:space="0" w:color="000000"/>
              <w:bottom w:val="single" w:sz="12" w:space="0" w:color="000000"/>
              <w:right w:val="single" w:sz="6" w:space="0" w:color="000000"/>
            </w:tcBorders>
          </w:tcPr>
          <w:p>
            <w:pPr>
              <w:pStyle w:val="TableParagraph"/>
              <w:spacing w:line="167" w:lineRule="exact"/>
              <w:ind w:right="0"/>
              <w:jc w:val="right"/>
              <w:rPr>
                <w:rFonts w:ascii="Times New Roman" w:hAnsi="Times New Roman" w:cs="Times New Roman" w:eastAsia="Times New Roman" w:hint="default"/>
                <w:sz w:val="15"/>
                <w:szCs w:val="15"/>
              </w:rPr>
            </w:pPr>
            <w:r>
              <w:rPr>
                <w:rFonts w:ascii="Times New Roman"/>
                <w:spacing w:val="-1"/>
                <w:sz w:val="15"/>
              </w:rPr>
              <w:t>---</w:t>
            </w:r>
          </w:p>
        </w:tc>
        <w:tc>
          <w:tcPr>
            <w:tcW w:w="1234" w:type="dxa"/>
            <w:tcBorders>
              <w:top w:val="single" w:sz="12" w:space="0" w:color="000000"/>
              <w:left w:val="single" w:sz="6" w:space="0" w:color="000000"/>
              <w:bottom w:val="single" w:sz="12" w:space="0" w:color="000000"/>
              <w:right w:val="single" w:sz="6" w:space="0" w:color="000000"/>
            </w:tcBorders>
          </w:tcPr>
          <w:p>
            <w:pPr>
              <w:pStyle w:val="TableParagraph"/>
              <w:spacing w:line="167" w:lineRule="exact"/>
              <w:ind w:right="0"/>
              <w:jc w:val="right"/>
              <w:rPr>
                <w:rFonts w:ascii="Times New Roman" w:hAnsi="Times New Roman" w:cs="Times New Roman" w:eastAsia="Times New Roman" w:hint="default"/>
                <w:sz w:val="15"/>
                <w:szCs w:val="15"/>
              </w:rPr>
            </w:pPr>
            <w:r>
              <w:rPr>
                <w:rFonts w:ascii="Times New Roman"/>
                <w:spacing w:val="-1"/>
                <w:sz w:val="15"/>
              </w:rPr>
              <w:t>---</w:t>
            </w:r>
          </w:p>
        </w:tc>
        <w:tc>
          <w:tcPr>
            <w:tcW w:w="1157" w:type="dxa"/>
            <w:tcBorders>
              <w:top w:val="single" w:sz="12" w:space="0" w:color="000000"/>
              <w:left w:val="single" w:sz="6" w:space="0" w:color="000000"/>
              <w:bottom w:val="single" w:sz="12" w:space="0" w:color="000000"/>
              <w:right w:val="single" w:sz="6" w:space="0" w:color="000000"/>
            </w:tcBorders>
          </w:tcPr>
          <w:p>
            <w:pPr>
              <w:pStyle w:val="TableParagraph"/>
              <w:spacing w:line="167" w:lineRule="exact"/>
              <w:ind w:right="0"/>
              <w:jc w:val="right"/>
              <w:rPr>
                <w:rFonts w:ascii="Times New Roman" w:hAnsi="Times New Roman" w:cs="Times New Roman" w:eastAsia="Times New Roman" w:hint="default"/>
                <w:sz w:val="15"/>
                <w:szCs w:val="15"/>
              </w:rPr>
            </w:pPr>
            <w:r>
              <w:rPr>
                <w:rFonts w:ascii="Times New Roman"/>
                <w:spacing w:val="-1"/>
                <w:sz w:val="15"/>
              </w:rPr>
              <w:t>---</w:t>
            </w:r>
          </w:p>
        </w:tc>
        <w:tc>
          <w:tcPr>
            <w:tcW w:w="1157" w:type="dxa"/>
            <w:tcBorders>
              <w:top w:val="single" w:sz="12" w:space="0" w:color="000000"/>
              <w:left w:val="single" w:sz="6" w:space="0" w:color="000000"/>
              <w:bottom w:val="single" w:sz="12" w:space="0" w:color="000000"/>
              <w:right w:val="single" w:sz="6" w:space="0" w:color="000000"/>
            </w:tcBorders>
          </w:tcPr>
          <w:p>
            <w:pPr>
              <w:pStyle w:val="TableParagraph"/>
              <w:spacing w:line="167" w:lineRule="exact"/>
              <w:ind w:right="0"/>
              <w:jc w:val="right"/>
              <w:rPr>
                <w:rFonts w:ascii="Times New Roman" w:hAnsi="Times New Roman" w:cs="Times New Roman" w:eastAsia="Times New Roman" w:hint="default"/>
                <w:sz w:val="15"/>
                <w:szCs w:val="15"/>
              </w:rPr>
            </w:pPr>
            <w:r>
              <w:rPr>
                <w:rFonts w:ascii="Times New Roman"/>
                <w:spacing w:val="-1"/>
                <w:sz w:val="15"/>
              </w:rPr>
              <w:t>---</w:t>
            </w:r>
          </w:p>
        </w:tc>
        <w:tc>
          <w:tcPr>
            <w:tcW w:w="1207" w:type="dxa"/>
            <w:tcBorders>
              <w:top w:val="single" w:sz="12" w:space="0" w:color="000000"/>
              <w:left w:val="single" w:sz="6" w:space="0" w:color="000000"/>
              <w:bottom w:val="single" w:sz="12" w:space="0" w:color="000000"/>
              <w:right w:val="nil" w:sz="6" w:space="0" w:color="auto"/>
            </w:tcBorders>
          </w:tcPr>
          <w:p>
            <w:pPr>
              <w:pStyle w:val="TableParagraph"/>
              <w:spacing w:line="167" w:lineRule="exact"/>
              <w:ind w:right="5"/>
              <w:jc w:val="right"/>
              <w:rPr>
                <w:rFonts w:ascii="Times New Roman" w:hAnsi="Times New Roman" w:cs="Times New Roman" w:eastAsia="Times New Roman" w:hint="default"/>
                <w:sz w:val="15"/>
                <w:szCs w:val="15"/>
              </w:rPr>
            </w:pPr>
            <w:r>
              <w:rPr>
                <w:rFonts w:ascii="Times New Roman"/>
                <w:spacing w:val="-1"/>
                <w:sz w:val="15"/>
              </w:rPr>
              <w:t>---</w:t>
            </w:r>
          </w:p>
        </w:tc>
      </w:tr>
      <w:tr>
        <w:trPr>
          <w:trHeight w:val="235" w:hRule="exact"/>
        </w:trPr>
        <w:tc>
          <w:tcPr>
            <w:tcW w:w="1642" w:type="dxa"/>
            <w:tcBorders>
              <w:top w:val="single" w:sz="12" w:space="0" w:color="000000"/>
              <w:left w:val="single" w:sz="6" w:space="0" w:color="000000"/>
              <w:bottom w:val="single" w:sz="12" w:space="0" w:color="000000"/>
              <w:right w:val="single" w:sz="6" w:space="0" w:color="000000"/>
            </w:tcBorders>
          </w:tcPr>
          <w:p>
            <w:pPr>
              <w:pStyle w:val="TableParagraph"/>
              <w:tabs>
                <w:tab w:pos="364" w:val="left" w:leader="none"/>
              </w:tabs>
              <w:spacing w:line="175" w:lineRule="exact"/>
              <w:ind w:left="4" w:right="0"/>
              <w:jc w:val="left"/>
              <w:rPr>
                <w:rFonts w:ascii="宋体" w:hAnsi="宋体" w:cs="宋体" w:eastAsia="宋体" w:hint="default"/>
                <w:sz w:val="15"/>
                <w:szCs w:val="15"/>
              </w:rPr>
            </w:pPr>
            <w:r>
              <w:rPr>
                <w:rFonts w:ascii="宋体" w:hAnsi="宋体" w:cs="宋体" w:eastAsia="宋体" w:hint="default"/>
                <w:sz w:val="15"/>
                <w:szCs w:val="15"/>
              </w:rPr>
              <w:t>6.</w:t>
              <w:tab/>
            </w:r>
            <w:r>
              <w:rPr>
                <w:rFonts w:ascii="宋体" w:hAnsi="宋体" w:cs="宋体" w:eastAsia="宋体" w:hint="default"/>
                <w:sz w:val="15"/>
                <w:szCs w:val="15"/>
              </w:rPr>
              <w:t>本期减少金额</w:t>
            </w:r>
          </w:p>
        </w:tc>
        <w:tc>
          <w:tcPr>
            <w:tcW w:w="1466" w:type="dxa"/>
            <w:tcBorders>
              <w:top w:val="single" w:sz="12" w:space="0" w:color="000000"/>
              <w:left w:val="single" w:sz="6" w:space="0" w:color="000000"/>
              <w:bottom w:val="single" w:sz="12" w:space="0" w:color="000000"/>
              <w:right w:val="single" w:sz="6" w:space="0" w:color="000000"/>
            </w:tcBorders>
          </w:tcPr>
          <w:p>
            <w:pPr>
              <w:pStyle w:val="TableParagraph"/>
              <w:spacing w:line="169" w:lineRule="exact"/>
              <w:ind w:right="0"/>
              <w:jc w:val="right"/>
              <w:rPr>
                <w:rFonts w:ascii="Times New Roman" w:hAnsi="Times New Roman" w:cs="Times New Roman" w:eastAsia="Times New Roman" w:hint="default"/>
                <w:sz w:val="15"/>
                <w:szCs w:val="15"/>
              </w:rPr>
            </w:pPr>
            <w:r>
              <w:rPr>
                <w:rFonts w:ascii="Times New Roman"/>
                <w:spacing w:val="-1"/>
                <w:sz w:val="15"/>
              </w:rPr>
              <w:t>---</w:t>
            </w:r>
          </w:p>
        </w:tc>
        <w:tc>
          <w:tcPr>
            <w:tcW w:w="1186" w:type="dxa"/>
            <w:tcBorders>
              <w:top w:val="single" w:sz="12" w:space="0" w:color="000000"/>
              <w:left w:val="single" w:sz="6" w:space="0" w:color="000000"/>
              <w:bottom w:val="single" w:sz="12" w:space="0" w:color="000000"/>
              <w:right w:val="single" w:sz="6" w:space="0" w:color="000000"/>
            </w:tcBorders>
          </w:tcPr>
          <w:p>
            <w:pPr>
              <w:pStyle w:val="TableParagraph"/>
              <w:spacing w:line="169" w:lineRule="exact"/>
              <w:ind w:right="0"/>
              <w:jc w:val="right"/>
              <w:rPr>
                <w:rFonts w:ascii="Times New Roman" w:hAnsi="Times New Roman" w:cs="Times New Roman" w:eastAsia="Times New Roman" w:hint="default"/>
                <w:sz w:val="15"/>
                <w:szCs w:val="15"/>
              </w:rPr>
            </w:pPr>
            <w:r>
              <w:rPr>
                <w:rFonts w:ascii="Times New Roman"/>
                <w:spacing w:val="-1"/>
                <w:sz w:val="15"/>
              </w:rPr>
              <w:t>---</w:t>
            </w:r>
          </w:p>
        </w:tc>
        <w:tc>
          <w:tcPr>
            <w:tcW w:w="1234" w:type="dxa"/>
            <w:tcBorders>
              <w:top w:val="single" w:sz="12" w:space="0" w:color="000000"/>
              <w:left w:val="single" w:sz="6" w:space="0" w:color="000000"/>
              <w:bottom w:val="single" w:sz="12" w:space="0" w:color="000000"/>
              <w:right w:val="single" w:sz="6" w:space="0" w:color="000000"/>
            </w:tcBorders>
          </w:tcPr>
          <w:p>
            <w:pPr>
              <w:pStyle w:val="TableParagraph"/>
              <w:spacing w:line="169" w:lineRule="exact"/>
              <w:ind w:right="0"/>
              <w:jc w:val="right"/>
              <w:rPr>
                <w:rFonts w:ascii="Times New Roman" w:hAnsi="Times New Roman" w:cs="Times New Roman" w:eastAsia="Times New Roman" w:hint="default"/>
                <w:sz w:val="15"/>
                <w:szCs w:val="15"/>
              </w:rPr>
            </w:pPr>
            <w:r>
              <w:rPr>
                <w:rFonts w:ascii="Times New Roman"/>
                <w:spacing w:val="-1"/>
                <w:sz w:val="15"/>
              </w:rPr>
              <w:t>---</w:t>
            </w:r>
          </w:p>
        </w:tc>
        <w:tc>
          <w:tcPr>
            <w:tcW w:w="1157" w:type="dxa"/>
            <w:tcBorders>
              <w:top w:val="single" w:sz="12" w:space="0" w:color="000000"/>
              <w:left w:val="single" w:sz="6" w:space="0" w:color="000000"/>
              <w:bottom w:val="single" w:sz="12" w:space="0" w:color="000000"/>
              <w:right w:val="single" w:sz="6" w:space="0" w:color="000000"/>
            </w:tcBorders>
          </w:tcPr>
          <w:p>
            <w:pPr>
              <w:pStyle w:val="TableParagraph"/>
              <w:spacing w:line="169" w:lineRule="exact"/>
              <w:ind w:right="0"/>
              <w:jc w:val="right"/>
              <w:rPr>
                <w:rFonts w:ascii="Times New Roman" w:hAnsi="Times New Roman" w:cs="Times New Roman" w:eastAsia="Times New Roman" w:hint="default"/>
                <w:sz w:val="15"/>
                <w:szCs w:val="15"/>
              </w:rPr>
            </w:pPr>
            <w:r>
              <w:rPr>
                <w:rFonts w:ascii="Times New Roman"/>
                <w:spacing w:val="-1"/>
                <w:sz w:val="15"/>
              </w:rPr>
              <w:t>---</w:t>
            </w:r>
          </w:p>
        </w:tc>
        <w:tc>
          <w:tcPr>
            <w:tcW w:w="1157" w:type="dxa"/>
            <w:tcBorders>
              <w:top w:val="single" w:sz="12" w:space="0" w:color="000000"/>
              <w:left w:val="single" w:sz="6" w:space="0" w:color="000000"/>
              <w:bottom w:val="single" w:sz="12" w:space="0" w:color="000000"/>
              <w:right w:val="single" w:sz="6" w:space="0" w:color="000000"/>
            </w:tcBorders>
          </w:tcPr>
          <w:p>
            <w:pPr>
              <w:pStyle w:val="TableParagraph"/>
              <w:spacing w:line="169" w:lineRule="exact"/>
              <w:ind w:right="0"/>
              <w:jc w:val="right"/>
              <w:rPr>
                <w:rFonts w:ascii="Times New Roman" w:hAnsi="Times New Roman" w:cs="Times New Roman" w:eastAsia="Times New Roman" w:hint="default"/>
                <w:sz w:val="15"/>
                <w:szCs w:val="15"/>
              </w:rPr>
            </w:pPr>
            <w:r>
              <w:rPr>
                <w:rFonts w:ascii="Times New Roman"/>
                <w:spacing w:val="-1"/>
                <w:sz w:val="15"/>
              </w:rPr>
              <w:t>---</w:t>
            </w:r>
          </w:p>
        </w:tc>
        <w:tc>
          <w:tcPr>
            <w:tcW w:w="1207" w:type="dxa"/>
            <w:tcBorders>
              <w:top w:val="single" w:sz="12" w:space="0" w:color="000000"/>
              <w:left w:val="single" w:sz="6" w:space="0" w:color="000000"/>
              <w:bottom w:val="single" w:sz="12" w:space="0" w:color="000000"/>
              <w:right w:val="nil" w:sz="6" w:space="0" w:color="auto"/>
            </w:tcBorders>
          </w:tcPr>
          <w:p>
            <w:pPr>
              <w:pStyle w:val="TableParagraph"/>
              <w:spacing w:line="169" w:lineRule="exact"/>
              <w:ind w:right="5"/>
              <w:jc w:val="right"/>
              <w:rPr>
                <w:rFonts w:ascii="Times New Roman" w:hAnsi="Times New Roman" w:cs="Times New Roman" w:eastAsia="Times New Roman" w:hint="default"/>
                <w:sz w:val="15"/>
                <w:szCs w:val="15"/>
              </w:rPr>
            </w:pPr>
            <w:r>
              <w:rPr>
                <w:rFonts w:ascii="Times New Roman"/>
                <w:spacing w:val="-1"/>
                <w:sz w:val="15"/>
              </w:rPr>
              <w:t>---</w:t>
            </w:r>
          </w:p>
        </w:tc>
      </w:tr>
      <w:tr>
        <w:trPr>
          <w:trHeight w:val="235" w:hRule="exact"/>
        </w:trPr>
        <w:tc>
          <w:tcPr>
            <w:tcW w:w="1642" w:type="dxa"/>
            <w:tcBorders>
              <w:top w:val="single" w:sz="12" w:space="0" w:color="000000"/>
              <w:left w:val="single" w:sz="6" w:space="0" w:color="000000"/>
              <w:bottom w:val="single" w:sz="12" w:space="0" w:color="000000"/>
              <w:right w:val="single" w:sz="6" w:space="0" w:color="000000"/>
            </w:tcBorders>
          </w:tcPr>
          <w:p>
            <w:pPr>
              <w:pStyle w:val="TableParagraph"/>
              <w:tabs>
                <w:tab w:pos="364" w:val="left" w:leader="none"/>
              </w:tabs>
              <w:spacing w:line="175" w:lineRule="exact"/>
              <w:ind w:left="4" w:right="0"/>
              <w:jc w:val="left"/>
              <w:rPr>
                <w:rFonts w:ascii="宋体" w:hAnsi="宋体" w:cs="宋体" w:eastAsia="宋体" w:hint="default"/>
                <w:sz w:val="15"/>
                <w:szCs w:val="15"/>
              </w:rPr>
            </w:pPr>
            <w:r>
              <w:rPr>
                <w:rFonts w:ascii="宋体" w:hAnsi="宋体" w:cs="宋体" w:eastAsia="宋体" w:hint="default"/>
                <w:sz w:val="15"/>
                <w:szCs w:val="15"/>
              </w:rPr>
              <w:t>7.</w:t>
              <w:tab/>
            </w:r>
            <w:r>
              <w:rPr>
                <w:rFonts w:ascii="宋体" w:hAnsi="宋体" w:cs="宋体" w:eastAsia="宋体" w:hint="default"/>
                <w:sz w:val="15"/>
                <w:szCs w:val="15"/>
              </w:rPr>
              <w:t>期末余额</w:t>
            </w:r>
          </w:p>
        </w:tc>
        <w:tc>
          <w:tcPr>
            <w:tcW w:w="1466" w:type="dxa"/>
            <w:tcBorders>
              <w:top w:val="single" w:sz="12" w:space="0" w:color="000000"/>
              <w:left w:val="single" w:sz="6" w:space="0" w:color="000000"/>
              <w:bottom w:val="single" w:sz="12" w:space="0" w:color="000000"/>
              <w:right w:val="single" w:sz="6" w:space="0" w:color="000000"/>
            </w:tcBorders>
          </w:tcPr>
          <w:p>
            <w:pPr>
              <w:pStyle w:val="TableParagraph"/>
              <w:spacing w:line="169" w:lineRule="exact"/>
              <w:ind w:right="0"/>
              <w:jc w:val="right"/>
              <w:rPr>
                <w:rFonts w:ascii="Times New Roman" w:hAnsi="Times New Roman" w:cs="Times New Roman" w:eastAsia="Times New Roman" w:hint="default"/>
                <w:sz w:val="15"/>
                <w:szCs w:val="15"/>
              </w:rPr>
            </w:pPr>
            <w:r>
              <w:rPr>
                <w:rFonts w:ascii="Times New Roman"/>
                <w:spacing w:val="-1"/>
                <w:sz w:val="15"/>
              </w:rPr>
              <w:t>---</w:t>
            </w:r>
          </w:p>
        </w:tc>
        <w:tc>
          <w:tcPr>
            <w:tcW w:w="1186" w:type="dxa"/>
            <w:tcBorders>
              <w:top w:val="single" w:sz="12" w:space="0" w:color="000000"/>
              <w:left w:val="single" w:sz="6" w:space="0" w:color="000000"/>
              <w:bottom w:val="single" w:sz="12" w:space="0" w:color="000000"/>
              <w:right w:val="single" w:sz="6" w:space="0" w:color="000000"/>
            </w:tcBorders>
          </w:tcPr>
          <w:p>
            <w:pPr>
              <w:pStyle w:val="TableParagraph"/>
              <w:spacing w:line="169" w:lineRule="exact"/>
              <w:ind w:right="0"/>
              <w:jc w:val="right"/>
              <w:rPr>
                <w:rFonts w:ascii="Times New Roman" w:hAnsi="Times New Roman" w:cs="Times New Roman" w:eastAsia="Times New Roman" w:hint="default"/>
                <w:sz w:val="15"/>
                <w:szCs w:val="15"/>
              </w:rPr>
            </w:pPr>
            <w:r>
              <w:rPr>
                <w:rFonts w:ascii="Times New Roman"/>
                <w:spacing w:val="-1"/>
                <w:sz w:val="15"/>
              </w:rPr>
              <w:t>---</w:t>
            </w:r>
          </w:p>
        </w:tc>
        <w:tc>
          <w:tcPr>
            <w:tcW w:w="1234" w:type="dxa"/>
            <w:tcBorders>
              <w:top w:val="single" w:sz="12" w:space="0" w:color="000000"/>
              <w:left w:val="single" w:sz="6" w:space="0" w:color="000000"/>
              <w:bottom w:val="single" w:sz="12" w:space="0" w:color="000000"/>
              <w:right w:val="single" w:sz="6" w:space="0" w:color="000000"/>
            </w:tcBorders>
          </w:tcPr>
          <w:p>
            <w:pPr>
              <w:pStyle w:val="TableParagraph"/>
              <w:spacing w:line="169" w:lineRule="exact"/>
              <w:ind w:right="0"/>
              <w:jc w:val="right"/>
              <w:rPr>
                <w:rFonts w:ascii="Times New Roman" w:hAnsi="Times New Roman" w:cs="Times New Roman" w:eastAsia="Times New Roman" w:hint="default"/>
                <w:sz w:val="15"/>
                <w:szCs w:val="15"/>
              </w:rPr>
            </w:pPr>
            <w:r>
              <w:rPr>
                <w:rFonts w:ascii="Times New Roman"/>
                <w:spacing w:val="-1"/>
                <w:sz w:val="15"/>
              </w:rPr>
              <w:t>---</w:t>
            </w:r>
          </w:p>
        </w:tc>
        <w:tc>
          <w:tcPr>
            <w:tcW w:w="1157" w:type="dxa"/>
            <w:tcBorders>
              <w:top w:val="single" w:sz="12" w:space="0" w:color="000000"/>
              <w:left w:val="single" w:sz="6" w:space="0" w:color="000000"/>
              <w:bottom w:val="single" w:sz="12" w:space="0" w:color="000000"/>
              <w:right w:val="single" w:sz="6" w:space="0" w:color="000000"/>
            </w:tcBorders>
          </w:tcPr>
          <w:p>
            <w:pPr>
              <w:pStyle w:val="TableParagraph"/>
              <w:spacing w:line="169" w:lineRule="exact"/>
              <w:ind w:right="0"/>
              <w:jc w:val="right"/>
              <w:rPr>
                <w:rFonts w:ascii="Times New Roman" w:hAnsi="Times New Roman" w:cs="Times New Roman" w:eastAsia="Times New Roman" w:hint="default"/>
                <w:sz w:val="15"/>
                <w:szCs w:val="15"/>
              </w:rPr>
            </w:pPr>
            <w:r>
              <w:rPr>
                <w:rFonts w:ascii="Times New Roman"/>
                <w:spacing w:val="-1"/>
                <w:sz w:val="15"/>
              </w:rPr>
              <w:t>---</w:t>
            </w:r>
          </w:p>
        </w:tc>
        <w:tc>
          <w:tcPr>
            <w:tcW w:w="1157" w:type="dxa"/>
            <w:tcBorders>
              <w:top w:val="single" w:sz="12" w:space="0" w:color="000000"/>
              <w:left w:val="single" w:sz="6" w:space="0" w:color="000000"/>
              <w:bottom w:val="single" w:sz="12" w:space="0" w:color="000000"/>
              <w:right w:val="single" w:sz="6" w:space="0" w:color="000000"/>
            </w:tcBorders>
          </w:tcPr>
          <w:p>
            <w:pPr>
              <w:pStyle w:val="TableParagraph"/>
              <w:spacing w:line="169" w:lineRule="exact"/>
              <w:ind w:right="0"/>
              <w:jc w:val="right"/>
              <w:rPr>
                <w:rFonts w:ascii="Times New Roman" w:hAnsi="Times New Roman" w:cs="Times New Roman" w:eastAsia="Times New Roman" w:hint="default"/>
                <w:sz w:val="15"/>
                <w:szCs w:val="15"/>
              </w:rPr>
            </w:pPr>
            <w:r>
              <w:rPr>
                <w:rFonts w:ascii="Times New Roman"/>
                <w:spacing w:val="-1"/>
                <w:sz w:val="15"/>
              </w:rPr>
              <w:t>---</w:t>
            </w:r>
          </w:p>
        </w:tc>
        <w:tc>
          <w:tcPr>
            <w:tcW w:w="1207" w:type="dxa"/>
            <w:tcBorders>
              <w:top w:val="single" w:sz="12" w:space="0" w:color="000000"/>
              <w:left w:val="single" w:sz="6" w:space="0" w:color="000000"/>
              <w:bottom w:val="single" w:sz="12" w:space="0" w:color="000000"/>
              <w:right w:val="nil" w:sz="6" w:space="0" w:color="auto"/>
            </w:tcBorders>
          </w:tcPr>
          <w:p>
            <w:pPr>
              <w:pStyle w:val="TableParagraph"/>
              <w:spacing w:line="169" w:lineRule="exact"/>
              <w:ind w:right="5"/>
              <w:jc w:val="right"/>
              <w:rPr>
                <w:rFonts w:ascii="Times New Roman" w:hAnsi="Times New Roman" w:cs="Times New Roman" w:eastAsia="Times New Roman" w:hint="default"/>
                <w:sz w:val="15"/>
                <w:szCs w:val="15"/>
              </w:rPr>
            </w:pPr>
            <w:r>
              <w:rPr>
                <w:rFonts w:ascii="Times New Roman"/>
                <w:spacing w:val="-1"/>
                <w:sz w:val="15"/>
              </w:rPr>
              <w:t>---</w:t>
            </w:r>
          </w:p>
        </w:tc>
      </w:tr>
      <w:tr>
        <w:trPr>
          <w:trHeight w:val="235" w:hRule="exact"/>
        </w:trPr>
        <w:tc>
          <w:tcPr>
            <w:tcW w:w="1642" w:type="dxa"/>
            <w:tcBorders>
              <w:top w:val="single" w:sz="12" w:space="0" w:color="000000"/>
              <w:left w:val="single" w:sz="6" w:space="0" w:color="000000"/>
              <w:bottom w:val="single" w:sz="12" w:space="0" w:color="000000"/>
              <w:right w:val="single" w:sz="6" w:space="0" w:color="000000"/>
            </w:tcBorders>
          </w:tcPr>
          <w:p>
            <w:pPr>
              <w:pStyle w:val="TableParagraph"/>
              <w:tabs>
                <w:tab w:pos="364" w:val="left" w:leader="none"/>
              </w:tabs>
              <w:spacing w:line="175" w:lineRule="exact"/>
              <w:ind w:left="4" w:right="0"/>
              <w:jc w:val="left"/>
              <w:rPr>
                <w:rFonts w:ascii="宋体" w:hAnsi="宋体" w:cs="宋体" w:eastAsia="宋体" w:hint="default"/>
                <w:sz w:val="15"/>
                <w:szCs w:val="15"/>
              </w:rPr>
            </w:pPr>
            <w:r>
              <w:rPr>
                <w:rFonts w:ascii="宋体" w:hAnsi="宋体" w:cs="宋体" w:eastAsia="宋体" w:hint="default"/>
                <w:sz w:val="15"/>
                <w:szCs w:val="15"/>
              </w:rPr>
              <w:t>8.</w:t>
              <w:tab/>
            </w:r>
            <w:r>
              <w:rPr>
                <w:rFonts w:ascii="宋体" w:hAnsi="宋体" w:cs="宋体" w:eastAsia="宋体" w:hint="default"/>
                <w:sz w:val="15"/>
                <w:szCs w:val="15"/>
              </w:rPr>
              <w:t>账面价值合计</w:t>
            </w:r>
          </w:p>
        </w:tc>
        <w:tc>
          <w:tcPr>
            <w:tcW w:w="1466" w:type="dxa"/>
            <w:tcBorders>
              <w:top w:val="single" w:sz="12" w:space="0" w:color="000000"/>
              <w:left w:val="single" w:sz="6" w:space="0" w:color="000000"/>
              <w:bottom w:val="single" w:sz="12" w:space="0" w:color="000000"/>
              <w:right w:val="single" w:sz="6" w:space="0" w:color="000000"/>
            </w:tcBorders>
          </w:tcPr>
          <w:p>
            <w:pPr/>
          </w:p>
        </w:tc>
        <w:tc>
          <w:tcPr>
            <w:tcW w:w="1186" w:type="dxa"/>
            <w:tcBorders>
              <w:top w:val="single" w:sz="12" w:space="0" w:color="000000"/>
              <w:left w:val="single" w:sz="6" w:space="0" w:color="000000"/>
              <w:bottom w:val="single" w:sz="12" w:space="0" w:color="000000"/>
              <w:right w:val="single" w:sz="6" w:space="0" w:color="000000"/>
            </w:tcBorders>
          </w:tcPr>
          <w:p>
            <w:pPr/>
          </w:p>
        </w:tc>
        <w:tc>
          <w:tcPr>
            <w:tcW w:w="1234" w:type="dxa"/>
            <w:tcBorders>
              <w:top w:val="single" w:sz="12" w:space="0" w:color="000000"/>
              <w:left w:val="single" w:sz="6" w:space="0" w:color="000000"/>
              <w:bottom w:val="single" w:sz="12" w:space="0" w:color="000000"/>
              <w:right w:val="single" w:sz="6" w:space="0" w:color="000000"/>
            </w:tcBorders>
          </w:tcPr>
          <w:p>
            <w:pPr/>
          </w:p>
        </w:tc>
        <w:tc>
          <w:tcPr>
            <w:tcW w:w="1157" w:type="dxa"/>
            <w:tcBorders>
              <w:top w:val="single" w:sz="12" w:space="0" w:color="000000"/>
              <w:left w:val="single" w:sz="6" w:space="0" w:color="000000"/>
              <w:bottom w:val="single" w:sz="12" w:space="0" w:color="000000"/>
              <w:right w:val="single" w:sz="6" w:space="0" w:color="000000"/>
            </w:tcBorders>
          </w:tcPr>
          <w:p>
            <w:pPr/>
          </w:p>
        </w:tc>
        <w:tc>
          <w:tcPr>
            <w:tcW w:w="1157" w:type="dxa"/>
            <w:tcBorders>
              <w:top w:val="single" w:sz="12" w:space="0" w:color="000000"/>
              <w:left w:val="single" w:sz="6" w:space="0" w:color="000000"/>
              <w:bottom w:val="single" w:sz="12" w:space="0" w:color="000000"/>
              <w:right w:val="single" w:sz="6" w:space="0" w:color="000000"/>
            </w:tcBorders>
          </w:tcPr>
          <w:p>
            <w:pPr/>
          </w:p>
        </w:tc>
        <w:tc>
          <w:tcPr>
            <w:tcW w:w="1207" w:type="dxa"/>
            <w:tcBorders>
              <w:top w:val="single" w:sz="12" w:space="0" w:color="000000"/>
              <w:left w:val="single" w:sz="6" w:space="0" w:color="000000"/>
              <w:bottom w:val="single" w:sz="12" w:space="0" w:color="000000"/>
              <w:right w:val="nil" w:sz="6" w:space="0" w:color="auto"/>
            </w:tcBorders>
          </w:tcPr>
          <w:p>
            <w:pPr/>
          </w:p>
        </w:tc>
      </w:tr>
      <w:tr>
        <w:trPr>
          <w:trHeight w:val="235" w:hRule="exact"/>
        </w:trPr>
        <w:tc>
          <w:tcPr>
            <w:tcW w:w="1642" w:type="dxa"/>
            <w:tcBorders>
              <w:top w:val="single" w:sz="12" w:space="0" w:color="000000"/>
              <w:left w:val="single" w:sz="6" w:space="0" w:color="000000"/>
              <w:bottom w:val="single" w:sz="12" w:space="0" w:color="000000"/>
              <w:right w:val="single" w:sz="6" w:space="0" w:color="000000"/>
            </w:tcBorders>
          </w:tcPr>
          <w:p>
            <w:pPr>
              <w:pStyle w:val="TableParagraph"/>
              <w:tabs>
                <w:tab w:pos="364" w:val="left" w:leader="none"/>
              </w:tabs>
              <w:spacing w:line="175" w:lineRule="exact"/>
              <w:ind w:left="4" w:right="0"/>
              <w:jc w:val="left"/>
              <w:rPr>
                <w:rFonts w:ascii="宋体" w:hAnsi="宋体" w:cs="宋体" w:eastAsia="宋体" w:hint="default"/>
                <w:sz w:val="15"/>
                <w:szCs w:val="15"/>
              </w:rPr>
            </w:pPr>
            <w:r>
              <w:rPr>
                <w:rFonts w:ascii="宋体" w:hAnsi="宋体" w:cs="宋体" w:eastAsia="宋体" w:hint="default"/>
                <w:sz w:val="15"/>
                <w:szCs w:val="15"/>
              </w:rPr>
              <w:t>9.</w:t>
              <w:tab/>
            </w:r>
            <w:r>
              <w:rPr>
                <w:rFonts w:ascii="宋体" w:hAnsi="宋体" w:cs="宋体" w:eastAsia="宋体" w:hint="default"/>
                <w:sz w:val="15"/>
                <w:szCs w:val="15"/>
              </w:rPr>
              <w:t>期末账面价值</w:t>
            </w:r>
          </w:p>
        </w:tc>
        <w:tc>
          <w:tcPr>
            <w:tcW w:w="1466" w:type="dxa"/>
            <w:tcBorders>
              <w:top w:val="single" w:sz="12" w:space="0" w:color="000000"/>
              <w:left w:val="single" w:sz="6" w:space="0" w:color="000000"/>
              <w:bottom w:val="single" w:sz="12" w:space="0" w:color="000000"/>
              <w:right w:val="single" w:sz="6" w:space="0" w:color="000000"/>
            </w:tcBorders>
          </w:tcPr>
          <w:p>
            <w:pPr>
              <w:pStyle w:val="TableParagraph"/>
              <w:spacing w:line="169" w:lineRule="exact"/>
              <w:ind w:right="1"/>
              <w:jc w:val="right"/>
              <w:rPr>
                <w:rFonts w:ascii="Times New Roman" w:hAnsi="Times New Roman" w:cs="Times New Roman" w:eastAsia="Times New Roman" w:hint="default"/>
                <w:sz w:val="15"/>
                <w:szCs w:val="15"/>
              </w:rPr>
            </w:pPr>
            <w:r>
              <w:rPr>
                <w:rFonts w:ascii="Times New Roman"/>
                <w:spacing w:val="-1"/>
                <w:sz w:val="15"/>
              </w:rPr>
              <w:t>0.07</w:t>
            </w:r>
          </w:p>
        </w:tc>
        <w:tc>
          <w:tcPr>
            <w:tcW w:w="1186" w:type="dxa"/>
            <w:tcBorders>
              <w:top w:val="single" w:sz="12" w:space="0" w:color="000000"/>
              <w:left w:val="single" w:sz="6" w:space="0" w:color="000000"/>
              <w:bottom w:val="single" w:sz="12" w:space="0" w:color="000000"/>
              <w:right w:val="single" w:sz="6" w:space="0" w:color="000000"/>
            </w:tcBorders>
          </w:tcPr>
          <w:p>
            <w:pPr>
              <w:pStyle w:val="TableParagraph"/>
              <w:spacing w:line="169" w:lineRule="exact"/>
              <w:ind w:right="2"/>
              <w:jc w:val="right"/>
              <w:rPr>
                <w:rFonts w:ascii="Times New Roman" w:hAnsi="Times New Roman" w:cs="Times New Roman" w:eastAsia="Times New Roman" w:hint="default"/>
                <w:sz w:val="15"/>
                <w:szCs w:val="15"/>
              </w:rPr>
            </w:pPr>
            <w:r>
              <w:rPr>
                <w:rFonts w:ascii="Times New Roman"/>
                <w:spacing w:val="-1"/>
                <w:sz w:val="15"/>
              </w:rPr>
              <w:t>4,058.39</w:t>
            </w:r>
            <w:r>
              <w:rPr>
                <w:rFonts w:ascii="Times New Roman"/>
                <w:sz w:val="15"/>
              </w:rPr>
            </w:r>
          </w:p>
        </w:tc>
        <w:tc>
          <w:tcPr>
            <w:tcW w:w="1234" w:type="dxa"/>
            <w:tcBorders>
              <w:top w:val="single" w:sz="12" w:space="0" w:color="000000"/>
              <w:left w:val="single" w:sz="6" w:space="0" w:color="000000"/>
              <w:bottom w:val="single" w:sz="12" w:space="0" w:color="000000"/>
              <w:right w:val="single" w:sz="6" w:space="0" w:color="000000"/>
            </w:tcBorders>
          </w:tcPr>
          <w:p>
            <w:pPr>
              <w:pStyle w:val="TableParagraph"/>
              <w:spacing w:line="169" w:lineRule="exact"/>
              <w:ind w:right="2"/>
              <w:jc w:val="right"/>
              <w:rPr>
                <w:rFonts w:ascii="Times New Roman" w:hAnsi="Times New Roman" w:cs="Times New Roman" w:eastAsia="Times New Roman" w:hint="default"/>
                <w:sz w:val="15"/>
                <w:szCs w:val="15"/>
              </w:rPr>
            </w:pPr>
            <w:r>
              <w:rPr>
                <w:rFonts w:ascii="Times New Roman"/>
                <w:spacing w:val="-2"/>
                <w:sz w:val="15"/>
              </w:rPr>
              <w:t>2,988,980.66</w:t>
            </w:r>
            <w:r>
              <w:rPr>
                <w:rFonts w:ascii="Times New Roman"/>
                <w:sz w:val="15"/>
              </w:rPr>
            </w:r>
          </w:p>
        </w:tc>
        <w:tc>
          <w:tcPr>
            <w:tcW w:w="1157" w:type="dxa"/>
            <w:tcBorders>
              <w:top w:val="single" w:sz="12" w:space="0" w:color="000000"/>
              <w:left w:val="single" w:sz="6" w:space="0" w:color="000000"/>
              <w:bottom w:val="single" w:sz="12" w:space="0" w:color="000000"/>
              <w:right w:val="single" w:sz="6" w:space="0" w:color="000000"/>
            </w:tcBorders>
          </w:tcPr>
          <w:p>
            <w:pPr>
              <w:pStyle w:val="TableParagraph"/>
              <w:spacing w:line="169" w:lineRule="exact"/>
              <w:ind w:right="2"/>
              <w:jc w:val="right"/>
              <w:rPr>
                <w:rFonts w:ascii="Times New Roman" w:hAnsi="Times New Roman" w:cs="Times New Roman" w:eastAsia="Times New Roman" w:hint="default"/>
                <w:sz w:val="15"/>
                <w:szCs w:val="15"/>
              </w:rPr>
            </w:pPr>
            <w:r>
              <w:rPr>
                <w:rFonts w:ascii="Times New Roman"/>
                <w:spacing w:val="-2"/>
                <w:sz w:val="15"/>
              </w:rPr>
              <w:t>317,965.57</w:t>
            </w:r>
            <w:r>
              <w:rPr>
                <w:rFonts w:ascii="Times New Roman"/>
                <w:sz w:val="15"/>
              </w:rPr>
            </w:r>
          </w:p>
        </w:tc>
        <w:tc>
          <w:tcPr>
            <w:tcW w:w="1157" w:type="dxa"/>
            <w:tcBorders>
              <w:top w:val="single" w:sz="12" w:space="0" w:color="000000"/>
              <w:left w:val="single" w:sz="6" w:space="0" w:color="000000"/>
              <w:bottom w:val="single" w:sz="12" w:space="0" w:color="000000"/>
              <w:right w:val="single" w:sz="6" w:space="0" w:color="000000"/>
            </w:tcBorders>
          </w:tcPr>
          <w:p>
            <w:pPr>
              <w:pStyle w:val="TableParagraph"/>
              <w:spacing w:line="169" w:lineRule="exact"/>
              <w:ind w:right="2"/>
              <w:jc w:val="right"/>
              <w:rPr>
                <w:rFonts w:ascii="Times New Roman" w:hAnsi="Times New Roman" w:cs="Times New Roman" w:eastAsia="Times New Roman" w:hint="default"/>
                <w:sz w:val="15"/>
                <w:szCs w:val="15"/>
              </w:rPr>
            </w:pPr>
            <w:r>
              <w:rPr>
                <w:rFonts w:ascii="Times New Roman"/>
                <w:spacing w:val="-2"/>
                <w:sz w:val="15"/>
              </w:rPr>
              <w:t>367,295.18</w:t>
            </w:r>
            <w:r>
              <w:rPr>
                <w:rFonts w:ascii="Times New Roman"/>
                <w:sz w:val="15"/>
              </w:rPr>
            </w:r>
          </w:p>
        </w:tc>
        <w:tc>
          <w:tcPr>
            <w:tcW w:w="1207" w:type="dxa"/>
            <w:tcBorders>
              <w:top w:val="single" w:sz="12" w:space="0" w:color="000000"/>
              <w:left w:val="single" w:sz="6" w:space="0" w:color="000000"/>
              <w:bottom w:val="single" w:sz="12" w:space="0" w:color="000000"/>
              <w:right w:val="nil" w:sz="6" w:space="0" w:color="auto"/>
            </w:tcBorders>
          </w:tcPr>
          <w:p>
            <w:pPr>
              <w:pStyle w:val="TableParagraph"/>
              <w:spacing w:line="169" w:lineRule="exact"/>
              <w:ind w:right="10"/>
              <w:jc w:val="right"/>
              <w:rPr>
                <w:rFonts w:ascii="Times New Roman" w:hAnsi="Times New Roman" w:cs="Times New Roman" w:eastAsia="Times New Roman" w:hint="default"/>
                <w:sz w:val="15"/>
                <w:szCs w:val="15"/>
              </w:rPr>
            </w:pPr>
            <w:r>
              <w:rPr>
                <w:rFonts w:ascii="Times New Roman"/>
                <w:spacing w:val="-2"/>
                <w:sz w:val="15"/>
              </w:rPr>
              <w:t>3,678,299.87</w:t>
            </w:r>
            <w:r>
              <w:rPr>
                <w:rFonts w:ascii="Times New Roman"/>
                <w:sz w:val="15"/>
              </w:rPr>
            </w:r>
          </w:p>
        </w:tc>
      </w:tr>
      <w:tr>
        <w:trPr>
          <w:trHeight w:val="238" w:hRule="exact"/>
        </w:trPr>
        <w:tc>
          <w:tcPr>
            <w:tcW w:w="1642" w:type="dxa"/>
            <w:tcBorders>
              <w:top w:val="single" w:sz="12" w:space="0" w:color="000000"/>
              <w:left w:val="single" w:sz="6" w:space="0" w:color="000000"/>
              <w:bottom w:val="single" w:sz="12" w:space="0" w:color="000000"/>
              <w:right w:val="single" w:sz="6" w:space="0" w:color="000000"/>
            </w:tcBorders>
          </w:tcPr>
          <w:p>
            <w:pPr>
              <w:pStyle w:val="TableParagraph"/>
              <w:spacing w:line="175" w:lineRule="exact"/>
              <w:ind w:left="4" w:right="0"/>
              <w:jc w:val="left"/>
              <w:rPr>
                <w:rFonts w:ascii="宋体" w:hAnsi="宋体" w:cs="宋体" w:eastAsia="宋体" w:hint="default"/>
                <w:sz w:val="15"/>
                <w:szCs w:val="15"/>
              </w:rPr>
            </w:pPr>
            <w:r>
              <w:rPr>
                <w:rFonts w:ascii="宋体" w:hAnsi="宋体" w:cs="宋体" w:eastAsia="宋体" w:hint="default"/>
                <w:sz w:val="15"/>
                <w:szCs w:val="15"/>
              </w:rPr>
              <w:t>10.</w:t>
            </w:r>
            <w:r>
              <w:rPr>
                <w:rFonts w:ascii="宋体" w:hAnsi="宋体" w:cs="宋体" w:eastAsia="宋体" w:hint="default"/>
                <w:spacing w:val="60"/>
                <w:sz w:val="15"/>
                <w:szCs w:val="15"/>
              </w:rPr>
              <w:t> </w:t>
            </w:r>
            <w:r>
              <w:rPr>
                <w:rFonts w:ascii="宋体" w:hAnsi="宋体" w:cs="宋体" w:eastAsia="宋体" w:hint="default"/>
                <w:sz w:val="15"/>
                <w:szCs w:val="15"/>
              </w:rPr>
              <w:t>期初账面价值</w:t>
            </w:r>
          </w:p>
        </w:tc>
        <w:tc>
          <w:tcPr>
            <w:tcW w:w="1466" w:type="dxa"/>
            <w:tcBorders>
              <w:top w:val="single" w:sz="12" w:space="0" w:color="000000"/>
              <w:left w:val="single" w:sz="6" w:space="0" w:color="000000"/>
              <w:bottom w:val="single" w:sz="12" w:space="0" w:color="000000"/>
              <w:right w:val="single" w:sz="6" w:space="0" w:color="000000"/>
            </w:tcBorders>
          </w:tcPr>
          <w:p>
            <w:pPr>
              <w:pStyle w:val="TableParagraph"/>
              <w:spacing w:line="169" w:lineRule="exact"/>
              <w:ind w:right="0"/>
              <w:jc w:val="right"/>
              <w:rPr>
                <w:rFonts w:ascii="Times New Roman" w:hAnsi="Times New Roman" w:cs="Times New Roman" w:eastAsia="Times New Roman" w:hint="default"/>
                <w:sz w:val="15"/>
                <w:szCs w:val="15"/>
              </w:rPr>
            </w:pPr>
            <w:r>
              <w:rPr>
                <w:rFonts w:ascii="Times New Roman"/>
                <w:spacing w:val="-2"/>
                <w:sz w:val="15"/>
              </w:rPr>
              <w:t>169,527.87</w:t>
            </w:r>
            <w:r>
              <w:rPr>
                <w:rFonts w:ascii="Times New Roman"/>
                <w:sz w:val="15"/>
              </w:rPr>
            </w:r>
          </w:p>
        </w:tc>
        <w:tc>
          <w:tcPr>
            <w:tcW w:w="1186" w:type="dxa"/>
            <w:tcBorders>
              <w:top w:val="single" w:sz="12" w:space="0" w:color="000000"/>
              <w:left w:val="single" w:sz="6" w:space="0" w:color="000000"/>
              <w:bottom w:val="single" w:sz="12" w:space="0" w:color="000000"/>
              <w:right w:val="single" w:sz="6" w:space="0" w:color="000000"/>
            </w:tcBorders>
          </w:tcPr>
          <w:p>
            <w:pPr>
              <w:pStyle w:val="TableParagraph"/>
              <w:spacing w:line="169" w:lineRule="exact"/>
              <w:ind w:right="1"/>
              <w:jc w:val="right"/>
              <w:rPr>
                <w:rFonts w:ascii="Times New Roman" w:hAnsi="Times New Roman" w:cs="Times New Roman" w:eastAsia="Times New Roman" w:hint="default"/>
                <w:sz w:val="15"/>
                <w:szCs w:val="15"/>
              </w:rPr>
            </w:pPr>
            <w:r>
              <w:rPr>
                <w:rFonts w:ascii="Times New Roman"/>
                <w:spacing w:val="-1"/>
                <w:sz w:val="15"/>
              </w:rPr>
              <w:t>28,409.99</w:t>
            </w:r>
          </w:p>
        </w:tc>
        <w:tc>
          <w:tcPr>
            <w:tcW w:w="1234" w:type="dxa"/>
            <w:tcBorders>
              <w:top w:val="single" w:sz="12" w:space="0" w:color="000000"/>
              <w:left w:val="single" w:sz="6" w:space="0" w:color="000000"/>
              <w:bottom w:val="single" w:sz="12" w:space="0" w:color="000000"/>
              <w:right w:val="single" w:sz="6" w:space="0" w:color="000000"/>
            </w:tcBorders>
          </w:tcPr>
          <w:p>
            <w:pPr>
              <w:pStyle w:val="TableParagraph"/>
              <w:spacing w:line="169" w:lineRule="exact"/>
              <w:ind w:right="2"/>
              <w:jc w:val="right"/>
              <w:rPr>
                <w:rFonts w:ascii="Times New Roman" w:hAnsi="Times New Roman" w:cs="Times New Roman" w:eastAsia="Times New Roman" w:hint="default"/>
                <w:sz w:val="15"/>
                <w:szCs w:val="15"/>
              </w:rPr>
            </w:pPr>
            <w:r>
              <w:rPr>
                <w:rFonts w:ascii="Times New Roman"/>
                <w:spacing w:val="-2"/>
                <w:sz w:val="15"/>
              </w:rPr>
              <w:t>4,115,401.78</w:t>
            </w:r>
            <w:r>
              <w:rPr>
                <w:rFonts w:ascii="Times New Roman"/>
                <w:sz w:val="15"/>
              </w:rPr>
            </w:r>
          </w:p>
        </w:tc>
        <w:tc>
          <w:tcPr>
            <w:tcW w:w="1157" w:type="dxa"/>
            <w:tcBorders>
              <w:top w:val="single" w:sz="12" w:space="0" w:color="000000"/>
              <w:left w:val="single" w:sz="6" w:space="0" w:color="000000"/>
              <w:bottom w:val="single" w:sz="12" w:space="0" w:color="000000"/>
              <w:right w:val="single" w:sz="6" w:space="0" w:color="000000"/>
            </w:tcBorders>
          </w:tcPr>
          <w:p>
            <w:pPr>
              <w:pStyle w:val="TableParagraph"/>
              <w:spacing w:line="169" w:lineRule="exact"/>
              <w:ind w:right="2"/>
              <w:jc w:val="right"/>
              <w:rPr>
                <w:rFonts w:ascii="Times New Roman" w:hAnsi="Times New Roman" w:cs="Times New Roman" w:eastAsia="Times New Roman" w:hint="default"/>
                <w:sz w:val="15"/>
                <w:szCs w:val="15"/>
              </w:rPr>
            </w:pPr>
            <w:r>
              <w:rPr>
                <w:rFonts w:ascii="Times New Roman"/>
                <w:spacing w:val="-2"/>
                <w:sz w:val="15"/>
              </w:rPr>
              <w:t>483,860.77</w:t>
            </w:r>
            <w:r>
              <w:rPr>
                <w:rFonts w:ascii="Times New Roman"/>
                <w:sz w:val="15"/>
              </w:rPr>
            </w:r>
          </w:p>
        </w:tc>
        <w:tc>
          <w:tcPr>
            <w:tcW w:w="1157" w:type="dxa"/>
            <w:tcBorders>
              <w:top w:val="single" w:sz="12" w:space="0" w:color="000000"/>
              <w:left w:val="single" w:sz="6" w:space="0" w:color="000000"/>
              <w:bottom w:val="single" w:sz="12" w:space="0" w:color="000000"/>
              <w:right w:val="single" w:sz="6" w:space="0" w:color="000000"/>
            </w:tcBorders>
          </w:tcPr>
          <w:p>
            <w:pPr>
              <w:pStyle w:val="TableParagraph"/>
              <w:spacing w:line="169" w:lineRule="exact"/>
              <w:ind w:right="2"/>
              <w:jc w:val="right"/>
              <w:rPr>
                <w:rFonts w:ascii="Times New Roman" w:hAnsi="Times New Roman" w:cs="Times New Roman" w:eastAsia="Times New Roman" w:hint="default"/>
                <w:sz w:val="15"/>
                <w:szCs w:val="15"/>
              </w:rPr>
            </w:pPr>
            <w:r>
              <w:rPr>
                <w:rFonts w:ascii="Times New Roman"/>
                <w:spacing w:val="-2"/>
                <w:sz w:val="15"/>
              </w:rPr>
              <w:t>327,739.81</w:t>
            </w:r>
            <w:r>
              <w:rPr>
                <w:rFonts w:ascii="Times New Roman"/>
                <w:sz w:val="15"/>
              </w:rPr>
            </w:r>
          </w:p>
        </w:tc>
        <w:tc>
          <w:tcPr>
            <w:tcW w:w="1207" w:type="dxa"/>
            <w:tcBorders>
              <w:top w:val="single" w:sz="12" w:space="0" w:color="000000"/>
              <w:left w:val="single" w:sz="6" w:space="0" w:color="000000"/>
              <w:bottom w:val="single" w:sz="12" w:space="0" w:color="000000"/>
              <w:right w:val="nil" w:sz="6" w:space="0" w:color="auto"/>
            </w:tcBorders>
          </w:tcPr>
          <w:p>
            <w:pPr>
              <w:pStyle w:val="TableParagraph"/>
              <w:spacing w:line="169" w:lineRule="exact"/>
              <w:ind w:right="10"/>
              <w:jc w:val="right"/>
              <w:rPr>
                <w:rFonts w:ascii="Times New Roman" w:hAnsi="Times New Roman" w:cs="Times New Roman" w:eastAsia="Times New Roman" w:hint="default"/>
                <w:sz w:val="15"/>
                <w:szCs w:val="15"/>
              </w:rPr>
            </w:pPr>
            <w:r>
              <w:rPr>
                <w:rFonts w:ascii="Times New Roman"/>
                <w:spacing w:val="-2"/>
                <w:sz w:val="15"/>
              </w:rPr>
              <w:t>5,124,940.22</w:t>
            </w:r>
            <w:r>
              <w:rPr>
                <w:rFonts w:ascii="Times New Roman"/>
                <w:sz w:val="15"/>
              </w:rPr>
            </w:r>
          </w:p>
        </w:tc>
      </w:tr>
    </w:tbl>
    <w:p>
      <w:pPr>
        <w:spacing w:line="240" w:lineRule="auto" w:before="8"/>
        <w:rPr>
          <w:rFonts w:ascii="宋体" w:hAnsi="宋体" w:cs="宋体" w:eastAsia="宋体" w:hint="default"/>
          <w:b/>
          <w:bCs/>
          <w:sz w:val="14"/>
          <w:szCs w:val="14"/>
        </w:rPr>
      </w:pPr>
    </w:p>
    <w:p>
      <w:pPr>
        <w:pStyle w:val="Heading5"/>
        <w:spacing w:line="240" w:lineRule="auto" w:before="36"/>
        <w:ind w:left="575" w:right="0"/>
        <w:jc w:val="left"/>
        <w:rPr>
          <w:b w:val="0"/>
          <w:bCs w:val="0"/>
        </w:rPr>
      </w:pPr>
      <w:r>
        <w:rPr>
          <w:rFonts w:ascii="Times New Roman" w:hAnsi="Times New Roman" w:cs="Times New Roman" w:eastAsia="Times New Roman" w:hint="default"/>
        </w:rPr>
        <w:t>2.</w:t>
      </w:r>
      <w:r>
        <w:rPr/>
        <w:t>本公司认为期末无形资产未出现可收回金额低于账面价值的情形，故未计提无形资产减值准备。</w:t>
      </w:r>
      <w:r>
        <w:rPr>
          <w:b w:val="0"/>
          <w:bCs w:val="0"/>
        </w:rPr>
      </w:r>
    </w:p>
    <w:p>
      <w:pPr>
        <w:pStyle w:val="Heading5"/>
        <w:spacing w:line="240" w:lineRule="auto" w:before="21"/>
        <w:ind w:left="575" w:right="0"/>
        <w:jc w:val="left"/>
        <w:rPr>
          <w:b w:val="0"/>
          <w:bCs w:val="0"/>
        </w:rPr>
      </w:pPr>
      <w:r>
        <w:rPr>
          <w:rFonts w:ascii="Times New Roman" w:hAnsi="Times New Roman" w:cs="Times New Roman" w:eastAsia="Times New Roman" w:hint="default"/>
        </w:rPr>
        <w:t>3</w:t>
      </w:r>
      <w:r>
        <w:rPr/>
        <w:t>．本公司期末无形资产不存在抵押情况。</w:t>
      </w:r>
      <w:r>
        <w:rPr>
          <w:b w:val="0"/>
          <w:bCs w:val="0"/>
        </w:rPr>
      </w:r>
    </w:p>
    <w:p>
      <w:pPr>
        <w:pStyle w:val="Heading5"/>
        <w:spacing w:line="240" w:lineRule="auto" w:before="21"/>
        <w:ind w:left="462" w:right="0"/>
        <w:jc w:val="left"/>
        <w:rPr>
          <w:b w:val="0"/>
          <w:bCs w:val="0"/>
        </w:rPr>
      </w:pPr>
      <w:r>
        <w:rPr/>
        <w:t>（十二）开发支出</w:t>
      </w:r>
      <w:r>
        <w:rPr>
          <w:b w:val="0"/>
          <w:bCs w:val="0"/>
        </w:rPr>
      </w:r>
    </w:p>
    <w:p>
      <w:pPr>
        <w:spacing w:after="0" w:line="240" w:lineRule="auto"/>
        <w:jc w:val="left"/>
        <w:sectPr>
          <w:pgSz w:w="11910" w:h="16840"/>
          <w:pgMar w:header="880" w:footer="979" w:top="1060" w:bottom="1160" w:left="980" w:right="980"/>
        </w:sectPr>
      </w:pPr>
    </w:p>
    <w:p>
      <w:pPr>
        <w:spacing w:line="240" w:lineRule="auto" w:before="4"/>
        <w:rPr>
          <w:rFonts w:ascii="宋体" w:hAnsi="宋体" w:cs="宋体" w:eastAsia="宋体" w:hint="default"/>
          <w:b/>
          <w:bCs/>
          <w:sz w:val="28"/>
          <w:szCs w:val="28"/>
        </w:rPr>
      </w:pPr>
    </w:p>
    <w:tbl>
      <w:tblPr>
        <w:tblW w:w="0" w:type="auto"/>
        <w:jc w:val="left"/>
        <w:tblInd w:w="145" w:type="dxa"/>
        <w:tblLayout w:type="fixed"/>
        <w:tblCellMar>
          <w:top w:w="0" w:type="dxa"/>
          <w:left w:w="0" w:type="dxa"/>
          <w:bottom w:w="0" w:type="dxa"/>
          <w:right w:w="0" w:type="dxa"/>
        </w:tblCellMar>
        <w:tblLook w:val="01E0"/>
      </w:tblPr>
      <w:tblGrid>
        <w:gridCol w:w="1908"/>
        <w:gridCol w:w="1469"/>
        <w:gridCol w:w="1382"/>
        <w:gridCol w:w="739"/>
        <w:gridCol w:w="854"/>
        <w:gridCol w:w="1042"/>
        <w:gridCol w:w="1654"/>
      </w:tblGrid>
      <w:tr>
        <w:trPr>
          <w:trHeight w:val="355" w:hRule="exact"/>
        </w:trPr>
        <w:tc>
          <w:tcPr>
            <w:tcW w:w="1908" w:type="dxa"/>
            <w:vMerge w:val="restart"/>
            <w:tcBorders>
              <w:top w:val="single" w:sz="6" w:space="0" w:color="000000"/>
              <w:left w:val="single" w:sz="6" w:space="0" w:color="000000"/>
              <w:right w:val="single" w:sz="6" w:space="0" w:color="000000"/>
            </w:tcBorders>
          </w:tcPr>
          <w:p>
            <w:pPr>
              <w:pStyle w:val="TableParagraph"/>
              <w:spacing w:line="250" w:lineRule="exact"/>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69" w:type="dxa"/>
            <w:vMerge w:val="restart"/>
            <w:tcBorders>
              <w:top w:val="single" w:sz="6" w:space="0" w:color="000000"/>
              <w:left w:val="single" w:sz="6" w:space="0" w:color="000000"/>
              <w:right w:val="single" w:sz="6" w:space="0" w:color="000000"/>
            </w:tcBorders>
          </w:tcPr>
          <w:p>
            <w:pPr>
              <w:pStyle w:val="TableParagraph"/>
              <w:spacing w:line="250" w:lineRule="exact"/>
              <w:ind w:left="307"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122" w:type="dxa"/>
            <w:gridSpan w:val="2"/>
            <w:tcBorders>
              <w:top w:val="single" w:sz="6" w:space="0" w:color="000000"/>
              <w:left w:val="single" w:sz="6" w:space="0" w:color="000000"/>
              <w:bottom w:val="single" w:sz="12" w:space="0" w:color="000000"/>
              <w:right w:val="single" w:sz="6" w:space="0" w:color="000000"/>
            </w:tcBorders>
          </w:tcPr>
          <w:p>
            <w:pPr>
              <w:pStyle w:val="TableParagraph"/>
              <w:spacing w:line="250" w:lineRule="exact"/>
              <w:ind w:left="633"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96" w:type="dxa"/>
            <w:gridSpan w:val="2"/>
            <w:tcBorders>
              <w:top w:val="single" w:sz="6" w:space="0" w:color="000000"/>
              <w:left w:val="single" w:sz="6" w:space="0" w:color="000000"/>
              <w:bottom w:val="single" w:sz="12" w:space="0" w:color="000000"/>
              <w:right w:val="single" w:sz="6" w:space="0" w:color="000000"/>
            </w:tcBorders>
          </w:tcPr>
          <w:p>
            <w:pPr>
              <w:pStyle w:val="TableParagraph"/>
              <w:spacing w:line="250" w:lineRule="exact"/>
              <w:ind w:left="415" w:right="0"/>
              <w:jc w:val="left"/>
              <w:rPr>
                <w:rFonts w:ascii="宋体" w:hAnsi="宋体" w:cs="宋体" w:eastAsia="宋体" w:hint="default"/>
                <w:sz w:val="21"/>
                <w:szCs w:val="21"/>
              </w:rPr>
            </w:pPr>
            <w:r>
              <w:rPr>
                <w:rFonts w:ascii="宋体" w:hAnsi="宋体" w:cs="宋体" w:eastAsia="宋体" w:hint="default"/>
                <w:sz w:val="21"/>
                <w:szCs w:val="21"/>
              </w:rPr>
              <w:t>本期转出数</w:t>
            </w:r>
          </w:p>
        </w:tc>
        <w:tc>
          <w:tcPr>
            <w:tcW w:w="1654" w:type="dxa"/>
            <w:vMerge w:val="restart"/>
            <w:tcBorders>
              <w:top w:val="single" w:sz="6" w:space="0" w:color="000000"/>
              <w:left w:val="single" w:sz="6" w:space="0" w:color="000000"/>
              <w:right w:val="nil" w:sz="6" w:space="0" w:color="auto"/>
            </w:tcBorders>
          </w:tcPr>
          <w:p>
            <w:pPr>
              <w:pStyle w:val="TableParagraph"/>
              <w:spacing w:line="250" w:lineRule="exact"/>
              <w:ind w:left="400"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86" w:hRule="exact"/>
        </w:trPr>
        <w:tc>
          <w:tcPr>
            <w:tcW w:w="1908" w:type="dxa"/>
            <w:vMerge/>
            <w:tcBorders>
              <w:left w:val="single" w:sz="6" w:space="0" w:color="000000"/>
              <w:bottom w:val="single" w:sz="12" w:space="0" w:color="000000"/>
              <w:right w:val="single" w:sz="6" w:space="0" w:color="000000"/>
            </w:tcBorders>
          </w:tcPr>
          <w:p>
            <w:pPr/>
          </w:p>
        </w:tc>
        <w:tc>
          <w:tcPr>
            <w:tcW w:w="1469" w:type="dxa"/>
            <w:vMerge/>
            <w:tcBorders>
              <w:left w:val="single" w:sz="6" w:space="0" w:color="000000"/>
              <w:bottom w:val="single" w:sz="12" w:space="0" w:color="000000"/>
              <w:right w:val="single" w:sz="6" w:space="0" w:color="000000"/>
            </w:tcBorders>
          </w:tcPr>
          <w:p>
            <w:pPr/>
          </w:p>
        </w:tc>
        <w:tc>
          <w:tcPr>
            <w:tcW w:w="1382"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55" w:right="0"/>
              <w:jc w:val="left"/>
              <w:rPr>
                <w:rFonts w:ascii="宋体" w:hAnsi="宋体" w:cs="宋体" w:eastAsia="宋体" w:hint="default"/>
                <w:sz w:val="21"/>
                <w:szCs w:val="21"/>
              </w:rPr>
            </w:pPr>
            <w:r>
              <w:rPr>
                <w:rFonts w:ascii="宋体" w:hAnsi="宋体" w:cs="宋体" w:eastAsia="宋体" w:hint="default"/>
                <w:sz w:val="21"/>
                <w:szCs w:val="21"/>
              </w:rPr>
              <w:t>内部开发支出</w:t>
            </w:r>
          </w:p>
        </w:tc>
        <w:tc>
          <w:tcPr>
            <w:tcW w:w="739"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15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854" w:type="dxa"/>
            <w:tcBorders>
              <w:top w:val="single" w:sz="12" w:space="0" w:color="000000"/>
              <w:left w:val="single" w:sz="6" w:space="0" w:color="000000"/>
              <w:bottom w:val="single" w:sz="12"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w:t>
            </w:r>
          </w:p>
        </w:tc>
        <w:tc>
          <w:tcPr>
            <w:tcW w:w="1042" w:type="dxa"/>
            <w:tcBorders>
              <w:top w:val="single" w:sz="12" w:space="0" w:color="000000"/>
              <w:left w:val="single" w:sz="6" w:space="0" w:color="000000"/>
              <w:bottom w:val="single" w:sz="12" w:space="0" w:color="000000"/>
              <w:right w:val="single" w:sz="6"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确认为无</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形资产</w:t>
            </w:r>
          </w:p>
        </w:tc>
        <w:tc>
          <w:tcPr>
            <w:tcW w:w="1654" w:type="dxa"/>
            <w:vMerge/>
            <w:tcBorders>
              <w:left w:val="single" w:sz="6" w:space="0" w:color="000000"/>
              <w:bottom w:val="single" w:sz="12" w:space="0" w:color="000000"/>
              <w:right w:val="nil" w:sz="6" w:space="0" w:color="auto"/>
            </w:tcBorders>
          </w:tcPr>
          <w:p>
            <w:pPr/>
          </w:p>
        </w:tc>
      </w:tr>
      <w:tr>
        <w:trPr>
          <w:trHeight w:val="586" w:hRule="exact"/>
        </w:trPr>
        <w:tc>
          <w:tcPr>
            <w:tcW w:w="1908" w:type="dxa"/>
            <w:tcBorders>
              <w:top w:val="single" w:sz="12" w:space="0" w:color="000000"/>
              <w:left w:val="single" w:sz="6" w:space="0" w:color="000000"/>
              <w:bottom w:val="single" w:sz="12" w:space="0" w:color="000000"/>
              <w:right w:val="single" w:sz="6" w:space="0" w:color="000000"/>
            </w:tcBorders>
          </w:tcPr>
          <w:p>
            <w:pPr>
              <w:pStyle w:val="TableParagraph"/>
              <w:spacing w:line="240" w:lineRule="exact"/>
              <w:ind w:left="4" w:right="-31"/>
              <w:jc w:val="left"/>
              <w:rPr>
                <w:rFonts w:ascii="宋体" w:hAnsi="宋体" w:cs="宋体" w:eastAsia="宋体" w:hint="default"/>
                <w:sz w:val="21"/>
                <w:szCs w:val="21"/>
              </w:rPr>
            </w:pPr>
            <w:r>
              <w:rPr>
                <w:rFonts w:ascii="宋体" w:hAnsi="宋体" w:cs="宋体" w:eastAsia="宋体" w:hint="default"/>
                <w:spacing w:val="23"/>
                <w:sz w:val="21"/>
                <w:szCs w:val="21"/>
              </w:rPr>
              <w:t>中小学教材同步辅</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w w:val="100"/>
                <w:sz w:val="21"/>
                <w:szCs w:val="21"/>
              </w:rPr>
              <w:t>导</w:t>
            </w:r>
          </w:p>
        </w:tc>
        <w:tc>
          <w:tcPr>
            <w:tcW w:w="1469"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1,457,813.01</w:t>
            </w:r>
          </w:p>
        </w:tc>
        <w:tc>
          <w:tcPr>
            <w:tcW w:w="1382"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Times New Roman" w:hAnsi="Times New Roman" w:cs="Times New Roman" w:eastAsia="Times New Roman" w:hint="default"/>
                <w:sz w:val="21"/>
                <w:szCs w:val="21"/>
              </w:rPr>
            </w:pPr>
            <w:r>
              <w:rPr>
                <w:rFonts w:ascii="Times New Roman"/>
                <w:spacing w:val="-1"/>
                <w:sz w:val="21"/>
              </w:rPr>
              <w:t>963,465.59</w:t>
            </w:r>
          </w:p>
        </w:tc>
        <w:tc>
          <w:tcPr>
            <w:tcW w:w="739"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854"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042"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654"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7"/>
              <w:jc w:val="right"/>
              <w:rPr>
                <w:rFonts w:ascii="Times New Roman" w:hAnsi="Times New Roman" w:cs="Times New Roman" w:eastAsia="Times New Roman" w:hint="default"/>
                <w:sz w:val="21"/>
                <w:szCs w:val="21"/>
              </w:rPr>
            </w:pPr>
            <w:r>
              <w:rPr>
                <w:rFonts w:ascii="Times New Roman"/>
                <w:spacing w:val="-1"/>
                <w:sz w:val="21"/>
              </w:rPr>
              <w:t>2,421,278.60</w:t>
            </w:r>
          </w:p>
        </w:tc>
      </w:tr>
      <w:tr>
        <w:trPr>
          <w:trHeight w:val="353" w:hRule="exact"/>
        </w:trPr>
        <w:tc>
          <w:tcPr>
            <w:tcW w:w="1908"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69"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1,457,813.01</w:t>
            </w:r>
          </w:p>
        </w:tc>
        <w:tc>
          <w:tcPr>
            <w:tcW w:w="1382"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Times New Roman" w:hAnsi="Times New Roman" w:cs="Times New Roman" w:eastAsia="Times New Roman" w:hint="default"/>
                <w:sz w:val="21"/>
                <w:szCs w:val="21"/>
              </w:rPr>
            </w:pPr>
            <w:r>
              <w:rPr>
                <w:rFonts w:ascii="Times New Roman"/>
                <w:spacing w:val="-1"/>
                <w:sz w:val="21"/>
              </w:rPr>
              <w:t>963,465.59</w:t>
            </w:r>
          </w:p>
        </w:tc>
        <w:tc>
          <w:tcPr>
            <w:tcW w:w="739"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854"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042"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654"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7"/>
              <w:jc w:val="right"/>
              <w:rPr>
                <w:rFonts w:ascii="Times New Roman" w:hAnsi="Times New Roman" w:cs="Times New Roman" w:eastAsia="Times New Roman" w:hint="default"/>
                <w:sz w:val="21"/>
                <w:szCs w:val="21"/>
              </w:rPr>
            </w:pPr>
            <w:r>
              <w:rPr>
                <w:rFonts w:ascii="Times New Roman"/>
                <w:spacing w:val="-1"/>
                <w:sz w:val="21"/>
              </w:rPr>
              <w:t>2,421,278.60</w:t>
            </w:r>
          </w:p>
        </w:tc>
      </w:tr>
    </w:tbl>
    <w:p>
      <w:pPr>
        <w:spacing w:line="240" w:lineRule="auto" w:before="8"/>
        <w:rPr>
          <w:rFonts w:ascii="宋体" w:hAnsi="宋体" w:cs="宋体" w:eastAsia="宋体" w:hint="default"/>
          <w:b/>
          <w:bCs/>
          <w:sz w:val="14"/>
          <w:szCs w:val="14"/>
        </w:rPr>
      </w:pPr>
    </w:p>
    <w:p>
      <w:pPr>
        <w:pStyle w:val="Heading5"/>
        <w:spacing w:line="273" w:lineRule="auto" w:before="36"/>
        <w:ind w:right="0" w:firstLine="422"/>
        <w:jc w:val="left"/>
        <w:rPr>
          <w:b w:val="0"/>
          <w:bCs w:val="0"/>
        </w:rPr>
      </w:pPr>
      <w:r>
        <w:rPr>
          <w:spacing w:val="-2"/>
        </w:rPr>
        <w:t>中小学教材同步辅导是按新课标开发中小学英语及其他学科教材多版本同步辅导软件的开发支出，本</w:t>
      </w:r>
      <w:r>
        <w:rPr>
          <w:w w:val="100"/>
        </w:rPr>
        <w:t> </w:t>
      </w:r>
      <w:r>
        <w:rPr/>
        <w:t>期的增加为开发该项目所发生的人力支出及其他支出。</w:t>
      </w:r>
      <w:r>
        <w:rPr>
          <w:b w:val="0"/>
          <w:bCs w:val="0"/>
        </w:rPr>
      </w:r>
    </w:p>
    <w:p>
      <w:pPr>
        <w:spacing w:line="240" w:lineRule="auto" w:before="6"/>
        <w:rPr>
          <w:rFonts w:ascii="宋体" w:hAnsi="宋体" w:cs="宋体" w:eastAsia="宋体" w:hint="default"/>
          <w:b/>
          <w:bCs/>
          <w:sz w:val="24"/>
          <w:szCs w:val="24"/>
        </w:rPr>
      </w:pPr>
    </w:p>
    <w:p>
      <w:pPr>
        <w:pStyle w:val="Heading5"/>
        <w:spacing w:line="240" w:lineRule="auto"/>
        <w:ind w:left="462" w:right="0"/>
        <w:jc w:val="left"/>
        <w:rPr>
          <w:b w:val="0"/>
          <w:bCs w:val="0"/>
        </w:rPr>
      </w:pPr>
      <w:r>
        <w:rPr/>
        <w:t>（十三）商誉</w:t>
      </w:r>
      <w:r>
        <w:rPr>
          <w:b w:val="0"/>
          <w:bCs w:val="0"/>
        </w:rPr>
      </w:r>
    </w:p>
    <w:p>
      <w:pPr>
        <w:spacing w:line="240" w:lineRule="auto" w:before="10"/>
        <w:rPr>
          <w:rFonts w:ascii="宋体" w:hAnsi="宋体" w:cs="宋体" w:eastAsia="宋体" w:hint="default"/>
          <w:b/>
          <w:bCs/>
          <w:sz w:val="3"/>
          <w:szCs w:val="3"/>
        </w:rPr>
      </w:pPr>
    </w:p>
    <w:tbl>
      <w:tblPr>
        <w:tblW w:w="0" w:type="auto"/>
        <w:jc w:val="left"/>
        <w:tblInd w:w="145" w:type="dxa"/>
        <w:tblLayout w:type="fixed"/>
        <w:tblCellMar>
          <w:top w:w="0" w:type="dxa"/>
          <w:left w:w="0" w:type="dxa"/>
          <w:bottom w:w="0" w:type="dxa"/>
          <w:right w:w="0" w:type="dxa"/>
        </w:tblCellMar>
        <w:tblLook w:val="01E0"/>
      </w:tblPr>
      <w:tblGrid>
        <w:gridCol w:w="3041"/>
        <w:gridCol w:w="1406"/>
        <w:gridCol w:w="1296"/>
        <w:gridCol w:w="1116"/>
        <w:gridCol w:w="1200"/>
        <w:gridCol w:w="989"/>
      </w:tblGrid>
      <w:tr>
        <w:trPr>
          <w:trHeight w:val="588" w:hRule="exact"/>
        </w:trPr>
        <w:tc>
          <w:tcPr>
            <w:tcW w:w="3041" w:type="dxa"/>
            <w:tcBorders>
              <w:top w:val="single" w:sz="6" w:space="0" w:color="000000"/>
              <w:left w:val="single" w:sz="6" w:space="0" w:color="000000"/>
              <w:bottom w:val="single" w:sz="12" w:space="0" w:color="000000"/>
              <w:right w:val="single" w:sz="6" w:space="0" w:color="000000"/>
            </w:tcBorders>
          </w:tcPr>
          <w:p>
            <w:pPr>
              <w:pStyle w:val="TableParagraph"/>
              <w:spacing w:line="274" w:lineRule="exact" w:before="1"/>
              <w:ind w:left="1408" w:right="36" w:hanging="1366"/>
              <w:jc w:val="left"/>
              <w:rPr>
                <w:rFonts w:ascii="宋体" w:hAnsi="宋体" w:cs="宋体" w:eastAsia="宋体" w:hint="default"/>
                <w:sz w:val="21"/>
                <w:szCs w:val="21"/>
              </w:rPr>
            </w:pPr>
            <w:r>
              <w:rPr>
                <w:rFonts w:ascii="宋体" w:hAnsi="宋体" w:cs="宋体" w:eastAsia="宋体" w:hint="default"/>
                <w:spacing w:val="-2"/>
                <w:sz w:val="21"/>
                <w:szCs w:val="21"/>
              </w:rPr>
              <w:t>被投资单位名称或形成商誉的事</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项</w:t>
            </w:r>
          </w:p>
        </w:tc>
        <w:tc>
          <w:tcPr>
            <w:tcW w:w="1406"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left="278"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296"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left="220"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116"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left="12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200"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left="172"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989" w:type="dxa"/>
            <w:tcBorders>
              <w:top w:val="single" w:sz="6" w:space="0" w:color="000000"/>
              <w:left w:val="single" w:sz="6" w:space="0" w:color="000000"/>
              <w:bottom w:val="single" w:sz="12" w:space="0" w:color="000000"/>
              <w:right w:val="nil" w:sz="6" w:space="0" w:color="auto"/>
            </w:tcBorders>
          </w:tcPr>
          <w:p>
            <w:pPr>
              <w:pStyle w:val="TableParagraph"/>
              <w:spacing w:line="274" w:lineRule="exact" w:before="1"/>
              <w:ind w:left="278" w:right="69" w:hanging="212"/>
              <w:jc w:val="left"/>
              <w:rPr>
                <w:rFonts w:ascii="宋体" w:hAnsi="宋体" w:cs="宋体" w:eastAsia="宋体" w:hint="default"/>
                <w:sz w:val="21"/>
                <w:szCs w:val="21"/>
              </w:rPr>
            </w:pPr>
            <w:r>
              <w:rPr>
                <w:rFonts w:ascii="宋体" w:hAnsi="宋体" w:cs="宋体" w:eastAsia="宋体" w:hint="default"/>
                <w:sz w:val="21"/>
                <w:szCs w:val="21"/>
              </w:rPr>
              <w:t>期末减值</w:t>
            </w:r>
            <w:r>
              <w:rPr>
                <w:rFonts w:ascii="宋体" w:hAnsi="宋体" w:cs="宋体" w:eastAsia="宋体" w:hint="default"/>
                <w:w w:val="100"/>
                <w:sz w:val="21"/>
                <w:szCs w:val="21"/>
              </w:rPr>
              <w:t> </w:t>
            </w:r>
            <w:r>
              <w:rPr>
                <w:rFonts w:ascii="宋体" w:hAnsi="宋体" w:cs="宋体" w:eastAsia="宋体" w:hint="default"/>
                <w:sz w:val="21"/>
                <w:szCs w:val="21"/>
              </w:rPr>
              <w:t>准备</w:t>
            </w:r>
          </w:p>
        </w:tc>
      </w:tr>
      <w:tr>
        <w:trPr>
          <w:trHeight w:val="314" w:hRule="exact"/>
        </w:trPr>
        <w:tc>
          <w:tcPr>
            <w:tcW w:w="3041"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4" w:right="0"/>
              <w:jc w:val="left"/>
              <w:rPr>
                <w:rFonts w:ascii="宋体" w:hAnsi="宋体" w:cs="宋体" w:eastAsia="宋体" w:hint="default"/>
                <w:sz w:val="21"/>
                <w:szCs w:val="21"/>
              </w:rPr>
            </w:pPr>
            <w:r>
              <w:rPr>
                <w:rFonts w:ascii="宋体" w:hAnsi="宋体" w:cs="宋体" w:eastAsia="宋体" w:hint="default"/>
                <w:sz w:val="21"/>
                <w:szCs w:val="21"/>
              </w:rPr>
              <w:t>深圳市连邦信息技术有限公司</w:t>
            </w:r>
          </w:p>
        </w:tc>
        <w:tc>
          <w:tcPr>
            <w:tcW w:w="1406"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3"/>
              <w:jc w:val="right"/>
              <w:rPr>
                <w:rFonts w:ascii="Times New Roman" w:hAnsi="Times New Roman" w:cs="Times New Roman" w:eastAsia="Times New Roman" w:hint="default"/>
                <w:sz w:val="21"/>
                <w:szCs w:val="21"/>
              </w:rPr>
            </w:pPr>
            <w:r>
              <w:rPr>
                <w:rFonts w:ascii="Times New Roman"/>
                <w:spacing w:val="-1"/>
                <w:sz w:val="21"/>
              </w:rPr>
              <w:t>83,940.16</w:t>
            </w:r>
          </w:p>
        </w:tc>
        <w:tc>
          <w:tcPr>
            <w:tcW w:w="1296"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116"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200"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83,940.16</w:t>
            </w:r>
          </w:p>
        </w:tc>
        <w:tc>
          <w:tcPr>
            <w:tcW w:w="989"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6"/>
              <w:jc w:val="right"/>
              <w:rPr>
                <w:rFonts w:ascii="Times New Roman" w:hAnsi="Times New Roman" w:cs="Times New Roman" w:eastAsia="Times New Roman" w:hint="default"/>
                <w:sz w:val="21"/>
                <w:szCs w:val="21"/>
              </w:rPr>
            </w:pPr>
            <w:r>
              <w:rPr>
                <w:rFonts w:ascii="Times New Roman"/>
                <w:spacing w:val="-1"/>
                <w:sz w:val="21"/>
              </w:rPr>
              <w:t>---</w:t>
            </w:r>
          </w:p>
        </w:tc>
      </w:tr>
      <w:tr>
        <w:trPr>
          <w:trHeight w:val="312" w:hRule="exact"/>
        </w:trPr>
        <w:tc>
          <w:tcPr>
            <w:tcW w:w="3041"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06"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3"/>
              <w:jc w:val="right"/>
              <w:rPr>
                <w:rFonts w:ascii="Times New Roman" w:hAnsi="Times New Roman" w:cs="Times New Roman" w:eastAsia="Times New Roman" w:hint="default"/>
                <w:sz w:val="21"/>
                <w:szCs w:val="21"/>
              </w:rPr>
            </w:pPr>
            <w:r>
              <w:rPr>
                <w:rFonts w:ascii="Times New Roman"/>
                <w:spacing w:val="-1"/>
                <w:sz w:val="21"/>
              </w:rPr>
              <w:t>83,940.16</w:t>
            </w:r>
          </w:p>
        </w:tc>
        <w:tc>
          <w:tcPr>
            <w:tcW w:w="1296"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116"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200"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83,940.16</w:t>
            </w:r>
          </w:p>
        </w:tc>
        <w:tc>
          <w:tcPr>
            <w:tcW w:w="989"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6"/>
              <w:jc w:val="right"/>
              <w:rPr>
                <w:rFonts w:ascii="Times New Roman" w:hAnsi="Times New Roman" w:cs="Times New Roman" w:eastAsia="Times New Roman" w:hint="default"/>
                <w:sz w:val="21"/>
                <w:szCs w:val="21"/>
              </w:rPr>
            </w:pPr>
            <w:r>
              <w:rPr>
                <w:rFonts w:ascii="Times New Roman"/>
                <w:spacing w:val="-1"/>
                <w:sz w:val="21"/>
              </w:rPr>
              <w:t>---</w:t>
            </w:r>
          </w:p>
        </w:tc>
      </w:tr>
    </w:tbl>
    <w:p>
      <w:pPr>
        <w:spacing w:line="240" w:lineRule="auto" w:before="3"/>
        <w:rPr>
          <w:rFonts w:ascii="宋体" w:hAnsi="宋体" w:cs="宋体" w:eastAsia="宋体" w:hint="default"/>
          <w:b/>
          <w:bCs/>
          <w:sz w:val="8"/>
          <w:szCs w:val="8"/>
        </w:rPr>
      </w:pPr>
    </w:p>
    <w:p>
      <w:pPr>
        <w:pStyle w:val="Heading5"/>
        <w:spacing w:line="240" w:lineRule="auto" w:before="36"/>
        <w:ind w:left="575" w:right="0"/>
        <w:jc w:val="left"/>
        <w:rPr>
          <w:b w:val="0"/>
          <w:bCs w:val="0"/>
        </w:rPr>
      </w:pPr>
      <w:r>
        <w:rPr/>
        <w:t>期末商誉不存在减值的迹象，故未计提商誉减值准备。</w:t>
      </w:r>
      <w:r>
        <w:rPr>
          <w:b w:val="0"/>
          <w:bCs w:val="0"/>
        </w:rPr>
      </w:r>
    </w:p>
    <w:p>
      <w:pPr>
        <w:spacing w:line="240" w:lineRule="auto" w:before="10"/>
        <w:rPr>
          <w:rFonts w:ascii="宋体" w:hAnsi="宋体" w:cs="宋体" w:eastAsia="宋体" w:hint="default"/>
          <w:b/>
          <w:bCs/>
          <w:sz w:val="14"/>
          <w:szCs w:val="14"/>
        </w:rPr>
      </w:pPr>
    </w:p>
    <w:p>
      <w:pPr>
        <w:pStyle w:val="Heading5"/>
        <w:spacing w:line="240" w:lineRule="auto"/>
        <w:ind w:left="580" w:right="0"/>
        <w:jc w:val="left"/>
        <w:rPr>
          <w:b w:val="0"/>
          <w:bCs w:val="0"/>
        </w:rPr>
      </w:pPr>
      <w:r>
        <w:rPr>
          <w:rFonts w:ascii="Times New Roman" w:hAnsi="Times New Roman" w:cs="Times New Roman" w:eastAsia="Times New Roman" w:hint="default"/>
        </w:rPr>
        <w:t>(</w:t>
      </w:r>
      <w:r>
        <w:rPr/>
        <w:t>十四</w:t>
      </w:r>
      <w:r>
        <w:rPr>
          <w:rFonts w:ascii="Times New Roman" w:hAnsi="Times New Roman" w:cs="Times New Roman" w:eastAsia="Times New Roman" w:hint="default"/>
        </w:rPr>
        <w:t>)</w:t>
      </w:r>
      <w:r>
        <w:rPr>
          <w:rFonts w:ascii="Times New Roman" w:hAnsi="Times New Roman" w:cs="Times New Roman" w:eastAsia="Times New Roman" w:hint="default"/>
          <w:spacing w:val="32"/>
        </w:rPr>
        <w:t> </w:t>
      </w:r>
      <w:r>
        <w:rPr/>
        <w:t>长期待摊费用</w:t>
      </w:r>
      <w:r>
        <w:rPr>
          <w:b w:val="0"/>
          <w:bCs w:val="0"/>
        </w:rPr>
      </w:r>
    </w:p>
    <w:p>
      <w:pPr>
        <w:spacing w:line="240" w:lineRule="auto" w:before="8"/>
        <w:rPr>
          <w:rFonts w:ascii="宋体" w:hAnsi="宋体" w:cs="宋体" w:eastAsia="宋体" w:hint="default"/>
          <w:b/>
          <w:bCs/>
          <w:sz w:val="2"/>
          <w:szCs w:val="2"/>
        </w:rPr>
      </w:pPr>
    </w:p>
    <w:tbl>
      <w:tblPr>
        <w:tblW w:w="0" w:type="auto"/>
        <w:jc w:val="left"/>
        <w:tblInd w:w="160" w:type="dxa"/>
        <w:tblLayout w:type="fixed"/>
        <w:tblCellMar>
          <w:top w:w="0" w:type="dxa"/>
          <w:left w:w="0" w:type="dxa"/>
          <w:bottom w:w="0" w:type="dxa"/>
          <w:right w:w="0" w:type="dxa"/>
        </w:tblCellMar>
        <w:tblLook w:val="01E0"/>
      </w:tblPr>
      <w:tblGrid>
        <w:gridCol w:w="1404"/>
        <w:gridCol w:w="1171"/>
        <w:gridCol w:w="1238"/>
        <w:gridCol w:w="1562"/>
        <w:gridCol w:w="866"/>
        <w:gridCol w:w="1387"/>
        <w:gridCol w:w="1008"/>
      </w:tblGrid>
      <w:tr>
        <w:trPr>
          <w:trHeight w:val="590" w:hRule="exact"/>
        </w:trPr>
        <w:tc>
          <w:tcPr>
            <w:tcW w:w="1404" w:type="dxa"/>
            <w:tcBorders>
              <w:top w:val="single" w:sz="6" w:space="0" w:color="000000"/>
              <w:left w:val="single" w:sz="6" w:space="0" w:color="000000"/>
              <w:bottom w:val="single" w:sz="12" w:space="0" w:color="000000"/>
              <w:right w:val="single" w:sz="6" w:space="0" w:color="000000"/>
            </w:tcBorders>
          </w:tcPr>
          <w:p>
            <w:pPr>
              <w:pStyle w:val="TableParagraph"/>
              <w:spacing w:line="253"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171" w:type="dxa"/>
            <w:tcBorders>
              <w:top w:val="single" w:sz="6" w:space="0" w:color="000000"/>
              <w:left w:val="single" w:sz="6" w:space="0" w:color="000000"/>
              <w:bottom w:val="single" w:sz="12" w:space="0" w:color="000000"/>
              <w:right w:val="single" w:sz="6" w:space="0" w:color="000000"/>
            </w:tcBorders>
          </w:tcPr>
          <w:p>
            <w:pPr>
              <w:pStyle w:val="TableParagraph"/>
              <w:spacing w:line="253" w:lineRule="exact"/>
              <w:ind w:left="158"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238" w:type="dxa"/>
            <w:tcBorders>
              <w:top w:val="single" w:sz="6" w:space="0" w:color="000000"/>
              <w:left w:val="single" w:sz="6" w:space="0" w:color="000000"/>
              <w:bottom w:val="single" w:sz="12" w:space="0" w:color="000000"/>
              <w:right w:val="single" w:sz="6" w:space="0" w:color="000000"/>
            </w:tcBorders>
          </w:tcPr>
          <w:p>
            <w:pPr>
              <w:pStyle w:val="TableParagraph"/>
              <w:spacing w:line="274" w:lineRule="exact" w:before="4"/>
              <w:ind w:left="297" w:right="290" w:firstLine="105"/>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w w:val="100"/>
                <w:sz w:val="21"/>
                <w:szCs w:val="21"/>
              </w:rPr>
              <w:t> </w:t>
            </w:r>
            <w:r>
              <w:rPr>
                <w:rFonts w:ascii="宋体" w:hAnsi="宋体" w:cs="宋体" w:eastAsia="宋体" w:hint="default"/>
                <w:sz w:val="21"/>
                <w:szCs w:val="21"/>
              </w:rPr>
              <w:t>增加额</w:t>
            </w:r>
          </w:p>
        </w:tc>
        <w:tc>
          <w:tcPr>
            <w:tcW w:w="1562" w:type="dxa"/>
            <w:tcBorders>
              <w:top w:val="single" w:sz="6" w:space="0" w:color="000000"/>
              <w:left w:val="single" w:sz="6" w:space="0" w:color="000000"/>
              <w:bottom w:val="single" w:sz="12" w:space="0" w:color="000000"/>
              <w:right w:val="single" w:sz="6" w:space="0" w:color="000000"/>
            </w:tcBorders>
          </w:tcPr>
          <w:p>
            <w:pPr>
              <w:pStyle w:val="TableParagraph"/>
              <w:spacing w:line="274" w:lineRule="exact" w:before="4"/>
              <w:ind w:left="460" w:right="451" w:firstLine="105"/>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w w:val="100"/>
                <w:sz w:val="21"/>
                <w:szCs w:val="21"/>
              </w:rPr>
              <w:t> </w:t>
            </w:r>
            <w:r>
              <w:rPr>
                <w:rFonts w:ascii="宋体" w:hAnsi="宋体" w:cs="宋体" w:eastAsia="宋体" w:hint="default"/>
                <w:sz w:val="21"/>
                <w:szCs w:val="21"/>
              </w:rPr>
              <w:t>摊销额</w:t>
            </w:r>
          </w:p>
        </w:tc>
        <w:tc>
          <w:tcPr>
            <w:tcW w:w="866" w:type="dxa"/>
            <w:tcBorders>
              <w:top w:val="single" w:sz="6" w:space="0" w:color="000000"/>
              <w:left w:val="single" w:sz="6" w:space="0" w:color="000000"/>
              <w:bottom w:val="single" w:sz="12" w:space="0" w:color="000000"/>
              <w:right w:val="single" w:sz="6" w:space="0" w:color="000000"/>
            </w:tcBorders>
          </w:tcPr>
          <w:p>
            <w:pPr>
              <w:pStyle w:val="TableParagraph"/>
              <w:spacing w:line="274" w:lineRule="exact" w:before="4"/>
              <w:ind w:left="110" w:right="107" w:firstLine="105"/>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w w:val="100"/>
                <w:sz w:val="21"/>
                <w:szCs w:val="21"/>
              </w:rPr>
              <w:t> </w:t>
            </w:r>
            <w:r>
              <w:rPr>
                <w:rFonts w:ascii="宋体" w:hAnsi="宋体" w:cs="宋体" w:eastAsia="宋体" w:hint="default"/>
                <w:sz w:val="21"/>
                <w:szCs w:val="21"/>
              </w:rPr>
              <w:t>减少额</w:t>
            </w:r>
          </w:p>
        </w:tc>
        <w:tc>
          <w:tcPr>
            <w:tcW w:w="1387" w:type="dxa"/>
            <w:tcBorders>
              <w:top w:val="single" w:sz="6" w:space="0" w:color="000000"/>
              <w:left w:val="single" w:sz="6" w:space="0" w:color="000000"/>
              <w:bottom w:val="single" w:sz="12" w:space="0" w:color="000000"/>
              <w:right w:val="single" w:sz="6" w:space="0" w:color="000000"/>
            </w:tcBorders>
          </w:tcPr>
          <w:p>
            <w:pPr>
              <w:pStyle w:val="TableParagraph"/>
              <w:spacing w:line="253" w:lineRule="exact"/>
              <w:ind w:left="26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008" w:type="dxa"/>
            <w:tcBorders>
              <w:top w:val="single" w:sz="6" w:space="0" w:color="000000"/>
              <w:left w:val="single" w:sz="6" w:space="0" w:color="000000"/>
              <w:bottom w:val="single" w:sz="12" w:space="0" w:color="000000"/>
              <w:right w:val="nil" w:sz="6" w:space="0" w:color="auto"/>
            </w:tcBorders>
          </w:tcPr>
          <w:p>
            <w:pPr>
              <w:pStyle w:val="TableParagraph"/>
              <w:spacing w:line="274" w:lineRule="exact" w:before="4"/>
              <w:ind w:left="179" w:right="79" w:hanging="104"/>
              <w:jc w:val="left"/>
              <w:rPr>
                <w:rFonts w:ascii="宋体" w:hAnsi="宋体" w:cs="宋体" w:eastAsia="宋体" w:hint="default"/>
                <w:sz w:val="21"/>
                <w:szCs w:val="21"/>
              </w:rPr>
            </w:pPr>
            <w:r>
              <w:rPr>
                <w:rFonts w:ascii="宋体" w:hAnsi="宋体" w:cs="宋体" w:eastAsia="宋体" w:hint="default"/>
                <w:sz w:val="21"/>
                <w:szCs w:val="21"/>
              </w:rPr>
              <w:t>其他减少</w:t>
            </w:r>
            <w:r>
              <w:rPr>
                <w:rFonts w:ascii="宋体" w:hAnsi="宋体" w:cs="宋体" w:eastAsia="宋体" w:hint="default"/>
                <w:w w:val="100"/>
                <w:sz w:val="21"/>
                <w:szCs w:val="21"/>
              </w:rPr>
              <w:t> </w:t>
            </w:r>
            <w:r>
              <w:rPr>
                <w:rFonts w:ascii="宋体" w:hAnsi="宋体" w:cs="宋体" w:eastAsia="宋体" w:hint="default"/>
                <w:sz w:val="21"/>
                <w:szCs w:val="21"/>
              </w:rPr>
              <w:t>的原因</w:t>
            </w:r>
          </w:p>
        </w:tc>
      </w:tr>
      <w:tr>
        <w:trPr>
          <w:trHeight w:val="312" w:hRule="exact"/>
        </w:trPr>
        <w:tc>
          <w:tcPr>
            <w:tcW w:w="1404"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办公楼装修费</w:t>
            </w:r>
          </w:p>
        </w:tc>
        <w:tc>
          <w:tcPr>
            <w:tcW w:w="1171"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8,488.50</w:t>
            </w:r>
          </w:p>
        </w:tc>
        <w:tc>
          <w:tcPr>
            <w:tcW w:w="1238"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562"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z w:val="21"/>
              </w:rPr>
              <w:t>8,488.50</w:t>
            </w:r>
          </w:p>
        </w:tc>
        <w:tc>
          <w:tcPr>
            <w:tcW w:w="866"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387"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008"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6"/>
              <w:jc w:val="right"/>
              <w:rPr>
                <w:rFonts w:ascii="Times New Roman" w:hAnsi="Times New Roman" w:cs="Times New Roman" w:eastAsia="Times New Roman" w:hint="default"/>
                <w:sz w:val="21"/>
                <w:szCs w:val="21"/>
              </w:rPr>
            </w:pPr>
            <w:r>
              <w:rPr>
                <w:rFonts w:ascii="Times New Roman"/>
                <w:spacing w:val="-1"/>
                <w:sz w:val="21"/>
              </w:rPr>
              <w:t>---</w:t>
            </w:r>
          </w:p>
        </w:tc>
      </w:tr>
      <w:tr>
        <w:trPr>
          <w:trHeight w:val="312" w:hRule="exact"/>
        </w:trPr>
        <w:tc>
          <w:tcPr>
            <w:tcW w:w="1404"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仓库装修费</w:t>
            </w:r>
          </w:p>
        </w:tc>
        <w:tc>
          <w:tcPr>
            <w:tcW w:w="1171"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65,296.59</w:t>
            </w:r>
          </w:p>
        </w:tc>
        <w:tc>
          <w:tcPr>
            <w:tcW w:w="1238"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562"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52,237.20</w:t>
            </w:r>
          </w:p>
        </w:tc>
        <w:tc>
          <w:tcPr>
            <w:tcW w:w="866"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387"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Times New Roman" w:hAnsi="Times New Roman" w:cs="Times New Roman" w:eastAsia="Times New Roman" w:hint="default"/>
                <w:sz w:val="21"/>
                <w:szCs w:val="21"/>
              </w:rPr>
            </w:pPr>
            <w:r>
              <w:rPr>
                <w:rFonts w:ascii="Times New Roman"/>
                <w:spacing w:val="-1"/>
                <w:sz w:val="21"/>
              </w:rPr>
              <w:t>13,059.39</w:t>
            </w:r>
          </w:p>
        </w:tc>
        <w:tc>
          <w:tcPr>
            <w:tcW w:w="1008"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6"/>
              <w:jc w:val="right"/>
              <w:rPr>
                <w:rFonts w:ascii="Times New Roman" w:hAnsi="Times New Roman" w:cs="Times New Roman" w:eastAsia="Times New Roman" w:hint="default"/>
                <w:sz w:val="21"/>
                <w:szCs w:val="21"/>
              </w:rPr>
            </w:pPr>
            <w:r>
              <w:rPr>
                <w:rFonts w:ascii="Times New Roman"/>
                <w:spacing w:val="-1"/>
                <w:sz w:val="21"/>
              </w:rPr>
              <w:t>---</w:t>
            </w:r>
          </w:p>
        </w:tc>
      </w:tr>
      <w:tr>
        <w:trPr>
          <w:trHeight w:val="314" w:hRule="exact"/>
        </w:trPr>
        <w:tc>
          <w:tcPr>
            <w:tcW w:w="1404" w:type="dxa"/>
            <w:tcBorders>
              <w:top w:val="single" w:sz="12" w:space="0" w:color="000000"/>
              <w:left w:val="single" w:sz="6" w:space="0" w:color="000000"/>
              <w:bottom w:val="single" w:sz="12" w:space="0" w:color="000000"/>
              <w:right w:val="single" w:sz="6" w:space="0" w:color="000000"/>
            </w:tcBorders>
          </w:tcPr>
          <w:p>
            <w:pPr>
              <w:pStyle w:val="TableParagraph"/>
              <w:spacing w:line="259" w:lineRule="exact"/>
              <w:ind w:left="2" w:right="0"/>
              <w:jc w:val="left"/>
              <w:rPr>
                <w:rFonts w:ascii="宋体" w:hAnsi="宋体" w:cs="宋体" w:eastAsia="宋体" w:hint="default"/>
                <w:sz w:val="21"/>
                <w:szCs w:val="21"/>
              </w:rPr>
            </w:pPr>
            <w:r>
              <w:rPr>
                <w:rFonts w:ascii="宋体" w:hAnsi="宋体" w:cs="宋体" w:eastAsia="宋体" w:hint="default"/>
                <w:sz w:val="21"/>
                <w:szCs w:val="21"/>
              </w:rPr>
              <w:t>企业</w:t>
            </w:r>
            <w:r>
              <w:rPr>
                <w:rFonts w:ascii="Times New Roman" w:hAnsi="Times New Roman" w:cs="Times New Roman" w:eastAsia="Times New Roman" w:hint="default"/>
                <w:sz w:val="21"/>
                <w:szCs w:val="21"/>
              </w:rPr>
              <w:t>QQ</w:t>
            </w:r>
            <w:r>
              <w:rPr>
                <w:rFonts w:ascii="宋体" w:hAnsi="宋体" w:cs="宋体" w:eastAsia="宋体" w:hint="default"/>
                <w:sz w:val="21"/>
                <w:szCs w:val="21"/>
              </w:rPr>
              <w:t>服务费</w:t>
            </w:r>
          </w:p>
        </w:tc>
        <w:tc>
          <w:tcPr>
            <w:tcW w:w="1171"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25,630.90</w:t>
            </w:r>
          </w:p>
        </w:tc>
        <w:tc>
          <w:tcPr>
            <w:tcW w:w="1238"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562"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z w:val="21"/>
              </w:rPr>
              <w:t>6,686.28</w:t>
            </w:r>
          </w:p>
        </w:tc>
        <w:tc>
          <w:tcPr>
            <w:tcW w:w="866"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387"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0"/>
              <w:jc w:val="right"/>
              <w:rPr>
                <w:rFonts w:ascii="Times New Roman" w:hAnsi="Times New Roman" w:cs="Times New Roman" w:eastAsia="Times New Roman" w:hint="default"/>
                <w:sz w:val="21"/>
                <w:szCs w:val="21"/>
              </w:rPr>
            </w:pPr>
            <w:r>
              <w:rPr>
                <w:rFonts w:ascii="Times New Roman"/>
                <w:spacing w:val="-1"/>
                <w:sz w:val="21"/>
              </w:rPr>
              <w:t>18,944.62</w:t>
            </w:r>
          </w:p>
        </w:tc>
        <w:tc>
          <w:tcPr>
            <w:tcW w:w="1008"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6"/>
              <w:jc w:val="right"/>
              <w:rPr>
                <w:rFonts w:ascii="Times New Roman" w:hAnsi="Times New Roman" w:cs="Times New Roman" w:eastAsia="Times New Roman" w:hint="default"/>
                <w:sz w:val="21"/>
                <w:szCs w:val="21"/>
              </w:rPr>
            </w:pPr>
            <w:r>
              <w:rPr>
                <w:rFonts w:ascii="Times New Roman"/>
                <w:spacing w:val="-1"/>
                <w:sz w:val="21"/>
              </w:rPr>
              <w:t>---</w:t>
            </w:r>
          </w:p>
        </w:tc>
      </w:tr>
      <w:tr>
        <w:trPr>
          <w:trHeight w:val="314" w:hRule="exact"/>
        </w:trPr>
        <w:tc>
          <w:tcPr>
            <w:tcW w:w="1404"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171"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99,415.99</w:t>
            </w:r>
          </w:p>
        </w:tc>
        <w:tc>
          <w:tcPr>
            <w:tcW w:w="1238"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562"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67,411.98</w:t>
            </w:r>
          </w:p>
        </w:tc>
        <w:tc>
          <w:tcPr>
            <w:tcW w:w="866"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387"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Times New Roman" w:hAnsi="Times New Roman" w:cs="Times New Roman" w:eastAsia="Times New Roman" w:hint="default"/>
                <w:sz w:val="21"/>
                <w:szCs w:val="21"/>
              </w:rPr>
            </w:pPr>
            <w:r>
              <w:rPr>
                <w:rFonts w:ascii="Times New Roman"/>
                <w:spacing w:val="-1"/>
                <w:sz w:val="21"/>
              </w:rPr>
              <w:t>32,004.01</w:t>
            </w:r>
          </w:p>
        </w:tc>
        <w:tc>
          <w:tcPr>
            <w:tcW w:w="1008"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6"/>
              <w:jc w:val="right"/>
              <w:rPr>
                <w:rFonts w:ascii="Times New Roman" w:hAnsi="Times New Roman" w:cs="Times New Roman" w:eastAsia="Times New Roman" w:hint="default"/>
                <w:sz w:val="21"/>
                <w:szCs w:val="21"/>
              </w:rPr>
            </w:pPr>
            <w:r>
              <w:rPr>
                <w:rFonts w:ascii="Times New Roman"/>
                <w:spacing w:val="-1"/>
                <w:sz w:val="21"/>
              </w:rPr>
              <w:t>---</w:t>
            </w:r>
          </w:p>
        </w:tc>
      </w:tr>
    </w:tbl>
    <w:p>
      <w:pPr>
        <w:spacing w:line="240" w:lineRule="auto" w:before="3"/>
        <w:rPr>
          <w:rFonts w:ascii="宋体" w:hAnsi="宋体" w:cs="宋体" w:eastAsia="宋体" w:hint="default"/>
          <w:b/>
          <w:bCs/>
          <w:sz w:val="8"/>
          <w:szCs w:val="8"/>
        </w:rPr>
      </w:pPr>
    </w:p>
    <w:p>
      <w:pPr>
        <w:pStyle w:val="Heading5"/>
        <w:spacing w:line="240" w:lineRule="auto" w:before="36"/>
        <w:ind w:left="575" w:right="0"/>
        <w:jc w:val="left"/>
        <w:rPr>
          <w:b w:val="0"/>
          <w:bCs w:val="0"/>
        </w:rPr>
      </w:pPr>
      <w:r>
        <w:rPr/>
        <w:t>长期待摊费用期末余额比期初余额减少</w:t>
      </w:r>
      <w:r>
        <w:rPr>
          <w:rFonts w:ascii="Times New Roman" w:hAnsi="Times New Roman" w:cs="Times New Roman" w:eastAsia="Times New Roman" w:hint="default"/>
        </w:rPr>
        <w:t>67,411.98</w:t>
      </w:r>
      <w:r>
        <w:rPr/>
        <w:t>元，减幅为</w:t>
      </w:r>
      <w:r>
        <w:rPr>
          <w:rFonts w:ascii="Times New Roman" w:hAnsi="Times New Roman" w:cs="Times New Roman" w:eastAsia="Times New Roman" w:hint="default"/>
        </w:rPr>
        <w:t>67.81%</w:t>
      </w:r>
      <w:r>
        <w:rPr/>
        <w:t>，主要系本期摊销所致。</w:t>
      </w:r>
      <w:r>
        <w:rPr>
          <w:b w:val="0"/>
          <w:bCs w:val="0"/>
        </w:rPr>
      </w:r>
    </w:p>
    <w:p>
      <w:pPr>
        <w:spacing w:line="240" w:lineRule="auto" w:before="6"/>
        <w:rPr>
          <w:rFonts w:ascii="宋体" w:hAnsi="宋体" w:cs="宋体" w:eastAsia="宋体" w:hint="default"/>
          <w:b/>
          <w:bCs/>
          <w:sz w:val="25"/>
          <w:szCs w:val="25"/>
        </w:rPr>
      </w:pPr>
    </w:p>
    <w:p>
      <w:pPr>
        <w:pStyle w:val="Heading5"/>
        <w:spacing w:line="240" w:lineRule="auto"/>
        <w:ind w:left="580" w:right="0"/>
        <w:jc w:val="left"/>
        <w:rPr>
          <w:b w:val="0"/>
          <w:bCs w:val="0"/>
        </w:rPr>
      </w:pPr>
      <w:r>
        <w:rPr/>
        <w:t>（十五）递延所得税资产和递延所得税负债</w:t>
      </w:r>
      <w:r>
        <w:rPr>
          <w:b w:val="0"/>
          <w:bCs w:val="0"/>
        </w:rPr>
      </w:r>
    </w:p>
    <w:p>
      <w:pPr>
        <w:pStyle w:val="Heading5"/>
        <w:spacing w:line="240" w:lineRule="auto" w:before="37"/>
        <w:ind w:left="572" w:right="0"/>
        <w:jc w:val="left"/>
        <w:rPr>
          <w:b w:val="0"/>
          <w:bCs w:val="0"/>
        </w:rPr>
      </w:pPr>
      <w:r>
        <w:rPr>
          <w:rFonts w:ascii="Times New Roman" w:hAnsi="Times New Roman" w:cs="Times New Roman" w:eastAsia="Times New Roman" w:hint="default"/>
        </w:rPr>
        <w:t>1</w:t>
      </w:r>
      <w:r>
        <w:rPr/>
        <w:t>、未经抵销的递延所得税资产</w:t>
      </w:r>
      <w:r>
        <w:rPr>
          <w:b w:val="0"/>
          <w:bCs w:val="0"/>
        </w:rPr>
      </w:r>
    </w:p>
    <w:p>
      <w:pPr>
        <w:spacing w:line="240" w:lineRule="auto" w:before="8"/>
        <w:rPr>
          <w:rFonts w:ascii="宋体" w:hAnsi="宋体" w:cs="宋体" w:eastAsia="宋体" w:hint="default"/>
          <w:b/>
          <w:bCs/>
          <w:sz w:val="2"/>
          <w:szCs w:val="2"/>
        </w:rPr>
      </w:pPr>
    </w:p>
    <w:tbl>
      <w:tblPr>
        <w:tblW w:w="0" w:type="auto"/>
        <w:jc w:val="left"/>
        <w:tblInd w:w="160" w:type="dxa"/>
        <w:tblLayout w:type="fixed"/>
        <w:tblCellMar>
          <w:top w:w="0" w:type="dxa"/>
          <w:left w:w="0" w:type="dxa"/>
          <w:bottom w:w="0" w:type="dxa"/>
          <w:right w:w="0" w:type="dxa"/>
        </w:tblCellMar>
        <w:tblLook w:val="01E0"/>
      </w:tblPr>
      <w:tblGrid>
        <w:gridCol w:w="1841"/>
        <w:gridCol w:w="1961"/>
        <w:gridCol w:w="1639"/>
        <w:gridCol w:w="1901"/>
        <w:gridCol w:w="1627"/>
      </w:tblGrid>
      <w:tr>
        <w:trPr>
          <w:trHeight w:val="353" w:hRule="exact"/>
        </w:trPr>
        <w:tc>
          <w:tcPr>
            <w:tcW w:w="1841" w:type="dxa"/>
            <w:vMerge w:val="restart"/>
            <w:tcBorders>
              <w:top w:val="single" w:sz="6" w:space="0" w:color="000000"/>
              <w:left w:val="single" w:sz="6" w:space="0" w:color="000000"/>
              <w:right w:val="single" w:sz="6" w:space="0" w:color="000000"/>
            </w:tcBorders>
          </w:tcPr>
          <w:p>
            <w:pPr>
              <w:pStyle w:val="TableParagraph"/>
              <w:spacing w:line="250"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600" w:type="dxa"/>
            <w:gridSpan w:val="2"/>
            <w:tcBorders>
              <w:top w:val="single" w:sz="6" w:space="0" w:color="000000"/>
              <w:left w:val="single" w:sz="6" w:space="0" w:color="000000"/>
              <w:bottom w:val="single" w:sz="12" w:space="0" w:color="000000"/>
              <w:right w:val="single" w:sz="6" w:space="0" w:color="000000"/>
            </w:tcBorders>
          </w:tcPr>
          <w:p>
            <w:pPr>
              <w:pStyle w:val="TableParagraph"/>
              <w:spacing w:line="250"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528" w:type="dxa"/>
            <w:gridSpan w:val="2"/>
            <w:tcBorders>
              <w:top w:val="single" w:sz="6" w:space="0" w:color="000000"/>
              <w:left w:val="single" w:sz="6" w:space="0" w:color="000000"/>
              <w:bottom w:val="single" w:sz="12" w:space="0" w:color="000000"/>
              <w:right w:val="nil" w:sz="6" w:space="0" w:color="auto"/>
            </w:tcBorders>
          </w:tcPr>
          <w:p>
            <w:pPr>
              <w:pStyle w:val="TableParagraph"/>
              <w:spacing w:line="250" w:lineRule="exact"/>
              <w:ind w:right="2"/>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53" w:hRule="exact"/>
        </w:trPr>
        <w:tc>
          <w:tcPr>
            <w:tcW w:w="1841" w:type="dxa"/>
            <w:vMerge/>
            <w:tcBorders>
              <w:left w:val="single" w:sz="6" w:space="0" w:color="000000"/>
              <w:bottom w:val="single" w:sz="12" w:space="0" w:color="000000"/>
              <w:right w:val="single" w:sz="6" w:space="0" w:color="000000"/>
            </w:tcBorders>
          </w:tcPr>
          <w:p>
            <w:pPr/>
          </w:p>
        </w:tc>
        <w:tc>
          <w:tcPr>
            <w:tcW w:w="1961"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134"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1639"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76"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901"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1627" w:type="dxa"/>
            <w:tcBorders>
              <w:top w:val="single" w:sz="12" w:space="0" w:color="000000"/>
              <w:left w:val="single" w:sz="6" w:space="0" w:color="000000"/>
              <w:bottom w:val="single" w:sz="12" w:space="0" w:color="000000"/>
              <w:right w:val="nil" w:sz="6" w:space="0" w:color="auto"/>
            </w:tcBorders>
          </w:tcPr>
          <w:p>
            <w:pPr>
              <w:pStyle w:val="TableParagraph"/>
              <w:spacing w:line="243" w:lineRule="exact"/>
              <w:ind w:left="69"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r>
      <w:tr>
        <w:trPr>
          <w:trHeight w:val="353" w:hRule="exact"/>
        </w:trPr>
        <w:tc>
          <w:tcPr>
            <w:tcW w:w="1841"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961"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Times New Roman" w:hAnsi="Times New Roman" w:cs="Times New Roman" w:eastAsia="Times New Roman" w:hint="default"/>
                <w:sz w:val="21"/>
                <w:szCs w:val="21"/>
              </w:rPr>
            </w:pPr>
            <w:r>
              <w:rPr>
                <w:rFonts w:ascii="Times New Roman"/>
                <w:spacing w:val="-1"/>
                <w:sz w:val="21"/>
              </w:rPr>
              <w:t>849,530.18</w:t>
            </w:r>
          </w:p>
        </w:tc>
        <w:tc>
          <w:tcPr>
            <w:tcW w:w="1639"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Times New Roman" w:hAnsi="Times New Roman" w:cs="Times New Roman" w:eastAsia="Times New Roman" w:hint="default"/>
                <w:sz w:val="21"/>
                <w:szCs w:val="21"/>
              </w:rPr>
            </w:pPr>
            <w:r>
              <w:rPr>
                <w:rFonts w:ascii="Times New Roman"/>
                <w:spacing w:val="-1"/>
                <w:sz w:val="21"/>
              </w:rPr>
              <w:t>155,951.96</w:t>
            </w:r>
          </w:p>
        </w:tc>
        <w:tc>
          <w:tcPr>
            <w:tcW w:w="1901"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475,499.15</w:t>
            </w:r>
          </w:p>
        </w:tc>
        <w:tc>
          <w:tcPr>
            <w:tcW w:w="1627"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7"/>
              <w:jc w:val="right"/>
              <w:rPr>
                <w:rFonts w:ascii="Times New Roman" w:hAnsi="Times New Roman" w:cs="Times New Roman" w:eastAsia="Times New Roman" w:hint="default"/>
                <w:sz w:val="21"/>
                <w:szCs w:val="21"/>
              </w:rPr>
            </w:pPr>
            <w:r>
              <w:rPr>
                <w:rFonts w:ascii="Times New Roman"/>
                <w:sz w:val="21"/>
              </w:rPr>
              <w:t>83,470.26</w:t>
            </w:r>
          </w:p>
        </w:tc>
      </w:tr>
      <w:tr>
        <w:trPr>
          <w:trHeight w:val="350" w:hRule="exact"/>
        </w:trPr>
        <w:tc>
          <w:tcPr>
            <w:tcW w:w="1841"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存货跌价准备</w:t>
            </w:r>
          </w:p>
        </w:tc>
        <w:tc>
          <w:tcPr>
            <w:tcW w:w="1961"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Times New Roman" w:hAnsi="Times New Roman" w:cs="Times New Roman" w:eastAsia="Times New Roman" w:hint="default"/>
                <w:sz w:val="21"/>
                <w:szCs w:val="21"/>
              </w:rPr>
            </w:pPr>
            <w:r>
              <w:rPr>
                <w:rFonts w:ascii="Times New Roman"/>
                <w:spacing w:val="-1"/>
                <w:sz w:val="21"/>
              </w:rPr>
              <w:t>998,304.70</w:t>
            </w:r>
          </w:p>
        </w:tc>
        <w:tc>
          <w:tcPr>
            <w:tcW w:w="1639"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Times New Roman" w:hAnsi="Times New Roman" w:cs="Times New Roman" w:eastAsia="Times New Roman" w:hint="default"/>
                <w:sz w:val="21"/>
                <w:szCs w:val="21"/>
              </w:rPr>
            </w:pPr>
            <w:r>
              <w:rPr>
                <w:rFonts w:ascii="Times New Roman"/>
                <w:spacing w:val="-1"/>
                <w:sz w:val="21"/>
              </w:rPr>
              <w:t>154,943.02</w:t>
            </w:r>
          </w:p>
        </w:tc>
        <w:tc>
          <w:tcPr>
            <w:tcW w:w="1901"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Times New Roman" w:hAnsi="Times New Roman" w:cs="Times New Roman" w:eastAsia="Times New Roman" w:hint="default"/>
                <w:sz w:val="21"/>
                <w:szCs w:val="21"/>
              </w:rPr>
            </w:pPr>
            <w:r>
              <w:rPr>
                <w:rFonts w:ascii="Times New Roman"/>
                <w:spacing w:val="-1"/>
                <w:sz w:val="21"/>
              </w:rPr>
              <w:t>712,071.24</w:t>
            </w:r>
          </w:p>
        </w:tc>
        <w:tc>
          <w:tcPr>
            <w:tcW w:w="1627"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7"/>
              <w:jc w:val="right"/>
              <w:rPr>
                <w:rFonts w:ascii="Times New Roman" w:hAnsi="Times New Roman" w:cs="Times New Roman" w:eastAsia="Times New Roman" w:hint="default"/>
                <w:sz w:val="21"/>
                <w:szCs w:val="21"/>
              </w:rPr>
            </w:pPr>
            <w:r>
              <w:rPr>
                <w:rFonts w:ascii="Times New Roman"/>
                <w:spacing w:val="-1"/>
                <w:sz w:val="21"/>
              </w:rPr>
              <w:t>111,948.99</w:t>
            </w:r>
          </w:p>
        </w:tc>
      </w:tr>
      <w:tr>
        <w:trPr>
          <w:trHeight w:val="353" w:hRule="exact"/>
        </w:trPr>
        <w:tc>
          <w:tcPr>
            <w:tcW w:w="1841"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61"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0"/>
              <w:jc w:val="right"/>
              <w:rPr>
                <w:rFonts w:ascii="Times New Roman" w:hAnsi="Times New Roman" w:cs="Times New Roman" w:eastAsia="Times New Roman" w:hint="default"/>
                <w:sz w:val="21"/>
                <w:szCs w:val="21"/>
              </w:rPr>
            </w:pPr>
            <w:r>
              <w:rPr>
                <w:rFonts w:ascii="Times New Roman"/>
                <w:spacing w:val="-1"/>
                <w:sz w:val="21"/>
              </w:rPr>
              <w:t>1,847,834.88</w:t>
            </w:r>
          </w:p>
        </w:tc>
        <w:tc>
          <w:tcPr>
            <w:tcW w:w="1639"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0"/>
              <w:jc w:val="right"/>
              <w:rPr>
                <w:rFonts w:ascii="Times New Roman" w:hAnsi="Times New Roman" w:cs="Times New Roman" w:eastAsia="Times New Roman" w:hint="default"/>
                <w:sz w:val="21"/>
                <w:szCs w:val="21"/>
              </w:rPr>
            </w:pPr>
            <w:r>
              <w:rPr>
                <w:rFonts w:ascii="Times New Roman"/>
                <w:spacing w:val="-1"/>
                <w:sz w:val="21"/>
              </w:rPr>
              <w:t>310,894.98</w:t>
            </w:r>
          </w:p>
        </w:tc>
        <w:tc>
          <w:tcPr>
            <w:tcW w:w="1901"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0"/>
              <w:jc w:val="right"/>
              <w:rPr>
                <w:rFonts w:ascii="Times New Roman" w:hAnsi="Times New Roman" w:cs="Times New Roman" w:eastAsia="Times New Roman" w:hint="default"/>
                <w:sz w:val="21"/>
                <w:szCs w:val="21"/>
              </w:rPr>
            </w:pPr>
            <w:r>
              <w:rPr>
                <w:rFonts w:ascii="Times New Roman"/>
                <w:spacing w:val="-1"/>
                <w:sz w:val="21"/>
              </w:rPr>
              <w:t>1,187,570.39</w:t>
            </w:r>
          </w:p>
        </w:tc>
        <w:tc>
          <w:tcPr>
            <w:tcW w:w="1627"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5"/>
              <w:jc w:val="right"/>
              <w:rPr>
                <w:rFonts w:ascii="Times New Roman" w:hAnsi="Times New Roman" w:cs="Times New Roman" w:eastAsia="Times New Roman" w:hint="default"/>
                <w:sz w:val="21"/>
                <w:szCs w:val="21"/>
              </w:rPr>
            </w:pPr>
            <w:r>
              <w:rPr>
                <w:rFonts w:ascii="Times New Roman"/>
                <w:spacing w:val="-1"/>
                <w:sz w:val="21"/>
              </w:rPr>
              <w:t>195,419.25</w:t>
            </w:r>
          </w:p>
        </w:tc>
      </w:tr>
    </w:tbl>
    <w:p>
      <w:pPr>
        <w:spacing w:line="240" w:lineRule="auto" w:before="3"/>
        <w:rPr>
          <w:rFonts w:ascii="宋体" w:hAnsi="宋体" w:cs="宋体" w:eastAsia="宋体" w:hint="default"/>
          <w:b/>
          <w:bCs/>
          <w:sz w:val="8"/>
          <w:szCs w:val="8"/>
        </w:rPr>
      </w:pPr>
    </w:p>
    <w:p>
      <w:pPr>
        <w:pStyle w:val="Heading5"/>
        <w:spacing w:line="240" w:lineRule="auto" w:before="36"/>
        <w:ind w:left="572" w:right="0"/>
        <w:jc w:val="left"/>
        <w:rPr>
          <w:b w:val="0"/>
          <w:bCs w:val="0"/>
        </w:rPr>
      </w:pPr>
      <w:r>
        <w:rPr>
          <w:rFonts w:ascii="Times New Roman" w:hAnsi="Times New Roman" w:cs="Times New Roman" w:eastAsia="Times New Roman" w:hint="default"/>
        </w:rPr>
        <w:t>2</w:t>
      </w:r>
      <w:r>
        <w:rPr/>
        <w:t>、未经抵销的递延所得税负债</w:t>
      </w:r>
      <w:r>
        <w:rPr>
          <w:b w:val="0"/>
          <w:bCs w:val="0"/>
        </w:rPr>
      </w:r>
    </w:p>
    <w:p>
      <w:pPr>
        <w:spacing w:line="240" w:lineRule="auto" w:before="8"/>
        <w:rPr>
          <w:rFonts w:ascii="宋体" w:hAnsi="宋体" w:cs="宋体" w:eastAsia="宋体" w:hint="default"/>
          <w:b/>
          <w:bCs/>
          <w:sz w:val="2"/>
          <w:szCs w:val="2"/>
        </w:rPr>
      </w:pPr>
    </w:p>
    <w:tbl>
      <w:tblPr>
        <w:tblW w:w="0" w:type="auto"/>
        <w:jc w:val="left"/>
        <w:tblInd w:w="145" w:type="dxa"/>
        <w:tblLayout w:type="fixed"/>
        <w:tblCellMar>
          <w:top w:w="0" w:type="dxa"/>
          <w:left w:w="0" w:type="dxa"/>
          <w:bottom w:w="0" w:type="dxa"/>
          <w:right w:w="0" w:type="dxa"/>
        </w:tblCellMar>
        <w:tblLook w:val="01E0"/>
      </w:tblPr>
      <w:tblGrid>
        <w:gridCol w:w="2525"/>
        <w:gridCol w:w="1668"/>
        <w:gridCol w:w="1536"/>
        <w:gridCol w:w="1699"/>
        <w:gridCol w:w="1553"/>
      </w:tblGrid>
      <w:tr>
        <w:trPr>
          <w:trHeight w:val="355" w:hRule="exact"/>
        </w:trPr>
        <w:tc>
          <w:tcPr>
            <w:tcW w:w="2525" w:type="dxa"/>
            <w:vMerge w:val="restart"/>
            <w:tcBorders>
              <w:top w:val="single" w:sz="6" w:space="0" w:color="000000"/>
              <w:left w:val="single" w:sz="6" w:space="0" w:color="000000"/>
              <w:right w:val="single" w:sz="6" w:space="0" w:color="000000"/>
            </w:tcBorders>
          </w:tcPr>
          <w:p>
            <w:pPr>
              <w:pStyle w:val="TableParagraph"/>
              <w:spacing w:line="253"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04" w:type="dxa"/>
            <w:gridSpan w:val="2"/>
            <w:tcBorders>
              <w:top w:val="single" w:sz="6" w:space="0" w:color="000000"/>
              <w:left w:val="single" w:sz="6" w:space="0" w:color="000000"/>
              <w:bottom w:val="single" w:sz="12" w:space="0" w:color="000000"/>
              <w:right w:val="single" w:sz="6"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252" w:type="dxa"/>
            <w:gridSpan w:val="2"/>
            <w:tcBorders>
              <w:top w:val="single" w:sz="6" w:space="0" w:color="000000"/>
              <w:left w:val="single" w:sz="6" w:space="0" w:color="000000"/>
              <w:bottom w:val="single" w:sz="12" w:space="0" w:color="000000"/>
              <w:right w:val="nil" w:sz="6" w:space="0" w:color="auto"/>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86" w:hRule="exact"/>
        </w:trPr>
        <w:tc>
          <w:tcPr>
            <w:tcW w:w="2525" w:type="dxa"/>
            <w:vMerge/>
            <w:tcBorders>
              <w:left w:val="single" w:sz="6" w:space="0" w:color="000000"/>
              <w:bottom w:val="single" w:sz="12" w:space="0" w:color="000000"/>
              <w:right w:val="single" w:sz="6" w:space="0" w:color="000000"/>
            </w:tcBorders>
          </w:tcPr>
          <w:p>
            <w:pPr/>
          </w:p>
        </w:tc>
        <w:tc>
          <w:tcPr>
            <w:tcW w:w="1668"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应纳税暂时性差</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异</w:t>
            </w:r>
          </w:p>
        </w:tc>
        <w:tc>
          <w:tcPr>
            <w:tcW w:w="1536"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right="21"/>
              <w:jc w:val="right"/>
              <w:rPr>
                <w:rFonts w:ascii="宋体" w:hAnsi="宋体" w:cs="宋体" w:eastAsia="宋体" w:hint="default"/>
                <w:sz w:val="21"/>
                <w:szCs w:val="21"/>
              </w:rPr>
            </w:pPr>
            <w:r>
              <w:rPr>
                <w:rFonts w:ascii="宋体" w:hAnsi="宋体" w:cs="宋体" w:eastAsia="宋体" w:hint="default"/>
                <w:spacing w:val="-1"/>
                <w:sz w:val="21"/>
                <w:szCs w:val="21"/>
              </w:rPr>
              <w:t>递延所得税负债</w:t>
            </w:r>
          </w:p>
        </w:tc>
        <w:tc>
          <w:tcPr>
            <w:tcW w:w="1699"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应纳税暂时性差</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异</w:t>
            </w:r>
          </w:p>
        </w:tc>
        <w:tc>
          <w:tcPr>
            <w:tcW w:w="1553" w:type="dxa"/>
            <w:tcBorders>
              <w:top w:val="single" w:sz="12" w:space="0" w:color="000000"/>
              <w:left w:val="single" w:sz="6" w:space="0" w:color="000000"/>
              <w:bottom w:val="single" w:sz="12" w:space="0" w:color="000000"/>
              <w:right w:val="nil" w:sz="6" w:space="0" w:color="auto"/>
            </w:tcBorders>
          </w:tcPr>
          <w:p>
            <w:pPr>
              <w:pStyle w:val="TableParagraph"/>
              <w:spacing w:line="243" w:lineRule="exact"/>
              <w:ind w:right="36"/>
              <w:jc w:val="right"/>
              <w:rPr>
                <w:rFonts w:ascii="宋体" w:hAnsi="宋体" w:cs="宋体" w:eastAsia="宋体" w:hint="default"/>
                <w:sz w:val="21"/>
                <w:szCs w:val="21"/>
              </w:rPr>
            </w:pPr>
            <w:r>
              <w:rPr>
                <w:rFonts w:ascii="宋体" w:hAnsi="宋体" w:cs="宋体" w:eastAsia="宋体" w:hint="default"/>
                <w:spacing w:val="-1"/>
                <w:sz w:val="21"/>
                <w:szCs w:val="21"/>
              </w:rPr>
              <w:t>递延所得税负债</w:t>
            </w:r>
          </w:p>
        </w:tc>
      </w:tr>
      <w:tr>
        <w:trPr>
          <w:trHeight w:val="353" w:hRule="exact"/>
        </w:trPr>
        <w:tc>
          <w:tcPr>
            <w:tcW w:w="2525"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4" w:right="0"/>
              <w:jc w:val="left"/>
              <w:rPr>
                <w:rFonts w:ascii="宋体" w:hAnsi="宋体" w:cs="宋体" w:eastAsia="宋体" w:hint="default"/>
                <w:sz w:val="21"/>
                <w:szCs w:val="21"/>
              </w:rPr>
            </w:pPr>
            <w:r>
              <w:rPr>
                <w:rFonts w:ascii="宋体" w:hAnsi="宋体" w:cs="宋体" w:eastAsia="宋体" w:hint="default"/>
                <w:sz w:val="21"/>
                <w:szCs w:val="21"/>
              </w:rPr>
              <w:t>固定资产折旧</w:t>
            </w:r>
          </w:p>
        </w:tc>
        <w:tc>
          <w:tcPr>
            <w:tcW w:w="1668"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0"/>
              <w:jc w:val="right"/>
              <w:rPr>
                <w:rFonts w:ascii="Times New Roman" w:hAnsi="Times New Roman" w:cs="Times New Roman" w:eastAsia="Times New Roman" w:hint="default"/>
                <w:sz w:val="21"/>
                <w:szCs w:val="21"/>
              </w:rPr>
            </w:pPr>
            <w:r>
              <w:rPr>
                <w:rFonts w:ascii="Times New Roman"/>
                <w:spacing w:val="-1"/>
                <w:sz w:val="21"/>
              </w:rPr>
              <w:t>1,308,229.47</w:t>
            </w:r>
          </w:p>
        </w:tc>
        <w:tc>
          <w:tcPr>
            <w:tcW w:w="1536"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0"/>
              <w:jc w:val="right"/>
              <w:rPr>
                <w:rFonts w:ascii="Times New Roman" w:hAnsi="Times New Roman" w:cs="Times New Roman" w:eastAsia="Times New Roman" w:hint="default"/>
                <w:sz w:val="21"/>
                <w:szCs w:val="21"/>
              </w:rPr>
            </w:pPr>
            <w:r>
              <w:rPr>
                <w:rFonts w:ascii="Times New Roman"/>
                <w:spacing w:val="-1"/>
                <w:sz w:val="21"/>
              </w:rPr>
              <w:t>196,234.42</w:t>
            </w:r>
          </w:p>
        </w:tc>
        <w:tc>
          <w:tcPr>
            <w:tcW w:w="1699"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553"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6"/>
              <w:jc w:val="right"/>
              <w:rPr>
                <w:rFonts w:ascii="Times New Roman" w:hAnsi="Times New Roman" w:cs="Times New Roman" w:eastAsia="Times New Roman" w:hint="default"/>
                <w:sz w:val="21"/>
                <w:szCs w:val="21"/>
              </w:rPr>
            </w:pPr>
            <w:r>
              <w:rPr>
                <w:rFonts w:ascii="Times New Roman"/>
                <w:spacing w:val="-1"/>
                <w:sz w:val="21"/>
              </w:rPr>
              <w:t>---</w:t>
            </w:r>
          </w:p>
        </w:tc>
      </w:tr>
      <w:tr>
        <w:trPr>
          <w:trHeight w:val="353" w:hRule="exact"/>
        </w:trPr>
        <w:tc>
          <w:tcPr>
            <w:tcW w:w="2525"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68"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Times New Roman" w:hAnsi="Times New Roman" w:cs="Times New Roman" w:eastAsia="Times New Roman" w:hint="default"/>
                <w:sz w:val="21"/>
                <w:szCs w:val="21"/>
              </w:rPr>
            </w:pPr>
            <w:r>
              <w:rPr>
                <w:rFonts w:ascii="Times New Roman"/>
                <w:spacing w:val="-1"/>
                <w:sz w:val="21"/>
              </w:rPr>
              <w:t>1,308,229.47</w:t>
            </w:r>
          </w:p>
        </w:tc>
        <w:tc>
          <w:tcPr>
            <w:tcW w:w="1536"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Times New Roman" w:hAnsi="Times New Roman" w:cs="Times New Roman" w:eastAsia="Times New Roman" w:hint="default"/>
                <w:sz w:val="21"/>
                <w:szCs w:val="21"/>
              </w:rPr>
            </w:pPr>
            <w:r>
              <w:rPr>
                <w:rFonts w:ascii="Times New Roman"/>
                <w:spacing w:val="-1"/>
                <w:sz w:val="21"/>
              </w:rPr>
              <w:t>196,234.42</w:t>
            </w:r>
          </w:p>
        </w:tc>
        <w:tc>
          <w:tcPr>
            <w:tcW w:w="1699"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553"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6"/>
              <w:jc w:val="right"/>
              <w:rPr>
                <w:rFonts w:ascii="Times New Roman" w:hAnsi="Times New Roman" w:cs="Times New Roman" w:eastAsia="Times New Roman" w:hint="default"/>
                <w:sz w:val="21"/>
                <w:szCs w:val="21"/>
              </w:rPr>
            </w:pPr>
            <w:r>
              <w:rPr>
                <w:rFonts w:ascii="Times New Roman"/>
                <w:spacing w:val="-1"/>
                <w:sz w:val="21"/>
              </w:rPr>
              <w:t>---</w:t>
            </w:r>
          </w:p>
        </w:tc>
      </w:tr>
    </w:tbl>
    <w:p>
      <w:pPr>
        <w:spacing w:line="240" w:lineRule="auto" w:before="3"/>
        <w:rPr>
          <w:rFonts w:ascii="宋体" w:hAnsi="宋体" w:cs="宋体" w:eastAsia="宋体" w:hint="default"/>
          <w:b/>
          <w:bCs/>
          <w:sz w:val="8"/>
          <w:szCs w:val="8"/>
        </w:rPr>
      </w:pPr>
    </w:p>
    <w:p>
      <w:pPr>
        <w:pStyle w:val="Heading5"/>
        <w:spacing w:line="240" w:lineRule="auto" w:before="36"/>
        <w:ind w:left="580" w:right="0"/>
        <w:jc w:val="left"/>
        <w:rPr>
          <w:b w:val="0"/>
          <w:bCs w:val="0"/>
        </w:rPr>
      </w:pPr>
      <w:r>
        <w:rPr/>
        <w:t>（十六）其他非流动资产</w:t>
      </w:r>
      <w:r>
        <w:rPr>
          <w:b w:val="0"/>
          <w:bCs w:val="0"/>
        </w:rPr>
      </w:r>
    </w:p>
    <w:p>
      <w:pPr>
        <w:spacing w:line="240" w:lineRule="auto" w:before="10"/>
        <w:rPr>
          <w:rFonts w:ascii="宋体" w:hAnsi="宋体" w:cs="宋体" w:eastAsia="宋体" w:hint="default"/>
          <w:b/>
          <w:bCs/>
          <w:sz w:val="3"/>
          <w:szCs w:val="3"/>
        </w:rPr>
      </w:pPr>
    </w:p>
    <w:tbl>
      <w:tblPr>
        <w:tblW w:w="0" w:type="auto"/>
        <w:jc w:val="left"/>
        <w:tblInd w:w="145" w:type="dxa"/>
        <w:tblLayout w:type="fixed"/>
        <w:tblCellMar>
          <w:top w:w="0" w:type="dxa"/>
          <w:left w:w="0" w:type="dxa"/>
          <w:bottom w:w="0" w:type="dxa"/>
          <w:right w:w="0" w:type="dxa"/>
        </w:tblCellMar>
        <w:tblLook w:val="01E0"/>
      </w:tblPr>
      <w:tblGrid>
        <w:gridCol w:w="3038"/>
        <w:gridCol w:w="2743"/>
        <w:gridCol w:w="2882"/>
      </w:tblGrid>
      <w:tr>
        <w:trPr>
          <w:trHeight w:val="314" w:hRule="exact"/>
        </w:trPr>
        <w:tc>
          <w:tcPr>
            <w:tcW w:w="3038"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43"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82" w:type="dxa"/>
            <w:tcBorders>
              <w:top w:val="single" w:sz="6" w:space="0" w:color="000000"/>
              <w:left w:val="single" w:sz="6" w:space="0" w:color="000000"/>
              <w:bottom w:val="single" w:sz="12" w:space="0" w:color="000000"/>
              <w:right w:val="nil" w:sz="6" w:space="0" w:color="auto"/>
            </w:tcBorders>
          </w:tcPr>
          <w:p>
            <w:pPr>
              <w:pStyle w:val="TableParagraph"/>
              <w:spacing w:line="250" w:lineRule="exact"/>
              <w:ind w:right="5"/>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14" w:hRule="exact"/>
        </w:trPr>
        <w:tc>
          <w:tcPr>
            <w:tcW w:w="3038"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4" w:right="0"/>
              <w:jc w:val="left"/>
              <w:rPr>
                <w:rFonts w:ascii="宋体" w:hAnsi="宋体" w:cs="宋体" w:eastAsia="宋体" w:hint="default"/>
                <w:sz w:val="21"/>
                <w:szCs w:val="21"/>
              </w:rPr>
            </w:pPr>
            <w:r>
              <w:rPr>
                <w:rFonts w:ascii="宋体" w:hAnsi="宋体" w:cs="宋体" w:eastAsia="宋体" w:hint="default"/>
                <w:sz w:val="21"/>
                <w:szCs w:val="21"/>
              </w:rPr>
              <w:t>预付购房款</w:t>
            </w:r>
          </w:p>
        </w:tc>
        <w:tc>
          <w:tcPr>
            <w:tcW w:w="2743"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left="1519" w:right="-1"/>
              <w:jc w:val="left"/>
              <w:rPr>
                <w:rFonts w:ascii="Times New Roman" w:hAnsi="Times New Roman" w:cs="Times New Roman" w:eastAsia="Times New Roman" w:hint="default"/>
                <w:sz w:val="21"/>
                <w:szCs w:val="21"/>
              </w:rPr>
            </w:pPr>
            <w:r>
              <w:rPr>
                <w:rFonts w:ascii="Times New Roman"/>
                <w:sz w:val="21"/>
              </w:rPr>
              <w:t>74,053,557.00</w:t>
            </w:r>
          </w:p>
        </w:tc>
        <w:tc>
          <w:tcPr>
            <w:tcW w:w="2882"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left="1658" w:right="0"/>
              <w:jc w:val="left"/>
              <w:rPr>
                <w:rFonts w:ascii="Times New Roman" w:hAnsi="Times New Roman" w:cs="Times New Roman" w:eastAsia="Times New Roman" w:hint="default"/>
                <w:sz w:val="21"/>
                <w:szCs w:val="21"/>
              </w:rPr>
            </w:pPr>
            <w:r>
              <w:rPr>
                <w:rFonts w:ascii="Times New Roman"/>
                <w:sz w:val="21"/>
              </w:rPr>
              <w:t>74,053,557.00</w:t>
            </w:r>
          </w:p>
        </w:tc>
      </w:tr>
    </w:tbl>
    <w:p>
      <w:pPr>
        <w:spacing w:after="0" w:line="237" w:lineRule="exact"/>
        <w:jc w:val="left"/>
        <w:rPr>
          <w:rFonts w:ascii="Times New Roman" w:hAnsi="Times New Roman" w:cs="Times New Roman" w:eastAsia="Times New Roman" w:hint="default"/>
          <w:sz w:val="21"/>
          <w:szCs w:val="21"/>
        </w:rPr>
        <w:sectPr>
          <w:pgSz w:w="11910" w:h="16840"/>
          <w:pgMar w:header="880" w:footer="979" w:top="1060" w:bottom="1160" w:left="980" w:right="980"/>
        </w:sectPr>
      </w:pPr>
    </w:p>
    <w:p>
      <w:pPr>
        <w:spacing w:line="240" w:lineRule="auto" w:before="4"/>
        <w:rPr>
          <w:rFonts w:ascii="宋体" w:hAnsi="宋体" w:cs="宋体" w:eastAsia="宋体" w:hint="default"/>
          <w:b/>
          <w:bCs/>
          <w:sz w:val="28"/>
          <w:szCs w:val="28"/>
        </w:rPr>
      </w:pPr>
    </w:p>
    <w:tbl>
      <w:tblPr>
        <w:tblW w:w="0" w:type="auto"/>
        <w:jc w:val="left"/>
        <w:tblInd w:w="145" w:type="dxa"/>
        <w:tblLayout w:type="fixed"/>
        <w:tblCellMar>
          <w:top w:w="0" w:type="dxa"/>
          <w:left w:w="0" w:type="dxa"/>
          <w:bottom w:w="0" w:type="dxa"/>
          <w:right w:w="0" w:type="dxa"/>
        </w:tblCellMar>
        <w:tblLook w:val="01E0"/>
      </w:tblPr>
      <w:tblGrid>
        <w:gridCol w:w="3038"/>
        <w:gridCol w:w="2743"/>
        <w:gridCol w:w="2882"/>
      </w:tblGrid>
      <w:tr>
        <w:trPr>
          <w:trHeight w:val="317" w:hRule="exact"/>
        </w:trPr>
        <w:tc>
          <w:tcPr>
            <w:tcW w:w="3038"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7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
              <w:ind w:left="1519" w:right="-1"/>
              <w:jc w:val="left"/>
              <w:rPr>
                <w:rFonts w:ascii="Times New Roman" w:hAnsi="Times New Roman" w:cs="Times New Roman" w:eastAsia="Times New Roman" w:hint="default"/>
                <w:sz w:val="21"/>
                <w:szCs w:val="21"/>
              </w:rPr>
            </w:pPr>
            <w:r>
              <w:rPr>
                <w:rFonts w:ascii="Times New Roman"/>
                <w:sz w:val="21"/>
              </w:rPr>
              <w:t>74,053,557.00</w:t>
            </w:r>
          </w:p>
        </w:tc>
        <w:tc>
          <w:tcPr>
            <w:tcW w:w="288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
              <w:ind w:left="1658" w:right="0"/>
              <w:jc w:val="left"/>
              <w:rPr>
                <w:rFonts w:ascii="Times New Roman" w:hAnsi="Times New Roman" w:cs="Times New Roman" w:eastAsia="Times New Roman" w:hint="default"/>
                <w:sz w:val="21"/>
                <w:szCs w:val="21"/>
              </w:rPr>
            </w:pPr>
            <w:r>
              <w:rPr>
                <w:rFonts w:ascii="Times New Roman"/>
                <w:sz w:val="21"/>
              </w:rPr>
              <w:t>74,053,557.00</w:t>
            </w:r>
          </w:p>
        </w:tc>
      </w:tr>
    </w:tbl>
    <w:p>
      <w:pPr>
        <w:spacing w:line="240" w:lineRule="auto" w:before="8"/>
        <w:rPr>
          <w:rFonts w:ascii="宋体" w:hAnsi="宋体" w:cs="宋体" w:eastAsia="宋体" w:hint="default"/>
          <w:b/>
          <w:bCs/>
          <w:sz w:val="14"/>
          <w:szCs w:val="14"/>
        </w:rPr>
      </w:pPr>
    </w:p>
    <w:p>
      <w:pPr>
        <w:pStyle w:val="Heading5"/>
        <w:spacing w:line="256" w:lineRule="auto" w:before="36"/>
        <w:ind w:right="0" w:firstLine="516"/>
        <w:jc w:val="left"/>
        <w:rPr>
          <w:b w:val="0"/>
          <w:bCs w:val="0"/>
        </w:rPr>
      </w:pPr>
      <w:r>
        <w:rPr/>
        <w:t>其他非流动资产期末余额</w:t>
      </w:r>
      <w:r>
        <w:rPr>
          <w:rFonts w:ascii="Times New Roman" w:hAnsi="Times New Roman" w:cs="Times New Roman" w:eastAsia="Times New Roman" w:hint="default"/>
        </w:rPr>
        <w:t>74,053,557.00</w:t>
      </w:r>
      <w:r>
        <w:rPr/>
        <w:t>元系本公司向深圳市大沙河创新走廊建设投资管理有限公司</w:t>
      </w:r>
      <w:r>
        <w:rPr>
          <w:w w:val="100"/>
        </w:rPr>
        <w:t> </w:t>
      </w:r>
      <w:r>
        <w:rPr/>
        <w:t>支付的购房款。</w:t>
      </w:r>
      <w:r>
        <w:rPr>
          <w:b w:val="0"/>
          <w:bCs w:val="0"/>
        </w:rPr>
      </w:r>
    </w:p>
    <w:p>
      <w:pPr>
        <w:spacing w:line="240" w:lineRule="auto" w:before="7"/>
        <w:rPr>
          <w:rFonts w:ascii="宋体" w:hAnsi="宋体" w:cs="宋体" w:eastAsia="宋体" w:hint="default"/>
          <w:b/>
          <w:bCs/>
          <w:sz w:val="25"/>
          <w:szCs w:val="25"/>
        </w:rPr>
      </w:pPr>
    </w:p>
    <w:p>
      <w:pPr>
        <w:pStyle w:val="Heading5"/>
        <w:spacing w:line="240" w:lineRule="auto"/>
        <w:ind w:left="580" w:right="0"/>
        <w:jc w:val="left"/>
        <w:rPr>
          <w:b w:val="0"/>
          <w:bCs w:val="0"/>
        </w:rPr>
      </w:pPr>
      <w:r>
        <w:rPr/>
        <w:t>（十七）应付账款</w:t>
      </w:r>
      <w:r>
        <w:rPr>
          <w:b w:val="0"/>
          <w:bCs w:val="0"/>
        </w:rPr>
      </w:r>
    </w:p>
    <w:p>
      <w:pPr>
        <w:spacing w:line="240" w:lineRule="auto" w:before="10"/>
        <w:rPr>
          <w:rFonts w:ascii="宋体" w:hAnsi="宋体" w:cs="宋体" w:eastAsia="宋体" w:hint="default"/>
          <w:b/>
          <w:bCs/>
          <w:sz w:val="3"/>
          <w:szCs w:val="3"/>
        </w:rPr>
      </w:pPr>
    </w:p>
    <w:tbl>
      <w:tblPr>
        <w:tblW w:w="0" w:type="auto"/>
        <w:jc w:val="left"/>
        <w:tblInd w:w="145" w:type="dxa"/>
        <w:tblLayout w:type="fixed"/>
        <w:tblCellMar>
          <w:top w:w="0" w:type="dxa"/>
          <w:left w:w="0" w:type="dxa"/>
          <w:bottom w:w="0" w:type="dxa"/>
          <w:right w:w="0" w:type="dxa"/>
        </w:tblCellMar>
        <w:tblLook w:val="01E0"/>
      </w:tblPr>
      <w:tblGrid>
        <w:gridCol w:w="3053"/>
        <w:gridCol w:w="2729"/>
        <w:gridCol w:w="2882"/>
      </w:tblGrid>
      <w:tr>
        <w:trPr>
          <w:trHeight w:val="314" w:hRule="exact"/>
        </w:trPr>
        <w:tc>
          <w:tcPr>
            <w:tcW w:w="3053"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right="1303"/>
              <w:jc w:val="right"/>
              <w:rPr>
                <w:rFonts w:ascii="宋体" w:hAnsi="宋体" w:cs="宋体" w:eastAsia="宋体" w:hint="default"/>
                <w:sz w:val="21"/>
                <w:szCs w:val="21"/>
              </w:rPr>
            </w:pPr>
            <w:r>
              <w:rPr>
                <w:rFonts w:ascii="宋体" w:hAnsi="宋体" w:cs="宋体" w:eastAsia="宋体" w:hint="default"/>
                <w:sz w:val="21"/>
                <w:szCs w:val="21"/>
              </w:rPr>
              <w:t>项目</w:t>
            </w:r>
          </w:p>
        </w:tc>
        <w:tc>
          <w:tcPr>
            <w:tcW w:w="2729"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82" w:type="dxa"/>
            <w:tcBorders>
              <w:top w:val="single" w:sz="6" w:space="0" w:color="000000"/>
              <w:left w:val="single" w:sz="6" w:space="0" w:color="000000"/>
              <w:bottom w:val="single" w:sz="12" w:space="0" w:color="000000"/>
              <w:right w:val="nil" w:sz="6" w:space="0" w:color="auto"/>
            </w:tcBorders>
          </w:tcPr>
          <w:p>
            <w:pPr>
              <w:pStyle w:val="TableParagraph"/>
              <w:spacing w:line="250" w:lineRule="exact"/>
              <w:ind w:right="5"/>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14" w:hRule="exact"/>
        </w:trPr>
        <w:tc>
          <w:tcPr>
            <w:tcW w:w="3053" w:type="dxa"/>
            <w:tcBorders>
              <w:top w:val="single" w:sz="12" w:space="0" w:color="000000"/>
              <w:left w:val="single" w:sz="6" w:space="0" w:color="000000"/>
              <w:bottom w:val="single" w:sz="12" w:space="0" w:color="000000"/>
              <w:right w:val="single" w:sz="6" w:space="0" w:color="000000"/>
            </w:tcBorders>
          </w:tcPr>
          <w:p>
            <w:pPr>
              <w:pStyle w:val="TableParagraph"/>
              <w:spacing w:line="259"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2729"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0"/>
              <w:jc w:val="right"/>
              <w:rPr>
                <w:rFonts w:ascii="Times New Roman" w:hAnsi="Times New Roman" w:cs="Times New Roman" w:eastAsia="Times New Roman" w:hint="default"/>
                <w:sz w:val="21"/>
                <w:szCs w:val="21"/>
              </w:rPr>
            </w:pPr>
            <w:r>
              <w:rPr>
                <w:rFonts w:ascii="Times New Roman"/>
                <w:spacing w:val="-1"/>
                <w:sz w:val="21"/>
              </w:rPr>
              <w:t>5,948,432.34</w:t>
            </w:r>
          </w:p>
        </w:tc>
        <w:tc>
          <w:tcPr>
            <w:tcW w:w="2882"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5"/>
              <w:jc w:val="right"/>
              <w:rPr>
                <w:rFonts w:ascii="Times New Roman" w:hAnsi="Times New Roman" w:cs="Times New Roman" w:eastAsia="Times New Roman" w:hint="default"/>
                <w:sz w:val="21"/>
                <w:szCs w:val="21"/>
              </w:rPr>
            </w:pPr>
            <w:r>
              <w:rPr>
                <w:rFonts w:ascii="Times New Roman"/>
                <w:spacing w:val="-1"/>
                <w:sz w:val="21"/>
              </w:rPr>
              <w:t>7,654,086.30</w:t>
            </w:r>
          </w:p>
        </w:tc>
      </w:tr>
      <w:tr>
        <w:trPr>
          <w:trHeight w:val="312" w:hRule="exact"/>
        </w:trPr>
        <w:tc>
          <w:tcPr>
            <w:tcW w:w="3053" w:type="dxa"/>
            <w:tcBorders>
              <w:top w:val="single" w:sz="12" w:space="0" w:color="000000"/>
              <w:left w:val="single" w:sz="6" w:space="0" w:color="000000"/>
              <w:bottom w:val="single" w:sz="12" w:space="0" w:color="000000"/>
              <w:right w:val="single" w:sz="6" w:space="0" w:color="000000"/>
            </w:tcBorders>
          </w:tcPr>
          <w:p>
            <w:pPr>
              <w:pStyle w:val="TableParagraph"/>
              <w:spacing w:line="257"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年</w:t>
            </w:r>
          </w:p>
        </w:tc>
        <w:tc>
          <w:tcPr>
            <w:tcW w:w="2729"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Times New Roman" w:hAnsi="Times New Roman" w:cs="Times New Roman" w:eastAsia="Times New Roman" w:hint="default"/>
                <w:sz w:val="21"/>
                <w:szCs w:val="21"/>
              </w:rPr>
            </w:pPr>
            <w:r>
              <w:rPr>
                <w:rFonts w:ascii="Times New Roman"/>
                <w:sz w:val="21"/>
              </w:rPr>
              <w:t>1,557.21</w:t>
            </w:r>
          </w:p>
        </w:tc>
        <w:tc>
          <w:tcPr>
            <w:tcW w:w="2882"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6"/>
              <w:jc w:val="right"/>
              <w:rPr>
                <w:rFonts w:ascii="Times New Roman" w:hAnsi="Times New Roman" w:cs="Times New Roman" w:eastAsia="Times New Roman" w:hint="default"/>
                <w:sz w:val="21"/>
                <w:szCs w:val="21"/>
              </w:rPr>
            </w:pPr>
            <w:r>
              <w:rPr>
                <w:rFonts w:ascii="Times New Roman"/>
                <w:spacing w:val="-1"/>
                <w:sz w:val="21"/>
              </w:rPr>
              <w:t>---</w:t>
            </w:r>
          </w:p>
        </w:tc>
      </w:tr>
      <w:tr>
        <w:trPr>
          <w:trHeight w:val="314" w:hRule="exact"/>
        </w:trPr>
        <w:tc>
          <w:tcPr>
            <w:tcW w:w="3053"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right="1303"/>
              <w:jc w:val="right"/>
              <w:rPr>
                <w:rFonts w:ascii="宋体" w:hAnsi="宋体" w:cs="宋体" w:eastAsia="宋体" w:hint="default"/>
                <w:sz w:val="21"/>
                <w:szCs w:val="21"/>
              </w:rPr>
            </w:pPr>
            <w:r>
              <w:rPr>
                <w:rFonts w:ascii="宋体" w:hAnsi="宋体" w:cs="宋体" w:eastAsia="宋体" w:hint="default"/>
                <w:sz w:val="21"/>
                <w:szCs w:val="21"/>
              </w:rPr>
              <w:t>合计</w:t>
            </w:r>
          </w:p>
        </w:tc>
        <w:tc>
          <w:tcPr>
            <w:tcW w:w="2729"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Times New Roman" w:hAnsi="Times New Roman" w:cs="Times New Roman" w:eastAsia="Times New Roman" w:hint="default"/>
                <w:sz w:val="21"/>
                <w:szCs w:val="21"/>
              </w:rPr>
            </w:pPr>
            <w:r>
              <w:rPr>
                <w:rFonts w:ascii="Times New Roman"/>
                <w:spacing w:val="-1"/>
                <w:sz w:val="21"/>
              </w:rPr>
              <w:t>5,949,989.55</w:t>
            </w:r>
          </w:p>
        </w:tc>
        <w:tc>
          <w:tcPr>
            <w:tcW w:w="2882"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5"/>
              <w:jc w:val="right"/>
              <w:rPr>
                <w:rFonts w:ascii="Times New Roman" w:hAnsi="Times New Roman" w:cs="Times New Roman" w:eastAsia="Times New Roman" w:hint="default"/>
                <w:sz w:val="21"/>
                <w:szCs w:val="21"/>
              </w:rPr>
            </w:pPr>
            <w:r>
              <w:rPr>
                <w:rFonts w:ascii="Times New Roman"/>
                <w:spacing w:val="-1"/>
                <w:sz w:val="21"/>
              </w:rPr>
              <w:t>7,654,086.30</w:t>
            </w:r>
          </w:p>
        </w:tc>
      </w:tr>
    </w:tbl>
    <w:p>
      <w:pPr>
        <w:spacing w:line="240" w:lineRule="auto" w:before="3"/>
        <w:rPr>
          <w:rFonts w:ascii="宋体" w:hAnsi="宋体" w:cs="宋体" w:eastAsia="宋体" w:hint="default"/>
          <w:b/>
          <w:bCs/>
          <w:sz w:val="8"/>
          <w:szCs w:val="8"/>
        </w:rPr>
      </w:pPr>
    </w:p>
    <w:p>
      <w:pPr>
        <w:pStyle w:val="Heading5"/>
        <w:spacing w:line="240" w:lineRule="auto" w:before="36"/>
        <w:ind w:left="572" w:right="0"/>
        <w:jc w:val="left"/>
        <w:rPr>
          <w:b w:val="0"/>
          <w:bCs w:val="0"/>
        </w:rPr>
      </w:pPr>
      <w:r>
        <w:rPr>
          <w:rFonts w:ascii="Times New Roman" w:hAnsi="Times New Roman" w:cs="Times New Roman" w:eastAsia="Times New Roman" w:hint="default"/>
        </w:rPr>
        <w:t>1</w:t>
      </w:r>
      <w:r>
        <w:rPr/>
        <w:t>、期末无账龄超过一年的重要应付账款。</w:t>
      </w:r>
      <w:r>
        <w:rPr>
          <w:b w:val="0"/>
          <w:bCs w:val="0"/>
        </w:rPr>
      </w:r>
    </w:p>
    <w:p>
      <w:pPr>
        <w:pStyle w:val="Heading5"/>
        <w:spacing w:line="240" w:lineRule="auto" w:before="177"/>
        <w:ind w:left="575" w:right="0"/>
        <w:jc w:val="left"/>
        <w:rPr>
          <w:b w:val="0"/>
          <w:bCs w:val="0"/>
        </w:rPr>
      </w:pPr>
      <w:r>
        <w:rPr>
          <w:rFonts w:ascii="Times New Roman" w:hAnsi="Times New Roman" w:cs="Times New Roman" w:eastAsia="Times New Roman" w:hint="default"/>
        </w:rPr>
        <w:t>2</w:t>
      </w:r>
      <w:r>
        <w:rPr/>
        <w:t>、期末余额中无应付持本公司</w:t>
      </w:r>
      <w:r>
        <w:rPr>
          <w:rFonts w:ascii="Times New Roman" w:hAnsi="Times New Roman" w:cs="Times New Roman" w:eastAsia="Times New Roman" w:hint="default"/>
        </w:rPr>
        <w:t>5%</w:t>
      </w:r>
      <w:r>
        <w:rPr/>
        <w:t>以上（含</w:t>
      </w:r>
      <w:r>
        <w:rPr>
          <w:rFonts w:ascii="Times New Roman" w:hAnsi="Times New Roman" w:cs="Times New Roman" w:eastAsia="Times New Roman" w:hint="default"/>
        </w:rPr>
        <w:t>5%</w:t>
      </w:r>
      <w:r>
        <w:rPr/>
        <w:t>）表决权股份的股东单位及其他关联方的款项。</w:t>
      </w:r>
      <w:r>
        <w:rPr>
          <w:b w:val="0"/>
          <w:bCs w:val="0"/>
        </w:rPr>
      </w:r>
    </w:p>
    <w:p>
      <w:pPr>
        <w:spacing w:line="240" w:lineRule="auto" w:before="6"/>
        <w:rPr>
          <w:rFonts w:ascii="宋体" w:hAnsi="宋体" w:cs="宋体" w:eastAsia="宋体" w:hint="default"/>
          <w:b/>
          <w:bCs/>
          <w:sz w:val="25"/>
          <w:szCs w:val="25"/>
        </w:rPr>
      </w:pPr>
    </w:p>
    <w:p>
      <w:pPr>
        <w:pStyle w:val="Heading5"/>
        <w:spacing w:line="240" w:lineRule="auto"/>
        <w:ind w:left="580" w:right="0"/>
        <w:jc w:val="left"/>
        <w:rPr>
          <w:b w:val="0"/>
          <w:bCs w:val="0"/>
        </w:rPr>
      </w:pPr>
      <w:r>
        <w:rPr/>
        <w:t>（十八）预收款项</w:t>
      </w:r>
      <w:r>
        <w:rPr>
          <w:b w:val="0"/>
          <w:bCs w:val="0"/>
        </w:rPr>
      </w:r>
    </w:p>
    <w:p>
      <w:pPr>
        <w:spacing w:line="240" w:lineRule="auto" w:before="10"/>
        <w:rPr>
          <w:rFonts w:ascii="宋体" w:hAnsi="宋体" w:cs="宋体" w:eastAsia="宋体" w:hint="default"/>
          <w:b/>
          <w:bCs/>
          <w:sz w:val="3"/>
          <w:szCs w:val="3"/>
        </w:rPr>
      </w:pPr>
    </w:p>
    <w:tbl>
      <w:tblPr>
        <w:tblW w:w="0" w:type="auto"/>
        <w:jc w:val="left"/>
        <w:tblInd w:w="160" w:type="dxa"/>
        <w:tblLayout w:type="fixed"/>
        <w:tblCellMar>
          <w:top w:w="0" w:type="dxa"/>
          <w:left w:w="0" w:type="dxa"/>
          <w:bottom w:w="0" w:type="dxa"/>
          <w:right w:w="0" w:type="dxa"/>
        </w:tblCellMar>
        <w:tblLook w:val="01E0"/>
      </w:tblPr>
      <w:tblGrid>
        <w:gridCol w:w="2969"/>
        <w:gridCol w:w="2825"/>
        <w:gridCol w:w="2731"/>
      </w:tblGrid>
      <w:tr>
        <w:trPr>
          <w:trHeight w:val="314" w:hRule="exact"/>
        </w:trPr>
        <w:tc>
          <w:tcPr>
            <w:tcW w:w="2969"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right="1265"/>
              <w:jc w:val="right"/>
              <w:rPr>
                <w:rFonts w:ascii="宋体" w:hAnsi="宋体" w:cs="宋体" w:eastAsia="宋体" w:hint="default"/>
                <w:sz w:val="21"/>
                <w:szCs w:val="21"/>
              </w:rPr>
            </w:pPr>
            <w:r>
              <w:rPr>
                <w:rFonts w:ascii="宋体" w:hAnsi="宋体" w:cs="宋体" w:eastAsia="宋体" w:hint="default"/>
                <w:sz w:val="21"/>
                <w:szCs w:val="21"/>
              </w:rPr>
              <w:t>项目</w:t>
            </w:r>
          </w:p>
        </w:tc>
        <w:tc>
          <w:tcPr>
            <w:tcW w:w="2825"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31" w:type="dxa"/>
            <w:tcBorders>
              <w:top w:val="single" w:sz="6" w:space="0" w:color="000000"/>
              <w:left w:val="single" w:sz="6" w:space="0" w:color="000000"/>
              <w:bottom w:val="single" w:sz="12" w:space="0" w:color="000000"/>
              <w:right w:val="nil" w:sz="6" w:space="0" w:color="auto"/>
            </w:tcBorders>
          </w:tcPr>
          <w:p>
            <w:pPr>
              <w:pStyle w:val="TableParagraph"/>
              <w:spacing w:line="250" w:lineRule="exact"/>
              <w:ind w:right="2"/>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14" w:hRule="exact"/>
        </w:trPr>
        <w:tc>
          <w:tcPr>
            <w:tcW w:w="2969" w:type="dxa"/>
            <w:tcBorders>
              <w:top w:val="single" w:sz="12" w:space="0" w:color="000000"/>
              <w:left w:val="single" w:sz="6" w:space="0" w:color="000000"/>
              <w:bottom w:val="single" w:sz="12" w:space="0" w:color="000000"/>
              <w:right w:val="single" w:sz="6" w:space="0" w:color="000000"/>
            </w:tcBorders>
          </w:tcPr>
          <w:p>
            <w:pPr>
              <w:pStyle w:val="TableParagraph"/>
              <w:spacing w:line="259"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2825"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1,184,014.22</w:t>
            </w:r>
          </w:p>
        </w:tc>
        <w:tc>
          <w:tcPr>
            <w:tcW w:w="2731"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7"/>
              <w:jc w:val="right"/>
              <w:rPr>
                <w:rFonts w:ascii="Times New Roman" w:hAnsi="Times New Roman" w:cs="Times New Roman" w:eastAsia="Times New Roman" w:hint="default"/>
                <w:sz w:val="21"/>
                <w:szCs w:val="21"/>
              </w:rPr>
            </w:pPr>
            <w:r>
              <w:rPr>
                <w:rFonts w:ascii="Times New Roman"/>
                <w:spacing w:val="-1"/>
                <w:sz w:val="21"/>
              </w:rPr>
              <w:t>658,898.84</w:t>
            </w:r>
          </w:p>
        </w:tc>
      </w:tr>
      <w:tr>
        <w:trPr>
          <w:trHeight w:val="312" w:hRule="exact"/>
        </w:trPr>
        <w:tc>
          <w:tcPr>
            <w:tcW w:w="2969" w:type="dxa"/>
            <w:tcBorders>
              <w:top w:val="single" w:sz="12" w:space="0" w:color="000000"/>
              <w:left w:val="single" w:sz="6" w:space="0" w:color="000000"/>
              <w:bottom w:val="single" w:sz="12" w:space="0" w:color="000000"/>
              <w:right w:val="single" w:sz="6" w:space="0" w:color="000000"/>
            </w:tcBorders>
          </w:tcPr>
          <w:p>
            <w:pPr>
              <w:pStyle w:val="TableParagraph"/>
              <w:spacing w:line="25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年</w:t>
            </w:r>
          </w:p>
        </w:tc>
        <w:tc>
          <w:tcPr>
            <w:tcW w:w="2825"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z w:val="21"/>
              </w:rPr>
              <w:t>34,387.70</w:t>
            </w:r>
          </w:p>
        </w:tc>
        <w:tc>
          <w:tcPr>
            <w:tcW w:w="2731"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7"/>
              <w:jc w:val="right"/>
              <w:rPr>
                <w:rFonts w:ascii="Times New Roman" w:hAnsi="Times New Roman" w:cs="Times New Roman" w:eastAsia="Times New Roman" w:hint="default"/>
                <w:sz w:val="21"/>
                <w:szCs w:val="21"/>
              </w:rPr>
            </w:pPr>
            <w:r>
              <w:rPr>
                <w:rFonts w:ascii="Times New Roman"/>
                <w:sz w:val="21"/>
              </w:rPr>
              <w:t>12,705.60</w:t>
            </w:r>
          </w:p>
        </w:tc>
      </w:tr>
      <w:tr>
        <w:trPr>
          <w:trHeight w:val="312" w:hRule="exact"/>
        </w:trPr>
        <w:tc>
          <w:tcPr>
            <w:tcW w:w="2969" w:type="dxa"/>
            <w:tcBorders>
              <w:top w:val="single" w:sz="12" w:space="0" w:color="000000"/>
              <w:left w:val="single" w:sz="6" w:space="0" w:color="000000"/>
              <w:bottom w:val="single" w:sz="12" w:space="0" w:color="000000"/>
              <w:right w:val="single" w:sz="6" w:space="0" w:color="000000"/>
            </w:tcBorders>
          </w:tcPr>
          <w:p>
            <w:pPr>
              <w:pStyle w:val="TableParagraph"/>
              <w:spacing w:line="259"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年</w:t>
            </w:r>
          </w:p>
        </w:tc>
        <w:tc>
          <w:tcPr>
            <w:tcW w:w="2825"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z w:val="21"/>
              </w:rPr>
              <w:t>197.90</w:t>
            </w:r>
          </w:p>
        </w:tc>
        <w:tc>
          <w:tcPr>
            <w:tcW w:w="2731"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7"/>
              <w:jc w:val="right"/>
              <w:rPr>
                <w:rFonts w:ascii="Times New Roman" w:hAnsi="Times New Roman" w:cs="Times New Roman" w:eastAsia="Times New Roman" w:hint="default"/>
                <w:sz w:val="21"/>
                <w:szCs w:val="21"/>
              </w:rPr>
            </w:pPr>
            <w:r>
              <w:rPr>
                <w:rFonts w:ascii="Times New Roman"/>
                <w:sz w:val="21"/>
              </w:rPr>
              <w:t>1,522.00</w:t>
            </w:r>
          </w:p>
        </w:tc>
      </w:tr>
      <w:tr>
        <w:trPr>
          <w:trHeight w:val="314" w:hRule="exact"/>
        </w:trPr>
        <w:tc>
          <w:tcPr>
            <w:tcW w:w="2969"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right="1265"/>
              <w:jc w:val="right"/>
              <w:rPr>
                <w:rFonts w:ascii="宋体" w:hAnsi="宋体" w:cs="宋体" w:eastAsia="宋体" w:hint="default"/>
                <w:sz w:val="21"/>
                <w:szCs w:val="21"/>
              </w:rPr>
            </w:pPr>
            <w:r>
              <w:rPr>
                <w:rFonts w:ascii="宋体" w:hAnsi="宋体" w:cs="宋体" w:eastAsia="宋体" w:hint="default"/>
                <w:sz w:val="21"/>
                <w:szCs w:val="21"/>
              </w:rPr>
              <w:t>合计</w:t>
            </w:r>
          </w:p>
        </w:tc>
        <w:tc>
          <w:tcPr>
            <w:tcW w:w="2825"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1,218,599.82</w:t>
            </w:r>
          </w:p>
        </w:tc>
        <w:tc>
          <w:tcPr>
            <w:tcW w:w="2731"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7"/>
              <w:jc w:val="right"/>
              <w:rPr>
                <w:rFonts w:ascii="Times New Roman" w:hAnsi="Times New Roman" w:cs="Times New Roman" w:eastAsia="Times New Roman" w:hint="default"/>
                <w:sz w:val="21"/>
                <w:szCs w:val="21"/>
              </w:rPr>
            </w:pPr>
            <w:r>
              <w:rPr>
                <w:rFonts w:ascii="Times New Roman"/>
                <w:spacing w:val="-1"/>
                <w:sz w:val="21"/>
              </w:rPr>
              <w:t>673,126.44</w:t>
            </w:r>
          </w:p>
        </w:tc>
      </w:tr>
    </w:tbl>
    <w:p>
      <w:pPr>
        <w:spacing w:line="240" w:lineRule="auto" w:before="2"/>
        <w:rPr>
          <w:rFonts w:ascii="宋体" w:hAnsi="宋体" w:cs="宋体" w:eastAsia="宋体" w:hint="default"/>
          <w:b/>
          <w:bCs/>
          <w:sz w:val="20"/>
          <w:szCs w:val="20"/>
        </w:rPr>
      </w:pPr>
    </w:p>
    <w:p>
      <w:pPr>
        <w:pStyle w:val="Heading5"/>
        <w:spacing w:line="240" w:lineRule="auto" w:before="36"/>
        <w:ind w:left="575" w:right="0"/>
        <w:jc w:val="left"/>
        <w:rPr>
          <w:b w:val="0"/>
          <w:bCs w:val="0"/>
        </w:rPr>
      </w:pPr>
      <w:r>
        <w:rPr>
          <w:rFonts w:ascii="Times New Roman" w:hAnsi="Times New Roman" w:cs="Times New Roman" w:eastAsia="Times New Roman" w:hint="default"/>
        </w:rPr>
        <w:t>1</w:t>
      </w:r>
      <w:r>
        <w:rPr/>
        <w:t>、期末余额中无预收持本公司</w:t>
      </w:r>
      <w:r>
        <w:rPr>
          <w:rFonts w:ascii="Times New Roman" w:hAnsi="Times New Roman" w:cs="Times New Roman" w:eastAsia="Times New Roman" w:hint="default"/>
        </w:rPr>
        <w:t>5%</w:t>
      </w:r>
      <w:r>
        <w:rPr/>
        <w:t>以上（含</w:t>
      </w:r>
      <w:r>
        <w:rPr>
          <w:rFonts w:ascii="Times New Roman" w:hAnsi="Times New Roman" w:cs="Times New Roman" w:eastAsia="Times New Roman" w:hint="default"/>
        </w:rPr>
        <w:t>5%</w:t>
      </w:r>
      <w:r>
        <w:rPr/>
        <w:t>）表决权股份的股东单位及其他关联方的款项。</w:t>
      </w:r>
      <w:r>
        <w:rPr>
          <w:b w:val="0"/>
          <w:bCs w:val="0"/>
        </w:rPr>
      </w:r>
    </w:p>
    <w:p>
      <w:pPr>
        <w:pStyle w:val="Heading5"/>
        <w:spacing w:line="256" w:lineRule="auto" w:before="21"/>
        <w:ind w:right="0" w:firstLine="422"/>
        <w:jc w:val="left"/>
        <w:rPr>
          <w:b w:val="0"/>
          <w:bCs w:val="0"/>
        </w:rPr>
      </w:pPr>
      <w:r>
        <w:rPr>
          <w:rFonts w:ascii="Times New Roman" w:hAnsi="Times New Roman" w:cs="Times New Roman" w:eastAsia="Times New Roman" w:hint="default"/>
          <w:spacing w:val="-3"/>
        </w:rPr>
        <w:t>2</w:t>
      </w:r>
      <w:r>
        <w:rPr>
          <w:spacing w:val="-3"/>
        </w:rPr>
        <w:t>、预收款项期末余额比期初余额增加</w:t>
      </w:r>
      <w:r>
        <w:rPr>
          <w:rFonts w:ascii="Times New Roman" w:hAnsi="Times New Roman" w:cs="Times New Roman" w:eastAsia="Times New Roman" w:hint="default"/>
          <w:spacing w:val="-3"/>
        </w:rPr>
        <w:t>545,473.38</w:t>
      </w:r>
      <w:r>
        <w:rPr>
          <w:spacing w:val="-3"/>
        </w:rPr>
        <w:t>元，增幅为</w:t>
      </w:r>
      <w:r>
        <w:rPr>
          <w:rFonts w:ascii="Times New Roman" w:hAnsi="Times New Roman" w:cs="Times New Roman" w:eastAsia="Times New Roman" w:hint="default"/>
          <w:spacing w:val="-3"/>
        </w:rPr>
        <w:t>81.04%</w:t>
      </w:r>
      <w:r>
        <w:rPr>
          <w:spacing w:val="-3"/>
        </w:rPr>
        <w:t>，增加的主要原因是本期预收的非</w:t>
      </w:r>
      <w:r>
        <w:rPr>
          <w:w w:val="100"/>
        </w:rPr>
        <w:t> </w:t>
      </w:r>
      <w:r>
        <w:rPr/>
        <w:t>征订业务货款增加所致。</w:t>
      </w:r>
      <w:r>
        <w:rPr>
          <w:b w:val="0"/>
          <w:bCs w:val="0"/>
        </w:rPr>
      </w:r>
    </w:p>
    <w:p>
      <w:pPr>
        <w:spacing w:line="240" w:lineRule="auto" w:before="7"/>
        <w:rPr>
          <w:rFonts w:ascii="宋体" w:hAnsi="宋体" w:cs="宋体" w:eastAsia="宋体" w:hint="default"/>
          <w:b/>
          <w:bCs/>
          <w:sz w:val="25"/>
          <w:szCs w:val="25"/>
        </w:rPr>
      </w:pPr>
    </w:p>
    <w:p>
      <w:pPr>
        <w:pStyle w:val="Heading5"/>
        <w:spacing w:line="240" w:lineRule="auto"/>
        <w:ind w:left="580" w:right="0"/>
        <w:jc w:val="left"/>
        <w:rPr>
          <w:b w:val="0"/>
          <w:bCs w:val="0"/>
        </w:rPr>
      </w:pPr>
      <w:r>
        <w:rPr/>
        <w:t>（十九）应付职工薪酬</w:t>
      </w:r>
      <w:r>
        <w:rPr>
          <w:b w:val="0"/>
          <w:bCs w:val="0"/>
        </w:rPr>
      </w:r>
    </w:p>
    <w:p>
      <w:pPr>
        <w:pStyle w:val="Heading5"/>
        <w:spacing w:line="240" w:lineRule="auto" w:before="37"/>
        <w:ind w:left="575" w:right="0"/>
        <w:jc w:val="left"/>
        <w:rPr>
          <w:b w:val="0"/>
          <w:bCs w:val="0"/>
        </w:rPr>
      </w:pPr>
      <w:r>
        <w:rPr>
          <w:rFonts w:ascii="Times New Roman" w:hAnsi="Times New Roman" w:cs="Times New Roman" w:eastAsia="Times New Roman" w:hint="default"/>
        </w:rPr>
        <w:t>1</w:t>
      </w:r>
      <w:r>
        <w:rPr/>
        <w:t>、应付职工薪酬列示</w:t>
      </w:r>
      <w:r>
        <w:rPr>
          <w:b w:val="0"/>
          <w:bCs w:val="0"/>
        </w:rPr>
      </w:r>
    </w:p>
    <w:p>
      <w:pPr>
        <w:spacing w:line="240" w:lineRule="auto" w:before="8"/>
        <w:rPr>
          <w:rFonts w:ascii="宋体" w:hAnsi="宋体" w:cs="宋体" w:eastAsia="宋体" w:hint="default"/>
          <w:b/>
          <w:bCs/>
          <w:sz w:val="2"/>
          <w:szCs w:val="2"/>
        </w:rPr>
      </w:pPr>
    </w:p>
    <w:tbl>
      <w:tblPr>
        <w:tblW w:w="0" w:type="auto"/>
        <w:jc w:val="left"/>
        <w:tblInd w:w="160" w:type="dxa"/>
        <w:tblLayout w:type="fixed"/>
        <w:tblCellMar>
          <w:top w:w="0" w:type="dxa"/>
          <w:left w:w="0" w:type="dxa"/>
          <w:bottom w:w="0" w:type="dxa"/>
          <w:right w:w="0" w:type="dxa"/>
        </w:tblCellMar>
        <w:tblLook w:val="01E0"/>
      </w:tblPr>
      <w:tblGrid>
        <w:gridCol w:w="2465"/>
        <w:gridCol w:w="1594"/>
        <w:gridCol w:w="1594"/>
        <w:gridCol w:w="1594"/>
        <w:gridCol w:w="1586"/>
      </w:tblGrid>
      <w:tr>
        <w:trPr>
          <w:trHeight w:val="317" w:hRule="exact"/>
        </w:trPr>
        <w:tc>
          <w:tcPr>
            <w:tcW w:w="2465" w:type="dxa"/>
            <w:tcBorders>
              <w:top w:val="single" w:sz="6" w:space="0" w:color="000000"/>
              <w:left w:val="single" w:sz="6" w:space="0" w:color="000000"/>
              <w:bottom w:val="single" w:sz="12" w:space="0" w:color="000000"/>
              <w:right w:val="single" w:sz="6" w:space="0" w:color="000000"/>
            </w:tcBorders>
          </w:tcPr>
          <w:p>
            <w:pPr>
              <w:pStyle w:val="TableParagraph"/>
              <w:spacing w:line="253"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94" w:type="dxa"/>
            <w:tcBorders>
              <w:top w:val="single" w:sz="6" w:space="0" w:color="000000"/>
              <w:left w:val="single" w:sz="6" w:space="0" w:color="000000"/>
              <w:bottom w:val="single" w:sz="12" w:space="0" w:color="000000"/>
              <w:right w:val="single" w:sz="6" w:space="0" w:color="000000"/>
            </w:tcBorders>
          </w:tcPr>
          <w:p>
            <w:pPr>
              <w:pStyle w:val="TableParagraph"/>
              <w:spacing w:line="253" w:lineRule="exact"/>
              <w:ind w:left="37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94" w:type="dxa"/>
            <w:tcBorders>
              <w:top w:val="single" w:sz="6" w:space="0" w:color="000000"/>
              <w:left w:val="single" w:sz="6" w:space="0" w:color="000000"/>
              <w:bottom w:val="single" w:sz="12" w:space="0" w:color="000000"/>
              <w:right w:val="single" w:sz="6" w:space="0" w:color="000000"/>
            </w:tcBorders>
          </w:tcPr>
          <w:p>
            <w:pPr>
              <w:pStyle w:val="TableParagraph"/>
              <w:spacing w:line="253" w:lineRule="exact"/>
              <w:ind w:left="369"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94" w:type="dxa"/>
            <w:tcBorders>
              <w:top w:val="single" w:sz="6" w:space="0" w:color="000000"/>
              <w:left w:val="single" w:sz="6" w:space="0" w:color="000000"/>
              <w:bottom w:val="single" w:sz="12" w:space="0" w:color="000000"/>
              <w:right w:val="single" w:sz="6" w:space="0" w:color="000000"/>
            </w:tcBorders>
          </w:tcPr>
          <w:p>
            <w:pPr>
              <w:pStyle w:val="TableParagraph"/>
              <w:spacing w:line="253" w:lineRule="exact"/>
              <w:ind w:left="36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86" w:type="dxa"/>
            <w:tcBorders>
              <w:top w:val="single" w:sz="6" w:space="0" w:color="000000"/>
              <w:left w:val="single" w:sz="6" w:space="0" w:color="000000"/>
              <w:bottom w:val="single" w:sz="12" w:space="0" w:color="000000"/>
              <w:right w:val="nil" w:sz="6" w:space="0" w:color="auto"/>
            </w:tcBorders>
          </w:tcPr>
          <w:p>
            <w:pPr>
              <w:pStyle w:val="TableParagraph"/>
              <w:spacing w:line="253" w:lineRule="exact"/>
              <w:ind w:left="364"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312" w:hRule="exact"/>
        </w:trPr>
        <w:tc>
          <w:tcPr>
            <w:tcW w:w="2465"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短期薪酬</w:t>
            </w:r>
          </w:p>
        </w:tc>
        <w:tc>
          <w:tcPr>
            <w:tcW w:w="1594"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600,311.81</w:t>
            </w:r>
          </w:p>
        </w:tc>
        <w:tc>
          <w:tcPr>
            <w:tcW w:w="1594"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Times New Roman" w:hAnsi="Times New Roman" w:cs="Times New Roman" w:eastAsia="Times New Roman" w:hint="default"/>
                <w:sz w:val="21"/>
                <w:szCs w:val="21"/>
              </w:rPr>
            </w:pPr>
            <w:r>
              <w:rPr>
                <w:rFonts w:ascii="Times New Roman"/>
                <w:spacing w:val="-1"/>
                <w:sz w:val="21"/>
              </w:rPr>
              <w:t>23,836,583.02</w:t>
            </w:r>
          </w:p>
        </w:tc>
        <w:tc>
          <w:tcPr>
            <w:tcW w:w="1594"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Times New Roman" w:hAnsi="Times New Roman" w:cs="Times New Roman" w:eastAsia="Times New Roman" w:hint="default"/>
                <w:sz w:val="21"/>
                <w:szCs w:val="21"/>
              </w:rPr>
            </w:pPr>
            <w:r>
              <w:rPr>
                <w:rFonts w:ascii="Times New Roman"/>
                <w:spacing w:val="-1"/>
                <w:sz w:val="21"/>
              </w:rPr>
              <w:t>23,602,957.95</w:t>
            </w:r>
          </w:p>
        </w:tc>
        <w:tc>
          <w:tcPr>
            <w:tcW w:w="1586"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7"/>
              <w:jc w:val="right"/>
              <w:rPr>
                <w:rFonts w:ascii="Times New Roman" w:hAnsi="Times New Roman" w:cs="Times New Roman" w:eastAsia="Times New Roman" w:hint="default"/>
                <w:sz w:val="21"/>
                <w:szCs w:val="21"/>
              </w:rPr>
            </w:pPr>
            <w:r>
              <w:rPr>
                <w:rFonts w:ascii="Times New Roman"/>
                <w:spacing w:val="-1"/>
                <w:sz w:val="21"/>
              </w:rPr>
              <w:t>833,936.88</w:t>
            </w:r>
          </w:p>
        </w:tc>
      </w:tr>
      <w:tr>
        <w:trPr>
          <w:trHeight w:val="314" w:hRule="exact"/>
        </w:trPr>
        <w:tc>
          <w:tcPr>
            <w:tcW w:w="2465" w:type="dxa"/>
            <w:tcBorders>
              <w:top w:val="single" w:sz="12" w:space="0" w:color="000000"/>
              <w:left w:val="single" w:sz="6" w:space="0" w:color="000000"/>
              <w:bottom w:val="single" w:sz="12" w:space="0" w:color="000000"/>
              <w:right w:val="single" w:sz="6" w:space="0" w:color="000000"/>
            </w:tcBorders>
          </w:tcPr>
          <w:p>
            <w:pPr>
              <w:pStyle w:val="TableParagraph"/>
              <w:spacing w:line="259" w:lineRule="exact"/>
              <w:ind w:left="2" w:right="0"/>
              <w:jc w:val="left"/>
              <w:rPr>
                <w:rFonts w:ascii="宋体" w:hAnsi="宋体" w:cs="宋体" w:eastAsia="宋体" w:hint="default"/>
                <w:sz w:val="21"/>
                <w:szCs w:val="21"/>
              </w:rPr>
            </w:pPr>
            <w:r>
              <w:rPr>
                <w:rFonts w:ascii="宋体" w:hAnsi="宋体" w:cs="宋体" w:eastAsia="宋体" w:hint="default"/>
                <w:sz w:val="21"/>
                <w:szCs w:val="21"/>
              </w:rPr>
              <w:t>离职后福利</w:t>
            </w:r>
            <w:r>
              <w:rPr>
                <w:rFonts w:ascii="Times New Roman" w:hAnsi="Times New Roman" w:cs="Times New Roman" w:eastAsia="Times New Roman" w:hint="default"/>
                <w:sz w:val="21"/>
                <w:szCs w:val="21"/>
              </w:rPr>
              <w:t>-</w:t>
            </w:r>
            <w:r>
              <w:rPr>
                <w:rFonts w:ascii="宋体" w:hAnsi="宋体" w:cs="宋体" w:eastAsia="宋体" w:hint="default"/>
                <w:sz w:val="21"/>
                <w:szCs w:val="21"/>
              </w:rPr>
              <w:t>设定提存计划</w:t>
            </w:r>
          </w:p>
        </w:tc>
        <w:tc>
          <w:tcPr>
            <w:tcW w:w="1594"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4"/>
              <w:jc w:val="right"/>
              <w:rPr>
                <w:rFonts w:ascii="Times New Roman" w:hAnsi="Times New Roman" w:cs="Times New Roman" w:eastAsia="Times New Roman" w:hint="default"/>
                <w:sz w:val="21"/>
                <w:szCs w:val="21"/>
              </w:rPr>
            </w:pPr>
            <w:r>
              <w:rPr>
                <w:rFonts w:ascii="Times New Roman"/>
                <w:spacing w:val="-1"/>
                <w:sz w:val="21"/>
              </w:rPr>
              <w:t>---</w:t>
            </w:r>
          </w:p>
        </w:tc>
        <w:tc>
          <w:tcPr>
            <w:tcW w:w="1594"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0"/>
              <w:jc w:val="right"/>
              <w:rPr>
                <w:rFonts w:ascii="Times New Roman" w:hAnsi="Times New Roman" w:cs="Times New Roman" w:eastAsia="Times New Roman" w:hint="default"/>
                <w:sz w:val="21"/>
                <w:szCs w:val="21"/>
              </w:rPr>
            </w:pPr>
            <w:r>
              <w:rPr>
                <w:rFonts w:ascii="Times New Roman"/>
                <w:spacing w:val="-1"/>
                <w:sz w:val="21"/>
              </w:rPr>
              <w:t>1,399,448.02</w:t>
            </w:r>
          </w:p>
        </w:tc>
        <w:tc>
          <w:tcPr>
            <w:tcW w:w="1594"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0"/>
              <w:jc w:val="right"/>
              <w:rPr>
                <w:rFonts w:ascii="Times New Roman" w:hAnsi="Times New Roman" w:cs="Times New Roman" w:eastAsia="Times New Roman" w:hint="default"/>
                <w:sz w:val="21"/>
                <w:szCs w:val="21"/>
              </w:rPr>
            </w:pPr>
            <w:r>
              <w:rPr>
                <w:rFonts w:ascii="Times New Roman"/>
                <w:spacing w:val="-1"/>
                <w:sz w:val="21"/>
              </w:rPr>
              <w:t>1,399,448.02</w:t>
            </w:r>
          </w:p>
        </w:tc>
        <w:tc>
          <w:tcPr>
            <w:tcW w:w="1586"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6"/>
              <w:jc w:val="right"/>
              <w:rPr>
                <w:rFonts w:ascii="Times New Roman" w:hAnsi="Times New Roman" w:cs="Times New Roman" w:eastAsia="Times New Roman" w:hint="default"/>
                <w:sz w:val="21"/>
                <w:szCs w:val="21"/>
              </w:rPr>
            </w:pPr>
            <w:r>
              <w:rPr>
                <w:rFonts w:ascii="Times New Roman"/>
                <w:spacing w:val="-1"/>
                <w:sz w:val="21"/>
              </w:rPr>
              <w:t>---</w:t>
            </w:r>
          </w:p>
        </w:tc>
      </w:tr>
      <w:tr>
        <w:trPr>
          <w:trHeight w:val="312" w:hRule="exact"/>
        </w:trPr>
        <w:tc>
          <w:tcPr>
            <w:tcW w:w="2465"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94"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600,311.81</w:t>
            </w:r>
          </w:p>
        </w:tc>
        <w:tc>
          <w:tcPr>
            <w:tcW w:w="1594"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Times New Roman" w:hAnsi="Times New Roman" w:cs="Times New Roman" w:eastAsia="Times New Roman" w:hint="default"/>
                <w:sz w:val="21"/>
                <w:szCs w:val="21"/>
              </w:rPr>
            </w:pPr>
            <w:r>
              <w:rPr>
                <w:rFonts w:ascii="Times New Roman"/>
                <w:spacing w:val="-1"/>
                <w:sz w:val="21"/>
              </w:rPr>
              <w:t>25,236,031.04</w:t>
            </w:r>
          </w:p>
        </w:tc>
        <w:tc>
          <w:tcPr>
            <w:tcW w:w="1594"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Times New Roman" w:hAnsi="Times New Roman" w:cs="Times New Roman" w:eastAsia="Times New Roman" w:hint="default"/>
                <w:sz w:val="21"/>
                <w:szCs w:val="21"/>
              </w:rPr>
            </w:pPr>
            <w:r>
              <w:rPr>
                <w:rFonts w:ascii="Times New Roman"/>
                <w:spacing w:val="-1"/>
                <w:sz w:val="21"/>
              </w:rPr>
              <w:t>25,002,405.97</w:t>
            </w:r>
          </w:p>
        </w:tc>
        <w:tc>
          <w:tcPr>
            <w:tcW w:w="1586"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7"/>
              <w:jc w:val="right"/>
              <w:rPr>
                <w:rFonts w:ascii="Times New Roman" w:hAnsi="Times New Roman" w:cs="Times New Roman" w:eastAsia="Times New Roman" w:hint="default"/>
                <w:sz w:val="21"/>
                <w:szCs w:val="21"/>
              </w:rPr>
            </w:pPr>
            <w:r>
              <w:rPr>
                <w:rFonts w:ascii="Times New Roman"/>
                <w:spacing w:val="-1"/>
                <w:sz w:val="21"/>
              </w:rPr>
              <w:t>833,936.88</w:t>
            </w:r>
          </w:p>
        </w:tc>
      </w:tr>
    </w:tbl>
    <w:p>
      <w:pPr>
        <w:spacing w:line="240" w:lineRule="auto" w:before="3"/>
        <w:rPr>
          <w:rFonts w:ascii="宋体" w:hAnsi="宋体" w:cs="宋体" w:eastAsia="宋体" w:hint="default"/>
          <w:b/>
          <w:bCs/>
          <w:sz w:val="8"/>
          <w:szCs w:val="8"/>
        </w:rPr>
      </w:pPr>
    </w:p>
    <w:p>
      <w:pPr>
        <w:pStyle w:val="Heading5"/>
        <w:spacing w:line="240" w:lineRule="auto" w:before="36"/>
        <w:ind w:left="565" w:right="0"/>
        <w:jc w:val="left"/>
        <w:rPr>
          <w:b w:val="0"/>
          <w:bCs w:val="0"/>
        </w:rPr>
      </w:pPr>
      <w:r>
        <w:rPr>
          <w:rFonts w:ascii="Times New Roman" w:hAnsi="Times New Roman" w:cs="Times New Roman" w:eastAsia="Times New Roman" w:hint="default"/>
        </w:rPr>
        <w:t>2</w:t>
      </w:r>
      <w:r>
        <w:rPr/>
        <w:t>、短期薪酬列示</w:t>
      </w:r>
      <w:r>
        <w:rPr>
          <w:b w:val="0"/>
          <w:bCs w:val="0"/>
        </w:rPr>
      </w:r>
    </w:p>
    <w:p>
      <w:pPr>
        <w:spacing w:line="240" w:lineRule="auto" w:before="8"/>
        <w:rPr>
          <w:rFonts w:ascii="宋体" w:hAnsi="宋体" w:cs="宋体" w:eastAsia="宋体" w:hint="default"/>
          <w:b/>
          <w:bCs/>
          <w:sz w:val="2"/>
          <w:szCs w:val="2"/>
        </w:rPr>
      </w:pPr>
    </w:p>
    <w:tbl>
      <w:tblPr>
        <w:tblW w:w="0" w:type="auto"/>
        <w:jc w:val="left"/>
        <w:tblInd w:w="160" w:type="dxa"/>
        <w:tblLayout w:type="fixed"/>
        <w:tblCellMar>
          <w:top w:w="0" w:type="dxa"/>
          <w:left w:w="0" w:type="dxa"/>
          <w:bottom w:w="0" w:type="dxa"/>
          <w:right w:w="0" w:type="dxa"/>
        </w:tblCellMar>
        <w:tblLook w:val="01E0"/>
      </w:tblPr>
      <w:tblGrid>
        <w:gridCol w:w="2479"/>
        <w:gridCol w:w="1651"/>
        <w:gridCol w:w="1536"/>
        <w:gridCol w:w="1596"/>
        <w:gridCol w:w="1570"/>
      </w:tblGrid>
      <w:tr>
        <w:trPr>
          <w:trHeight w:val="317" w:hRule="exact"/>
        </w:trPr>
        <w:tc>
          <w:tcPr>
            <w:tcW w:w="2479" w:type="dxa"/>
            <w:tcBorders>
              <w:top w:val="single" w:sz="6" w:space="0" w:color="000000"/>
              <w:left w:val="single" w:sz="6" w:space="0" w:color="000000"/>
              <w:bottom w:val="single" w:sz="12" w:space="0" w:color="000000"/>
              <w:right w:val="single" w:sz="6" w:space="0" w:color="000000"/>
            </w:tcBorders>
          </w:tcPr>
          <w:p>
            <w:pPr>
              <w:pStyle w:val="TableParagraph"/>
              <w:spacing w:line="253"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51" w:type="dxa"/>
            <w:tcBorders>
              <w:top w:val="single" w:sz="6" w:space="0" w:color="000000"/>
              <w:left w:val="single" w:sz="6" w:space="0" w:color="000000"/>
              <w:bottom w:val="single" w:sz="12" w:space="0" w:color="000000"/>
              <w:right w:val="single" w:sz="6" w:space="0" w:color="000000"/>
            </w:tcBorders>
          </w:tcPr>
          <w:p>
            <w:pPr>
              <w:pStyle w:val="TableParagraph"/>
              <w:spacing w:line="253" w:lineRule="exact"/>
              <w:ind w:left="398"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36" w:type="dxa"/>
            <w:tcBorders>
              <w:top w:val="single" w:sz="6" w:space="0" w:color="000000"/>
              <w:left w:val="single" w:sz="6" w:space="0" w:color="000000"/>
              <w:bottom w:val="single" w:sz="12" w:space="0" w:color="000000"/>
              <w:right w:val="single" w:sz="6" w:space="0" w:color="000000"/>
            </w:tcBorders>
          </w:tcPr>
          <w:p>
            <w:pPr>
              <w:pStyle w:val="TableParagraph"/>
              <w:spacing w:line="253" w:lineRule="exact"/>
              <w:ind w:left="340"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96" w:type="dxa"/>
            <w:tcBorders>
              <w:top w:val="single" w:sz="6" w:space="0" w:color="000000"/>
              <w:left w:val="single" w:sz="6" w:space="0" w:color="000000"/>
              <w:bottom w:val="single" w:sz="12" w:space="0" w:color="000000"/>
              <w:right w:val="single" w:sz="6" w:space="0" w:color="000000"/>
            </w:tcBorders>
          </w:tcPr>
          <w:p>
            <w:pPr>
              <w:pStyle w:val="TableParagraph"/>
              <w:spacing w:line="253" w:lineRule="exact"/>
              <w:ind w:left="37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70" w:type="dxa"/>
            <w:tcBorders>
              <w:top w:val="single" w:sz="6" w:space="0" w:color="000000"/>
              <w:left w:val="single" w:sz="6" w:space="0" w:color="000000"/>
              <w:bottom w:val="single" w:sz="12" w:space="0" w:color="000000"/>
              <w:right w:val="nil" w:sz="6" w:space="0" w:color="auto"/>
            </w:tcBorders>
          </w:tcPr>
          <w:p>
            <w:pPr>
              <w:pStyle w:val="TableParagraph"/>
              <w:spacing w:line="253" w:lineRule="exact"/>
              <w:ind w:left="35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312" w:hRule="exact"/>
        </w:trPr>
        <w:tc>
          <w:tcPr>
            <w:tcW w:w="2479"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工资、奖金、津贴和补贴</w:t>
            </w:r>
          </w:p>
        </w:tc>
        <w:tc>
          <w:tcPr>
            <w:tcW w:w="1651"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Times New Roman" w:hAnsi="Times New Roman" w:cs="Times New Roman" w:eastAsia="Times New Roman" w:hint="default"/>
                <w:sz w:val="21"/>
                <w:szCs w:val="21"/>
              </w:rPr>
            </w:pPr>
            <w:r>
              <w:rPr>
                <w:rFonts w:ascii="Times New Roman"/>
                <w:spacing w:val="-1"/>
                <w:sz w:val="21"/>
              </w:rPr>
              <w:t>600,311.81</w:t>
            </w:r>
          </w:p>
        </w:tc>
        <w:tc>
          <w:tcPr>
            <w:tcW w:w="1536"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Times New Roman" w:hAnsi="Times New Roman" w:cs="Times New Roman" w:eastAsia="Times New Roman" w:hint="default"/>
                <w:sz w:val="21"/>
                <w:szCs w:val="21"/>
              </w:rPr>
            </w:pPr>
            <w:r>
              <w:rPr>
                <w:rFonts w:ascii="Times New Roman"/>
                <w:spacing w:val="-1"/>
                <w:sz w:val="21"/>
              </w:rPr>
              <w:t>21,558,882.12</w:t>
            </w:r>
          </w:p>
        </w:tc>
        <w:tc>
          <w:tcPr>
            <w:tcW w:w="1596"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Times New Roman" w:hAnsi="Times New Roman" w:cs="Times New Roman" w:eastAsia="Times New Roman" w:hint="default"/>
                <w:sz w:val="21"/>
                <w:szCs w:val="21"/>
              </w:rPr>
            </w:pPr>
            <w:r>
              <w:rPr>
                <w:rFonts w:ascii="Times New Roman"/>
                <w:spacing w:val="-1"/>
                <w:sz w:val="21"/>
              </w:rPr>
              <w:t>21,325,257.05</w:t>
            </w:r>
          </w:p>
        </w:tc>
        <w:tc>
          <w:tcPr>
            <w:tcW w:w="1570"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7"/>
              <w:jc w:val="right"/>
              <w:rPr>
                <w:rFonts w:ascii="Times New Roman" w:hAnsi="Times New Roman" w:cs="Times New Roman" w:eastAsia="Times New Roman" w:hint="default"/>
                <w:sz w:val="21"/>
                <w:szCs w:val="21"/>
              </w:rPr>
            </w:pPr>
            <w:r>
              <w:rPr>
                <w:rFonts w:ascii="Times New Roman"/>
                <w:spacing w:val="-1"/>
                <w:sz w:val="21"/>
              </w:rPr>
              <w:t>833,936.88</w:t>
            </w:r>
          </w:p>
        </w:tc>
      </w:tr>
      <w:tr>
        <w:trPr>
          <w:trHeight w:val="314" w:hRule="exact"/>
        </w:trPr>
        <w:tc>
          <w:tcPr>
            <w:tcW w:w="2479"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2" w:right="0"/>
              <w:jc w:val="left"/>
              <w:rPr>
                <w:rFonts w:ascii="宋体" w:hAnsi="宋体" w:cs="宋体" w:eastAsia="宋体" w:hint="default"/>
                <w:sz w:val="21"/>
                <w:szCs w:val="21"/>
              </w:rPr>
            </w:pPr>
            <w:r>
              <w:rPr>
                <w:rFonts w:ascii="宋体" w:hAnsi="宋体" w:cs="宋体" w:eastAsia="宋体" w:hint="default"/>
                <w:sz w:val="21"/>
                <w:szCs w:val="21"/>
              </w:rPr>
              <w:t>职工福利费</w:t>
            </w:r>
          </w:p>
        </w:tc>
        <w:tc>
          <w:tcPr>
            <w:tcW w:w="1651"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536"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0"/>
              <w:jc w:val="right"/>
              <w:rPr>
                <w:rFonts w:ascii="Times New Roman" w:hAnsi="Times New Roman" w:cs="Times New Roman" w:eastAsia="Times New Roman" w:hint="default"/>
                <w:sz w:val="21"/>
                <w:szCs w:val="21"/>
              </w:rPr>
            </w:pPr>
            <w:r>
              <w:rPr>
                <w:rFonts w:ascii="Times New Roman"/>
                <w:spacing w:val="-1"/>
                <w:sz w:val="21"/>
              </w:rPr>
              <w:t>1,536,566.91</w:t>
            </w:r>
          </w:p>
        </w:tc>
        <w:tc>
          <w:tcPr>
            <w:tcW w:w="1596"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0"/>
              <w:jc w:val="right"/>
              <w:rPr>
                <w:rFonts w:ascii="Times New Roman" w:hAnsi="Times New Roman" w:cs="Times New Roman" w:eastAsia="Times New Roman" w:hint="default"/>
                <w:sz w:val="21"/>
                <w:szCs w:val="21"/>
              </w:rPr>
            </w:pPr>
            <w:r>
              <w:rPr>
                <w:rFonts w:ascii="Times New Roman"/>
                <w:spacing w:val="-1"/>
                <w:sz w:val="21"/>
              </w:rPr>
              <w:t>1,536,566.91</w:t>
            </w:r>
          </w:p>
        </w:tc>
        <w:tc>
          <w:tcPr>
            <w:tcW w:w="1570"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6"/>
              <w:jc w:val="right"/>
              <w:rPr>
                <w:rFonts w:ascii="Times New Roman" w:hAnsi="Times New Roman" w:cs="Times New Roman" w:eastAsia="Times New Roman" w:hint="default"/>
                <w:sz w:val="21"/>
                <w:szCs w:val="21"/>
              </w:rPr>
            </w:pPr>
            <w:r>
              <w:rPr>
                <w:rFonts w:ascii="Times New Roman"/>
                <w:spacing w:val="-1"/>
                <w:sz w:val="21"/>
              </w:rPr>
              <w:t>---</w:t>
            </w:r>
          </w:p>
        </w:tc>
      </w:tr>
      <w:tr>
        <w:trPr>
          <w:trHeight w:val="312" w:hRule="exact"/>
        </w:trPr>
        <w:tc>
          <w:tcPr>
            <w:tcW w:w="2479"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社会保险费</w:t>
            </w:r>
          </w:p>
        </w:tc>
        <w:tc>
          <w:tcPr>
            <w:tcW w:w="1651"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536"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Times New Roman" w:hAnsi="Times New Roman" w:cs="Times New Roman" w:eastAsia="Times New Roman" w:hint="default"/>
                <w:sz w:val="21"/>
                <w:szCs w:val="21"/>
              </w:rPr>
            </w:pPr>
            <w:r>
              <w:rPr>
                <w:rFonts w:ascii="Times New Roman"/>
                <w:spacing w:val="-1"/>
                <w:sz w:val="21"/>
              </w:rPr>
              <w:t>489,041.63</w:t>
            </w:r>
          </w:p>
        </w:tc>
        <w:tc>
          <w:tcPr>
            <w:tcW w:w="1596"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Times New Roman" w:hAnsi="Times New Roman" w:cs="Times New Roman" w:eastAsia="Times New Roman" w:hint="default"/>
                <w:sz w:val="21"/>
                <w:szCs w:val="21"/>
              </w:rPr>
            </w:pPr>
            <w:r>
              <w:rPr>
                <w:rFonts w:ascii="Times New Roman"/>
                <w:spacing w:val="-1"/>
                <w:sz w:val="21"/>
              </w:rPr>
              <w:t>489,041.63</w:t>
            </w:r>
          </w:p>
        </w:tc>
        <w:tc>
          <w:tcPr>
            <w:tcW w:w="1570"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6"/>
              <w:jc w:val="right"/>
              <w:rPr>
                <w:rFonts w:ascii="Times New Roman" w:hAnsi="Times New Roman" w:cs="Times New Roman" w:eastAsia="Times New Roman" w:hint="default"/>
                <w:sz w:val="21"/>
                <w:szCs w:val="21"/>
              </w:rPr>
            </w:pPr>
            <w:r>
              <w:rPr>
                <w:rFonts w:ascii="Times New Roman"/>
                <w:spacing w:val="-1"/>
                <w:sz w:val="21"/>
              </w:rPr>
              <w:t>---</w:t>
            </w:r>
          </w:p>
        </w:tc>
      </w:tr>
      <w:tr>
        <w:trPr>
          <w:trHeight w:val="312" w:hRule="exact"/>
        </w:trPr>
        <w:tc>
          <w:tcPr>
            <w:tcW w:w="2479"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2" w:right="0"/>
              <w:jc w:val="left"/>
              <w:rPr>
                <w:rFonts w:ascii="宋体" w:hAnsi="宋体" w:cs="宋体" w:eastAsia="宋体" w:hint="default"/>
                <w:sz w:val="21"/>
                <w:szCs w:val="21"/>
              </w:rPr>
            </w:pPr>
            <w:r>
              <w:rPr>
                <w:rFonts w:ascii="宋体" w:hAnsi="宋体" w:cs="宋体" w:eastAsia="宋体" w:hint="default"/>
                <w:sz w:val="21"/>
                <w:szCs w:val="21"/>
              </w:rPr>
              <w:t>其中：基本医疗保险费</w:t>
            </w:r>
          </w:p>
        </w:tc>
        <w:tc>
          <w:tcPr>
            <w:tcW w:w="1651"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536"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0"/>
              <w:jc w:val="right"/>
              <w:rPr>
                <w:rFonts w:ascii="Times New Roman" w:hAnsi="Times New Roman" w:cs="Times New Roman" w:eastAsia="Times New Roman" w:hint="default"/>
                <w:sz w:val="21"/>
                <w:szCs w:val="21"/>
              </w:rPr>
            </w:pPr>
            <w:r>
              <w:rPr>
                <w:rFonts w:ascii="Times New Roman"/>
                <w:spacing w:val="-1"/>
                <w:sz w:val="21"/>
              </w:rPr>
              <w:t>418,049.58</w:t>
            </w:r>
          </w:p>
        </w:tc>
        <w:tc>
          <w:tcPr>
            <w:tcW w:w="1596"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0"/>
              <w:jc w:val="right"/>
              <w:rPr>
                <w:rFonts w:ascii="Times New Roman" w:hAnsi="Times New Roman" w:cs="Times New Roman" w:eastAsia="Times New Roman" w:hint="default"/>
                <w:sz w:val="21"/>
                <w:szCs w:val="21"/>
              </w:rPr>
            </w:pPr>
            <w:r>
              <w:rPr>
                <w:rFonts w:ascii="Times New Roman"/>
                <w:spacing w:val="-1"/>
                <w:sz w:val="21"/>
              </w:rPr>
              <w:t>418,049.58</w:t>
            </w:r>
          </w:p>
        </w:tc>
        <w:tc>
          <w:tcPr>
            <w:tcW w:w="1570"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6"/>
              <w:jc w:val="right"/>
              <w:rPr>
                <w:rFonts w:ascii="Times New Roman" w:hAnsi="Times New Roman" w:cs="Times New Roman" w:eastAsia="Times New Roman" w:hint="default"/>
                <w:sz w:val="21"/>
                <w:szCs w:val="21"/>
              </w:rPr>
            </w:pPr>
            <w:r>
              <w:rPr>
                <w:rFonts w:ascii="Times New Roman"/>
                <w:spacing w:val="-1"/>
                <w:sz w:val="21"/>
              </w:rPr>
              <w:t>---</w:t>
            </w:r>
          </w:p>
        </w:tc>
      </w:tr>
      <w:tr>
        <w:trPr>
          <w:trHeight w:val="314" w:hRule="exact"/>
        </w:trPr>
        <w:tc>
          <w:tcPr>
            <w:tcW w:w="2479"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2" w:right="0"/>
              <w:jc w:val="left"/>
              <w:rPr>
                <w:rFonts w:ascii="宋体" w:hAnsi="宋体" w:cs="宋体" w:eastAsia="宋体" w:hint="default"/>
                <w:sz w:val="21"/>
                <w:szCs w:val="21"/>
              </w:rPr>
            </w:pPr>
            <w:r>
              <w:rPr>
                <w:rFonts w:ascii="宋体" w:hAnsi="宋体" w:cs="宋体" w:eastAsia="宋体" w:hint="default"/>
                <w:sz w:val="21"/>
                <w:szCs w:val="21"/>
              </w:rPr>
              <w:t>工伤保险费</w:t>
            </w:r>
          </w:p>
        </w:tc>
        <w:tc>
          <w:tcPr>
            <w:tcW w:w="1651"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536"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0"/>
              <w:jc w:val="right"/>
              <w:rPr>
                <w:rFonts w:ascii="Times New Roman" w:hAnsi="Times New Roman" w:cs="Times New Roman" w:eastAsia="Times New Roman" w:hint="default"/>
                <w:sz w:val="21"/>
                <w:szCs w:val="21"/>
              </w:rPr>
            </w:pPr>
            <w:r>
              <w:rPr>
                <w:rFonts w:ascii="Times New Roman"/>
                <w:spacing w:val="-1"/>
                <w:sz w:val="21"/>
              </w:rPr>
              <w:t>25,239.25</w:t>
            </w:r>
          </w:p>
        </w:tc>
        <w:tc>
          <w:tcPr>
            <w:tcW w:w="1596"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0"/>
              <w:jc w:val="right"/>
              <w:rPr>
                <w:rFonts w:ascii="Times New Roman" w:hAnsi="Times New Roman" w:cs="Times New Roman" w:eastAsia="Times New Roman" w:hint="default"/>
                <w:sz w:val="21"/>
                <w:szCs w:val="21"/>
              </w:rPr>
            </w:pPr>
            <w:r>
              <w:rPr>
                <w:rFonts w:ascii="Times New Roman"/>
                <w:spacing w:val="-1"/>
                <w:sz w:val="21"/>
              </w:rPr>
              <w:t>25,239.25</w:t>
            </w:r>
          </w:p>
        </w:tc>
        <w:tc>
          <w:tcPr>
            <w:tcW w:w="1570"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6"/>
              <w:jc w:val="right"/>
              <w:rPr>
                <w:rFonts w:ascii="Times New Roman" w:hAnsi="Times New Roman" w:cs="Times New Roman" w:eastAsia="Times New Roman" w:hint="default"/>
                <w:sz w:val="21"/>
                <w:szCs w:val="21"/>
              </w:rPr>
            </w:pPr>
            <w:r>
              <w:rPr>
                <w:rFonts w:ascii="Times New Roman"/>
                <w:spacing w:val="-1"/>
                <w:sz w:val="21"/>
              </w:rPr>
              <w:t>---</w:t>
            </w:r>
          </w:p>
        </w:tc>
      </w:tr>
      <w:tr>
        <w:trPr>
          <w:trHeight w:val="312" w:hRule="exact"/>
        </w:trPr>
        <w:tc>
          <w:tcPr>
            <w:tcW w:w="2479"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生育保险费</w:t>
            </w:r>
          </w:p>
        </w:tc>
        <w:tc>
          <w:tcPr>
            <w:tcW w:w="1651"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536"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Times New Roman" w:hAnsi="Times New Roman" w:cs="Times New Roman" w:eastAsia="Times New Roman" w:hint="default"/>
                <w:sz w:val="21"/>
                <w:szCs w:val="21"/>
              </w:rPr>
            </w:pPr>
            <w:r>
              <w:rPr>
                <w:rFonts w:ascii="Times New Roman"/>
                <w:spacing w:val="-1"/>
                <w:sz w:val="21"/>
              </w:rPr>
              <w:t>45,752.80</w:t>
            </w:r>
          </w:p>
        </w:tc>
        <w:tc>
          <w:tcPr>
            <w:tcW w:w="1596"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Times New Roman" w:hAnsi="Times New Roman" w:cs="Times New Roman" w:eastAsia="Times New Roman" w:hint="default"/>
                <w:sz w:val="21"/>
                <w:szCs w:val="21"/>
              </w:rPr>
            </w:pPr>
            <w:r>
              <w:rPr>
                <w:rFonts w:ascii="Times New Roman"/>
                <w:spacing w:val="-1"/>
                <w:sz w:val="21"/>
              </w:rPr>
              <w:t>45,752.80</w:t>
            </w:r>
          </w:p>
        </w:tc>
        <w:tc>
          <w:tcPr>
            <w:tcW w:w="1570"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6"/>
              <w:jc w:val="right"/>
              <w:rPr>
                <w:rFonts w:ascii="Times New Roman" w:hAnsi="Times New Roman" w:cs="Times New Roman" w:eastAsia="Times New Roman" w:hint="default"/>
                <w:sz w:val="21"/>
                <w:szCs w:val="21"/>
              </w:rPr>
            </w:pPr>
            <w:r>
              <w:rPr>
                <w:rFonts w:ascii="Times New Roman"/>
                <w:spacing w:val="-1"/>
                <w:sz w:val="21"/>
              </w:rPr>
              <w:t>---</w:t>
            </w:r>
          </w:p>
        </w:tc>
      </w:tr>
      <w:tr>
        <w:trPr>
          <w:trHeight w:val="314" w:hRule="exact"/>
        </w:trPr>
        <w:tc>
          <w:tcPr>
            <w:tcW w:w="2479"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51"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536"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596"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570"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6"/>
              <w:jc w:val="right"/>
              <w:rPr>
                <w:rFonts w:ascii="Times New Roman" w:hAnsi="Times New Roman" w:cs="Times New Roman" w:eastAsia="Times New Roman" w:hint="default"/>
                <w:sz w:val="21"/>
                <w:szCs w:val="21"/>
              </w:rPr>
            </w:pPr>
            <w:r>
              <w:rPr>
                <w:rFonts w:ascii="Times New Roman"/>
                <w:spacing w:val="-1"/>
                <w:sz w:val="21"/>
              </w:rPr>
              <w:t>---</w:t>
            </w:r>
          </w:p>
        </w:tc>
      </w:tr>
      <w:tr>
        <w:trPr>
          <w:trHeight w:val="312" w:hRule="exact"/>
        </w:trPr>
        <w:tc>
          <w:tcPr>
            <w:tcW w:w="2479"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住房公积金</w:t>
            </w:r>
          </w:p>
        </w:tc>
        <w:tc>
          <w:tcPr>
            <w:tcW w:w="1651"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536"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Times New Roman" w:hAnsi="Times New Roman" w:cs="Times New Roman" w:eastAsia="Times New Roman" w:hint="default"/>
                <w:sz w:val="21"/>
                <w:szCs w:val="21"/>
              </w:rPr>
            </w:pPr>
            <w:r>
              <w:rPr>
                <w:rFonts w:ascii="Times New Roman"/>
                <w:spacing w:val="-1"/>
                <w:sz w:val="21"/>
              </w:rPr>
              <w:t>252,092.36</w:t>
            </w:r>
          </w:p>
        </w:tc>
        <w:tc>
          <w:tcPr>
            <w:tcW w:w="1596"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Times New Roman" w:hAnsi="Times New Roman" w:cs="Times New Roman" w:eastAsia="Times New Roman" w:hint="default"/>
                <w:sz w:val="21"/>
                <w:szCs w:val="21"/>
              </w:rPr>
            </w:pPr>
            <w:r>
              <w:rPr>
                <w:rFonts w:ascii="Times New Roman"/>
                <w:spacing w:val="-1"/>
                <w:sz w:val="21"/>
              </w:rPr>
              <w:t>252,092.36</w:t>
            </w:r>
          </w:p>
        </w:tc>
        <w:tc>
          <w:tcPr>
            <w:tcW w:w="1570"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6"/>
              <w:jc w:val="right"/>
              <w:rPr>
                <w:rFonts w:ascii="Times New Roman" w:hAnsi="Times New Roman" w:cs="Times New Roman" w:eastAsia="Times New Roman" w:hint="default"/>
                <w:sz w:val="21"/>
                <w:szCs w:val="21"/>
              </w:rPr>
            </w:pPr>
            <w:r>
              <w:rPr>
                <w:rFonts w:ascii="Times New Roman"/>
                <w:spacing w:val="-1"/>
                <w:sz w:val="21"/>
              </w:rPr>
              <w:t>---</w:t>
            </w:r>
          </w:p>
        </w:tc>
      </w:tr>
      <w:tr>
        <w:trPr>
          <w:trHeight w:val="314" w:hRule="exact"/>
        </w:trPr>
        <w:tc>
          <w:tcPr>
            <w:tcW w:w="2479"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2" w:right="0"/>
              <w:jc w:val="left"/>
              <w:rPr>
                <w:rFonts w:ascii="宋体" w:hAnsi="宋体" w:cs="宋体" w:eastAsia="宋体" w:hint="default"/>
                <w:sz w:val="21"/>
                <w:szCs w:val="21"/>
              </w:rPr>
            </w:pPr>
            <w:r>
              <w:rPr>
                <w:rFonts w:ascii="宋体" w:hAnsi="宋体" w:cs="宋体" w:eastAsia="宋体" w:hint="default"/>
                <w:sz w:val="21"/>
                <w:szCs w:val="21"/>
              </w:rPr>
              <w:t>工会经费和职工教育经费</w:t>
            </w:r>
          </w:p>
        </w:tc>
        <w:tc>
          <w:tcPr>
            <w:tcW w:w="1651"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536"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596"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570"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6"/>
              <w:jc w:val="right"/>
              <w:rPr>
                <w:rFonts w:ascii="Times New Roman" w:hAnsi="Times New Roman" w:cs="Times New Roman" w:eastAsia="Times New Roman" w:hint="default"/>
                <w:sz w:val="21"/>
                <w:szCs w:val="21"/>
              </w:rPr>
            </w:pPr>
            <w:r>
              <w:rPr>
                <w:rFonts w:ascii="Times New Roman"/>
                <w:spacing w:val="-1"/>
                <w:sz w:val="21"/>
              </w:rPr>
              <w:t>---</w:t>
            </w:r>
          </w:p>
        </w:tc>
      </w:tr>
      <w:tr>
        <w:trPr>
          <w:trHeight w:val="312" w:hRule="exact"/>
        </w:trPr>
        <w:tc>
          <w:tcPr>
            <w:tcW w:w="2479"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51"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Times New Roman" w:hAnsi="Times New Roman" w:cs="Times New Roman" w:eastAsia="Times New Roman" w:hint="default"/>
                <w:sz w:val="21"/>
                <w:szCs w:val="21"/>
              </w:rPr>
            </w:pPr>
            <w:r>
              <w:rPr>
                <w:rFonts w:ascii="Times New Roman"/>
                <w:spacing w:val="-1"/>
                <w:sz w:val="21"/>
              </w:rPr>
              <w:t>600,311.81</w:t>
            </w:r>
          </w:p>
        </w:tc>
        <w:tc>
          <w:tcPr>
            <w:tcW w:w="1536"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23,836,583.02</w:t>
            </w:r>
          </w:p>
        </w:tc>
        <w:tc>
          <w:tcPr>
            <w:tcW w:w="1596"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23,602,957.95</w:t>
            </w:r>
          </w:p>
        </w:tc>
        <w:tc>
          <w:tcPr>
            <w:tcW w:w="1570"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7"/>
              <w:jc w:val="right"/>
              <w:rPr>
                <w:rFonts w:ascii="Times New Roman" w:hAnsi="Times New Roman" w:cs="Times New Roman" w:eastAsia="Times New Roman" w:hint="default"/>
                <w:sz w:val="21"/>
                <w:szCs w:val="21"/>
              </w:rPr>
            </w:pPr>
            <w:r>
              <w:rPr>
                <w:rFonts w:ascii="Times New Roman"/>
                <w:spacing w:val="-1"/>
                <w:sz w:val="21"/>
              </w:rPr>
              <w:t>833,936.88</w:t>
            </w:r>
          </w:p>
        </w:tc>
      </w:tr>
    </w:tbl>
    <w:p>
      <w:pPr>
        <w:spacing w:after="0" w:line="235" w:lineRule="exact"/>
        <w:jc w:val="right"/>
        <w:rPr>
          <w:rFonts w:ascii="Times New Roman" w:hAnsi="Times New Roman" w:cs="Times New Roman" w:eastAsia="Times New Roman" w:hint="default"/>
          <w:sz w:val="21"/>
          <w:szCs w:val="21"/>
        </w:rPr>
        <w:sectPr>
          <w:pgSz w:w="11910" w:h="16840"/>
          <w:pgMar w:header="880" w:footer="979" w:top="1060" w:bottom="116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5"/>
        <w:spacing w:line="240" w:lineRule="auto" w:before="191"/>
        <w:ind w:left="565" w:right="0"/>
        <w:jc w:val="left"/>
        <w:rPr>
          <w:b w:val="0"/>
          <w:bCs w:val="0"/>
        </w:rPr>
      </w:pPr>
      <w:r>
        <w:rPr>
          <w:rFonts w:ascii="Times New Roman" w:hAnsi="Times New Roman" w:cs="Times New Roman" w:eastAsia="Times New Roman" w:hint="default"/>
        </w:rPr>
        <w:t>3</w:t>
      </w:r>
      <w:r>
        <w:rPr/>
        <w:t>、设定提存计划列示</w:t>
      </w:r>
      <w:r>
        <w:rPr>
          <w:b w:val="0"/>
          <w:bCs w:val="0"/>
        </w:rPr>
      </w:r>
    </w:p>
    <w:p>
      <w:pPr>
        <w:spacing w:line="240" w:lineRule="auto" w:before="8"/>
        <w:rPr>
          <w:rFonts w:ascii="宋体" w:hAnsi="宋体" w:cs="宋体" w:eastAsia="宋体" w:hint="default"/>
          <w:b/>
          <w:bCs/>
          <w:sz w:val="2"/>
          <w:szCs w:val="2"/>
        </w:rPr>
      </w:pPr>
    </w:p>
    <w:tbl>
      <w:tblPr>
        <w:tblW w:w="0" w:type="auto"/>
        <w:jc w:val="left"/>
        <w:tblInd w:w="160" w:type="dxa"/>
        <w:tblLayout w:type="fixed"/>
        <w:tblCellMar>
          <w:top w:w="0" w:type="dxa"/>
          <w:left w:w="0" w:type="dxa"/>
          <w:bottom w:w="0" w:type="dxa"/>
          <w:right w:w="0" w:type="dxa"/>
        </w:tblCellMar>
        <w:tblLook w:val="01E0"/>
      </w:tblPr>
      <w:tblGrid>
        <w:gridCol w:w="2465"/>
        <w:gridCol w:w="1594"/>
        <w:gridCol w:w="1594"/>
        <w:gridCol w:w="1594"/>
        <w:gridCol w:w="1586"/>
      </w:tblGrid>
      <w:tr>
        <w:trPr>
          <w:trHeight w:val="314" w:hRule="exact"/>
        </w:trPr>
        <w:tc>
          <w:tcPr>
            <w:tcW w:w="2465"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right="1010"/>
              <w:jc w:val="right"/>
              <w:rPr>
                <w:rFonts w:ascii="宋体" w:hAnsi="宋体" w:cs="宋体" w:eastAsia="宋体" w:hint="default"/>
                <w:sz w:val="21"/>
                <w:szCs w:val="21"/>
              </w:rPr>
            </w:pPr>
            <w:r>
              <w:rPr>
                <w:rFonts w:ascii="宋体" w:hAnsi="宋体" w:cs="宋体" w:eastAsia="宋体" w:hint="default"/>
                <w:sz w:val="21"/>
                <w:szCs w:val="21"/>
              </w:rPr>
              <w:t>项目</w:t>
            </w:r>
          </w:p>
        </w:tc>
        <w:tc>
          <w:tcPr>
            <w:tcW w:w="1594"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left="37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94"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left="369"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94"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left="36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86" w:type="dxa"/>
            <w:tcBorders>
              <w:top w:val="single" w:sz="6" w:space="0" w:color="000000"/>
              <w:left w:val="single" w:sz="6" w:space="0" w:color="000000"/>
              <w:bottom w:val="single" w:sz="12" w:space="0" w:color="000000"/>
              <w:right w:val="nil" w:sz="6" w:space="0" w:color="auto"/>
            </w:tcBorders>
          </w:tcPr>
          <w:p>
            <w:pPr>
              <w:pStyle w:val="TableParagraph"/>
              <w:spacing w:line="250" w:lineRule="exact"/>
              <w:ind w:left="364"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314" w:hRule="exact"/>
        </w:trPr>
        <w:tc>
          <w:tcPr>
            <w:tcW w:w="2465"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2" w:right="0"/>
              <w:jc w:val="left"/>
              <w:rPr>
                <w:rFonts w:ascii="宋体" w:hAnsi="宋体" w:cs="宋体" w:eastAsia="宋体" w:hint="default"/>
                <w:sz w:val="21"/>
                <w:szCs w:val="21"/>
              </w:rPr>
            </w:pPr>
            <w:r>
              <w:rPr>
                <w:rFonts w:ascii="宋体" w:hAnsi="宋体" w:cs="宋体" w:eastAsia="宋体" w:hint="default"/>
                <w:sz w:val="21"/>
                <w:szCs w:val="21"/>
              </w:rPr>
              <w:t>基本养老保险</w:t>
            </w:r>
          </w:p>
        </w:tc>
        <w:tc>
          <w:tcPr>
            <w:tcW w:w="1594"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594"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0"/>
              <w:jc w:val="right"/>
              <w:rPr>
                <w:rFonts w:ascii="Times New Roman" w:hAnsi="Times New Roman" w:cs="Times New Roman" w:eastAsia="Times New Roman" w:hint="default"/>
                <w:sz w:val="21"/>
                <w:szCs w:val="21"/>
              </w:rPr>
            </w:pPr>
            <w:r>
              <w:rPr>
                <w:rFonts w:ascii="Times New Roman"/>
                <w:spacing w:val="-1"/>
                <w:sz w:val="21"/>
              </w:rPr>
              <w:t>1,315,725.30</w:t>
            </w:r>
          </w:p>
        </w:tc>
        <w:tc>
          <w:tcPr>
            <w:tcW w:w="1594"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0"/>
              <w:jc w:val="right"/>
              <w:rPr>
                <w:rFonts w:ascii="Times New Roman" w:hAnsi="Times New Roman" w:cs="Times New Roman" w:eastAsia="Times New Roman" w:hint="default"/>
                <w:sz w:val="21"/>
                <w:szCs w:val="21"/>
              </w:rPr>
            </w:pPr>
            <w:r>
              <w:rPr>
                <w:rFonts w:ascii="Times New Roman"/>
                <w:spacing w:val="-1"/>
                <w:sz w:val="21"/>
              </w:rPr>
              <w:t>1,315,725.30</w:t>
            </w:r>
          </w:p>
        </w:tc>
        <w:tc>
          <w:tcPr>
            <w:tcW w:w="1586"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6"/>
              <w:jc w:val="right"/>
              <w:rPr>
                <w:rFonts w:ascii="Times New Roman" w:hAnsi="Times New Roman" w:cs="Times New Roman" w:eastAsia="Times New Roman" w:hint="default"/>
                <w:sz w:val="21"/>
                <w:szCs w:val="21"/>
              </w:rPr>
            </w:pPr>
            <w:r>
              <w:rPr>
                <w:rFonts w:ascii="Times New Roman"/>
                <w:spacing w:val="-1"/>
                <w:sz w:val="21"/>
              </w:rPr>
              <w:t>---</w:t>
            </w:r>
          </w:p>
        </w:tc>
      </w:tr>
      <w:tr>
        <w:trPr>
          <w:trHeight w:val="312" w:hRule="exact"/>
        </w:trPr>
        <w:tc>
          <w:tcPr>
            <w:tcW w:w="2465"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失业保险费</w:t>
            </w:r>
          </w:p>
        </w:tc>
        <w:tc>
          <w:tcPr>
            <w:tcW w:w="1594"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594"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Times New Roman" w:hAnsi="Times New Roman" w:cs="Times New Roman" w:eastAsia="Times New Roman" w:hint="default"/>
                <w:sz w:val="21"/>
                <w:szCs w:val="21"/>
              </w:rPr>
            </w:pPr>
            <w:r>
              <w:rPr>
                <w:rFonts w:ascii="Times New Roman"/>
                <w:spacing w:val="-1"/>
                <w:sz w:val="21"/>
              </w:rPr>
              <w:t>83,722.72</w:t>
            </w:r>
          </w:p>
        </w:tc>
        <w:tc>
          <w:tcPr>
            <w:tcW w:w="1594"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Times New Roman" w:hAnsi="Times New Roman" w:cs="Times New Roman" w:eastAsia="Times New Roman" w:hint="default"/>
                <w:sz w:val="21"/>
                <w:szCs w:val="21"/>
              </w:rPr>
            </w:pPr>
            <w:r>
              <w:rPr>
                <w:rFonts w:ascii="Times New Roman"/>
                <w:spacing w:val="-1"/>
                <w:sz w:val="21"/>
              </w:rPr>
              <w:t>83,722.72</w:t>
            </w:r>
          </w:p>
        </w:tc>
        <w:tc>
          <w:tcPr>
            <w:tcW w:w="1586"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6"/>
              <w:jc w:val="right"/>
              <w:rPr>
                <w:rFonts w:ascii="Times New Roman" w:hAnsi="Times New Roman" w:cs="Times New Roman" w:eastAsia="Times New Roman" w:hint="default"/>
                <w:sz w:val="21"/>
                <w:szCs w:val="21"/>
              </w:rPr>
            </w:pPr>
            <w:r>
              <w:rPr>
                <w:rFonts w:ascii="Times New Roman"/>
                <w:spacing w:val="-1"/>
                <w:sz w:val="21"/>
              </w:rPr>
              <w:t>---</w:t>
            </w:r>
          </w:p>
        </w:tc>
      </w:tr>
      <w:tr>
        <w:trPr>
          <w:trHeight w:val="314" w:hRule="exact"/>
        </w:trPr>
        <w:tc>
          <w:tcPr>
            <w:tcW w:w="2465"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right="1010"/>
              <w:jc w:val="right"/>
              <w:rPr>
                <w:rFonts w:ascii="宋体" w:hAnsi="宋体" w:cs="宋体" w:eastAsia="宋体" w:hint="default"/>
                <w:sz w:val="21"/>
                <w:szCs w:val="21"/>
              </w:rPr>
            </w:pPr>
            <w:r>
              <w:rPr>
                <w:rFonts w:ascii="宋体" w:hAnsi="宋体" w:cs="宋体" w:eastAsia="宋体" w:hint="default"/>
                <w:sz w:val="21"/>
                <w:szCs w:val="21"/>
              </w:rPr>
              <w:t>合计</w:t>
            </w:r>
          </w:p>
        </w:tc>
        <w:tc>
          <w:tcPr>
            <w:tcW w:w="1594"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594"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0"/>
              <w:jc w:val="right"/>
              <w:rPr>
                <w:rFonts w:ascii="Times New Roman" w:hAnsi="Times New Roman" w:cs="Times New Roman" w:eastAsia="Times New Roman" w:hint="default"/>
                <w:sz w:val="21"/>
                <w:szCs w:val="21"/>
              </w:rPr>
            </w:pPr>
            <w:r>
              <w:rPr>
                <w:rFonts w:ascii="Times New Roman"/>
                <w:spacing w:val="-1"/>
                <w:sz w:val="21"/>
              </w:rPr>
              <w:t>1,399,448.02</w:t>
            </w:r>
          </w:p>
        </w:tc>
        <w:tc>
          <w:tcPr>
            <w:tcW w:w="1594"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0"/>
              <w:jc w:val="right"/>
              <w:rPr>
                <w:rFonts w:ascii="Times New Roman" w:hAnsi="Times New Roman" w:cs="Times New Roman" w:eastAsia="Times New Roman" w:hint="default"/>
                <w:sz w:val="21"/>
                <w:szCs w:val="21"/>
              </w:rPr>
            </w:pPr>
            <w:r>
              <w:rPr>
                <w:rFonts w:ascii="Times New Roman"/>
                <w:spacing w:val="-1"/>
                <w:sz w:val="21"/>
              </w:rPr>
              <w:t>1,399,448.02</w:t>
            </w:r>
          </w:p>
        </w:tc>
        <w:tc>
          <w:tcPr>
            <w:tcW w:w="1586"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6"/>
              <w:jc w:val="right"/>
              <w:rPr>
                <w:rFonts w:ascii="Times New Roman" w:hAnsi="Times New Roman" w:cs="Times New Roman" w:eastAsia="Times New Roman" w:hint="default"/>
                <w:sz w:val="21"/>
                <w:szCs w:val="21"/>
              </w:rPr>
            </w:pPr>
            <w:r>
              <w:rPr>
                <w:rFonts w:ascii="Times New Roman"/>
                <w:spacing w:val="-1"/>
                <w:sz w:val="21"/>
              </w:rPr>
              <w:t>---</w:t>
            </w:r>
          </w:p>
        </w:tc>
      </w:tr>
    </w:tbl>
    <w:p>
      <w:pPr>
        <w:pStyle w:val="Heading5"/>
        <w:spacing w:line="256" w:lineRule="auto"/>
        <w:ind w:right="0" w:firstLine="422"/>
        <w:jc w:val="left"/>
        <w:rPr>
          <w:b w:val="0"/>
          <w:bCs w:val="0"/>
        </w:rPr>
      </w:pPr>
      <w:r>
        <w:rPr>
          <w:rFonts w:ascii="Times New Roman" w:hAnsi="Times New Roman" w:cs="Times New Roman" w:eastAsia="Times New Roman" w:hint="default"/>
          <w:spacing w:val="-3"/>
        </w:rPr>
        <w:t>4</w:t>
      </w:r>
      <w:r>
        <w:rPr>
          <w:spacing w:val="-3"/>
        </w:rPr>
        <w:t>、应付职工薪酬期末余额比期初余额增加</w:t>
      </w:r>
      <w:r>
        <w:rPr>
          <w:rFonts w:ascii="Times New Roman" w:hAnsi="Times New Roman" w:cs="Times New Roman" w:eastAsia="Times New Roman" w:hint="default"/>
          <w:spacing w:val="-3"/>
        </w:rPr>
        <w:t>233,625.07</w:t>
      </w:r>
      <w:r>
        <w:rPr>
          <w:spacing w:val="-3"/>
        </w:rPr>
        <w:t>元，增幅为</w:t>
      </w:r>
      <w:r>
        <w:rPr>
          <w:rFonts w:ascii="Times New Roman" w:hAnsi="Times New Roman" w:cs="Times New Roman" w:eastAsia="Times New Roman" w:hint="default"/>
          <w:spacing w:val="-3"/>
        </w:rPr>
        <w:t>38.92%</w:t>
      </w:r>
      <w:r>
        <w:rPr>
          <w:spacing w:val="-3"/>
        </w:rPr>
        <w:t>，增加的主要原因是本期人力</w:t>
      </w:r>
      <w:r>
        <w:rPr>
          <w:w w:val="100"/>
        </w:rPr>
        <w:t> </w:t>
      </w:r>
      <w:r>
        <w:rPr/>
        <w:t>成本增加，期末计提工资、奖金较上期增加所致。</w:t>
      </w:r>
      <w:r>
        <w:rPr>
          <w:b w:val="0"/>
          <w:bCs w:val="0"/>
        </w:rPr>
      </w:r>
    </w:p>
    <w:p>
      <w:pPr>
        <w:spacing w:line="240" w:lineRule="auto" w:before="7"/>
        <w:rPr>
          <w:rFonts w:ascii="宋体" w:hAnsi="宋体" w:cs="宋体" w:eastAsia="宋体" w:hint="default"/>
          <w:b/>
          <w:bCs/>
          <w:sz w:val="25"/>
          <w:szCs w:val="25"/>
        </w:rPr>
      </w:pPr>
    </w:p>
    <w:p>
      <w:pPr>
        <w:pStyle w:val="Heading5"/>
        <w:spacing w:line="240" w:lineRule="auto"/>
        <w:ind w:left="580" w:right="0"/>
        <w:jc w:val="left"/>
        <w:rPr>
          <w:b w:val="0"/>
          <w:bCs w:val="0"/>
        </w:rPr>
      </w:pPr>
      <w:r>
        <w:rPr/>
        <w:t>（二十）应交税费</w:t>
      </w:r>
      <w:r>
        <w:rPr>
          <w:b w:val="0"/>
          <w:bCs w:val="0"/>
        </w:rPr>
      </w:r>
    </w:p>
    <w:p>
      <w:pPr>
        <w:spacing w:line="240" w:lineRule="auto" w:before="10"/>
        <w:rPr>
          <w:rFonts w:ascii="宋体" w:hAnsi="宋体" w:cs="宋体" w:eastAsia="宋体" w:hint="default"/>
          <w:b/>
          <w:bCs/>
          <w:sz w:val="3"/>
          <w:szCs w:val="3"/>
        </w:rPr>
      </w:pPr>
    </w:p>
    <w:tbl>
      <w:tblPr>
        <w:tblW w:w="0" w:type="auto"/>
        <w:jc w:val="left"/>
        <w:tblInd w:w="160" w:type="dxa"/>
        <w:tblLayout w:type="fixed"/>
        <w:tblCellMar>
          <w:top w:w="0" w:type="dxa"/>
          <w:left w:w="0" w:type="dxa"/>
          <w:bottom w:w="0" w:type="dxa"/>
          <w:right w:w="0" w:type="dxa"/>
        </w:tblCellMar>
        <w:tblLook w:val="01E0"/>
      </w:tblPr>
      <w:tblGrid>
        <w:gridCol w:w="3065"/>
        <w:gridCol w:w="2911"/>
        <w:gridCol w:w="2563"/>
      </w:tblGrid>
      <w:tr>
        <w:trPr>
          <w:trHeight w:val="314" w:hRule="exact"/>
        </w:trPr>
        <w:tc>
          <w:tcPr>
            <w:tcW w:w="3065"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税费项目</w:t>
            </w:r>
          </w:p>
        </w:tc>
        <w:tc>
          <w:tcPr>
            <w:tcW w:w="2911"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563" w:type="dxa"/>
            <w:tcBorders>
              <w:top w:val="single" w:sz="6" w:space="0" w:color="000000"/>
              <w:left w:val="single" w:sz="6" w:space="0" w:color="000000"/>
              <w:bottom w:val="single" w:sz="12" w:space="0" w:color="000000"/>
              <w:right w:val="nil" w:sz="6" w:space="0" w:color="auto"/>
            </w:tcBorders>
          </w:tcPr>
          <w:p>
            <w:pPr>
              <w:pStyle w:val="TableParagraph"/>
              <w:spacing w:line="250" w:lineRule="exact"/>
              <w:ind w:right="2"/>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14" w:hRule="exact"/>
        </w:trPr>
        <w:tc>
          <w:tcPr>
            <w:tcW w:w="3065"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2"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911"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3"/>
              <w:jc w:val="right"/>
              <w:rPr>
                <w:rFonts w:ascii="Times New Roman" w:hAnsi="Times New Roman" w:cs="Times New Roman" w:eastAsia="Times New Roman" w:hint="default"/>
                <w:sz w:val="21"/>
                <w:szCs w:val="21"/>
              </w:rPr>
            </w:pPr>
            <w:r>
              <w:rPr>
                <w:rFonts w:ascii="Times New Roman"/>
                <w:spacing w:val="-1"/>
                <w:sz w:val="21"/>
              </w:rPr>
              <w:t>94,556.42</w:t>
            </w:r>
          </w:p>
        </w:tc>
        <w:tc>
          <w:tcPr>
            <w:tcW w:w="2563"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7"/>
              <w:jc w:val="right"/>
              <w:rPr>
                <w:rFonts w:ascii="Times New Roman" w:hAnsi="Times New Roman" w:cs="Times New Roman" w:eastAsia="Times New Roman" w:hint="default"/>
                <w:sz w:val="21"/>
                <w:szCs w:val="21"/>
              </w:rPr>
            </w:pPr>
            <w:r>
              <w:rPr>
                <w:rFonts w:ascii="Times New Roman"/>
                <w:spacing w:val="-1"/>
                <w:sz w:val="21"/>
              </w:rPr>
              <w:t>138,820.19</w:t>
            </w:r>
          </w:p>
        </w:tc>
      </w:tr>
      <w:tr>
        <w:trPr>
          <w:trHeight w:val="312" w:hRule="exact"/>
        </w:trPr>
        <w:tc>
          <w:tcPr>
            <w:tcW w:w="3065"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911"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3"/>
              <w:jc w:val="right"/>
              <w:rPr>
                <w:rFonts w:ascii="Times New Roman" w:hAnsi="Times New Roman" w:cs="Times New Roman" w:eastAsia="Times New Roman" w:hint="default"/>
                <w:sz w:val="21"/>
                <w:szCs w:val="21"/>
              </w:rPr>
            </w:pPr>
            <w:r>
              <w:rPr>
                <w:rFonts w:ascii="Times New Roman"/>
                <w:spacing w:val="-1"/>
                <w:sz w:val="21"/>
              </w:rPr>
              <w:t>27,289.44</w:t>
            </w:r>
          </w:p>
        </w:tc>
        <w:tc>
          <w:tcPr>
            <w:tcW w:w="2563"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6"/>
              <w:jc w:val="right"/>
              <w:rPr>
                <w:rFonts w:ascii="Times New Roman" w:hAnsi="Times New Roman" w:cs="Times New Roman" w:eastAsia="Times New Roman" w:hint="default"/>
                <w:sz w:val="21"/>
                <w:szCs w:val="21"/>
              </w:rPr>
            </w:pPr>
            <w:r>
              <w:rPr>
                <w:rFonts w:ascii="Times New Roman"/>
                <w:spacing w:val="-1"/>
                <w:sz w:val="21"/>
              </w:rPr>
              <w:t>---</w:t>
            </w:r>
          </w:p>
        </w:tc>
      </w:tr>
      <w:tr>
        <w:trPr>
          <w:trHeight w:val="314" w:hRule="exact"/>
        </w:trPr>
        <w:tc>
          <w:tcPr>
            <w:tcW w:w="3065"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2" w:right="0"/>
              <w:jc w:val="left"/>
              <w:rPr>
                <w:rFonts w:ascii="宋体" w:hAnsi="宋体" w:cs="宋体" w:eastAsia="宋体" w:hint="default"/>
                <w:sz w:val="21"/>
                <w:szCs w:val="21"/>
              </w:rPr>
            </w:pPr>
            <w:r>
              <w:rPr>
                <w:rFonts w:ascii="宋体" w:hAnsi="宋体" w:cs="宋体" w:eastAsia="宋体" w:hint="default"/>
                <w:sz w:val="21"/>
                <w:szCs w:val="21"/>
              </w:rPr>
              <w:t>城建税</w:t>
            </w:r>
          </w:p>
        </w:tc>
        <w:tc>
          <w:tcPr>
            <w:tcW w:w="2911"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3"/>
              <w:jc w:val="right"/>
              <w:rPr>
                <w:rFonts w:ascii="Times New Roman" w:hAnsi="Times New Roman" w:cs="Times New Roman" w:eastAsia="Times New Roman" w:hint="default"/>
                <w:sz w:val="21"/>
                <w:szCs w:val="21"/>
              </w:rPr>
            </w:pPr>
            <w:r>
              <w:rPr>
                <w:rFonts w:ascii="Times New Roman"/>
                <w:spacing w:val="-1"/>
                <w:sz w:val="21"/>
              </w:rPr>
              <w:t>29,856.67</w:t>
            </w:r>
          </w:p>
        </w:tc>
        <w:tc>
          <w:tcPr>
            <w:tcW w:w="2563"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5"/>
              <w:jc w:val="right"/>
              <w:rPr>
                <w:rFonts w:ascii="Times New Roman" w:hAnsi="Times New Roman" w:cs="Times New Roman" w:eastAsia="Times New Roman" w:hint="default"/>
                <w:sz w:val="21"/>
                <w:szCs w:val="21"/>
              </w:rPr>
            </w:pPr>
            <w:r>
              <w:rPr>
                <w:rFonts w:ascii="Times New Roman"/>
                <w:spacing w:val="-1"/>
                <w:sz w:val="21"/>
              </w:rPr>
              <w:t>11,109.97</w:t>
            </w:r>
          </w:p>
        </w:tc>
      </w:tr>
      <w:tr>
        <w:trPr>
          <w:trHeight w:val="312" w:hRule="exact"/>
        </w:trPr>
        <w:tc>
          <w:tcPr>
            <w:tcW w:w="3065"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911"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3"/>
              <w:jc w:val="right"/>
              <w:rPr>
                <w:rFonts w:ascii="Times New Roman" w:hAnsi="Times New Roman" w:cs="Times New Roman" w:eastAsia="Times New Roman" w:hint="default"/>
                <w:sz w:val="21"/>
                <w:szCs w:val="21"/>
              </w:rPr>
            </w:pPr>
            <w:r>
              <w:rPr>
                <w:rFonts w:ascii="Times New Roman"/>
                <w:spacing w:val="-1"/>
                <w:sz w:val="21"/>
              </w:rPr>
              <w:t>65,264.80</w:t>
            </w:r>
          </w:p>
        </w:tc>
        <w:tc>
          <w:tcPr>
            <w:tcW w:w="2563"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7"/>
              <w:jc w:val="right"/>
              <w:rPr>
                <w:rFonts w:ascii="Times New Roman" w:hAnsi="Times New Roman" w:cs="Times New Roman" w:eastAsia="Times New Roman" w:hint="default"/>
                <w:sz w:val="21"/>
                <w:szCs w:val="21"/>
              </w:rPr>
            </w:pPr>
            <w:r>
              <w:rPr>
                <w:rFonts w:ascii="Times New Roman"/>
                <w:spacing w:val="-1"/>
                <w:sz w:val="21"/>
              </w:rPr>
              <w:t>668,385.70</w:t>
            </w:r>
          </w:p>
        </w:tc>
      </w:tr>
      <w:tr>
        <w:trPr>
          <w:trHeight w:val="312" w:hRule="exact"/>
        </w:trPr>
        <w:tc>
          <w:tcPr>
            <w:tcW w:w="3065"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2"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911"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3"/>
              <w:jc w:val="right"/>
              <w:rPr>
                <w:rFonts w:ascii="Times New Roman" w:hAnsi="Times New Roman" w:cs="Times New Roman" w:eastAsia="Times New Roman" w:hint="default"/>
                <w:sz w:val="21"/>
                <w:szCs w:val="21"/>
              </w:rPr>
            </w:pPr>
            <w:r>
              <w:rPr>
                <w:rFonts w:ascii="Times New Roman"/>
                <w:spacing w:val="-1"/>
                <w:sz w:val="21"/>
              </w:rPr>
              <w:t>186,235.06</w:t>
            </w:r>
          </w:p>
        </w:tc>
        <w:tc>
          <w:tcPr>
            <w:tcW w:w="2563"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5"/>
              <w:jc w:val="right"/>
              <w:rPr>
                <w:rFonts w:ascii="Times New Roman" w:hAnsi="Times New Roman" w:cs="Times New Roman" w:eastAsia="Times New Roman" w:hint="default"/>
                <w:sz w:val="21"/>
                <w:szCs w:val="21"/>
              </w:rPr>
            </w:pPr>
            <w:r>
              <w:rPr>
                <w:rFonts w:ascii="Times New Roman"/>
                <w:spacing w:val="-1"/>
                <w:sz w:val="21"/>
              </w:rPr>
              <w:t>34,899.63</w:t>
            </w:r>
          </w:p>
        </w:tc>
      </w:tr>
      <w:tr>
        <w:trPr>
          <w:trHeight w:val="314" w:hRule="exact"/>
        </w:trPr>
        <w:tc>
          <w:tcPr>
            <w:tcW w:w="3065"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911"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3"/>
              <w:jc w:val="right"/>
              <w:rPr>
                <w:rFonts w:ascii="Times New Roman" w:hAnsi="Times New Roman" w:cs="Times New Roman" w:eastAsia="Times New Roman" w:hint="default"/>
                <w:sz w:val="21"/>
                <w:szCs w:val="21"/>
              </w:rPr>
            </w:pPr>
            <w:r>
              <w:rPr>
                <w:rFonts w:ascii="Times New Roman"/>
                <w:spacing w:val="-1"/>
                <w:sz w:val="21"/>
              </w:rPr>
              <w:t>21,326.19</w:t>
            </w:r>
          </w:p>
        </w:tc>
        <w:tc>
          <w:tcPr>
            <w:tcW w:w="2563"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5"/>
              <w:jc w:val="right"/>
              <w:rPr>
                <w:rFonts w:ascii="Times New Roman" w:hAnsi="Times New Roman" w:cs="Times New Roman" w:eastAsia="Times New Roman" w:hint="default"/>
                <w:sz w:val="21"/>
                <w:szCs w:val="21"/>
              </w:rPr>
            </w:pPr>
            <w:r>
              <w:rPr>
                <w:rFonts w:ascii="Times New Roman"/>
                <w:spacing w:val="-1"/>
                <w:sz w:val="21"/>
              </w:rPr>
              <w:t>7,935.70</w:t>
            </w:r>
          </w:p>
        </w:tc>
      </w:tr>
      <w:tr>
        <w:trPr>
          <w:trHeight w:val="312" w:hRule="exact"/>
        </w:trPr>
        <w:tc>
          <w:tcPr>
            <w:tcW w:w="3065"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堤围费</w:t>
            </w:r>
          </w:p>
        </w:tc>
        <w:tc>
          <w:tcPr>
            <w:tcW w:w="2911"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4"/>
              <w:jc w:val="right"/>
              <w:rPr>
                <w:rFonts w:ascii="Times New Roman" w:hAnsi="Times New Roman" w:cs="Times New Roman" w:eastAsia="Times New Roman" w:hint="default"/>
                <w:sz w:val="21"/>
                <w:szCs w:val="21"/>
              </w:rPr>
            </w:pPr>
            <w:r>
              <w:rPr>
                <w:rFonts w:ascii="Times New Roman"/>
                <w:spacing w:val="-1"/>
                <w:sz w:val="21"/>
              </w:rPr>
              <w:t>---</w:t>
            </w:r>
          </w:p>
        </w:tc>
        <w:tc>
          <w:tcPr>
            <w:tcW w:w="2563"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5"/>
              <w:jc w:val="right"/>
              <w:rPr>
                <w:rFonts w:ascii="Times New Roman" w:hAnsi="Times New Roman" w:cs="Times New Roman" w:eastAsia="Times New Roman" w:hint="default"/>
                <w:sz w:val="21"/>
                <w:szCs w:val="21"/>
              </w:rPr>
            </w:pPr>
            <w:r>
              <w:rPr>
                <w:rFonts w:ascii="Times New Roman"/>
                <w:sz w:val="21"/>
              </w:rPr>
              <w:t>526.83</w:t>
            </w:r>
          </w:p>
        </w:tc>
      </w:tr>
      <w:tr>
        <w:trPr>
          <w:trHeight w:val="314" w:hRule="exact"/>
        </w:trPr>
        <w:tc>
          <w:tcPr>
            <w:tcW w:w="3065"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11"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3"/>
              <w:jc w:val="right"/>
              <w:rPr>
                <w:rFonts w:ascii="Times New Roman" w:hAnsi="Times New Roman" w:cs="Times New Roman" w:eastAsia="Times New Roman" w:hint="default"/>
                <w:sz w:val="21"/>
                <w:szCs w:val="21"/>
              </w:rPr>
            </w:pPr>
            <w:r>
              <w:rPr>
                <w:rFonts w:ascii="Times New Roman"/>
                <w:spacing w:val="-1"/>
                <w:sz w:val="21"/>
              </w:rPr>
              <w:t>424,528.58</w:t>
            </w:r>
          </w:p>
        </w:tc>
        <w:tc>
          <w:tcPr>
            <w:tcW w:w="2563"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5"/>
              <w:jc w:val="right"/>
              <w:rPr>
                <w:rFonts w:ascii="Times New Roman" w:hAnsi="Times New Roman" w:cs="Times New Roman" w:eastAsia="Times New Roman" w:hint="default"/>
                <w:sz w:val="21"/>
                <w:szCs w:val="21"/>
              </w:rPr>
            </w:pPr>
            <w:r>
              <w:rPr>
                <w:rFonts w:ascii="Times New Roman"/>
                <w:spacing w:val="-1"/>
                <w:sz w:val="21"/>
              </w:rPr>
              <w:t>861,678.02</w:t>
            </w:r>
          </w:p>
        </w:tc>
      </w:tr>
    </w:tbl>
    <w:p>
      <w:pPr>
        <w:pStyle w:val="Heading5"/>
        <w:spacing w:line="256" w:lineRule="auto"/>
        <w:ind w:right="0" w:firstLine="422"/>
        <w:jc w:val="left"/>
        <w:rPr>
          <w:b w:val="0"/>
          <w:bCs w:val="0"/>
        </w:rPr>
      </w:pPr>
      <w:r>
        <w:rPr>
          <w:spacing w:val="-1"/>
        </w:rPr>
        <w:t>应交税费期末余额比期初余额减少</w:t>
      </w:r>
      <w:r>
        <w:rPr>
          <w:rFonts w:ascii="Times New Roman" w:hAnsi="Times New Roman" w:cs="Times New Roman" w:eastAsia="Times New Roman" w:hint="default"/>
          <w:spacing w:val="-1"/>
        </w:rPr>
        <w:t>437,149.44</w:t>
      </w:r>
      <w:r>
        <w:rPr>
          <w:spacing w:val="-1"/>
        </w:rPr>
        <w:t>元，减幅为</w:t>
      </w:r>
      <w:r>
        <w:rPr>
          <w:rFonts w:ascii="Times New Roman" w:hAnsi="Times New Roman" w:cs="Times New Roman" w:eastAsia="Times New Roman" w:hint="default"/>
          <w:spacing w:val="-1"/>
        </w:rPr>
        <w:t>50.73%</w:t>
      </w:r>
      <w:r>
        <w:rPr>
          <w:spacing w:val="-1"/>
        </w:rPr>
        <w:t>，减少的主要原因是应交企业所得税</w:t>
      </w:r>
      <w:r>
        <w:rPr>
          <w:w w:val="100"/>
        </w:rPr>
        <w:t> </w:t>
      </w:r>
      <w:r>
        <w:rPr/>
        <w:t>减少所致。</w:t>
      </w:r>
      <w:r>
        <w:rPr>
          <w:b w:val="0"/>
          <w:bCs w:val="0"/>
        </w:rPr>
      </w:r>
    </w:p>
    <w:p>
      <w:pPr>
        <w:spacing w:line="240" w:lineRule="auto" w:before="7"/>
        <w:rPr>
          <w:rFonts w:ascii="宋体" w:hAnsi="宋体" w:cs="宋体" w:eastAsia="宋体" w:hint="default"/>
          <w:b/>
          <w:bCs/>
          <w:sz w:val="25"/>
          <w:szCs w:val="25"/>
        </w:rPr>
      </w:pPr>
    </w:p>
    <w:p>
      <w:pPr>
        <w:pStyle w:val="Heading5"/>
        <w:spacing w:line="240" w:lineRule="auto"/>
        <w:ind w:left="580" w:right="0"/>
        <w:jc w:val="left"/>
        <w:rPr>
          <w:b w:val="0"/>
          <w:bCs w:val="0"/>
        </w:rPr>
      </w:pPr>
      <w:r>
        <w:rPr/>
        <w:t>（二十一）其他应付款</w:t>
      </w:r>
      <w:r>
        <w:rPr>
          <w:b w:val="0"/>
          <w:bCs w:val="0"/>
        </w:rPr>
      </w:r>
    </w:p>
    <w:p>
      <w:pPr>
        <w:pStyle w:val="Heading5"/>
        <w:spacing w:line="240" w:lineRule="auto" w:before="37"/>
        <w:ind w:left="572" w:right="0"/>
        <w:jc w:val="left"/>
        <w:rPr>
          <w:b w:val="0"/>
          <w:bCs w:val="0"/>
        </w:rPr>
      </w:pPr>
      <w:r>
        <w:rPr>
          <w:rFonts w:ascii="Times New Roman" w:hAnsi="Times New Roman" w:cs="Times New Roman" w:eastAsia="Times New Roman" w:hint="default"/>
        </w:rPr>
        <w:t>1</w:t>
      </w:r>
      <w:r>
        <w:rPr/>
        <w:t>、按款项性质列示的其他应付款</w:t>
      </w:r>
      <w:r>
        <w:rPr>
          <w:b w:val="0"/>
          <w:bCs w:val="0"/>
        </w:rPr>
      </w:r>
    </w:p>
    <w:p>
      <w:pPr>
        <w:spacing w:line="240" w:lineRule="auto" w:before="8"/>
        <w:rPr>
          <w:rFonts w:ascii="宋体" w:hAnsi="宋体" w:cs="宋体" w:eastAsia="宋体" w:hint="default"/>
          <w:b/>
          <w:bCs/>
          <w:sz w:val="2"/>
          <w:szCs w:val="2"/>
        </w:rPr>
      </w:pPr>
    </w:p>
    <w:tbl>
      <w:tblPr>
        <w:tblW w:w="0" w:type="auto"/>
        <w:jc w:val="left"/>
        <w:tblInd w:w="160" w:type="dxa"/>
        <w:tblLayout w:type="fixed"/>
        <w:tblCellMar>
          <w:top w:w="0" w:type="dxa"/>
          <w:left w:w="0" w:type="dxa"/>
          <w:bottom w:w="0" w:type="dxa"/>
          <w:right w:w="0" w:type="dxa"/>
        </w:tblCellMar>
        <w:tblLook w:val="01E0"/>
      </w:tblPr>
      <w:tblGrid>
        <w:gridCol w:w="3175"/>
        <w:gridCol w:w="3014"/>
        <w:gridCol w:w="2642"/>
      </w:tblGrid>
      <w:tr>
        <w:trPr>
          <w:trHeight w:val="317" w:hRule="exact"/>
        </w:trPr>
        <w:tc>
          <w:tcPr>
            <w:tcW w:w="3175" w:type="dxa"/>
            <w:tcBorders>
              <w:top w:val="single" w:sz="6" w:space="0" w:color="000000"/>
              <w:left w:val="single" w:sz="6" w:space="0" w:color="000000"/>
              <w:bottom w:val="single" w:sz="12" w:space="0" w:color="000000"/>
              <w:right w:val="single" w:sz="6"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3014" w:type="dxa"/>
            <w:tcBorders>
              <w:top w:val="single" w:sz="6" w:space="0" w:color="000000"/>
              <w:left w:val="single" w:sz="6" w:space="0" w:color="000000"/>
              <w:bottom w:val="single" w:sz="12" w:space="0" w:color="000000"/>
              <w:right w:val="single" w:sz="6" w:space="0" w:color="000000"/>
            </w:tcBorders>
          </w:tcPr>
          <w:p>
            <w:pPr>
              <w:pStyle w:val="TableParagraph"/>
              <w:spacing w:line="253" w:lineRule="exact"/>
              <w:ind w:left="7"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642" w:type="dxa"/>
            <w:tcBorders>
              <w:top w:val="single" w:sz="6" w:space="0" w:color="000000"/>
              <w:left w:val="single" w:sz="6" w:space="0" w:color="000000"/>
              <w:bottom w:val="single" w:sz="12" w:space="0" w:color="000000"/>
              <w:right w:val="nil" w:sz="6" w:space="0" w:color="auto"/>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12" w:hRule="exact"/>
        </w:trPr>
        <w:tc>
          <w:tcPr>
            <w:tcW w:w="3175"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押金及保证金</w:t>
            </w:r>
          </w:p>
        </w:tc>
        <w:tc>
          <w:tcPr>
            <w:tcW w:w="3014"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127,022.77</w:t>
            </w:r>
          </w:p>
        </w:tc>
        <w:tc>
          <w:tcPr>
            <w:tcW w:w="2642"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5"/>
              <w:jc w:val="right"/>
              <w:rPr>
                <w:rFonts w:ascii="Times New Roman" w:hAnsi="Times New Roman" w:cs="Times New Roman" w:eastAsia="Times New Roman" w:hint="default"/>
                <w:sz w:val="21"/>
                <w:szCs w:val="21"/>
              </w:rPr>
            </w:pPr>
            <w:r>
              <w:rPr>
                <w:rFonts w:ascii="Times New Roman"/>
                <w:sz w:val="21"/>
              </w:rPr>
              <w:t>84,000.08</w:t>
            </w:r>
          </w:p>
        </w:tc>
      </w:tr>
      <w:tr>
        <w:trPr>
          <w:trHeight w:val="312" w:hRule="exact"/>
        </w:trPr>
        <w:tc>
          <w:tcPr>
            <w:tcW w:w="3175"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版权费</w:t>
            </w:r>
          </w:p>
        </w:tc>
        <w:tc>
          <w:tcPr>
            <w:tcW w:w="3014"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926,481.00</w:t>
            </w:r>
          </w:p>
        </w:tc>
        <w:tc>
          <w:tcPr>
            <w:tcW w:w="2642"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5"/>
              <w:jc w:val="right"/>
              <w:rPr>
                <w:rFonts w:ascii="Times New Roman" w:hAnsi="Times New Roman" w:cs="Times New Roman" w:eastAsia="Times New Roman" w:hint="default"/>
                <w:sz w:val="21"/>
                <w:szCs w:val="21"/>
              </w:rPr>
            </w:pPr>
            <w:r>
              <w:rPr>
                <w:rFonts w:ascii="Times New Roman"/>
                <w:spacing w:val="-1"/>
                <w:sz w:val="21"/>
              </w:rPr>
              <w:t>809,139.00</w:t>
            </w:r>
          </w:p>
        </w:tc>
      </w:tr>
      <w:tr>
        <w:trPr>
          <w:trHeight w:val="314" w:hRule="exact"/>
        </w:trPr>
        <w:tc>
          <w:tcPr>
            <w:tcW w:w="3175"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2" w:right="0"/>
              <w:jc w:val="left"/>
              <w:rPr>
                <w:rFonts w:ascii="宋体" w:hAnsi="宋体" w:cs="宋体" w:eastAsia="宋体" w:hint="default"/>
                <w:sz w:val="21"/>
                <w:szCs w:val="21"/>
              </w:rPr>
            </w:pPr>
            <w:r>
              <w:rPr>
                <w:rFonts w:ascii="宋体" w:hAnsi="宋体" w:cs="宋体" w:eastAsia="宋体" w:hint="default"/>
                <w:sz w:val="21"/>
                <w:szCs w:val="21"/>
              </w:rPr>
              <w:t>投资款</w:t>
            </w:r>
          </w:p>
        </w:tc>
        <w:tc>
          <w:tcPr>
            <w:tcW w:w="3014"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3,000,000.00</w:t>
            </w:r>
          </w:p>
        </w:tc>
        <w:tc>
          <w:tcPr>
            <w:tcW w:w="2642"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2"/>
              <w:jc w:val="right"/>
              <w:rPr>
                <w:rFonts w:ascii="Times New Roman" w:hAnsi="Times New Roman" w:cs="Times New Roman" w:eastAsia="Times New Roman" w:hint="default"/>
                <w:sz w:val="21"/>
                <w:szCs w:val="21"/>
              </w:rPr>
            </w:pPr>
            <w:r>
              <w:rPr>
                <w:rFonts w:ascii="Times New Roman"/>
                <w:spacing w:val="-1"/>
                <w:sz w:val="21"/>
              </w:rPr>
              <w:t>---</w:t>
            </w:r>
          </w:p>
        </w:tc>
      </w:tr>
      <w:tr>
        <w:trPr>
          <w:trHeight w:val="312" w:hRule="exact"/>
        </w:trPr>
        <w:tc>
          <w:tcPr>
            <w:tcW w:w="3175"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南山区财政局个人住房补助</w:t>
            </w:r>
          </w:p>
        </w:tc>
        <w:tc>
          <w:tcPr>
            <w:tcW w:w="3014"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400,000.00</w:t>
            </w:r>
          </w:p>
        </w:tc>
        <w:tc>
          <w:tcPr>
            <w:tcW w:w="2642"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2"/>
              <w:jc w:val="right"/>
              <w:rPr>
                <w:rFonts w:ascii="Times New Roman" w:hAnsi="Times New Roman" w:cs="Times New Roman" w:eastAsia="Times New Roman" w:hint="default"/>
                <w:sz w:val="21"/>
                <w:szCs w:val="21"/>
              </w:rPr>
            </w:pPr>
            <w:r>
              <w:rPr>
                <w:rFonts w:ascii="Times New Roman"/>
                <w:spacing w:val="-1"/>
                <w:sz w:val="21"/>
              </w:rPr>
              <w:t>---</w:t>
            </w:r>
          </w:p>
        </w:tc>
      </w:tr>
      <w:tr>
        <w:trPr>
          <w:trHeight w:val="314" w:hRule="exact"/>
        </w:trPr>
        <w:tc>
          <w:tcPr>
            <w:tcW w:w="3175"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2" w:right="0"/>
              <w:jc w:val="left"/>
              <w:rPr>
                <w:rFonts w:ascii="宋体" w:hAnsi="宋体" w:cs="宋体" w:eastAsia="宋体" w:hint="default"/>
                <w:sz w:val="21"/>
                <w:szCs w:val="21"/>
              </w:rPr>
            </w:pPr>
            <w:r>
              <w:rPr>
                <w:rFonts w:ascii="宋体" w:hAnsi="宋体" w:cs="宋体" w:eastAsia="宋体" w:hint="default"/>
                <w:sz w:val="21"/>
                <w:szCs w:val="21"/>
              </w:rPr>
              <w:t>诉讼费及赔偿款</w:t>
            </w:r>
          </w:p>
        </w:tc>
        <w:tc>
          <w:tcPr>
            <w:tcW w:w="3014"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4"/>
              <w:jc w:val="right"/>
              <w:rPr>
                <w:rFonts w:ascii="Times New Roman" w:hAnsi="Times New Roman" w:cs="Times New Roman" w:eastAsia="Times New Roman" w:hint="default"/>
                <w:sz w:val="21"/>
                <w:szCs w:val="21"/>
              </w:rPr>
            </w:pPr>
            <w:r>
              <w:rPr>
                <w:rFonts w:ascii="Times New Roman"/>
                <w:spacing w:val="-1"/>
                <w:sz w:val="21"/>
              </w:rPr>
              <w:t>---</w:t>
            </w:r>
          </w:p>
        </w:tc>
        <w:tc>
          <w:tcPr>
            <w:tcW w:w="2642"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5"/>
              <w:jc w:val="right"/>
              <w:rPr>
                <w:rFonts w:ascii="Times New Roman" w:hAnsi="Times New Roman" w:cs="Times New Roman" w:eastAsia="Times New Roman" w:hint="default"/>
                <w:sz w:val="21"/>
                <w:szCs w:val="21"/>
              </w:rPr>
            </w:pPr>
            <w:r>
              <w:rPr>
                <w:rFonts w:ascii="Times New Roman"/>
                <w:spacing w:val="-1"/>
                <w:sz w:val="21"/>
              </w:rPr>
              <w:t>320,000.00</w:t>
            </w:r>
          </w:p>
        </w:tc>
      </w:tr>
      <w:tr>
        <w:trPr>
          <w:trHeight w:val="312" w:hRule="exact"/>
        </w:trPr>
        <w:tc>
          <w:tcPr>
            <w:tcW w:w="3175"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往来款项及其他</w:t>
            </w:r>
          </w:p>
        </w:tc>
        <w:tc>
          <w:tcPr>
            <w:tcW w:w="3014"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z w:val="21"/>
              </w:rPr>
              <w:t>25,373.48</w:t>
            </w:r>
          </w:p>
        </w:tc>
        <w:tc>
          <w:tcPr>
            <w:tcW w:w="2642"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5"/>
              <w:jc w:val="right"/>
              <w:rPr>
                <w:rFonts w:ascii="Times New Roman" w:hAnsi="Times New Roman" w:cs="Times New Roman" w:eastAsia="Times New Roman" w:hint="default"/>
                <w:sz w:val="21"/>
                <w:szCs w:val="21"/>
              </w:rPr>
            </w:pPr>
            <w:r>
              <w:rPr>
                <w:rFonts w:ascii="Times New Roman"/>
                <w:sz w:val="21"/>
              </w:rPr>
              <w:t>15,400.00</w:t>
            </w:r>
          </w:p>
        </w:tc>
      </w:tr>
      <w:tr>
        <w:trPr>
          <w:trHeight w:val="314" w:hRule="exact"/>
        </w:trPr>
        <w:tc>
          <w:tcPr>
            <w:tcW w:w="3175"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14"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4,478,877.25</w:t>
            </w:r>
          </w:p>
        </w:tc>
        <w:tc>
          <w:tcPr>
            <w:tcW w:w="2642"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5"/>
              <w:jc w:val="right"/>
              <w:rPr>
                <w:rFonts w:ascii="Times New Roman" w:hAnsi="Times New Roman" w:cs="Times New Roman" w:eastAsia="Times New Roman" w:hint="default"/>
                <w:sz w:val="21"/>
                <w:szCs w:val="21"/>
              </w:rPr>
            </w:pPr>
            <w:r>
              <w:rPr>
                <w:rFonts w:ascii="Times New Roman"/>
                <w:spacing w:val="-1"/>
                <w:sz w:val="21"/>
              </w:rPr>
              <w:t>1,228,539.08</w:t>
            </w:r>
          </w:p>
        </w:tc>
      </w:tr>
    </w:tbl>
    <w:p>
      <w:pPr>
        <w:spacing w:line="240" w:lineRule="auto" w:before="2"/>
        <w:rPr>
          <w:rFonts w:ascii="宋体" w:hAnsi="宋体" w:cs="宋体" w:eastAsia="宋体" w:hint="default"/>
          <w:b/>
          <w:bCs/>
          <w:sz w:val="20"/>
          <w:szCs w:val="20"/>
        </w:rPr>
      </w:pPr>
    </w:p>
    <w:p>
      <w:pPr>
        <w:pStyle w:val="Heading5"/>
        <w:spacing w:line="240" w:lineRule="auto" w:before="36"/>
        <w:ind w:left="575" w:right="0"/>
        <w:jc w:val="left"/>
        <w:rPr>
          <w:b w:val="0"/>
          <w:bCs w:val="0"/>
        </w:rPr>
      </w:pPr>
      <w:r>
        <w:rPr>
          <w:rFonts w:ascii="Times New Roman" w:hAnsi="Times New Roman" w:cs="Times New Roman" w:eastAsia="Times New Roman" w:hint="default"/>
        </w:rPr>
        <w:t>2</w:t>
      </w:r>
      <w:r>
        <w:rPr/>
        <w:t>、期末无账龄超过一年的重要其他应付款。</w:t>
      </w:r>
      <w:r>
        <w:rPr>
          <w:b w:val="0"/>
          <w:bCs w:val="0"/>
        </w:rPr>
      </w:r>
    </w:p>
    <w:p>
      <w:pPr>
        <w:pStyle w:val="Heading5"/>
        <w:spacing w:line="240" w:lineRule="auto" w:before="21"/>
        <w:ind w:left="575" w:right="0"/>
        <w:jc w:val="left"/>
        <w:rPr>
          <w:b w:val="0"/>
          <w:bCs w:val="0"/>
        </w:rPr>
      </w:pPr>
      <w:r>
        <w:rPr>
          <w:rFonts w:ascii="Times New Roman" w:hAnsi="Times New Roman" w:cs="Times New Roman" w:eastAsia="Times New Roman" w:hint="default"/>
        </w:rPr>
        <w:t>3</w:t>
      </w:r>
      <w:r>
        <w:rPr/>
        <w:t>、期末余额中无应付本公司</w:t>
      </w:r>
      <w:r>
        <w:rPr>
          <w:rFonts w:ascii="Times New Roman" w:hAnsi="Times New Roman" w:cs="Times New Roman" w:eastAsia="Times New Roman" w:hint="default"/>
        </w:rPr>
        <w:t>5%</w:t>
      </w:r>
      <w:r>
        <w:rPr/>
        <w:t>以上（含</w:t>
      </w:r>
      <w:r>
        <w:rPr>
          <w:rFonts w:ascii="Times New Roman" w:hAnsi="Times New Roman" w:cs="Times New Roman" w:eastAsia="Times New Roman" w:hint="default"/>
        </w:rPr>
        <w:t>5%</w:t>
      </w:r>
      <w:r>
        <w:rPr/>
        <w:t>）表决权股份的股东单位及其他关联方的款项。</w:t>
      </w:r>
      <w:r>
        <w:rPr>
          <w:b w:val="0"/>
          <w:bCs w:val="0"/>
        </w:rPr>
      </w:r>
    </w:p>
    <w:p>
      <w:pPr>
        <w:pStyle w:val="Heading5"/>
        <w:spacing w:line="256" w:lineRule="auto" w:before="21"/>
        <w:ind w:right="0" w:firstLine="417"/>
        <w:jc w:val="left"/>
        <w:rPr>
          <w:b w:val="0"/>
          <w:bCs w:val="0"/>
        </w:rPr>
      </w:pPr>
      <w:r>
        <w:rPr>
          <w:rFonts w:ascii="Times New Roman" w:hAnsi="Times New Roman" w:cs="Times New Roman" w:eastAsia="Times New Roman" w:hint="default"/>
        </w:rPr>
        <w:t>4</w:t>
      </w:r>
      <w:r>
        <w:rPr/>
        <w:t>、其他应付款期末余额比期初余额增加</w:t>
      </w:r>
      <w:r>
        <w:rPr>
          <w:rFonts w:ascii="Times New Roman" w:hAnsi="Times New Roman" w:cs="Times New Roman" w:eastAsia="Times New Roman" w:hint="default"/>
        </w:rPr>
        <w:t>3,250,338.17</w:t>
      </w:r>
      <w:r>
        <w:rPr/>
        <w:t>元，增幅为</w:t>
      </w:r>
      <w:r>
        <w:rPr>
          <w:rFonts w:ascii="Times New Roman" w:hAnsi="Times New Roman" w:cs="Times New Roman" w:eastAsia="Times New Roman" w:hint="default"/>
        </w:rPr>
        <w:t>264.57%</w:t>
      </w:r>
      <w:r>
        <w:rPr/>
        <w:t>，增加的主要原因是应付的</w:t>
      </w:r>
      <w:r>
        <w:rPr>
          <w:w w:val="100"/>
        </w:rPr>
        <w:t> </w:t>
      </w:r>
      <w:r>
        <w:rPr/>
        <w:t>投资款增加所致。</w:t>
      </w:r>
      <w:r>
        <w:rPr>
          <w:b w:val="0"/>
          <w:bCs w:val="0"/>
        </w:rPr>
      </w:r>
    </w:p>
    <w:p>
      <w:pPr>
        <w:pStyle w:val="Heading5"/>
        <w:spacing w:line="240" w:lineRule="auto" w:before="22"/>
        <w:ind w:left="580" w:right="0"/>
        <w:jc w:val="left"/>
        <w:rPr>
          <w:b w:val="0"/>
          <w:bCs w:val="0"/>
        </w:rPr>
      </w:pPr>
      <w:r>
        <w:rPr/>
        <w:t>（二十二）递延收益</w:t>
      </w:r>
      <w:r>
        <w:rPr>
          <w:b w:val="0"/>
          <w:bCs w:val="0"/>
        </w:rPr>
      </w:r>
    </w:p>
    <w:p>
      <w:pPr>
        <w:pStyle w:val="Heading5"/>
        <w:spacing w:line="240" w:lineRule="auto" w:before="37"/>
        <w:ind w:left="714" w:right="0"/>
        <w:jc w:val="left"/>
        <w:rPr>
          <w:b w:val="0"/>
          <w:bCs w:val="0"/>
        </w:rPr>
      </w:pPr>
      <w:r>
        <w:rPr>
          <w:rFonts w:ascii="Times New Roman" w:hAnsi="Times New Roman" w:cs="Times New Roman" w:eastAsia="Times New Roman" w:hint="default"/>
        </w:rPr>
        <w:t>1</w:t>
      </w:r>
      <w:r>
        <w:rPr/>
        <w:t>、递延收益情况如下：</w:t>
      </w:r>
      <w:r>
        <w:rPr>
          <w:b w:val="0"/>
          <w:bCs w:val="0"/>
        </w:rPr>
      </w:r>
    </w:p>
    <w:p>
      <w:pPr>
        <w:spacing w:line="240" w:lineRule="auto" w:before="8"/>
        <w:rPr>
          <w:rFonts w:ascii="宋体" w:hAnsi="宋体" w:cs="宋体" w:eastAsia="宋体" w:hint="default"/>
          <w:b/>
          <w:bCs/>
          <w:sz w:val="2"/>
          <w:szCs w:val="2"/>
        </w:rPr>
      </w:pPr>
    </w:p>
    <w:tbl>
      <w:tblPr>
        <w:tblW w:w="0" w:type="auto"/>
        <w:jc w:val="left"/>
        <w:tblInd w:w="145" w:type="dxa"/>
        <w:tblLayout w:type="fixed"/>
        <w:tblCellMar>
          <w:top w:w="0" w:type="dxa"/>
          <w:left w:w="0" w:type="dxa"/>
          <w:bottom w:w="0" w:type="dxa"/>
          <w:right w:w="0" w:type="dxa"/>
        </w:tblCellMar>
        <w:tblLook w:val="01E0"/>
      </w:tblPr>
      <w:tblGrid>
        <w:gridCol w:w="3725"/>
        <w:gridCol w:w="3163"/>
        <w:gridCol w:w="2784"/>
      </w:tblGrid>
      <w:tr>
        <w:trPr>
          <w:trHeight w:val="317" w:hRule="exact"/>
        </w:trPr>
        <w:tc>
          <w:tcPr>
            <w:tcW w:w="3725"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63"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left="943"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784" w:type="dxa"/>
            <w:tcBorders>
              <w:top w:val="single" w:sz="6" w:space="0" w:color="000000"/>
              <w:left w:val="single" w:sz="6" w:space="0" w:color="000000"/>
              <w:bottom w:val="single" w:sz="12" w:space="0" w:color="000000"/>
              <w:right w:val="nil" w:sz="6" w:space="0" w:color="auto"/>
            </w:tcBorders>
          </w:tcPr>
          <w:p>
            <w:pPr>
              <w:pStyle w:val="TableParagraph"/>
              <w:spacing w:line="250" w:lineRule="exact"/>
              <w:ind w:left="755"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bl>
    <w:p>
      <w:pPr>
        <w:spacing w:after="0" w:line="250" w:lineRule="exact"/>
        <w:jc w:val="left"/>
        <w:rPr>
          <w:rFonts w:ascii="宋体" w:hAnsi="宋体" w:cs="宋体" w:eastAsia="宋体" w:hint="default"/>
          <w:sz w:val="21"/>
          <w:szCs w:val="21"/>
        </w:rPr>
        <w:sectPr>
          <w:footerReference w:type="default" r:id="rId76"/>
          <w:pgSz w:w="11910" w:h="16840"/>
          <w:pgMar w:footer="979" w:header="880" w:top="1060" w:bottom="1160" w:left="980" w:right="960"/>
        </w:sectPr>
      </w:pPr>
    </w:p>
    <w:p>
      <w:pPr>
        <w:spacing w:line="240" w:lineRule="auto" w:before="4"/>
        <w:rPr>
          <w:rFonts w:ascii="宋体" w:hAnsi="宋体" w:cs="宋体" w:eastAsia="宋体" w:hint="default"/>
          <w:b/>
          <w:bCs/>
          <w:sz w:val="28"/>
          <w:szCs w:val="28"/>
        </w:rPr>
      </w:pPr>
    </w:p>
    <w:tbl>
      <w:tblPr>
        <w:tblW w:w="0" w:type="auto"/>
        <w:jc w:val="left"/>
        <w:tblInd w:w="145" w:type="dxa"/>
        <w:tblLayout w:type="fixed"/>
        <w:tblCellMar>
          <w:top w:w="0" w:type="dxa"/>
          <w:left w:w="0" w:type="dxa"/>
          <w:bottom w:w="0" w:type="dxa"/>
          <w:right w:w="0" w:type="dxa"/>
        </w:tblCellMar>
        <w:tblLook w:val="01E0"/>
      </w:tblPr>
      <w:tblGrid>
        <w:gridCol w:w="3725"/>
        <w:gridCol w:w="3163"/>
        <w:gridCol w:w="2784"/>
      </w:tblGrid>
      <w:tr>
        <w:trPr>
          <w:trHeight w:val="314" w:hRule="exact"/>
        </w:trPr>
        <w:tc>
          <w:tcPr>
            <w:tcW w:w="3725"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left="4"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316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
              <w:ind w:right="0"/>
              <w:jc w:val="right"/>
              <w:rPr>
                <w:rFonts w:ascii="Times New Roman" w:hAnsi="Times New Roman" w:cs="Times New Roman" w:eastAsia="Times New Roman" w:hint="default"/>
                <w:sz w:val="21"/>
                <w:szCs w:val="21"/>
              </w:rPr>
            </w:pPr>
            <w:r>
              <w:rPr>
                <w:rFonts w:ascii="Times New Roman"/>
                <w:spacing w:val="-1"/>
                <w:sz w:val="21"/>
              </w:rPr>
              <w:t>5,184,433.36</w:t>
            </w:r>
          </w:p>
        </w:tc>
        <w:tc>
          <w:tcPr>
            <w:tcW w:w="278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
              <w:ind w:right="2"/>
              <w:jc w:val="right"/>
              <w:rPr>
                <w:rFonts w:ascii="Times New Roman" w:hAnsi="Times New Roman" w:cs="Times New Roman" w:eastAsia="Times New Roman" w:hint="default"/>
                <w:sz w:val="21"/>
                <w:szCs w:val="21"/>
              </w:rPr>
            </w:pPr>
            <w:r>
              <w:rPr>
                <w:rFonts w:ascii="Times New Roman"/>
                <w:spacing w:val="-1"/>
                <w:sz w:val="21"/>
              </w:rPr>
              <w:t>4,555,051.01</w:t>
            </w:r>
          </w:p>
        </w:tc>
      </w:tr>
      <w:tr>
        <w:trPr>
          <w:trHeight w:val="314" w:hRule="exact"/>
        </w:trPr>
        <w:tc>
          <w:tcPr>
            <w:tcW w:w="3725"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4" w:right="0"/>
              <w:jc w:val="left"/>
              <w:rPr>
                <w:rFonts w:ascii="宋体" w:hAnsi="宋体" w:cs="宋体" w:eastAsia="宋体" w:hint="default"/>
                <w:sz w:val="21"/>
                <w:szCs w:val="21"/>
              </w:rPr>
            </w:pPr>
            <w:r>
              <w:rPr>
                <w:rFonts w:ascii="宋体" w:hAnsi="宋体" w:cs="宋体" w:eastAsia="宋体" w:hint="default"/>
                <w:sz w:val="21"/>
                <w:szCs w:val="21"/>
              </w:rPr>
              <w:t>在线培训递延收益（金太阳口语专家）</w:t>
            </w:r>
          </w:p>
        </w:tc>
        <w:tc>
          <w:tcPr>
            <w:tcW w:w="3163"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0"/>
              <w:jc w:val="right"/>
              <w:rPr>
                <w:rFonts w:ascii="Times New Roman" w:hAnsi="Times New Roman" w:cs="Times New Roman" w:eastAsia="Times New Roman" w:hint="default"/>
                <w:sz w:val="21"/>
                <w:szCs w:val="21"/>
              </w:rPr>
            </w:pPr>
            <w:r>
              <w:rPr>
                <w:rFonts w:ascii="Times New Roman"/>
                <w:spacing w:val="-1"/>
                <w:sz w:val="21"/>
              </w:rPr>
              <w:t>221,368.00</w:t>
            </w:r>
          </w:p>
        </w:tc>
        <w:tc>
          <w:tcPr>
            <w:tcW w:w="2784"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2"/>
              <w:jc w:val="right"/>
              <w:rPr>
                <w:rFonts w:ascii="Times New Roman" w:hAnsi="Times New Roman" w:cs="Times New Roman" w:eastAsia="Times New Roman" w:hint="default"/>
                <w:sz w:val="21"/>
                <w:szCs w:val="21"/>
              </w:rPr>
            </w:pPr>
            <w:r>
              <w:rPr>
                <w:rFonts w:ascii="Times New Roman"/>
                <w:spacing w:val="-1"/>
                <w:sz w:val="21"/>
              </w:rPr>
              <w:t>65,505.00</w:t>
            </w:r>
          </w:p>
        </w:tc>
      </w:tr>
      <w:tr>
        <w:trPr>
          <w:trHeight w:val="314" w:hRule="exact"/>
        </w:trPr>
        <w:tc>
          <w:tcPr>
            <w:tcW w:w="3725"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163"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Times New Roman" w:hAnsi="Times New Roman" w:cs="Times New Roman" w:eastAsia="Times New Roman" w:hint="default"/>
                <w:sz w:val="21"/>
                <w:szCs w:val="21"/>
              </w:rPr>
            </w:pPr>
            <w:r>
              <w:rPr>
                <w:rFonts w:ascii="Times New Roman"/>
                <w:spacing w:val="-1"/>
                <w:sz w:val="21"/>
              </w:rPr>
              <w:t>5,405,801.36</w:t>
            </w:r>
          </w:p>
        </w:tc>
        <w:tc>
          <w:tcPr>
            <w:tcW w:w="2784"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2"/>
              <w:jc w:val="right"/>
              <w:rPr>
                <w:rFonts w:ascii="Times New Roman" w:hAnsi="Times New Roman" w:cs="Times New Roman" w:eastAsia="Times New Roman" w:hint="default"/>
                <w:sz w:val="21"/>
                <w:szCs w:val="21"/>
              </w:rPr>
            </w:pPr>
            <w:r>
              <w:rPr>
                <w:rFonts w:ascii="Times New Roman"/>
                <w:spacing w:val="-1"/>
                <w:sz w:val="21"/>
              </w:rPr>
              <w:t>4,620,556.01</w:t>
            </w:r>
          </w:p>
        </w:tc>
      </w:tr>
    </w:tbl>
    <w:p>
      <w:pPr>
        <w:spacing w:line="240" w:lineRule="auto" w:before="2"/>
        <w:rPr>
          <w:rFonts w:ascii="宋体" w:hAnsi="宋体" w:cs="宋体" w:eastAsia="宋体" w:hint="default"/>
          <w:b/>
          <w:bCs/>
          <w:sz w:val="20"/>
          <w:szCs w:val="20"/>
        </w:rPr>
      </w:pPr>
    </w:p>
    <w:p>
      <w:pPr>
        <w:pStyle w:val="Heading5"/>
        <w:spacing w:line="240" w:lineRule="auto" w:before="36"/>
        <w:ind w:left="678" w:right="0"/>
        <w:jc w:val="left"/>
        <w:rPr>
          <w:b w:val="0"/>
          <w:bCs w:val="0"/>
        </w:rPr>
      </w:pPr>
      <w:r>
        <w:rPr>
          <w:rFonts w:ascii="Times New Roman" w:hAnsi="Times New Roman" w:cs="Times New Roman" w:eastAsia="Times New Roman" w:hint="default"/>
        </w:rPr>
        <w:t>2</w:t>
      </w:r>
      <w:r>
        <w:rPr/>
        <w:t>、本期政府补助变动情况如下：</w:t>
      </w:r>
      <w:r>
        <w:rPr>
          <w:b w:val="0"/>
          <w:bCs w:val="0"/>
        </w:rPr>
      </w:r>
    </w:p>
    <w:p>
      <w:pPr>
        <w:spacing w:line="240" w:lineRule="auto" w:before="8"/>
        <w:rPr>
          <w:rFonts w:ascii="宋体" w:hAnsi="宋体" w:cs="宋体" w:eastAsia="宋体" w:hint="default"/>
          <w:b/>
          <w:bCs/>
          <w:sz w:val="2"/>
          <w:szCs w:val="2"/>
        </w:rPr>
      </w:pPr>
    </w:p>
    <w:tbl>
      <w:tblPr>
        <w:tblW w:w="0" w:type="auto"/>
        <w:jc w:val="left"/>
        <w:tblInd w:w="145" w:type="dxa"/>
        <w:tblLayout w:type="fixed"/>
        <w:tblCellMar>
          <w:top w:w="0" w:type="dxa"/>
          <w:left w:w="0" w:type="dxa"/>
          <w:bottom w:w="0" w:type="dxa"/>
          <w:right w:w="0" w:type="dxa"/>
        </w:tblCellMar>
        <w:tblLook w:val="01E0"/>
      </w:tblPr>
      <w:tblGrid>
        <w:gridCol w:w="3038"/>
        <w:gridCol w:w="1253"/>
        <w:gridCol w:w="1246"/>
        <w:gridCol w:w="1243"/>
        <w:gridCol w:w="586"/>
        <w:gridCol w:w="1246"/>
        <w:gridCol w:w="1063"/>
      </w:tblGrid>
      <w:tr>
        <w:trPr>
          <w:trHeight w:val="859" w:hRule="exact"/>
        </w:trPr>
        <w:tc>
          <w:tcPr>
            <w:tcW w:w="3038"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253"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left="199"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246" w:type="dxa"/>
            <w:tcBorders>
              <w:top w:val="single" w:sz="6" w:space="0" w:color="000000"/>
              <w:left w:val="single" w:sz="6" w:space="0" w:color="000000"/>
              <w:bottom w:val="single" w:sz="12" w:space="0" w:color="000000"/>
              <w:right w:val="single" w:sz="6" w:space="0" w:color="000000"/>
            </w:tcBorders>
          </w:tcPr>
          <w:p>
            <w:pPr>
              <w:pStyle w:val="TableParagraph"/>
              <w:spacing w:line="274" w:lineRule="exact" w:before="1"/>
              <w:ind w:left="196" w:right="189"/>
              <w:jc w:val="left"/>
              <w:rPr>
                <w:rFonts w:ascii="宋体" w:hAnsi="宋体" w:cs="宋体" w:eastAsia="宋体" w:hint="default"/>
                <w:sz w:val="21"/>
                <w:szCs w:val="21"/>
              </w:rPr>
            </w:pPr>
            <w:r>
              <w:rPr>
                <w:rFonts w:ascii="宋体" w:hAnsi="宋体" w:cs="宋体" w:eastAsia="宋体" w:hint="default"/>
                <w:sz w:val="21"/>
                <w:szCs w:val="21"/>
              </w:rPr>
              <w:t>本期新增</w:t>
            </w:r>
            <w:r>
              <w:rPr>
                <w:rFonts w:ascii="宋体" w:hAnsi="宋体" w:cs="宋体" w:eastAsia="宋体" w:hint="default"/>
                <w:w w:val="100"/>
                <w:sz w:val="21"/>
                <w:szCs w:val="21"/>
              </w:rPr>
              <w:t> </w:t>
            </w:r>
            <w:r>
              <w:rPr>
                <w:rFonts w:ascii="宋体" w:hAnsi="宋体" w:cs="宋体" w:eastAsia="宋体" w:hint="default"/>
                <w:sz w:val="21"/>
                <w:szCs w:val="21"/>
              </w:rPr>
              <w:t>补助金额</w:t>
            </w:r>
          </w:p>
        </w:tc>
        <w:tc>
          <w:tcPr>
            <w:tcW w:w="1243" w:type="dxa"/>
            <w:tcBorders>
              <w:top w:val="single" w:sz="6" w:space="0" w:color="000000"/>
              <w:left w:val="single" w:sz="6" w:space="0" w:color="000000"/>
              <w:bottom w:val="single" w:sz="12" w:space="0" w:color="000000"/>
              <w:right w:val="single" w:sz="6" w:space="0" w:color="000000"/>
            </w:tcBorders>
          </w:tcPr>
          <w:p>
            <w:pPr>
              <w:pStyle w:val="TableParagraph"/>
              <w:spacing w:line="274" w:lineRule="exact" w:before="1"/>
              <w:ind w:left="91" w:right="81"/>
              <w:jc w:val="center"/>
              <w:rPr>
                <w:rFonts w:ascii="宋体" w:hAnsi="宋体" w:cs="宋体" w:eastAsia="宋体" w:hint="default"/>
                <w:sz w:val="21"/>
                <w:szCs w:val="21"/>
              </w:rPr>
            </w:pPr>
            <w:r>
              <w:rPr>
                <w:rFonts w:ascii="宋体" w:hAnsi="宋体" w:cs="宋体" w:eastAsia="宋体" w:hint="default"/>
                <w:sz w:val="21"/>
                <w:szCs w:val="21"/>
              </w:rPr>
              <w:t>本期计入营</w:t>
            </w:r>
            <w:r>
              <w:rPr>
                <w:rFonts w:ascii="宋体" w:hAnsi="宋体" w:cs="宋体" w:eastAsia="宋体" w:hint="default"/>
                <w:w w:val="100"/>
                <w:sz w:val="21"/>
                <w:szCs w:val="21"/>
              </w:rPr>
              <w:t> </w:t>
            </w:r>
            <w:r>
              <w:rPr>
                <w:rFonts w:ascii="宋体" w:hAnsi="宋体" w:cs="宋体" w:eastAsia="宋体" w:hint="default"/>
                <w:sz w:val="21"/>
                <w:szCs w:val="21"/>
              </w:rPr>
              <w:t>业外收入金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586" w:type="dxa"/>
            <w:tcBorders>
              <w:top w:val="single" w:sz="6" w:space="0" w:color="000000"/>
              <w:left w:val="single" w:sz="6" w:space="0" w:color="000000"/>
              <w:bottom w:val="single" w:sz="12" w:space="0" w:color="000000"/>
              <w:right w:val="single" w:sz="6" w:space="0" w:color="000000"/>
            </w:tcBorders>
          </w:tcPr>
          <w:p>
            <w:pPr>
              <w:pStyle w:val="TableParagraph"/>
              <w:spacing w:line="274" w:lineRule="exact" w:before="1"/>
              <w:ind w:left="76" w:right="71"/>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变动</w:t>
            </w:r>
          </w:p>
        </w:tc>
        <w:tc>
          <w:tcPr>
            <w:tcW w:w="1246" w:type="dxa"/>
            <w:tcBorders>
              <w:top w:val="single" w:sz="6" w:space="0" w:color="000000"/>
              <w:left w:val="single" w:sz="6" w:space="0" w:color="000000"/>
              <w:bottom w:val="single" w:sz="12" w:space="0" w:color="000000"/>
              <w:right w:val="single" w:sz="6" w:space="0" w:color="000000"/>
            </w:tcBorders>
          </w:tcPr>
          <w:p>
            <w:pPr>
              <w:pStyle w:val="TableParagraph"/>
              <w:spacing w:line="274" w:lineRule="exact" w:before="1"/>
              <w:ind w:left="405" w:right="401"/>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1063" w:type="dxa"/>
            <w:tcBorders>
              <w:top w:val="single" w:sz="6" w:space="0" w:color="000000"/>
              <w:left w:val="single" w:sz="6" w:space="0" w:color="000000"/>
              <w:bottom w:val="single" w:sz="12" w:space="0" w:color="000000"/>
              <w:right w:val="nil" w:sz="6" w:space="0" w:color="auto"/>
            </w:tcBorders>
          </w:tcPr>
          <w:p>
            <w:pPr>
              <w:pStyle w:val="TableParagraph"/>
              <w:spacing w:line="274" w:lineRule="exact" w:before="1"/>
              <w:ind w:left="76" w:right="79" w:firstLine="2"/>
              <w:jc w:val="center"/>
              <w:rPr>
                <w:rFonts w:ascii="宋体" w:hAnsi="宋体" w:cs="宋体" w:eastAsia="宋体" w:hint="default"/>
                <w:sz w:val="21"/>
                <w:szCs w:val="21"/>
              </w:rPr>
            </w:pPr>
            <w:r>
              <w:rPr>
                <w:rFonts w:ascii="宋体" w:hAnsi="宋体" w:cs="宋体" w:eastAsia="宋体" w:hint="default"/>
                <w:sz w:val="21"/>
                <w:szCs w:val="21"/>
              </w:rPr>
              <w:t>与资产相</w:t>
            </w:r>
            <w:r>
              <w:rPr>
                <w:rFonts w:ascii="宋体" w:hAnsi="宋体" w:cs="宋体" w:eastAsia="宋体" w:hint="default"/>
                <w:w w:val="100"/>
                <w:sz w:val="21"/>
                <w:szCs w:val="21"/>
              </w:rPr>
              <w:t> </w:t>
            </w:r>
            <w:r>
              <w:rPr>
                <w:rFonts w:ascii="宋体" w:hAnsi="宋体" w:cs="宋体" w:eastAsia="宋体" w:hint="default"/>
                <w:spacing w:val="-2"/>
                <w:sz w:val="21"/>
                <w:szCs w:val="21"/>
              </w:rPr>
              <w:t>关</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与收益</w:t>
            </w:r>
            <w:r>
              <w:rPr>
                <w:rFonts w:ascii="宋体" w:hAnsi="宋体" w:cs="宋体" w:eastAsia="宋体" w:hint="default"/>
                <w:spacing w:val="-3"/>
                <w:w w:val="100"/>
                <w:sz w:val="21"/>
                <w:szCs w:val="21"/>
              </w:rPr>
              <w:t> </w:t>
            </w:r>
            <w:r>
              <w:rPr>
                <w:rFonts w:ascii="宋体" w:hAnsi="宋体" w:cs="宋体" w:eastAsia="宋体" w:hint="default"/>
                <w:sz w:val="21"/>
                <w:szCs w:val="21"/>
              </w:rPr>
              <w:t>相关</w:t>
            </w:r>
          </w:p>
        </w:tc>
      </w:tr>
      <w:tr>
        <w:trPr>
          <w:trHeight w:val="588" w:hRule="exact"/>
        </w:trPr>
        <w:tc>
          <w:tcPr>
            <w:tcW w:w="3038" w:type="dxa"/>
            <w:tcBorders>
              <w:top w:val="single" w:sz="12" w:space="0" w:color="000000"/>
              <w:left w:val="single" w:sz="6" w:space="0" w:color="000000"/>
              <w:bottom w:val="single" w:sz="12" w:space="0" w:color="000000"/>
              <w:right w:val="single" w:sz="6" w:space="0" w:color="000000"/>
            </w:tcBorders>
          </w:tcPr>
          <w:p>
            <w:pPr>
              <w:pStyle w:val="TableParagraph"/>
              <w:spacing w:line="250" w:lineRule="exact"/>
              <w:ind w:left="4" w:right="-3"/>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）基于互联网的中小学英语在</w:t>
            </w:r>
          </w:p>
          <w:p>
            <w:pPr>
              <w:pStyle w:val="TableParagraph"/>
              <w:spacing w:line="266" w:lineRule="exact"/>
              <w:ind w:left="4" w:right="0"/>
              <w:jc w:val="left"/>
              <w:rPr>
                <w:rFonts w:ascii="宋体" w:hAnsi="宋体" w:cs="宋体" w:eastAsia="宋体" w:hint="default"/>
                <w:sz w:val="21"/>
                <w:szCs w:val="21"/>
              </w:rPr>
            </w:pPr>
            <w:r>
              <w:rPr>
                <w:rFonts w:ascii="宋体" w:hAnsi="宋体" w:cs="宋体" w:eastAsia="宋体" w:hint="default"/>
                <w:sz w:val="21"/>
                <w:szCs w:val="21"/>
              </w:rPr>
              <w:t>线智能记忆平台</w:t>
            </w:r>
          </w:p>
        </w:tc>
        <w:tc>
          <w:tcPr>
            <w:tcW w:w="1253"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0"/>
              <w:jc w:val="right"/>
              <w:rPr>
                <w:rFonts w:ascii="Times New Roman" w:hAnsi="Times New Roman" w:cs="Times New Roman" w:eastAsia="Times New Roman" w:hint="default"/>
                <w:sz w:val="21"/>
                <w:szCs w:val="21"/>
              </w:rPr>
            </w:pPr>
            <w:r>
              <w:rPr>
                <w:rFonts w:ascii="Times New Roman"/>
                <w:spacing w:val="-1"/>
                <w:sz w:val="21"/>
              </w:rPr>
              <w:t>71,245.26</w:t>
            </w:r>
          </w:p>
        </w:tc>
        <w:tc>
          <w:tcPr>
            <w:tcW w:w="1246"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243"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19,996.56</w:t>
            </w:r>
          </w:p>
        </w:tc>
        <w:tc>
          <w:tcPr>
            <w:tcW w:w="586"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246"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0"/>
              <w:jc w:val="right"/>
              <w:rPr>
                <w:rFonts w:ascii="Times New Roman" w:hAnsi="Times New Roman" w:cs="Times New Roman" w:eastAsia="Times New Roman" w:hint="default"/>
                <w:sz w:val="21"/>
                <w:szCs w:val="21"/>
              </w:rPr>
            </w:pPr>
            <w:r>
              <w:rPr>
                <w:rFonts w:ascii="Times New Roman"/>
                <w:spacing w:val="-1"/>
                <w:sz w:val="21"/>
              </w:rPr>
              <w:t>51,248.70</w:t>
            </w:r>
          </w:p>
        </w:tc>
        <w:tc>
          <w:tcPr>
            <w:tcW w:w="1063" w:type="dxa"/>
            <w:tcBorders>
              <w:top w:val="single" w:sz="12" w:space="0" w:color="000000"/>
              <w:left w:val="single" w:sz="6" w:space="0" w:color="000000"/>
              <w:bottom w:val="single" w:sz="12" w:space="0" w:color="000000"/>
              <w:right w:val="nil" w:sz="6" w:space="0" w:color="auto"/>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与资产相</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关</w:t>
            </w:r>
          </w:p>
        </w:tc>
      </w:tr>
      <w:tr>
        <w:trPr>
          <w:trHeight w:val="586" w:hRule="exact"/>
        </w:trPr>
        <w:tc>
          <w:tcPr>
            <w:tcW w:w="3038" w:type="dxa"/>
            <w:vMerge w:val="restart"/>
            <w:tcBorders>
              <w:top w:val="single" w:sz="12" w:space="0" w:color="000000"/>
              <w:left w:val="single" w:sz="6" w:space="0" w:color="000000"/>
              <w:right w:val="single" w:sz="6" w:space="0" w:color="000000"/>
            </w:tcBorders>
          </w:tcPr>
          <w:p>
            <w:pPr>
              <w:pStyle w:val="TableParagraph"/>
              <w:spacing w:line="248" w:lineRule="exact"/>
              <w:ind w:left="4" w:right="-3"/>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2</w:t>
            </w:r>
            <w:r>
              <w:rPr>
                <w:rFonts w:ascii="宋体" w:hAnsi="宋体" w:cs="宋体" w:eastAsia="宋体" w:hint="default"/>
                <w:spacing w:val="-3"/>
                <w:sz w:val="21"/>
                <w:szCs w:val="21"/>
              </w:rPr>
              <w:t>）基于云计算的教育质量监测</w:t>
            </w:r>
          </w:p>
          <w:p>
            <w:pPr>
              <w:pStyle w:val="TableParagraph"/>
              <w:spacing w:line="266" w:lineRule="exact"/>
              <w:ind w:left="4" w:right="0"/>
              <w:jc w:val="left"/>
              <w:rPr>
                <w:rFonts w:ascii="宋体" w:hAnsi="宋体" w:cs="宋体" w:eastAsia="宋体" w:hint="default"/>
                <w:sz w:val="21"/>
                <w:szCs w:val="21"/>
              </w:rPr>
            </w:pPr>
            <w:r>
              <w:rPr>
                <w:rFonts w:ascii="宋体" w:hAnsi="宋体" w:cs="宋体" w:eastAsia="宋体" w:hint="default"/>
                <w:sz w:val="21"/>
                <w:szCs w:val="21"/>
              </w:rPr>
              <w:t>与评价系统</w:t>
            </w:r>
          </w:p>
        </w:tc>
        <w:tc>
          <w:tcPr>
            <w:tcW w:w="1253"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334,335.58</w:t>
            </w:r>
          </w:p>
        </w:tc>
        <w:tc>
          <w:tcPr>
            <w:tcW w:w="1246"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243"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3"/>
              <w:jc w:val="right"/>
              <w:rPr>
                <w:rFonts w:ascii="Times New Roman" w:hAnsi="Times New Roman" w:cs="Times New Roman" w:eastAsia="Times New Roman" w:hint="default"/>
                <w:sz w:val="21"/>
                <w:szCs w:val="21"/>
              </w:rPr>
            </w:pPr>
            <w:r>
              <w:rPr>
                <w:rFonts w:ascii="Times New Roman"/>
                <w:spacing w:val="-1"/>
                <w:sz w:val="21"/>
              </w:rPr>
              <w:t>62,299.16</w:t>
            </w:r>
          </w:p>
        </w:tc>
        <w:tc>
          <w:tcPr>
            <w:tcW w:w="586"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246"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272,036.42</w:t>
            </w:r>
          </w:p>
        </w:tc>
        <w:tc>
          <w:tcPr>
            <w:tcW w:w="1063" w:type="dxa"/>
            <w:tcBorders>
              <w:top w:val="single" w:sz="12" w:space="0" w:color="000000"/>
              <w:left w:val="single" w:sz="6" w:space="0" w:color="000000"/>
              <w:bottom w:val="single" w:sz="12" w:space="0" w:color="000000"/>
              <w:right w:val="nil" w:sz="6" w:space="0" w:color="auto"/>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与资产相</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关</w:t>
            </w:r>
          </w:p>
        </w:tc>
      </w:tr>
      <w:tr>
        <w:trPr>
          <w:trHeight w:val="586" w:hRule="exact"/>
        </w:trPr>
        <w:tc>
          <w:tcPr>
            <w:tcW w:w="3038" w:type="dxa"/>
            <w:vMerge/>
            <w:tcBorders>
              <w:left w:val="single" w:sz="6" w:space="0" w:color="000000"/>
              <w:bottom w:val="single" w:sz="12" w:space="0" w:color="000000"/>
              <w:right w:val="single" w:sz="6" w:space="0" w:color="000000"/>
            </w:tcBorders>
          </w:tcPr>
          <w:p>
            <w:pPr/>
          </w:p>
        </w:tc>
        <w:tc>
          <w:tcPr>
            <w:tcW w:w="1253"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20,000.00</w:t>
            </w:r>
          </w:p>
        </w:tc>
        <w:tc>
          <w:tcPr>
            <w:tcW w:w="1246"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243"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3"/>
              <w:jc w:val="right"/>
              <w:rPr>
                <w:rFonts w:ascii="Times New Roman" w:hAnsi="Times New Roman" w:cs="Times New Roman" w:eastAsia="Times New Roman" w:hint="default"/>
                <w:sz w:val="21"/>
                <w:szCs w:val="21"/>
              </w:rPr>
            </w:pPr>
            <w:r>
              <w:rPr>
                <w:rFonts w:ascii="Times New Roman"/>
                <w:spacing w:val="-1"/>
                <w:sz w:val="21"/>
              </w:rPr>
              <w:t>20,000.00</w:t>
            </w:r>
          </w:p>
        </w:tc>
        <w:tc>
          <w:tcPr>
            <w:tcW w:w="586"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246"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063" w:type="dxa"/>
            <w:tcBorders>
              <w:top w:val="single" w:sz="12" w:space="0" w:color="000000"/>
              <w:left w:val="single" w:sz="6" w:space="0" w:color="000000"/>
              <w:bottom w:val="single" w:sz="12" w:space="0" w:color="000000"/>
              <w:right w:val="nil" w:sz="6" w:space="0" w:color="auto"/>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与收益相</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关</w:t>
            </w:r>
          </w:p>
        </w:tc>
      </w:tr>
      <w:tr>
        <w:trPr>
          <w:trHeight w:val="586" w:hRule="exact"/>
        </w:trPr>
        <w:tc>
          <w:tcPr>
            <w:tcW w:w="3038" w:type="dxa"/>
            <w:vMerge w:val="restart"/>
            <w:tcBorders>
              <w:top w:val="single" w:sz="12" w:space="0" w:color="000000"/>
              <w:left w:val="single" w:sz="6" w:space="0" w:color="000000"/>
              <w:right w:val="single" w:sz="6" w:space="0" w:color="000000"/>
            </w:tcBorders>
          </w:tcPr>
          <w:p>
            <w:pPr>
              <w:pStyle w:val="TableParagraph"/>
              <w:spacing w:line="257" w:lineRule="exact"/>
              <w:ind w:left="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）外语互动学习平台创新</w:t>
            </w:r>
          </w:p>
        </w:tc>
        <w:tc>
          <w:tcPr>
            <w:tcW w:w="1253"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250,000.00</w:t>
            </w:r>
          </w:p>
        </w:tc>
        <w:tc>
          <w:tcPr>
            <w:tcW w:w="1246"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243"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3"/>
              <w:jc w:val="right"/>
              <w:rPr>
                <w:rFonts w:ascii="Times New Roman" w:hAnsi="Times New Roman" w:cs="Times New Roman" w:eastAsia="Times New Roman" w:hint="default"/>
                <w:sz w:val="21"/>
                <w:szCs w:val="21"/>
              </w:rPr>
            </w:pPr>
            <w:r>
              <w:rPr>
                <w:rFonts w:ascii="Times New Roman"/>
                <w:spacing w:val="-1"/>
                <w:sz w:val="21"/>
              </w:rPr>
              <w:t>2,138.72</w:t>
            </w:r>
          </w:p>
        </w:tc>
        <w:tc>
          <w:tcPr>
            <w:tcW w:w="586"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246"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247,861.28</w:t>
            </w:r>
          </w:p>
        </w:tc>
        <w:tc>
          <w:tcPr>
            <w:tcW w:w="1063" w:type="dxa"/>
            <w:tcBorders>
              <w:top w:val="single" w:sz="12" w:space="0" w:color="000000"/>
              <w:left w:val="single" w:sz="6" w:space="0" w:color="000000"/>
              <w:bottom w:val="single" w:sz="12" w:space="0" w:color="000000"/>
              <w:right w:val="nil" w:sz="6" w:space="0" w:color="auto"/>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与资产相</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关</w:t>
            </w:r>
          </w:p>
        </w:tc>
      </w:tr>
      <w:tr>
        <w:trPr>
          <w:trHeight w:val="586" w:hRule="exact"/>
        </w:trPr>
        <w:tc>
          <w:tcPr>
            <w:tcW w:w="3038" w:type="dxa"/>
            <w:vMerge/>
            <w:tcBorders>
              <w:left w:val="single" w:sz="6" w:space="0" w:color="000000"/>
              <w:bottom w:val="single" w:sz="12" w:space="0" w:color="000000"/>
              <w:right w:val="single" w:sz="6" w:space="0" w:color="000000"/>
            </w:tcBorders>
          </w:tcPr>
          <w:p>
            <w:pPr/>
          </w:p>
        </w:tc>
        <w:tc>
          <w:tcPr>
            <w:tcW w:w="1253"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245,900.00</w:t>
            </w:r>
          </w:p>
        </w:tc>
        <w:tc>
          <w:tcPr>
            <w:tcW w:w="1246"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243"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3"/>
              <w:jc w:val="right"/>
              <w:rPr>
                <w:rFonts w:ascii="Times New Roman" w:hAnsi="Times New Roman" w:cs="Times New Roman" w:eastAsia="Times New Roman" w:hint="default"/>
                <w:sz w:val="21"/>
                <w:szCs w:val="21"/>
              </w:rPr>
            </w:pPr>
            <w:r>
              <w:rPr>
                <w:rFonts w:ascii="Times New Roman"/>
                <w:spacing w:val="-1"/>
                <w:sz w:val="21"/>
              </w:rPr>
              <w:t>245,900.00</w:t>
            </w:r>
          </w:p>
        </w:tc>
        <w:tc>
          <w:tcPr>
            <w:tcW w:w="586"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246"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063" w:type="dxa"/>
            <w:tcBorders>
              <w:top w:val="single" w:sz="12" w:space="0" w:color="000000"/>
              <w:left w:val="single" w:sz="6" w:space="0" w:color="000000"/>
              <w:bottom w:val="single" w:sz="12" w:space="0" w:color="000000"/>
              <w:right w:val="nil" w:sz="6" w:space="0" w:color="auto"/>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与收益相</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关</w:t>
            </w:r>
          </w:p>
        </w:tc>
      </w:tr>
      <w:tr>
        <w:trPr>
          <w:trHeight w:val="586" w:hRule="exact"/>
        </w:trPr>
        <w:tc>
          <w:tcPr>
            <w:tcW w:w="3038" w:type="dxa"/>
            <w:vMerge w:val="restart"/>
            <w:tcBorders>
              <w:top w:val="single" w:sz="12" w:space="0" w:color="000000"/>
              <w:left w:val="single" w:sz="6" w:space="0" w:color="000000"/>
              <w:right w:val="single" w:sz="6" w:space="0" w:color="000000"/>
            </w:tcBorders>
          </w:tcPr>
          <w:p>
            <w:pPr>
              <w:pStyle w:val="TableParagraph"/>
              <w:spacing w:line="259" w:lineRule="exact"/>
              <w:ind w:left="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）中小学教育游戏平台</w:t>
            </w:r>
          </w:p>
        </w:tc>
        <w:tc>
          <w:tcPr>
            <w:tcW w:w="1253"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245,910.00</w:t>
            </w:r>
          </w:p>
        </w:tc>
        <w:tc>
          <w:tcPr>
            <w:tcW w:w="1246"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243"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3"/>
              <w:jc w:val="right"/>
              <w:rPr>
                <w:rFonts w:ascii="Times New Roman" w:hAnsi="Times New Roman" w:cs="Times New Roman" w:eastAsia="Times New Roman" w:hint="default"/>
                <w:sz w:val="21"/>
                <w:szCs w:val="21"/>
              </w:rPr>
            </w:pPr>
            <w:r>
              <w:rPr>
                <w:rFonts w:ascii="Times New Roman"/>
                <w:spacing w:val="-1"/>
                <w:sz w:val="21"/>
              </w:rPr>
              <w:t>5,866.19</w:t>
            </w:r>
          </w:p>
        </w:tc>
        <w:tc>
          <w:tcPr>
            <w:tcW w:w="586"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246"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240,043.81</w:t>
            </w:r>
          </w:p>
        </w:tc>
        <w:tc>
          <w:tcPr>
            <w:tcW w:w="1063" w:type="dxa"/>
            <w:tcBorders>
              <w:top w:val="single" w:sz="12" w:space="0" w:color="000000"/>
              <w:left w:val="single" w:sz="6" w:space="0" w:color="000000"/>
              <w:bottom w:val="single" w:sz="12" w:space="0" w:color="000000"/>
              <w:right w:val="nil" w:sz="6" w:space="0" w:color="auto"/>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与资产相</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关</w:t>
            </w:r>
          </w:p>
        </w:tc>
      </w:tr>
      <w:tr>
        <w:trPr>
          <w:trHeight w:val="588" w:hRule="exact"/>
        </w:trPr>
        <w:tc>
          <w:tcPr>
            <w:tcW w:w="3038" w:type="dxa"/>
            <w:vMerge/>
            <w:tcBorders>
              <w:left w:val="single" w:sz="6" w:space="0" w:color="000000"/>
              <w:bottom w:val="single" w:sz="12" w:space="0" w:color="000000"/>
              <w:right w:val="single" w:sz="6" w:space="0" w:color="000000"/>
            </w:tcBorders>
          </w:tcPr>
          <w:p>
            <w:pPr/>
          </w:p>
        </w:tc>
        <w:tc>
          <w:tcPr>
            <w:tcW w:w="1253"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487,660.17</w:t>
            </w:r>
          </w:p>
        </w:tc>
        <w:tc>
          <w:tcPr>
            <w:tcW w:w="1246"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243"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3"/>
              <w:jc w:val="right"/>
              <w:rPr>
                <w:rFonts w:ascii="Times New Roman" w:hAnsi="Times New Roman" w:cs="Times New Roman" w:eastAsia="Times New Roman" w:hint="default"/>
                <w:sz w:val="21"/>
                <w:szCs w:val="21"/>
              </w:rPr>
            </w:pPr>
            <w:r>
              <w:rPr>
                <w:rFonts w:ascii="Times New Roman"/>
                <w:spacing w:val="-1"/>
                <w:sz w:val="21"/>
              </w:rPr>
              <w:t>414,417.02</w:t>
            </w:r>
          </w:p>
        </w:tc>
        <w:tc>
          <w:tcPr>
            <w:tcW w:w="586"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246"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73,243.15</w:t>
            </w:r>
          </w:p>
        </w:tc>
        <w:tc>
          <w:tcPr>
            <w:tcW w:w="1063" w:type="dxa"/>
            <w:tcBorders>
              <w:top w:val="single" w:sz="12" w:space="0" w:color="000000"/>
              <w:left w:val="single" w:sz="6" w:space="0" w:color="000000"/>
              <w:bottom w:val="single" w:sz="12" w:space="0" w:color="000000"/>
              <w:right w:val="nil" w:sz="6" w:space="0" w:color="auto"/>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与收益相</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关</w:t>
            </w:r>
          </w:p>
        </w:tc>
      </w:tr>
      <w:tr>
        <w:trPr>
          <w:trHeight w:val="586" w:hRule="exact"/>
        </w:trPr>
        <w:tc>
          <w:tcPr>
            <w:tcW w:w="3038" w:type="dxa"/>
            <w:vMerge w:val="restart"/>
            <w:tcBorders>
              <w:top w:val="single" w:sz="12" w:space="0" w:color="000000"/>
              <w:left w:val="single" w:sz="6" w:space="0" w:color="000000"/>
              <w:right w:val="single" w:sz="6" w:space="0" w:color="000000"/>
            </w:tcBorders>
          </w:tcPr>
          <w:p>
            <w:pPr>
              <w:pStyle w:val="TableParagraph"/>
              <w:spacing w:line="248" w:lineRule="exact"/>
              <w:ind w:left="4" w:right="-3"/>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5</w:t>
            </w:r>
            <w:r>
              <w:rPr>
                <w:rFonts w:ascii="宋体" w:hAnsi="宋体" w:cs="宋体" w:eastAsia="宋体" w:hint="default"/>
                <w:spacing w:val="-3"/>
                <w:sz w:val="21"/>
                <w:szCs w:val="21"/>
              </w:rPr>
              <w:t>）基于移动平台的小学英语同</w:t>
            </w:r>
          </w:p>
          <w:p>
            <w:pPr>
              <w:pStyle w:val="TableParagraph"/>
              <w:spacing w:line="266" w:lineRule="exact"/>
              <w:ind w:left="4" w:right="0"/>
              <w:jc w:val="left"/>
              <w:rPr>
                <w:rFonts w:ascii="宋体" w:hAnsi="宋体" w:cs="宋体" w:eastAsia="宋体" w:hint="default"/>
                <w:sz w:val="21"/>
                <w:szCs w:val="21"/>
              </w:rPr>
            </w:pPr>
            <w:r>
              <w:rPr>
                <w:rFonts w:ascii="宋体" w:hAnsi="宋体" w:cs="宋体" w:eastAsia="宋体" w:hint="default"/>
                <w:sz w:val="21"/>
                <w:szCs w:val="21"/>
              </w:rPr>
              <w:t>步课程资源系统</w:t>
            </w:r>
          </w:p>
        </w:tc>
        <w:tc>
          <w:tcPr>
            <w:tcW w:w="1253"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246"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Times New Roman" w:hAnsi="Times New Roman" w:cs="Times New Roman" w:eastAsia="Times New Roman" w:hint="default"/>
                <w:sz w:val="21"/>
                <w:szCs w:val="21"/>
              </w:rPr>
            </w:pPr>
            <w:r>
              <w:rPr>
                <w:rFonts w:ascii="Times New Roman"/>
                <w:spacing w:val="-1"/>
                <w:sz w:val="21"/>
              </w:rPr>
              <w:t>500,000.00</w:t>
            </w:r>
          </w:p>
        </w:tc>
        <w:tc>
          <w:tcPr>
            <w:tcW w:w="1243"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586"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246"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Times New Roman" w:hAnsi="Times New Roman" w:cs="Times New Roman" w:eastAsia="Times New Roman" w:hint="default"/>
                <w:sz w:val="21"/>
                <w:szCs w:val="21"/>
              </w:rPr>
            </w:pPr>
            <w:r>
              <w:rPr>
                <w:rFonts w:ascii="Times New Roman"/>
                <w:spacing w:val="-1"/>
                <w:sz w:val="21"/>
              </w:rPr>
              <w:t>500,000.00</w:t>
            </w:r>
          </w:p>
        </w:tc>
        <w:tc>
          <w:tcPr>
            <w:tcW w:w="1063" w:type="dxa"/>
            <w:tcBorders>
              <w:top w:val="single" w:sz="12" w:space="0" w:color="000000"/>
              <w:left w:val="single" w:sz="6" w:space="0" w:color="000000"/>
              <w:bottom w:val="single" w:sz="12" w:space="0" w:color="000000"/>
              <w:right w:val="nil" w:sz="6" w:space="0" w:color="auto"/>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与资产相</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关</w:t>
            </w:r>
          </w:p>
        </w:tc>
      </w:tr>
      <w:tr>
        <w:trPr>
          <w:trHeight w:val="586" w:hRule="exact"/>
        </w:trPr>
        <w:tc>
          <w:tcPr>
            <w:tcW w:w="3038" w:type="dxa"/>
            <w:vMerge/>
            <w:tcBorders>
              <w:left w:val="single" w:sz="6" w:space="0" w:color="000000"/>
              <w:bottom w:val="single" w:sz="12" w:space="0" w:color="000000"/>
              <w:right w:val="single" w:sz="6" w:space="0" w:color="000000"/>
            </w:tcBorders>
          </w:tcPr>
          <w:p>
            <w:pPr/>
          </w:p>
        </w:tc>
        <w:tc>
          <w:tcPr>
            <w:tcW w:w="1253"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246"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Times New Roman" w:hAnsi="Times New Roman" w:cs="Times New Roman" w:eastAsia="Times New Roman" w:hint="default"/>
                <w:sz w:val="21"/>
                <w:szCs w:val="21"/>
              </w:rPr>
            </w:pPr>
            <w:r>
              <w:rPr>
                <w:rFonts w:ascii="Times New Roman"/>
                <w:spacing w:val="-1"/>
                <w:sz w:val="21"/>
              </w:rPr>
              <w:t>500,000.00</w:t>
            </w:r>
          </w:p>
        </w:tc>
        <w:tc>
          <w:tcPr>
            <w:tcW w:w="1243"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586"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246"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Times New Roman" w:hAnsi="Times New Roman" w:cs="Times New Roman" w:eastAsia="Times New Roman" w:hint="default"/>
                <w:sz w:val="21"/>
                <w:szCs w:val="21"/>
              </w:rPr>
            </w:pPr>
            <w:r>
              <w:rPr>
                <w:rFonts w:ascii="Times New Roman"/>
                <w:spacing w:val="-1"/>
                <w:sz w:val="21"/>
              </w:rPr>
              <w:t>500,000.00</w:t>
            </w:r>
          </w:p>
        </w:tc>
        <w:tc>
          <w:tcPr>
            <w:tcW w:w="1063" w:type="dxa"/>
            <w:tcBorders>
              <w:top w:val="single" w:sz="12" w:space="0" w:color="000000"/>
              <w:left w:val="single" w:sz="6" w:space="0" w:color="000000"/>
              <w:bottom w:val="single" w:sz="12" w:space="0" w:color="000000"/>
              <w:right w:val="nil" w:sz="6" w:space="0" w:color="auto"/>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与收益相</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关</w:t>
            </w:r>
          </w:p>
        </w:tc>
      </w:tr>
      <w:tr>
        <w:trPr>
          <w:trHeight w:val="586" w:hRule="exact"/>
        </w:trPr>
        <w:tc>
          <w:tcPr>
            <w:tcW w:w="3038" w:type="dxa"/>
            <w:tcBorders>
              <w:top w:val="single" w:sz="12" w:space="0" w:color="000000"/>
              <w:left w:val="single" w:sz="6" w:space="0" w:color="000000"/>
              <w:bottom w:val="single" w:sz="12" w:space="0" w:color="000000"/>
              <w:right w:val="single" w:sz="6" w:space="0" w:color="000000"/>
            </w:tcBorders>
          </w:tcPr>
          <w:p>
            <w:pPr>
              <w:pStyle w:val="TableParagraph"/>
              <w:spacing w:line="257" w:lineRule="exact"/>
              <w:ind w:left="3" w:right="0"/>
              <w:jc w:val="center"/>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6</w:t>
            </w:r>
            <w:r>
              <w:rPr>
                <w:rFonts w:ascii="宋体" w:hAnsi="宋体" w:cs="宋体" w:eastAsia="宋体" w:hint="default"/>
                <w:spacing w:val="-4"/>
                <w:sz w:val="21"/>
                <w:szCs w:val="21"/>
              </w:rPr>
              <w:t>）青少年书法多媒体学习软件</w:t>
            </w:r>
            <w:r>
              <w:rPr>
                <w:rFonts w:ascii="宋体" w:hAnsi="宋体" w:cs="宋体" w:eastAsia="宋体" w:hint="default"/>
                <w:sz w:val="21"/>
                <w:szCs w:val="21"/>
              </w:rPr>
            </w:r>
          </w:p>
        </w:tc>
        <w:tc>
          <w:tcPr>
            <w:tcW w:w="1253"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246"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Times New Roman" w:hAnsi="Times New Roman" w:cs="Times New Roman" w:eastAsia="Times New Roman" w:hint="default"/>
                <w:sz w:val="21"/>
                <w:szCs w:val="21"/>
              </w:rPr>
            </w:pPr>
            <w:r>
              <w:rPr>
                <w:rFonts w:ascii="Times New Roman"/>
                <w:spacing w:val="-1"/>
                <w:sz w:val="21"/>
              </w:rPr>
              <w:t>400,000.00</w:t>
            </w:r>
          </w:p>
        </w:tc>
        <w:tc>
          <w:tcPr>
            <w:tcW w:w="1243"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586"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246"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Times New Roman" w:hAnsi="Times New Roman" w:cs="Times New Roman" w:eastAsia="Times New Roman" w:hint="default"/>
                <w:sz w:val="21"/>
                <w:szCs w:val="21"/>
              </w:rPr>
            </w:pPr>
            <w:r>
              <w:rPr>
                <w:rFonts w:ascii="Times New Roman"/>
                <w:spacing w:val="-1"/>
                <w:sz w:val="21"/>
              </w:rPr>
              <w:t>400,000.00</w:t>
            </w:r>
          </w:p>
        </w:tc>
        <w:tc>
          <w:tcPr>
            <w:tcW w:w="1063" w:type="dxa"/>
            <w:tcBorders>
              <w:top w:val="single" w:sz="12" w:space="0" w:color="000000"/>
              <w:left w:val="single" w:sz="6" w:space="0" w:color="000000"/>
              <w:bottom w:val="single" w:sz="12" w:space="0" w:color="000000"/>
              <w:right w:val="nil" w:sz="6" w:space="0" w:color="auto"/>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与收益相</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关</w:t>
            </w:r>
          </w:p>
        </w:tc>
      </w:tr>
      <w:tr>
        <w:trPr>
          <w:trHeight w:val="586" w:hRule="exact"/>
        </w:trPr>
        <w:tc>
          <w:tcPr>
            <w:tcW w:w="3038" w:type="dxa"/>
            <w:tcBorders>
              <w:top w:val="single" w:sz="12" w:space="0" w:color="000000"/>
              <w:left w:val="single" w:sz="6" w:space="0" w:color="000000"/>
              <w:bottom w:val="single" w:sz="12" w:space="0" w:color="000000"/>
              <w:right w:val="single" w:sz="6" w:space="0" w:color="000000"/>
            </w:tcBorders>
          </w:tcPr>
          <w:p>
            <w:pPr>
              <w:pStyle w:val="TableParagraph"/>
              <w:spacing w:line="249" w:lineRule="exact"/>
              <w:ind w:left="4" w:right="-5"/>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7</w:t>
            </w:r>
            <w:r>
              <w:rPr>
                <w:rFonts w:ascii="宋体" w:hAnsi="宋体" w:cs="宋体" w:eastAsia="宋体" w:hint="default"/>
                <w:spacing w:val="2"/>
                <w:sz w:val="21"/>
                <w:szCs w:val="21"/>
              </w:rPr>
              <w:t>）基于</w:t>
            </w:r>
            <w:r>
              <w:rPr>
                <w:rFonts w:ascii="Times New Roman" w:hAnsi="Times New Roman" w:cs="Times New Roman" w:eastAsia="Times New Roman" w:hint="default"/>
                <w:spacing w:val="2"/>
                <w:sz w:val="21"/>
                <w:szCs w:val="21"/>
              </w:rPr>
              <w:t>SAAS</w:t>
            </w:r>
            <w:r>
              <w:rPr>
                <w:rFonts w:ascii="宋体" w:hAnsi="宋体" w:cs="宋体" w:eastAsia="宋体" w:hint="default"/>
                <w:spacing w:val="2"/>
                <w:sz w:val="21"/>
                <w:szCs w:val="21"/>
              </w:rPr>
              <w:t>的云智能个性化</w:t>
            </w:r>
            <w:r>
              <w:rPr>
                <w:rFonts w:ascii="宋体" w:hAnsi="宋体" w:cs="宋体" w:eastAsia="宋体" w:hint="default"/>
                <w:sz w:val="21"/>
                <w:szCs w:val="21"/>
              </w:rPr>
            </w:r>
          </w:p>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教育综合互动平台</w:t>
            </w:r>
          </w:p>
        </w:tc>
        <w:tc>
          <w:tcPr>
            <w:tcW w:w="1253"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0"/>
              <w:jc w:val="right"/>
              <w:rPr>
                <w:rFonts w:ascii="Times New Roman" w:hAnsi="Times New Roman" w:cs="Times New Roman" w:eastAsia="Times New Roman" w:hint="default"/>
                <w:sz w:val="21"/>
                <w:szCs w:val="21"/>
              </w:rPr>
            </w:pPr>
            <w:r>
              <w:rPr>
                <w:rFonts w:ascii="Times New Roman"/>
                <w:spacing w:val="-1"/>
                <w:sz w:val="21"/>
              </w:rPr>
              <w:t>2,900,000.00</w:t>
            </w:r>
          </w:p>
        </w:tc>
        <w:tc>
          <w:tcPr>
            <w:tcW w:w="1246"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243"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586"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246"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0"/>
              <w:jc w:val="right"/>
              <w:rPr>
                <w:rFonts w:ascii="Times New Roman" w:hAnsi="Times New Roman" w:cs="Times New Roman" w:eastAsia="Times New Roman" w:hint="default"/>
                <w:sz w:val="21"/>
                <w:szCs w:val="21"/>
              </w:rPr>
            </w:pPr>
            <w:r>
              <w:rPr>
                <w:rFonts w:ascii="Times New Roman"/>
                <w:spacing w:val="-1"/>
                <w:sz w:val="21"/>
              </w:rPr>
              <w:t>2,900,000.00</w:t>
            </w:r>
          </w:p>
        </w:tc>
        <w:tc>
          <w:tcPr>
            <w:tcW w:w="1063" w:type="dxa"/>
            <w:tcBorders>
              <w:top w:val="single" w:sz="12" w:space="0" w:color="000000"/>
              <w:left w:val="single" w:sz="6" w:space="0" w:color="000000"/>
              <w:bottom w:val="single" w:sz="12" w:space="0" w:color="000000"/>
              <w:right w:val="nil" w:sz="6" w:space="0" w:color="auto"/>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与资产相</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关</w:t>
            </w:r>
          </w:p>
        </w:tc>
      </w:tr>
      <w:tr>
        <w:trPr>
          <w:trHeight w:val="353" w:hRule="exact"/>
        </w:trPr>
        <w:tc>
          <w:tcPr>
            <w:tcW w:w="3038"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53"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0"/>
              <w:jc w:val="right"/>
              <w:rPr>
                <w:rFonts w:ascii="Times New Roman" w:hAnsi="Times New Roman" w:cs="Times New Roman" w:eastAsia="Times New Roman" w:hint="default"/>
                <w:sz w:val="21"/>
                <w:szCs w:val="21"/>
              </w:rPr>
            </w:pPr>
            <w:r>
              <w:rPr>
                <w:rFonts w:ascii="Times New Roman"/>
                <w:spacing w:val="-1"/>
                <w:sz w:val="21"/>
              </w:rPr>
              <w:t>4,555,051.01</w:t>
            </w:r>
          </w:p>
        </w:tc>
        <w:tc>
          <w:tcPr>
            <w:tcW w:w="1246"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0"/>
              <w:jc w:val="right"/>
              <w:rPr>
                <w:rFonts w:ascii="Times New Roman" w:hAnsi="Times New Roman" w:cs="Times New Roman" w:eastAsia="Times New Roman" w:hint="default"/>
                <w:sz w:val="21"/>
                <w:szCs w:val="21"/>
              </w:rPr>
            </w:pPr>
            <w:r>
              <w:rPr>
                <w:rFonts w:ascii="Times New Roman"/>
                <w:spacing w:val="-1"/>
                <w:sz w:val="21"/>
              </w:rPr>
              <w:t>1,400,000.00</w:t>
            </w:r>
          </w:p>
        </w:tc>
        <w:tc>
          <w:tcPr>
            <w:tcW w:w="1243"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770,617.65</w:t>
            </w:r>
          </w:p>
        </w:tc>
        <w:tc>
          <w:tcPr>
            <w:tcW w:w="586"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246"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0"/>
              <w:jc w:val="right"/>
              <w:rPr>
                <w:rFonts w:ascii="Times New Roman" w:hAnsi="Times New Roman" w:cs="Times New Roman" w:eastAsia="Times New Roman" w:hint="default"/>
                <w:sz w:val="21"/>
                <w:szCs w:val="21"/>
              </w:rPr>
            </w:pPr>
            <w:r>
              <w:rPr>
                <w:rFonts w:ascii="Times New Roman"/>
                <w:spacing w:val="-1"/>
                <w:sz w:val="21"/>
              </w:rPr>
              <w:t>5,184,433.36</w:t>
            </w:r>
          </w:p>
        </w:tc>
        <w:tc>
          <w:tcPr>
            <w:tcW w:w="1063"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3"/>
        <w:rPr>
          <w:rFonts w:ascii="宋体" w:hAnsi="宋体" w:cs="宋体" w:eastAsia="宋体" w:hint="default"/>
          <w:b/>
          <w:bCs/>
          <w:sz w:val="8"/>
          <w:szCs w:val="8"/>
        </w:rPr>
      </w:pPr>
    </w:p>
    <w:p>
      <w:pPr>
        <w:pStyle w:val="Heading5"/>
        <w:spacing w:line="264" w:lineRule="auto" w:before="36"/>
        <w:ind w:right="167" w:firstLine="422"/>
        <w:jc w:val="both"/>
        <w:rPr>
          <w:b w:val="0"/>
          <w:bCs w:val="0"/>
        </w:rPr>
      </w:pPr>
      <w:r>
        <w:rPr>
          <w:spacing w:val="-3"/>
        </w:rPr>
        <w:t>（</w:t>
      </w:r>
      <w:r>
        <w:rPr>
          <w:rFonts w:ascii="Times New Roman" w:hAnsi="Times New Roman" w:cs="Times New Roman" w:eastAsia="Times New Roman" w:hint="default"/>
          <w:spacing w:val="-3"/>
        </w:rPr>
        <w:t>1</w:t>
      </w:r>
      <w:r>
        <w:rPr>
          <w:spacing w:val="-3"/>
        </w:rPr>
        <w:t>）、根据深圳市发展与改革委员会的深发改</w:t>
      </w:r>
      <w:r>
        <w:rPr>
          <w:rFonts w:ascii="Times New Roman" w:hAnsi="Times New Roman" w:cs="Times New Roman" w:eastAsia="Times New Roman" w:hint="default"/>
          <w:spacing w:val="-3"/>
        </w:rPr>
        <w:t>[2011]1673</w:t>
      </w:r>
      <w:r>
        <w:rPr>
          <w:spacing w:val="-3"/>
        </w:rPr>
        <w:t>号文件相关规定，本公司获得深圳市科技工</w:t>
      </w:r>
      <w:r>
        <w:rPr>
          <w:w w:val="100"/>
        </w:rPr>
        <w:t> </w:t>
      </w:r>
      <w:r>
        <w:rPr>
          <w:spacing w:val="-2"/>
        </w:rPr>
        <w:t>贸和信息化委员会的深圳市生物、互联网、新能源产业发展专项基金项目基于互联网的中小学英语在线智</w:t>
      </w:r>
      <w:r>
        <w:rPr>
          <w:spacing w:val="-79"/>
        </w:rPr>
        <w:t> </w:t>
      </w:r>
      <w:r>
        <w:rPr>
          <w:spacing w:val="-79"/>
        </w:rPr>
      </w:r>
      <w:r>
        <w:rPr/>
        <w:t>能记忆平台无偿资助款</w:t>
      </w:r>
      <w:r>
        <w:rPr>
          <w:rFonts w:ascii="Times New Roman" w:hAnsi="Times New Roman" w:cs="Times New Roman" w:eastAsia="Times New Roman" w:hint="default"/>
        </w:rPr>
        <w:t>80</w:t>
      </w:r>
      <w:r>
        <w:rPr/>
        <w:t>万元。截止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日，该项目已使用</w:t>
      </w:r>
      <w:r>
        <w:rPr>
          <w:rFonts w:ascii="Times New Roman" w:hAnsi="Times New Roman" w:cs="Times New Roman" w:eastAsia="Times New Roman" w:hint="default"/>
        </w:rPr>
        <w:t>748,751.30</w:t>
      </w:r>
      <w:r>
        <w:rPr/>
        <w:t>元。</w:t>
      </w:r>
      <w:r>
        <w:rPr>
          <w:b w:val="0"/>
          <w:bCs w:val="0"/>
        </w:rPr>
      </w:r>
    </w:p>
    <w:p>
      <w:pPr>
        <w:pStyle w:val="Heading5"/>
        <w:spacing w:line="264" w:lineRule="auto"/>
        <w:ind w:right="168" w:firstLine="422"/>
        <w:jc w:val="both"/>
        <w:rPr>
          <w:b w:val="0"/>
          <w:bCs w:val="0"/>
        </w:rPr>
      </w:pPr>
      <w:r>
        <w:rPr>
          <w:spacing w:val="-3"/>
        </w:rPr>
        <w:t>（</w:t>
      </w:r>
      <w:r>
        <w:rPr>
          <w:rFonts w:ascii="Times New Roman" w:hAnsi="Times New Roman" w:cs="Times New Roman" w:eastAsia="Times New Roman" w:hint="default"/>
          <w:spacing w:val="-3"/>
        </w:rPr>
        <w:t>2</w:t>
      </w:r>
      <w:r>
        <w:rPr>
          <w:spacing w:val="-3"/>
        </w:rPr>
        <w:t>）、根据深圳市发展与改革委员会的深发改</w:t>
      </w:r>
      <w:r>
        <w:rPr>
          <w:rFonts w:ascii="Times New Roman" w:hAnsi="Times New Roman" w:cs="Times New Roman" w:eastAsia="Times New Roman" w:hint="default"/>
          <w:spacing w:val="-3"/>
        </w:rPr>
        <w:t>[2012]1241</w:t>
      </w:r>
      <w:r>
        <w:rPr>
          <w:spacing w:val="-3"/>
        </w:rPr>
        <w:t>号文件相关规定，本公司获得深圳市科技创</w:t>
      </w:r>
      <w:r>
        <w:rPr>
          <w:w w:val="100"/>
        </w:rPr>
        <w:t> </w:t>
      </w:r>
      <w:r>
        <w:rPr>
          <w:spacing w:val="2"/>
        </w:rPr>
        <w:t>新委员会的深圳市战略性新兴产业发展专项资金项目基于云计算的教育质量监测与评价系统无偿资助款</w:t>
      </w:r>
      <w:r>
        <w:rPr>
          <w:spacing w:val="-66"/>
        </w:rPr>
        <w:t> </w:t>
      </w:r>
      <w:r>
        <w:rPr>
          <w:spacing w:val="-66"/>
        </w:rPr>
      </w:r>
      <w:r>
        <w:rPr>
          <w:rFonts w:ascii="Times New Roman" w:hAnsi="Times New Roman" w:cs="Times New Roman" w:eastAsia="Times New Roman" w:hint="default"/>
        </w:rPr>
        <w:t>200</w:t>
      </w:r>
      <w:r>
        <w:rPr/>
        <w:t>万元。截止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日，该项目资金补助已使用</w:t>
      </w:r>
      <w:r>
        <w:rPr>
          <w:rFonts w:ascii="Times New Roman" w:hAnsi="Times New Roman" w:cs="Times New Roman" w:eastAsia="Times New Roman" w:hint="default"/>
        </w:rPr>
        <w:t>1,727,963.58</w:t>
      </w:r>
      <w:r>
        <w:rPr/>
        <w:t>元。</w:t>
      </w:r>
      <w:r>
        <w:rPr>
          <w:b w:val="0"/>
          <w:bCs w:val="0"/>
        </w:rPr>
      </w:r>
    </w:p>
    <w:p>
      <w:pPr>
        <w:pStyle w:val="Heading5"/>
        <w:spacing w:line="256" w:lineRule="auto"/>
        <w:ind w:right="168" w:firstLine="422"/>
        <w:jc w:val="both"/>
        <w:rPr>
          <w:b w:val="0"/>
          <w:bCs w:val="0"/>
        </w:rPr>
      </w:pPr>
      <w:r>
        <w:rPr>
          <w:spacing w:val="-1"/>
        </w:rPr>
        <w:t>（</w:t>
      </w:r>
      <w:r>
        <w:rPr>
          <w:rFonts w:ascii="Times New Roman" w:hAnsi="Times New Roman" w:cs="Times New Roman" w:eastAsia="Times New Roman" w:hint="default"/>
          <w:spacing w:val="-1"/>
        </w:rPr>
        <w:t>3</w:t>
      </w:r>
      <w:r>
        <w:rPr>
          <w:spacing w:val="-1"/>
        </w:rPr>
        <w:t>）、根据深圳市发展与改革委员会深发改</w:t>
      </w:r>
      <w:r>
        <w:rPr>
          <w:rFonts w:ascii="Times New Roman" w:hAnsi="Times New Roman" w:cs="Times New Roman" w:eastAsia="Times New Roman" w:hint="default"/>
          <w:spacing w:val="-1"/>
        </w:rPr>
        <w:t>[2013]535</w:t>
      </w:r>
      <w:r>
        <w:rPr>
          <w:spacing w:val="-1"/>
        </w:rPr>
        <w:t>号文件相关规定，本公司获得深圳市经济贸易</w:t>
      </w:r>
      <w:r>
        <w:rPr>
          <w:w w:val="100"/>
        </w:rPr>
        <w:t> </w:t>
      </w:r>
      <w:r>
        <w:rPr/>
        <w:t>和信息化委员会的外语互动学习平台创新项目无偿资助款</w:t>
      </w:r>
      <w:r>
        <w:rPr>
          <w:rFonts w:ascii="Times New Roman" w:hAnsi="Times New Roman" w:cs="Times New Roman" w:eastAsia="Times New Roman" w:hint="default"/>
        </w:rPr>
        <w:t>80</w:t>
      </w:r>
      <w:r>
        <w:rPr/>
        <w:t>万元。截止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日，该项目已使用</w:t>
      </w:r>
      <w:r>
        <w:rPr>
          <w:spacing w:val="28"/>
        </w:rPr>
        <w:t> </w:t>
      </w:r>
      <w:r>
        <w:rPr>
          <w:spacing w:val="28"/>
        </w:rPr>
      </w:r>
      <w:r>
        <w:rPr>
          <w:rFonts w:ascii="Times New Roman" w:hAnsi="Times New Roman" w:cs="Times New Roman" w:eastAsia="Times New Roman" w:hint="default"/>
        </w:rPr>
        <w:t>552,138.72</w:t>
      </w:r>
      <w:r>
        <w:rPr/>
        <w:t>元。</w:t>
      </w:r>
      <w:r>
        <w:rPr>
          <w:b w:val="0"/>
          <w:bCs w:val="0"/>
        </w:rPr>
      </w:r>
    </w:p>
    <w:p>
      <w:pPr>
        <w:pStyle w:val="Heading5"/>
        <w:spacing w:line="256" w:lineRule="auto" w:before="5"/>
        <w:ind w:right="156" w:firstLine="422"/>
        <w:jc w:val="both"/>
        <w:rPr>
          <w:b w:val="0"/>
          <w:bCs w:val="0"/>
        </w:rPr>
      </w:pPr>
      <w:r>
        <w:rPr/>
        <w:t>（</w:t>
      </w:r>
      <w:r>
        <w:rPr>
          <w:rFonts w:ascii="Times New Roman" w:hAnsi="Times New Roman" w:cs="Times New Roman" w:eastAsia="Times New Roman" w:hint="default"/>
        </w:rPr>
        <w:t>4</w:t>
      </w:r>
      <w:r>
        <w:rPr/>
        <w:t>）、为落实《深圳市文化创意产业发展专项资金管理办法》所规定的优惠政策，本公司获得深圳</w:t>
      </w:r>
      <w:r>
        <w:rPr>
          <w:w w:val="100"/>
        </w:rPr>
        <w:t> </w:t>
      </w:r>
      <w:r>
        <w:rPr>
          <w:spacing w:val="10"/>
        </w:rPr>
        <w:t>市文体旅游局的中小学教育游戏平台项目无偿资助款</w:t>
      </w:r>
      <w:r>
        <w:rPr>
          <w:rFonts w:ascii="Times New Roman" w:hAnsi="Times New Roman" w:cs="Times New Roman" w:eastAsia="Times New Roman" w:hint="default"/>
          <w:spacing w:val="10"/>
        </w:rPr>
        <w:t>91</w:t>
      </w:r>
      <w:r>
        <w:rPr>
          <w:spacing w:val="10"/>
        </w:rPr>
        <w:t>万元。截止</w:t>
      </w:r>
      <w:r>
        <w:rPr>
          <w:rFonts w:ascii="Times New Roman" w:hAnsi="Times New Roman" w:cs="Times New Roman" w:eastAsia="Times New Roman" w:hint="default"/>
          <w:spacing w:val="10"/>
        </w:rPr>
        <w:t>2014</w:t>
      </w:r>
      <w:r>
        <w:rPr>
          <w:spacing w:val="10"/>
        </w:rPr>
        <w:t>年</w:t>
      </w:r>
      <w:r>
        <w:rPr>
          <w:rFonts w:ascii="Times New Roman" w:hAnsi="Times New Roman" w:cs="Times New Roman" w:eastAsia="Times New Roman" w:hint="default"/>
          <w:spacing w:val="10"/>
        </w:rPr>
        <w:t>12</w:t>
      </w:r>
      <w:r>
        <w:rPr>
          <w:spacing w:val="10"/>
        </w:rPr>
        <w:t>月</w:t>
      </w:r>
      <w:r>
        <w:rPr>
          <w:rFonts w:ascii="Times New Roman" w:hAnsi="Times New Roman" w:cs="Times New Roman" w:eastAsia="Times New Roman" w:hint="default"/>
          <w:spacing w:val="10"/>
        </w:rPr>
        <w:t>31</w:t>
      </w:r>
      <w:r>
        <w:rPr>
          <w:spacing w:val="10"/>
        </w:rPr>
        <w:t>日，该项目已使用</w:t>
      </w:r>
      <w:r>
        <w:rPr>
          <w:spacing w:val="-8"/>
        </w:rPr>
        <w:t> </w:t>
      </w:r>
      <w:r>
        <w:rPr>
          <w:spacing w:val="-8"/>
        </w:rPr>
      </w:r>
      <w:r>
        <w:rPr>
          <w:rFonts w:ascii="Times New Roman" w:hAnsi="Times New Roman" w:cs="Times New Roman" w:eastAsia="Times New Roman" w:hint="default"/>
        </w:rPr>
        <w:t>596,713.04</w:t>
      </w:r>
      <w:r>
        <w:rPr/>
        <w:t>元。</w:t>
      </w:r>
      <w:r>
        <w:rPr>
          <w:b w:val="0"/>
          <w:bCs w:val="0"/>
        </w:rPr>
      </w:r>
    </w:p>
    <w:p>
      <w:pPr>
        <w:pStyle w:val="Heading5"/>
        <w:spacing w:line="256" w:lineRule="auto" w:before="5"/>
        <w:ind w:right="170" w:firstLine="422"/>
        <w:jc w:val="both"/>
        <w:rPr>
          <w:b w:val="0"/>
          <w:bCs w:val="0"/>
        </w:rPr>
      </w:pPr>
      <w:r>
        <w:rPr>
          <w:spacing w:val="-1"/>
        </w:rPr>
        <w:t>（</w:t>
      </w:r>
      <w:r>
        <w:rPr>
          <w:rFonts w:ascii="Times New Roman" w:hAnsi="Times New Roman" w:cs="Times New Roman" w:eastAsia="Times New Roman" w:hint="default"/>
          <w:spacing w:val="-1"/>
        </w:rPr>
        <w:t>5</w:t>
      </w:r>
      <w:r>
        <w:rPr>
          <w:spacing w:val="-1"/>
        </w:rPr>
        <w:t>）、为落实深圳市发展与改革委员会的深发改</w:t>
      </w:r>
      <w:r>
        <w:rPr>
          <w:rFonts w:ascii="Times New Roman" w:hAnsi="Times New Roman" w:cs="Times New Roman" w:eastAsia="Times New Roman" w:hint="default"/>
          <w:spacing w:val="-1"/>
        </w:rPr>
        <w:t>[2014]939</w:t>
      </w:r>
      <w:r>
        <w:rPr>
          <w:spacing w:val="-1"/>
        </w:rPr>
        <w:t>号文件相关规定，本公司获得深圳市科技</w:t>
      </w:r>
      <w:r>
        <w:rPr>
          <w:w w:val="100"/>
        </w:rPr>
        <w:t> </w:t>
      </w:r>
      <w:r>
        <w:rPr/>
        <w:t>创新委员会的基于移动平台的小学英语同步课程资源系统无偿资助款</w:t>
      </w:r>
      <w:r>
        <w:rPr>
          <w:rFonts w:ascii="Times New Roman" w:hAnsi="Times New Roman" w:cs="Times New Roman" w:eastAsia="Times New Roman" w:hint="default"/>
        </w:rPr>
        <w:t>100</w:t>
      </w:r>
      <w:r>
        <w:rPr/>
        <w:t>万元。截止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w:t>
      </w:r>
      <w:r>
        <w:rPr>
          <w:b w:val="0"/>
          <w:bCs w:val="0"/>
        </w:rPr>
      </w:r>
    </w:p>
    <w:p>
      <w:pPr>
        <w:spacing w:after="0" w:line="256" w:lineRule="auto"/>
        <w:jc w:val="both"/>
        <w:sectPr>
          <w:footerReference w:type="default" r:id="rId77"/>
          <w:pgSz w:w="11910" w:h="16840"/>
          <w:pgMar w:footer="979" w:header="880" w:top="1060" w:bottom="1160" w:left="980" w:right="960"/>
          <w:pgNumType w:start="101"/>
        </w:sectPr>
      </w:pPr>
    </w:p>
    <w:p>
      <w:pPr>
        <w:spacing w:line="240" w:lineRule="auto" w:before="8"/>
        <w:rPr>
          <w:rFonts w:ascii="宋体" w:hAnsi="宋体" w:cs="宋体" w:eastAsia="宋体" w:hint="default"/>
          <w:b/>
          <w:bCs/>
          <w:sz w:val="24"/>
          <w:szCs w:val="24"/>
        </w:rPr>
      </w:pPr>
    </w:p>
    <w:p>
      <w:pPr>
        <w:pStyle w:val="Heading5"/>
        <w:spacing w:line="240" w:lineRule="auto" w:before="36"/>
        <w:ind w:left="132" w:right="7454"/>
        <w:jc w:val="center"/>
        <w:rPr>
          <w:b w:val="0"/>
          <w:bCs w:val="0"/>
        </w:rPr>
      </w:pPr>
      <w:r>
        <w:rPr/>
        <w:t>项目资金补助尚未使用。</w:t>
      </w:r>
      <w:r>
        <w:rPr>
          <w:b w:val="0"/>
          <w:bCs w:val="0"/>
        </w:rPr>
      </w:r>
    </w:p>
    <w:p>
      <w:pPr>
        <w:pStyle w:val="Heading5"/>
        <w:spacing w:line="256" w:lineRule="auto" w:before="37"/>
        <w:ind w:right="151" w:firstLine="422"/>
        <w:jc w:val="both"/>
        <w:rPr>
          <w:b w:val="0"/>
          <w:bCs w:val="0"/>
        </w:rPr>
      </w:pPr>
      <w:r>
        <w:rPr/>
        <w:t>（</w:t>
      </w:r>
      <w:r>
        <w:rPr>
          <w:rFonts w:ascii="Times New Roman" w:hAnsi="Times New Roman" w:cs="Times New Roman" w:eastAsia="Times New Roman" w:hint="default"/>
        </w:rPr>
        <w:t>6</w:t>
      </w:r>
      <w:r>
        <w:rPr/>
        <w:t>）、根据《南山区文化产业发展专项资金管理暂行办会》的规定，本公司获得深圳市南山区人民</w:t>
      </w:r>
      <w:r>
        <w:rPr>
          <w:w w:val="100"/>
        </w:rPr>
        <w:t> </w:t>
      </w:r>
      <w:r>
        <w:rPr>
          <w:spacing w:val="-2"/>
        </w:rPr>
        <w:t>政府文化产业发展办公室的青少年书法多媒体学习软件项目无偿资助款</w:t>
      </w:r>
      <w:r>
        <w:rPr>
          <w:rFonts w:ascii="Times New Roman" w:hAnsi="Times New Roman" w:cs="Times New Roman" w:eastAsia="Times New Roman" w:hint="default"/>
          <w:spacing w:val="-2"/>
        </w:rPr>
        <w:t>40</w:t>
      </w:r>
      <w:r>
        <w:rPr>
          <w:spacing w:val="-2"/>
        </w:rPr>
        <w:t>万元。截止</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日，该</w:t>
      </w:r>
      <w:r>
        <w:rPr>
          <w:spacing w:val="-82"/>
        </w:rPr>
        <w:t> </w:t>
      </w:r>
      <w:r>
        <w:rPr>
          <w:spacing w:val="-82"/>
        </w:rPr>
      </w:r>
      <w:r>
        <w:rPr/>
        <w:t>项目资金补助尚未使用。</w:t>
      </w:r>
      <w:r>
        <w:rPr>
          <w:b w:val="0"/>
          <w:bCs w:val="0"/>
        </w:rPr>
      </w:r>
    </w:p>
    <w:p>
      <w:pPr>
        <w:pStyle w:val="Heading5"/>
        <w:spacing w:line="261" w:lineRule="auto" w:before="22"/>
        <w:ind w:right="147" w:firstLine="422"/>
        <w:jc w:val="both"/>
        <w:rPr>
          <w:b w:val="0"/>
          <w:bCs w:val="0"/>
        </w:rPr>
      </w:pPr>
      <w:r>
        <w:rPr>
          <w:spacing w:val="-1"/>
        </w:rPr>
        <w:t>（</w:t>
      </w:r>
      <w:r>
        <w:rPr>
          <w:rFonts w:ascii="Times New Roman" w:hAnsi="Times New Roman" w:cs="Times New Roman" w:eastAsia="Times New Roman" w:hint="default"/>
          <w:spacing w:val="-1"/>
        </w:rPr>
        <w:t>7</w:t>
      </w:r>
      <w:r>
        <w:rPr>
          <w:spacing w:val="-1"/>
        </w:rPr>
        <w:t>）、根据深发改</w:t>
      </w:r>
      <w:r>
        <w:rPr>
          <w:rFonts w:ascii="Times New Roman" w:hAnsi="Times New Roman" w:cs="Times New Roman" w:eastAsia="Times New Roman" w:hint="default"/>
          <w:spacing w:val="-1"/>
        </w:rPr>
        <w:t>[2013]535</w:t>
      </w:r>
      <w:r>
        <w:rPr>
          <w:spacing w:val="-1"/>
        </w:rPr>
        <w:t>号文件相关规定，本公司获得深圳市发展改革委员会、深圳市经济贸易</w:t>
      </w:r>
      <w:r>
        <w:rPr>
          <w:w w:val="100"/>
        </w:rPr>
        <w:t> </w:t>
      </w:r>
      <w:r>
        <w:rPr>
          <w:spacing w:val="-2"/>
        </w:rPr>
        <w:t>和信息化委员会、深圳市科技创新委员会、深圳市财政委员会文件的深圳市战略性新兴产业发展专项资金</w:t>
      </w:r>
      <w:r>
        <w:rPr>
          <w:spacing w:val="-79"/>
        </w:rPr>
        <w:t> </w:t>
      </w:r>
      <w:r>
        <w:rPr>
          <w:spacing w:val="-79"/>
        </w:rPr>
      </w:r>
      <w:r>
        <w:rPr>
          <w:spacing w:val="-2"/>
        </w:rPr>
        <w:t>项目基于</w:t>
      </w:r>
      <w:r>
        <w:rPr>
          <w:rFonts w:ascii="Times New Roman" w:hAnsi="Times New Roman" w:cs="Times New Roman" w:eastAsia="Times New Roman" w:hint="default"/>
          <w:spacing w:val="-2"/>
        </w:rPr>
        <w:t>SAAS</w:t>
      </w:r>
      <w:r>
        <w:rPr>
          <w:spacing w:val="-2"/>
        </w:rPr>
        <w:t>的云智能个性化教育综合互动平台无偿资助</w:t>
      </w:r>
      <w:r>
        <w:rPr>
          <w:rFonts w:ascii="Times New Roman" w:hAnsi="Times New Roman" w:cs="Times New Roman" w:eastAsia="Times New Roman" w:hint="default"/>
          <w:spacing w:val="-2"/>
        </w:rPr>
        <w:t>290</w:t>
      </w:r>
      <w:r>
        <w:rPr>
          <w:spacing w:val="-2"/>
        </w:rPr>
        <w:t>万元。截止</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日，该项目资金补</w:t>
      </w:r>
      <w:r>
        <w:rPr>
          <w:spacing w:val="-78"/>
        </w:rPr>
        <w:t> </w:t>
      </w:r>
      <w:r>
        <w:rPr>
          <w:spacing w:val="-78"/>
        </w:rPr>
      </w:r>
      <w:r>
        <w:rPr/>
        <w:t>助尚未使用。</w:t>
      </w:r>
      <w:r>
        <w:rPr>
          <w:b w:val="0"/>
          <w:bCs w:val="0"/>
        </w:rPr>
      </w:r>
    </w:p>
    <w:p>
      <w:pPr>
        <w:spacing w:line="240" w:lineRule="auto" w:before="3"/>
        <w:rPr>
          <w:rFonts w:ascii="宋体" w:hAnsi="宋体" w:cs="宋体" w:eastAsia="宋体" w:hint="default"/>
          <w:b/>
          <w:bCs/>
          <w:sz w:val="25"/>
          <w:szCs w:val="25"/>
        </w:rPr>
      </w:pPr>
    </w:p>
    <w:p>
      <w:pPr>
        <w:pStyle w:val="Heading5"/>
        <w:spacing w:line="240" w:lineRule="auto"/>
        <w:ind w:left="132" w:right="7442"/>
        <w:jc w:val="center"/>
        <w:rPr>
          <w:b w:val="0"/>
          <w:bCs w:val="0"/>
        </w:rPr>
      </w:pPr>
      <w:r>
        <w:rPr/>
        <w:t>（二十三）股本</w:t>
      </w:r>
      <w:r>
        <w:rPr>
          <w:b w:val="0"/>
          <w:bCs w:val="0"/>
        </w:rPr>
      </w:r>
    </w:p>
    <w:p>
      <w:pPr>
        <w:spacing w:line="240" w:lineRule="auto" w:before="10"/>
        <w:rPr>
          <w:rFonts w:ascii="宋体" w:hAnsi="宋体" w:cs="宋体" w:eastAsia="宋体" w:hint="default"/>
          <w:b/>
          <w:bCs/>
          <w:sz w:val="3"/>
          <w:szCs w:val="3"/>
        </w:rPr>
      </w:pPr>
    </w:p>
    <w:tbl>
      <w:tblPr>
        <w:tblW w:w="0" w:type="auto"/>
        <w:jc w:val="left"/>
        <w:tblInd w:w="145" w:type="dxa"/>
        <w:tblLayout w:type="fixed"/>
        <w:tblCellMar>
          <w:top w:w="0" w:type="dxa"/>
          <w:left w:w="0" w:type="dxa"/>
          <w:bottom w:w="0" w:type="dxa"/>
          <w:right w:w="0" w:type="dxa"/>
        </w:tblCellMar>
        <w:tblLook w:val="01E0"/>
      </w:tblPr>
      <w:tblGrid>
        <w:gridCol w:w="895"/>
        <w:gridCol w:w="1418"/>
        <w:gridCol w:w="907"/>
        <w:gridCol w:w="672"/>
        <w:gridCol w:w="1370"/>
        <w:gridCol w:w="701"/>
        <w:gridCol w:w="1414"/>
        <w:gridCol w:w="1414"/>
      </w:tblGrid>
      <w:tr>
        <w:trPr>
          <w:trHeight w:val="355" w:hRule="exact"/>
        </w:trPr>
        <w:tc>
          <w:tcPr>
            <w:tcW w:w="895" w:type="dxa"/>
            <w:vMerge w:val="restart"/>
            <w:tcBorders>
              <w:top w:val="single" w:sz="6" w:space="0" w:color="000000"/>
              <w:left w:val="single" w:sz="6" w:space="0" w:color="000000"/>
              <w:right w:val="single" w:sz="6" w:space="0" w:color="000000"/>
            </w:tcBorders>
          </w:tcPr>
          <w:p>
            <w:pPr>
              <w:pStyle w:val="TableParagraph"/>
              <w:spacing w:line="250" w:lineRule="exact"/>
              <w:ind w:left="23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418" w:type="dxa"/>
            <w:vMerge w:val="restart"/>
            <w:tcBorders>
              <w:top w:val="single" w:sz="6" w:space="0" w:color="000000"/>
              <w:left w:val="single" w:sz="6" w:space="0" w:color="000000"/>
              <w:right w:val="single" w:sz="6" w:space="0" w:color="000000"/>
            </w:tcBorders>
          </w:tcPr>
          <w:p>
            <w:pPr>
              <w:pStyle w:val="TableParagraph"/>
              <w:spacing w:line="250" w:lineRule="exact"/>
              <w:ind w:left="28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5064" w:type="dxa"/>
            <w:gridSpan w:val="5"/>
            <w:tcBorders>
              <w:top w:val="single" w:sz="6" w:space="0" w:color="000000"/>
              <w:left w:val="single" w:sz="6" w:space="0" w:color="000000"/>
              <w:bottom w:val="single" w:sz="12" w:space="0" w:color="000000"/>
              <w:right w:val="single" w:sz="6" w:space="0" w:color="000000"/>
            </w:tcBorders>
          </w:tcPr>
          <w:p>
            <w:pPr>
              <w:pStyle w:val="TableParagraph"/>
              <w:spacing w:line="266" w:lineRule="exact"/>
              <w:ind w:left="1310" w:right="0"/>
              <w:jc w:val="left"/>
              <w:rPr>
                <w:rFonts w:ascii="宋体" w:hAnsi="宋体" w:cs="宋体" w:eastAsia="宋体" w:hint="default"/>
                <w:sz w:val="21"/>
                <w:szCs w:val="21"/>
              </w:rPr>
            </w:pPr>
            <w:r>
              <w:rPr>
                <w:rFonts w:ascii="宋体" w:hAnsi="宋体" w:cs="宋体" w:eastAsia="宋体" w:hint="default"/>
                <w:sz w:val="21"/>
                <w:szCs w:val="21"/>
              </w:rPr>
              <w:t>本期变动增（</w:t>
            </w:r>
            <w:r>
              <w:rPr>
                <w:rFonts w:ascii="Times New Roman" w:hAnsi="Times New Roman" w:cs="Times New Roman" w:eastAsia="Times New Roman" w:hint="default"/>
                <w:sz w:val="21"/>
                <w:szCs w:val="21"/>
              </w:rPr>
              <w:t>+</w:t>
            </w:r>
            <w:r>
              <w:rPr>
                <w:rFonts w:ascii="宋体" w:hAnsi="宋体" w:cs="宋体" w:eastAsia="宋体" w:hint="default"/>
                <w:sz w:val="21"/>
                <w:szCs w:val="21"/>
              </w:rPr>
              <w:t>）减（－）</w:t>
            </w:r>
          </w:p>
        </w:tc>
        <w:tc>
          <w:tcPr>
            <w:tcW w:w="1414" w:type="dxa"/>
            <w:vMerge w:val="restart"/>
            <w:tcBorders>
              <w:top w:val="single" w:sz="6" w:space="0" w:color="000000"/>
              <w:left w:val="single" w:sz="6" w:space="0" w:color="000000"/>
              <w:right w:val="nil" w:sz="6" w:space="0" w:color="auto"/>
            </w:tcBorders>
          </w:tcPr>
          <w:p>
            <w:pPr>
              <w:pStyle w:val="TableParagraph"/>
              <w:spacing w:line="250" w:lineRule="exact"/>
              <w:ind w:left="278"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350" w:hRule="exact"/>
        </w:trPr>
        <w:tc>
          <w:tcPr>
            <w:tcW w:w="895" w:type="dxa"/>
            <w:vMerge/>
            <w:tcBorders>
              <w:left w:val="single" w:sz="6" w:space="0" w:color="000000"/>
              <w:bottom w:val="single" w:sz="12" w:space="0" w:color="000000"/>
              <w:right w:val="single" w:sz="6" w:space="0" w:color="000000"/>
            </w:tcBorders>
          </w:tcPr>
          <w:p>
            <w:pPr/>
          </w:p>
        </w:tc>
        <w:tc>
          <w:tcPr>
            <w:tcW w:w="1418" w:type="dxa"/>
            <w:vMerge/>
            <w:tcBorders>
              <w:left w:val="single" w:sz="6" w:space="0" w:color="000000"/>
              <w:bottom w:val="single" w:sz="12" w:space="0" w:color="000000"/>
              <w:right w:val="single" w:sz="6" w:space="0" w:color="000000"/>
            </w:tcBorders>
          </w:tcPr>
          <w:p>
            <w:pPr/>
          </w:p>
        </w:tc>
        <w:tc>
          <w:tcPr>
            <w:tcW w:w="907"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hAnsi="宋体" w:cs="宋体" w:eastAsia="宋体" w:hint="default"/>
                <w:spacing w:val="-1"/>
                <w:sz w:val="21"/>
                <w:szCs w:val="21"/>
              </w:rPr>
              <w:t>发行新股</w:t>
            </w:r>
          </w:p>
        </w:tc>
        <w:tc>
          <w:tcPr>
            <w:tcW w:w="672"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117"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1370"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151" w:right="0"/>
              <w:jc w:val="left"/>
              <w:rPr>
                <w:rFonts w:ascii="宋体" w:hAnsi="宋体" w:cs="宋体" w:eastAsia="宋体" w:hint="default"/>
                <w:sz w:val="21"/>
                <w:szCs w:val="21"/>
              </w:rPr>
            </w:pPr>
            <w:r>
              <w:rPr>
                <w:rFonts w:ascii="宋体" w:hAnsi="宋体" w:cs="宋体" w:eastAsia="宋体" w:hint="default"/>
                <w:sz w:val="21"/>
                <w:szCs w:val="21"/>
              </w:rPr>
              <w:t>公积金转股</w:t>
            </w:r>
          </w:p>
        </w:tc>
        <w:tc>
          <w:tcPr>
            <w:tcW w:w="701"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13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14"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414" w:type="dxa"/>
            <w:vMerge/>
            <w:tcBorders>
              <w:left w:val="single" w:sz="6" w:space="0" w:color="000000"/>
              <w:bottom w:val="single" w:sz="12" w:space="0" w:color="000000"/>
              <w:right w:val="nil" w:sz="6" w:space="0" w:color="auto"/>
            </w:tcBorders>
          </w:tcPr>
          <w:p>
            <w:pPr/>
          </w:p>
        </w:tc>
      </w:tr>
      <w:tr>
        <w:trPr>
          <w:trHeight w:val="526" w:hRule="exact"/>
        </w:trPr>
        <w:tc>
          <w:tcPr>
            <w:tcW w:w="895"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sz w:val="21"/>
                <w:szCs w:val="21"/>
              </w:rPr>
              <w:t>股份总数</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left="88" w:right="-1"/>
              <w:jc w:val="left"/>
              <w:rPr>
                <w:rFonts w:ascii="Times New Roman" w:hAnsi="Times New Roman" w:cs="Times New Roman" w:eastAsia="Times New Roman" w:hint="default"/>
                <w:sz w:val="21"/>
                <w:szCs w:val="21"/>
              </w:rPr>
            </w:pPr>
            <w:r>
              <w:rPr>
                <w:rFonts w:ascii="Times New Roman"/>
                <w:sz w:val="21"/>
              </w:rPr>
              <w:t>88,000,000.000</w:t>
            </w:r>
          </w:p>
        </w:tc>
        <w:tc>
          <w:tcPr>
            <w:tcW w:w="907"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672"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370"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left="143" w:right="0"/>
              <w:jc w:val="left"/>
              <w:rPr>
                <w:rFonts w:ascii="Times New Roman" w:hAnsi="Times New Roman" w:cs="Times New Roman" w:eastAsia="Times New Roman" w:hint="default"/>
                <w:sz w:val="21"/>
                <w:szCs w:val="21"/>
              </w:rPr>
            </w:pPr>
            <w:r>
              <w:rPr>
                <w:rFonts w:ascii="Times New Roman"/>
                <w:sz w:val="21"/>
              </w:rPr>
              <w:t>70,400,000.00</w:t>
            </w:r>
          </w:p>
        </w:tc>
        <w:tc>
          <w:tcPr>
            <w:tcW w:w="701"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414"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left="187" w:right="0"/>
              <w:jc w:val="left"/>
              <w:rPr>
                <w:rFonts w:ascii="Times New Roman" w:hAnsi="Times New Roman" w:cs="Times New Roman" w:eastAsia="Times New Roman" w:hint="default"/>
                <w:sz w:val="21"/>
                <w:szCs w:val="21"/>
              </w:rPr>
            </w:pPr>
            <w:r>
              <w:rPr>
                <w:rFonts w:ascii="Times New Roman"/>
                <w:sz w:val="21"/>
              </w:rPr>
              <w:t>70,400,000.00</w:t>
            </w:r>
          </w:p>
        </w:tc>
        <w:tc>
          <w:tcPr>
            <w:tcW w:w="141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0"/>
              <w:ind w:right="0"/>
              <w:jc w:val="left"/>
              <w:rPr>
                <w:rFonts w:ascii="宋体" w:hAnsi="宋体" w:cs="宋体" w:eastAsia="宋体" w:hint="default"/>
                <w:b/>
                <w:bCs/>
                <w:sz w:val="18"/>
                <w:szCs w:val="18"/>
              </w:rPr>
            </w:pPr>
          </w:p>
          <w:p>
            <w:pPr>
              <w:pStyle w:val="TableParagraph"/>
              <w:spacing w:line="240" w:lineRule="auto"/>
              <w:ind w:left="81" w:right="0"/>
              <w:jc w:val="left"/>
              <w:rPr>
                <w:rFonts w:ascii="Times New Roman" w:hAnsi="Times New Roman" w:cs="Times New Roman" w:eastAsia="Times New Roman" w:hint="default"/>
                <w:sz w:val="21"/>
                <w:szCs w:val="21"/>
              </w:rPr>
            </w:pPr>
            <w:r>
              <w:rPr>
                <w:rFonts w:ascii="Times New Roman"/>
                <w:sz w:val="21"/>
              </w:rPr>
              <w:t>158,400,000.00</w:t>
            </w:r>
          </w:p>
        </w:tc>
      </w:tr>
    </w:tbl>
    <w:p>
      <w:pPr>
        <w:spacing w:line="240" w:lineRule="auto" w:before="3"/>
        <w:rPr>
          <w:rFonts w:ascii="宋体" w:hAnsi="宋体" w:cs="宋体" w:eastAsia="宋体" w:hint="default"/>
          <w:b/>
          <w:bCs/>
          <w:sz w:val="8"/>
          <w:szCs w:val="8"/>
        </w:rPr>
      </w:pPr>
    </w:p>
    <w:p>
      <w:pPr>
        <w:pStyle w:val="Heading5"/>
        <w:spacing w:line="240" w:lineRule="auto" w:before="36"/>
        <w:ind w:left="575" w:right="0"/>
        <w:jc w:val="left"/>
        <w:rPr>
          <w:b w:val="0"/>
          <w:bCs w:val="0"/>
        </w:rPr>
      </w:pPr>
      <w:r>
        <w:rPr/>
        <w:t>股本变动情况说明：</w:t>
      </w:r>
      <w:r>
        <w:rPr>
          <w:b w:val="0"/>
          <w:bCs w:val="0"/>
        </w:rPr>
      </w:r>
    </w:p>
    <w:p>
      <w:pPr>
        <w:pStyle w:val="Heading5"/>
        <w:spacing w:line="256" w:lineRule="auto" w:before="37"/>
        <w:ind w:right="0" w:firstLine="422"/>
        <w:jc w:val="left"/>
        <w:rPr>
          <w:b w:val="0"/>
          <w:bCs w:val="0"/>
        </w:rPr>
      </w:pPr>
      <w:r>
        <w:rPr>
          <w:rFonts w:ascii="Times New Roman" w:hAnsi="Times New Roman" w:cs="Times New Roman" w:eastAsia="Times New Roman" w:hint="default"/>
          <w:spacing w:val="-1"/>
        </w:rPr>
        <w:t>1</w:t>
      </w:r>
      <w:r>
        <w:rPr>
          <w:spacing w:val="-1"/>
        </w:rPr>
        <w:t>、</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6</w:t>
      </w:r>
      <w:r>
        <w:rPr>
          <w:spacing w:val="-1"/>
        </w:rPr>
        <w:t>日经</w:t>
      </w:r>
      <w:r>
        <w:rPr>
          <w:rFonts w:ascii="Times New Roman" w:hAnsi="Times New Roman" w:cs="Times New Roman" w:eastAsia="Times New Roman" w:hint="default"/>
          <w:spacing w:val="-1"/>
        </w:rPr>
        <w:t>2013</w:t>
      </w:r>
      <w:r>
        <w:rPr>
          <w:spacing w:val="-1"/>
        </w:rPr>
        <w:t>年度股东大会决议，公司以资本公积转增股本，以总股本</w:t>
      </w:r>
      <w:r>
        <w:rPr>
          <w:rFonts w:ascii="Times New Roman" w:hAnsi="Times New Roman" w:cs="Times New Roman" w:eastAsia="Times New Roman" w:hint="default"/>
          <w:spacing w:val="-1"/>
        </w:rPr>
        <w:t>8,800</w:t>
      </w:r>
      <w:r>
        <w:rPr>
          <w:spacing w:val="-1"/>
        </w:rPr>
        <w:t>万股为基数，</w:t>
      </w:r>
      <w:r>
        <w:rPr>
          <w:w w:val="100"/>
        </w:rPr>
        <w:t> </w:t>
      </w:r>
      <w:r>
        <w:rPr/>
        <w:t>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8</w:t>
      </w:r>
      <w:r>
        <w:rPr/>
        <w:t>股，共转增</w:t>
      </w:r>
      <w:r>
        <w:rPr>
          <w:rFonts w:ascii="Times New Roman" w:hAnsi="Times New Roman" w:cs="Times New Roman" w:eastAsia="Times New Roman" w:hint="default"/>
        </w:rPr>
        <w:t>7,040</w:t>
      </w:r>
      <w:r>
        <w:rPr/>
        <w:t>万股。</w:t>
      </w:r>
      <w:r>
        <w:rPr>
          <w:b w:val="0"/>
          <w:bCs w:val="0"/>
        </w:rPr>
      </w:r>
    </w:p>
    <w:p>
      <w:pPr>
        <w:spacing w:line="240" w:lineRule="auto" w:before="3"/>
        <w:rPr>
          <w:rFonts w:ascii="宋体" w:hAnsi="宋体" w:cs="宋体" w:eastAsia="宋体" w:hint="default"/>
          <w:b/>
          <w:bCs/>
          <w:sz w:val="24"/>
          <w:szCs w:val="24"/>
        </w:rPr>
      </w:pPr>
    </w:p>
    <w:p>
      <w:pPr>
        <w:pStyle w:val="Heading5"/>
        <w:spacing w:line="240" w:lineRule="auto"/>
        <w:ind w:left="580" w:right="0"/>
        <w:jc w:val="left"/>
        <w:rPr>
          <w:b w:val="0"/>
          <w:bCs w:val="0"/>
        </w:rPr>
      </w:pPr>
      <w:r>
        <w:rPr/>
        <w:t>（二十四）资本公积</w:t>
      </w:r>
      <w:r>
        <w:rPr>
          <w:b w:val="0"/>
          <w:bCs w:val="0"/>
        </w:rPr>
      </w:r>
    </w:p>
    <w:p>
      <w:pPr>
        <w:spacing w:line="240" w:lineRule="auto" w:before="10"/>
        <w:rPr>
          <w:rFonts w:ascii="宋体" w:hAnsi="宋体" w:cs="宋体" w:eastAsia="宋体" w:hint="default"/>
          <w:b/>
          <w:bCs/>
          <w:sz w:val="3"/>
          <w:szCs w:val="3"/>
        </w:rPr>
      </w:pPr>
    </w:p>
    <w:tbl>
      <w:tblPr>
        <w:tblW w:w="0" w:type="auto"/>
        <w:jc w:val="left"/>
        <w:tblInd w:w="145" w:type="dxa"/>
        <w:tblLayout w:type="fixed"/>
        <w:tblCellMar>
          <w:top w:w="0" w:type="dxa"/>
          <w:left w:w="0" w:type="dxa"/>
          <w:bottom w:w="0" w:type="dxa"/>
          <w:right w:w="0" w:type="dxa"/>
        </w:tblCellMar>
        <w:tblLook w:val="01E0"/>
      </w:tblPr>
      <w:tblGrid>
        <w:gridCol w:w="2580"/>
        <w:gridCol w:w="1656"/>
        <w:gridCol w:w="1399"/>
        <w:gridCol w:w="1498"/>
        <w:gridCol w:w="1658"/>
      </w:tblGrid>
      <w:tr>
        <w:trPr>
          <w:trHeight w:val="314" w:hRule="exact"/>
        </w:trPr>
        <w:tc>
          <w:tcPr>
            <w:tcW w:w="2580"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right="1067"/>
              <w:jc w:val="right"/>
              <w:rPr>
                <w:rFonts w:ascii="宋体" w:hAnsi="宋体" w:cs="宋体" w:eastAsia="宋体" w:hint="default"/>
                <w:sz w:val="21"/>
                <w:szCs w:val="21"/>
              </w:rPr>
            </w:pPr>
            <w:r>
              <w:rPr>
                <w:rFonts w:ascii="宋体" w:hAnsi="宋体" w:cs="宋体" w:eastAsia="宋体" w:hint="default"/>
                <w:sz w:val="21"/>
                <w:szCs w:val="21"/>
              </w:rPr>
              <w:t>项目</w:t>
            </w:r>
          </w:p>
        </w:tc>
        <w:tc>
          <w:tcPr>
            <w:tcW w:w="1656"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left="400"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399"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left="27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498"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left="32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58" w:type="dxa"/>
            <w:tcBorders>
              <w:top w:val="single" w:sz="6" w:space="0" w:color="000000"/>
              <w:left w:val="single" w:sz="6" w:space="0" w:color="000000"/>
              <w:bottom w:val="single" w:sz="12" w:space="0" w:color="000000"/>
              <w:right w:val="nil" w:sz="6" w:space="0" w:color="auto"/>
            </w:tcBorders>
          </w:tcPr>
          <w:p>
            <w:pPr>
              <w:pStyle w:val="TableParagraph"/>
              <w:spacing w:line="250" w:lineRule="exact"/>
              <w:ind w:left="400"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312" w:hRule="exact"/>
        </w:trPr>
        <w:tc>
          <w:tcPr>
            <w:tcW w:w="2580"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4" w:right="0"/>
              <w:jc w:val="left"/>
              <w:rPr>
                <w:rFonts w:ascii="宋体" w:hAnsi="宋体" w:cs="宋体" w:eastAsia="宋体" w:hint="default"/>
                <w:sz w:val="21"/>
                <w:szCs w:val="21"/>
              </w:rPr>
            </w:pPr>
            <w:r>
              <w:rPr>
                <w:rFonts w:ascii="宋体" w:hAnsi="宋体" w:cs="宋体" w:eastAsia="宋体" w:hint="default"/>
                <w:sz w:val="21"/>
                <w:szCs w:val="21"/>
              </w:rPr>
              <w:t>股本溢价</w:t>
            </w:r>
          </w:p>
        </w:tc>
        <w:tc>
          <w:tcPr>
            <w:tcW w:w="1656"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132,980,990.76</w:t>
            </w:r>
          </w:p>
        </w:tc>
        <w:tc>
          <w:tcPr>
            <w:tcW w:w="1399"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498"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left="271" w:right="0"/>
              <w:jc w:val="left"/>
              <w:rPr>
                <w:rFonts w:ascii="Times New Roman" w:hAnsi="Times New Roman" w:cs="Times New Roman" w:eastAsia="Times New Roman" w:hint="default"/>
                <w:sz w:val="21"/>
                <w:szCs w:val="21"/>
              </w:rPr>
            </w:pPr>
            <w:r>
              <w:rPr>
                <w:rFonts w:ascii="Times New Roman"/>
                <w:sz w:val="21"/>
              </w:rPr>
              <w:t>70,400,000.00</w:t>
            </w:r>
          </w:p>
        </w:tc>
        <w:tc>
          <w:tcPr>
            <w:tcW w:w="1658"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left="431" w:right="0"/>
              <w:jc w:val="left"/>
              <w:rPr>
                <w:rFonts w:ascii="Times New Roman" w:hAnsi="Times New Roman" w:cs="Times New Roman" w:eastAsia="Times New Roman" w:hint="default"/>
                <w:sz w:val="21"/>
                <w:szCs w:val="21"/>
              </w:rPr>
            </w:pPr>
            <w:r>
              <w:rPr>
                <w:rFonts w:ascii="Times New Roman"/>
                <w:sz w:val="21"/>
              </w:rPr>
              <w:t>62,580,990.76</w:t>
            </w:r>
          </w:p>
        </w:tc>
      </w:tr>
      <w:tr>
        <w:trPr>
          <w:trHeight w:val="314" w:hRule="exact"/>
        </w:trPr>
        <w:tc>
          <w:tcPr>
            <w:tcW w:w="2580"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right="1067"/>
              <w:jc w:val="right"/>
              <w:rPr>
                <w:rFonts w:ascii="宋体" w:hAnsi="宋体" w:cs="宋体" w:eastAsia="宋体" w:hint="default"/>
                <w:sz w:val="21"/>
                <w:szCs w:val="21"/>
              </w:rPr>
            </w:pPr>
            <w:r>
              <w:rPr>
                <w:rFonts w:ascii="宋体" w:hAnsi="宋体" w:cs="宋体" w:eastAsia="宋体" w:hint="default"/>
                <w:sz w:val="21"/>
                <w:szCs w:val="21"/>
              </w:rPr>
              <w:t>合计</w:t>
            </w:r>
          </w:p>
        </w:tc>
        <w:tc>
          <w:tcPr>
            <w:tcW w:w="1656"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132,980,990.76</w:t>
            </w:r>
          </w:p>
        </w:tc>
        <w:tc>
          <w:tcPr>
            <w:tcW w:w="1399"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498"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left="271" w:right="0"/>
              <w:jc w:val="left"/>
              <w:rPr>
                <w:rFonts w:ascii="Times New Roman" w:hAnsi="Times New Roman" w:cs="Times New Roman" w:eastAsia="Times New Roman" w:hint="default"/>
                <w:sz w:val="21"/>
                <w:szCs w:val="21"/>
              </w:rPr>
            </w:pPr>
            <w:r>
              <w:rPr>
                <w:rFonts w:ascii="Times New Roman"/>
                <w:sz w:val="21"/>
              </w:rPr>
              <w:t>70,400,000.00</w:t>
            </w:r>
          </w:p>
        </w:tc>
        <w:tc>
          <w:tcPr>
            <w:tcW w:w="1658"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left="431" w:right="0"/>
              <w:jc w:val="left"/>
              <w:rPr>
                <w:rFonts w:ascii="Times New Roman" w:hAnsi="Times New Roman" w:cs="Times New Roman" w:eastAsia="Times New Roman" w:hint="default"/>
                <w:sz w:val="21"/>
                <w:szCs w:val="21"/>
              </w:rPr>
            </w:pPr>
            <w:r>
              <w:rPr>
                <w:rFonts w:ascii="Times New Roman"/>
                <w:sz w:val="21"/>
              </w:rPr>
              <w:t>62,580,990.76</w:t>
            </w:r>
          </w:p>
        </w:tc>
      </w:tr>
    </w:tbl>
    <w:p>
      <w:pPr>
        <w:spacing w:line="240" w:lineRule="auto" w:before="3"/>
        <w:rPr>
          <w:rFonts w:ascii="宋体" w:hAnsi="宋体" w:cs="宋体" w:eastAsia="宋体" w:hint="default"/>
          <w:b/>
          <w:bCs/>
          <w:sz w:val="8"/>
          <w:szCs w:val="8"/>
        </w:rPr>
      </w:pPr>
    </w:p>
    <w:p>
      <w:pPr>
        <w:pStyle w:val="Heading5"/>
        <w:spacing w:line="240" w:lineRule="auto" w:before="36"/>
        <w:ind w:left="580" w:right="0"/>
        <w:jc w:val="left"/>
        <w:rPr>
          <w:b w:val="0"/>
          <w:bCs w:val="0"/>
        </w:rPr>
      </w:pPr>
      <w:r>
        <w:rPr/>
        <w:t>本期资本公积变动说明：</w:t>
      </w:r>
      <w:r>
        <w:rPr>
          <w:b w:val="0"/>
          <w:bCs w:val="0"/>
        </w:rPr>
      </w:r>
    </w:p>
    <w:p>
      <w:pPr>
        <w:pStyle w:val="Heading5"/>
        <w:spacing w:line="256" w:lineRule="auto" w:before="37"/>
        <w:ind w:right="0" w:firstLine="427"/>
        <w:jc w:val="left"/>
        <w:rPr>
          <w:b w:val="0"/>
          <w:bCs w:val="0"/>
        </w:rPr>
      </w:pPr>
      <w:r>
        <w:rPr>
          <w:rFonts w:ascii="Times New Roman" w:hAnsi="Times New Roman" w:cs="Times New Roman" w:eastAsia="Times New Roman" w:hint="default"/>
        </w:rPr>
        <w:t>1</w:t>
      </w:r>
      <w:r>
        <w:rPr/>
        <w:t>、如附注六（二十三）所述，资本公积本期减少的原因是</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6</w:t>
      </w:r>
      <w:r>
        <w:rPr/>
        <w:t>日经</w:t>
      </w:r>
      <w:r>
        <w:rPr>
          <w:rFonts w:ascii="Times New Roman" w:hAnsi="Times New Roman" w:cs="Times New Roman" w:eastAsia="Times New Roman" w:hint="default"/>
        </w:rPr>
        <w:t>2013</w:t>
      </w:r>
      <w:r>
        <w:rPr/>
        <w:t>年度股东大会决议，</w:t>
      </w:r>
      <w:r>
        <w:rPr>
          <w:w w:val="100"/>
        </w:rPr>
        <w:t> </w:t>
      </w:r>
      <w:r>
        <w:rPr/>
        <w:t>公司以资本公积转增股本，减少资本公积</w:t>
      </w:r>
      <w:r>
        <w:rPr>
          <w:rFonts w:ascii="Times New Roman" w:hAnsi="Times New Roman" w:cs="Times New Roman" w:eastAsia="Times New Roman" w:hint="default"/>
        </w:rPr>
        <w:t>7,040.00</w:t>
      </w:r>
      <w:r>
        <w:rPr/>
        <w:t>万元。</w:t>
      </w:r>
      <w:r>
        <w:rPr>
          <w:b w:val="0"/>
          <w:bCs w:val="0"/>
        </w:rPr>
      </w:r>
    </w:p>
    <w:p>
      <w:pPr>
        <w:spacing w:line="240" w:lineRule="auto" w:before="3"/>
        <w:rPr>
          <w:rFonts w:ascii="宋体" w:hAnsi="宋体" w:cs="宋体" w:eastAsia="宋体" w:hint="default"/>
          <w:b/>
          <w:bCs/>
          <w:sz w:val="24"/>
          <w:szCs w:val="24"/>
        </w:rPr>
      </w:pPr>
    </w:p>
    <w:p>
      <w:pPr>
        <w:pStyle w:val="Heading5"/>
        <w:spacing w:line="240" w:lineRule="auto"/>
        <w:ind w:left="580" w:right="0"/>
        <w:jc w:val="left"/>
        <w:rPr>
          <w:b w:val="0"/>
          <w:bCs w:val="0"/>
        </w:rPr>
      </w:pPr>
      <w:r>
        <w:rPr/>
        <w:t>（二十五）盈余公积</w:t>
      </w:r>
      <w:r>
        <w:rPr>
          <w:b w:val="0"/>
          <w:bCs w:val="0"/>
        </w:rPr>
      </w:r>
    </w:p>
    <w:p>
      <w:pPr>
        <w:spacing w:line="240" w:lineRule="auto" w:before="10"/>
        <w:rPr>
          <w:rFonts w:ascii="宋体" w:hAnsi="宋体" w:cs="宋体" w:eastAsia="宋体" w:hint="default"/>
          <w:b/>
          <w:bCs/>
          <w:sz w:val="3"/>
          <w:szCs w:val="3"/>
        </w:rPr>
      </w:pPr>
    </w:p>
    <w:tbl>
      <w:tblPr>
        <w:tblW w:w="0" w:type="auto"/>
        <w:jc w:val="left"/>
        <w:tblInd w:w="145" w:type="dxa"/>
        <w:tblLayout w:type="fixed"/>
        <w:tblCellMar>
          <w:top w:w="0" w:type="dxa"/>
          <w:left w:w="0" w:type="dxa"/>
          <w:bottom w:w="0" w:type="dxa"/>
          <w:right w:w="0" w:type="dxa"/>
        </w:tblCellMar>
        <w:tblLook w:val="01E0"/>
      </w:tblPr>
      <w:tblGrid>
        <w:gridCol w:w="2575"/>
        <w:gridCol w:w="1654"/>
        <w:gridCol w:w="1414"/>
        <w:gridCol w:w="1498"/>
        <w:gridCol w:w="1646"/>
      </w:tblGrid>
      <w:tr>
        <w:trPr>
          <w:trHeight w:val="317" w:hRule="exact"/>
        </w:trPr>
        <w:tc>
          <w:tcPr>
            <w:tcW w:w="2575" w:type="dxa"/>
            <w:tcBorders>
              <w:top w:val="single" w:sz="6" w:space="0" w:color="000000"/>
              <w:left w:val="single" w:sz="6" w:space="0" w:color="000000"/>
              <w:bottom w:val="single" w:sz="12" w:space="0" w:color="000000"/>
              <w:right w:val="single" w:sz="6" w:space="0" w:color="000000"/>
            </w:tcBorders>
          </w:tcPr>
          <w:p>
            <w:pPr>
              <w:pStyle w:val="TableParagraph"/>
              <w:spacing w:line="253" w:lineRule="exact"/>
              <w:ind w:right="1063"/>
              <w:jc w:val="right"/>
              <w:rPr>
                <w:rFonts w:ascii="宋体" w:hAnsi="宋体" w:cs="宋体" w:eastAsia="宋体" w:hint="default"/>
                <w:sz w:val="21"/>
                <w:szCs w:val="21"/>
              </w:rPr>
            </w:pPr>
            <w:r>
              <w:rPr>
                <w:rFonts w:ascii="宋体" w:hAnsi="宋体" w:cs="宋体" w:eastAsia="宋体" w:hint="default"/>
                <w:sz w:val="21"/>
                <w:szCs w:val="21"/>
              </w:rPr>
              <w:t>项目</w:t>
            </w:r>
          </w:p>
        </w:tc>
        <w:tc>
          <w:tcPr>
            <w:tcW w:w="1654" w:type="dxa"/>
            <w:tcBorders>
              <w:top w:val="single" w:sz="6" w:space="0" w:color="000000"/>
              <w:left w:val="single" w:sz="6" w:space="0" w:color="000000"/>
              <w:bottom w:val="single" w:sz="12" w:space="0" w:color="000000"/>
              <w:right w:val="single" w:sz="6" w:space="0" w:color="000000"/>
            </w:tcBorders>
          </w:tcPr>
          <w:p>
            <w:pPr>
              <w:pStyle w:val="TableParagraph"/>
              <w:spacing w:line="253" w:lineRule="exact"/>
              <w:ind w:left="400"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14" w:type="dxa"/>
            <w:tcBorders>
              <w:top w:val="single" w:sz="6" w:space="0" w:color="000000"/>
              <w:left w:val="single" w:sz="6" w:space="0" w:color="000000"/>
              <w:bottom w:val="single" w:sz="12" w:space="0" w:color="000000"/>
              <w:right w:val="single" w:sz="6" w:space="0" w:color="000000"/>
            </w:tcBorders>
          </w:tcPr>
          <w:p>
            <w:pPr>
              <w:pStyle w:val="TableParagraph"/>
              <w:spacing w:line="253" w:lineRule="exact"/>
              <w:ind w:left="278"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498" w:type="dxa"/>
            <w:tcBorders>
              <w:top w:val="single" w:sz="6" w:space="0" w:color="000000"/>
              <w:left w:val="single" w:sz="6" w:space="0" w:color="000000"/>
              <w:bottom w:val="single" w:sz="12" w:space="0" w:color="000000"/>
              <w:right w:val="single" w:sz="6" w:space="0" w:color="000000"/>
            </w:tcBorders>
          </w:tcPr>
          <w:p>
            <w:pPr>
              <w:pStyle w:val="TableParagraph"/>
              <w:spacing w:line="253" w:lineRule="exact"/>
              <w:ind w:left="32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46" w:type="dxa"/>
            <w:tcBorders>
              <w:top w:val="single" w:sz="6" w:space="0" w:color="000000"/>
              <w:left w:val="single" w:sz="6" w:space="0" w:color="000000"/>
              <w:bottom w:val="single" w:sz="12" w:space="0" w:color="000000"/>
              <w:right w:val="nil" w:sz="6" w:space="0" w:color="auto"/>
            </w:tcBorders>
          </w:tcPr>
          <w:p>
            <w:pPr>
              <w:pStyle w:val="TableParagraph"/>
              <w:spacing w:line="253" w:lineRule="exact"/>
              <w:ind w:left="396"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312" w:hRule="exact"/>
        </w:trPr>
        <w:tc>
          <w:tcPr>
            <w:tcW w:w="2575"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4"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654"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left="427" w:right="0"/>
              <w:jc w:val="left"/>
              <w:rPr>
                <w:rFonts w:ascii="Times New Roman" w:hAnsi="Times New Roman" w:cs="Times New Roman" w:eastAsia="Times New Roman" w:hint="default"/>
                <w:sz w:val="21"/>
                <w:szCs w:val="21"/>
              </w:rPr>
            </w:pPr>
            <w:r>
              <w:rPr>
                <w:rFonts w:ascii="Times New Roman"/>
                <w:sz w:val="21"/>
              </w:rPr>
              <w:t>11,736,079.47</w:t>
            </w:r>
          </w:p>
        </w:tc>
        <w:tc>
          <w:tcPr>
            <w:tcW w:w="1414"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left="295" w:right="-1"/>
              <w:jc w:val="left"/>
              <w:rPr>
                <w:rFonts w:ascii="Times New Roman" w:hAnsi="Times New Roman" w:cs="Times New Roman" w:eastAsia="Times New Roman" w:hint="default"/>
                <w:sz w:val="21"/>
                <w:szCs w:val="21"/>
              </w:rPr>
            </w:pPr>
            <w:r>
              <w:rPr>
                <w:rFonts w:ascii="Times New Roman"/>
                <w:sz w:val="21"/>
              </w:rPr>
              <w:t>2,290,759.50</w:t>
            </w:r>
          </w:p>
        </w:tc>
        <w:tc>
          <w:tcPr>
            <w:tcW w:w="1498"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646"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left="422" w:right="0"/>
              <w:jc w:val="left"/>
              <w:rPr>
                <w:rFonts w:ascii="Times New Roman" w:hAnsi="Times New Roman" w:cs="Times New Roman" w:eastAsia="Times New Roman" w:hint="default"/>
                <w:sz w:val="21"/>
                <w:szCs w:val="21"/>
              </w:rPr>
            </w:pPr>
            <w:r>
              <w:rPr>
                <w:rFonts w:ascii="Times New Roman"/>
                <w:sz w:val="21"/>
              </w:rPr>
              <w:t>14,026,838.97</w:t>
            </w:r>
          </w:p>
        </w:tc>
      </w:tr>
      <w:tr>
        <w:trPr>
          <w:trHeight w:val="314" w:hRule="exact"/>
        </w:trPr>
        <w:tc>
          <w:tcPr>
            <w:tcW w:w="2575"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right="1063"/>
              <w:jc w:val="right"/>
              <w:rPr>
                <w:rFonts w:ascii="宋体" w:hAnsi="宋体" w:cs="宋体" w:eastAsia="宋体" w:hint="default"/>
                <w:sz w:val="21"/>
                <w:szCs w:val="21"/>
              </w:rPr>
            </w:pPr>
            <w:r>
              <w:rPr>
                <w:rFonts w:ascii="宋体" w:hAnsi="宋体" w:cs="宋体" w:eastAsia="宋体" w:hint="default"/>
                <w:sz w:val="21"/>
                <w:szCs w:val="21"/>
              </w:rPr>
              <w:t>合计</w:t>
            </w:r>
          </w:p>
        </w:tc>
        <w:tc>
          <w:tcPr>
            <w:tcW w:w="1654"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left="427" w:right="0"/>
              <w:jc w:val="left"/>
              <w:rPr>
                <w:rFonts w:ascii="Times New Roman" w:hAnsi="Times New Roman" w:cs="Times New Roman" w:eastAsia="Times New Roman" w:hint="default"/>
                <w:sz w:val="21"/>
                <w:szCs w:val="21"/>
              </w:rPr>
            </w:pPr>
            <w:r>
              <w:rPr>
                <w:rFonts w:ascii="Times New Roman"/>
                <w:sz w:val="21"/>
              </w:rPr>
              <w:t>11,736,079.47</w:t>
            </w:r>
          </w:p>
        </w:tc>
        <w:tc>
          <w:tcPr>
            <w:tcW w:w="1414"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left="295" w:right="0"/>
              <w:jc w:val="left"/>
              <w:rPr>
                <w:rFonts w:ascii="Times New Roman" w:hAnsi="Times New Roman" w:cs="Times New Roman" w:eastAsia="Times New Roman" w:hint="default"/>
                <w:sz w:val="21"/>
                <w:szCs w:val="21"/>
              </w:rPr>
            </w:pPr>
            <w:r>
              <w:rPr>
                <w:rFonts w:ascii="Times New Roman"/>
                <w:sz w:val="21"/>
              </w:rPr>
              <w:t>2,290,759.50</w:t>
            </w:r>
          </w:p>
        </w:tc>
        <w:tc>
          <w:tcPr>
            <w:tcW w:w="1498"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646"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left="422" w:right="0"/>
              <w:jc w:val="left"/>
              <w:rPr>
                <w:rFonts w:ascii="Times New Roman" w:hAnsi="Times New Roman" w:cs="Times New Roman" w:eastAsia="Times New Roman" w:hint="default"/>
                <w:sz w:val="21"/>
                <w:szCs w:val="21"/>
              </w:rPr>
            </w:pPr>
            <w:r>
              <w:rPr>
                <w:rFonts w:ascii="Times New Roman"/>
                <w:sz w:val="21"/>
              </w:rPr>
              <w:t>14,026,838.97</w:t>
            </w:r>
          </w:p>
        </w:tc>
      </w:tr>
    </w:tbl>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3"/>
          <w:szCs w:val="23"/>
        </w:rPr>
      </w:pPr>
    </w:p>
    <w:p>
      <w:pPr>
        <w:pStyle w:val="Heading5"/>
        <w:spacing w:line="240" w:lineRule="auto" w:before="36"/>
        <w:ind w:left="580" w:right="0"/>
        <w:jc w:val="left"/>
        <w:rPr>
          <w:b w:val="0"/>
          <w:bCs w:val="0"/>
        </w:rPr>
      </w:pPr>
      <w:r>
        <w:rPr/>
        <w:t>（二十六）未分配利润</w:t>
      </w:r>
      <w:r>
        <w:rPr>
          <w:b w:val="0"/>
          <w:bCs w:val="0"/>
        </w:rPr>
      </w:r>
    </w:p>
    <w:p>
      <w:pPr>
        <w:spacing w:line="240" w:lineRule="auto" w:before="10"/>
        <w:rPr>
          <w:rFonts w:ascii="宋体" w:hAnsi="宋体" w:cs="宋体" w:eastAsia="宋体" w:hint="default"/>
          <w:b/>
          <w:bCs/>
          <w:sz w:val="3"/>
          <w:szCs w:val="3"/>
        </w:rPr>
      </w:pPr>
    </w:p>
    <w:tbl>
      <w:tblPr>
        <w:tblW w:w="0" w:type="auto"/>
        <w:jc w:val="left"/>
        <w:tblInd w:w="145" w:type="dxa"/>
        <w:tblLayout w:type="fixed"/>
        <w:tblCellMar>
          <w:top w:w="0" w:type="dxa"/>
          <w:left w:w="0" w:type="dxa"/>
          <w:bottom w:w="0" w:type="dxa"/>
          <w:right w:w="0" w:type="dxa"/>
        </w:tblCellMar>
        <w:tblLook w:val="01E0"/>
      </w:tblPr>
      <w:tblGrid>
        <w:gridCol w:w="3108"/>
        <w:gridCol w:w="2911"/>
        <w:gridCol w:w="2786"/>
      </w:tblGrid>
      <w:tr>
        <w:trPr>
          <w:trHeight w:val="314" w:hRule="exact"/>
        </w:trPr>
        <w:tc>
          <w:tcPr>
            <w:tcW w:w="3108"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11"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left="7" w:right="0"/>
              <w:jc w:val="center"/>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pacing w:val="65"/>
                <w:sz w:val="21"/>
                <w:szCs w:val="21"/>
              </w:rPr>
              <w:t> </w:t>
            </w:r>
            <w:r>
              <w:rPr>
                <w:rFonts w:ascii="宋体" w:hAnsi="宋体" w:cs="宋体" w:eastAsia="宋体" w:hint="default"/>
                <w:sz w:val="21"/>
                <w:szCs w:val="21"/>
              </w:rPr>
              <w:t>额</w:t>
            </w:r>
          </w:p>
        </w:tc>
        <w:tc>
          <w:tcPr>
            <w:tcW w:w="2786" w:type="dxa"/>
            <w:tcBorders>
              <w:top w:val="single" w:sz="6" w:space="0" w:color="000000"/>
              <w:left w:val="single" w:sz="6" w:space="0" w:color="000000"/>
              <w:bottom w:val="single" w:sz="12" w:space="0" w:color="000000"/>
              <w:right w:val="nil" w:sz="6" w:space="0" w:color="auto"/>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提取或分配比例</w:t>
            </w:r>
          </w:p>
        </w:tc>
      </w:tr>
      <w:tr>
        <w:trPr>
          <w:trHeight w:val="314" w:hRule="exact"/>
        </w:trPr>
        <w:tc>
          <w:tcPr>
            <w:tcW w:w="3108"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4"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p>
        </w:tc>
        <w:tc>
          <w:tcPr>
            <w:tcW w:w="2911"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3"/>
              <w:jc w:val="right"/>
              <w:rPr>
                <w:rFonts w:ascii="Times New Roman" w:hAnsi="Times New Roman" w:cs="Times New Roman" w:eastAsia="Times New Roman" w:hint="default"/>
                <w:sz w:val="21"/>
                <w:szCs w:val="21"/>
              </w:rPr>
            </w:pPr>
            <w:r>
              <w:rPr>
                <w:rFonts w:ascii="Times New Roman"/>
                <w:spacing w:val="-1"/>
                <w:sz w:val="21"/>
              </w:rPr>
              <w:t>86,282,907.86</w:t>
            </w:r>
          </w:p>
        </w:tc>
        <w:tc>
          <w:tcPr>
            <w:tcW w:w="2786" w:type="dxa"/>
            <w:tcBorders>
              <w:top w:val="single" w:sz="12" w:space="0" w:color="000000"/>
              <w:left w:val="single" w:sz="6" w:space="0" w:color="000000"/>
              <w:bottom w:val="single" w:sz="12" w:space="0" w:color="000000"/>
              <w:right w:val="nil" w:sz="6" w:space="0" w:color="auto"/>
            </w:tcBorders>
          </w:tcPr>
          <w:p>
            <w:pPr/>
          </w:p>
        </w:tc>
      </w:tr>
      <w:tr>
        <w:trPr>
          <w:trHeight w:val="312" w:hRule="exact"/>
        </w:trPr>
        <w:tc>
          <w:tcPr>
            <w:tcW w:w="3108"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4" w:right="0"/>
              <w:jc w:val="left"/>
              <w:rPr>
                <w:rFonts w:ascii="宋体" w:hAnsi="宋体" w:cs="宋体" w:eastAsia="宋体" w:hint="default"/>
                <w:sz w:val="21"/>
                <w:szCs w:val="21"/>
              </w:rPr>
            </w:pPr>
            <w:r>
              <w:rPr>
                <w:rFonts w:ascii="宋体" w:hAnsi="宋体" w:cs="宋体" w:eastAsia="宋体" w:hint="default"/>
                <w:sz w:val="21"/>
                <w:szCs w:val="21"/>
              </w:rPr>
              <w:t>调整期初未分配利润合计数</w:t>
            </w:r>
          </w:p>
        </w:tc>
        <w:tc>
          <w:tcPr>
            <w:tcW w:w="2911"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2786" w:type="dxa"/>
            <w:tcBorders>
              <w:top w:val="single" w:sz="12" w:space="0" w:color="000000"/>
              <w:left w:val="single" w:sz="6" w:space="0" w:color="000000"/>
              <w:bottom w:val="single" w:sz="12" w:space="0" w:color="000000"/>
              <w:right w:val="nil" w:sz="6" w:space="0" w:color="auto"/>
            </w:tcBorders>
          </w:tcPr>
          <w:p>
            <w:pPr/>
          </w:p>
        </w:tc>
      </w:tr>
      <w:tr>
        <w:trPr>
          <w:trHeight w:val="314" w:hRule="exact"/>
        </w:trPr>
        <w:tc>
          <w:tcPr>
            <w:tcW w:w="3108"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4"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2911"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3"/>
              <w:jc w:val="right"/>
              <w:rPr>
                <w:rFonts w:ascii="Times New Roman" w:hAnsi="Times New Roman" w:cs="Times New Roman" w:eastAsia="Times New Roman" w:hint="default"/>
                <w:sz w:val="21"/>
                <w:szCs w:val="21"/>
              </w:rPr>
            </w:pPr>
            <w:r>
              <w:rPr>
                <w:rFonts w:ascii="Times New Roman"/>
                <w:spacing w:val="-1"/>
                <w:sz w:val="21"/>
              </w:rPr>
              <w:t>86,282,907.86</w:t>
            </w:r>
          </w:p>
        </w:tc>
        <w:tc>
          <w:tcPr>
            <w:tcW w:w="2786" w:type="dxa"/>
            <w:tcBorders>
              <w:top w:val="single" w:sz="12" w:space="0" w:color="000000"/>
              <w:left w:val="single" w:sz="6" w:space="0" w:color="000000"/>
              <w:bottom w:val="single" w:sz="12" w:space="0" w:color="000000"/>
              <w:right w:val="nil" w:sz="6" w:space="0" w:color="auto"/>
            </w:tcBorders>
          </w:tcPr>
          <w:p>
            <w:pPr/>
          </w:p>
        </w:tc>
      </w:tr>
      <w:tr>
        <w:trPr>
          <w:trHeight w:val="586" w:hRule="exact"/>
        </w:trPr>
        <w:tc>
          <w:tcPr>
            <w:tcW w:w="3108" w:type="dxa"/>
            <w:tcBorders>
              <w:top w:val="single" w:sz="12" w:space="0" w:color="000000"/>
              <w:left w:val="single" w:sz="6" w:space="0" w:color="000000"/>
              <w:bottom w:val="single" w:sz="12" w:space="0" w:color="000000"/>
              <w:right w:val="single" w:sz="6" w:space="0" w:color="000000"/>
            </w:tcBorders>
          </w:tcPr>
          <w:p>
            <w:pPr>
              <w:pStyle w:val="TableParagraph"/>
              <w:spacing w:line="240" w:lineRule="exact"/>
              <w:ind w:left="4" w:right="-3"/>
              <w:jc w:val="left"/>
              <w:rPr>
                <w:rFonts w:ascii="宋体" w:hAnsi="宋体" w:cs="宋体" w:eastAsia="宋体" w:hint="default"/>
                <w:sz w:val="21"/>
                <w:szCs w:val="21"/>
              </w:rPr>
            </w:pPr>
            <w:r>
              <w:rPr>
                <w:rFonts w:ascii="宋体" w:hAnsi="宋体" w:cs="宋体" w:eastAsia="宋体" w:hint="default"/>
                <w:spacing w:val="-6"/>
                <w:sz w:val="21"/>
                <w:szCs w:val="21"/>
              </w:rPr>
              <w:t>加：本期归属于母公司股东的净利</w:t>
            </w:r>
          </w:p>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w w:val="100"/>
                <w:sz w:val="21"/>
                <w:szCs w:val="21"/>
              </w:rPr>
              <w:t>润</w:t>
            </w:r>
          </w:p>
        </w:tc>
        <w:tc>
          <w:tcPr>
            <w:tcW w:w="2911"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3"/>
              <w:jc w:val="right"/>
              <w:rPr>
                <w:rFonts w:ascii="Times New Roman" w:hAnsi="Times New Roman" w:cs="Times New Roman" w:eastAsia="Times New Roman" w:hint="default"/>
                <w:sz w:val="21"/>
                <w:szCs w:val="21"/>
              </w:rPr>
            </w:pPr>
            <w:r>
              <w:rPr>
                <w:rFonts w:ascii="Times New Roman"/>
                <w:spacing w:val="-1"/>
                <w:sz w:val="21"/>
              </w:rPr>
              <w:t>22,523,905.35</w:t>
            </w:r>
          </w:p>
        </w:tc>
        <w:tc>
          <w:tcPr>
            <w:tcW w:w="2786" w:type="dxa"/>
            <w:tcBorders>
              <w:top w:val="single" w:sz="12" w:space="0" w:color="000000"/>
              <w:left w:val="single" w:sz="6" w:space="0" w:color="000000"/>
              <w:bottom w:val="single" w:sz="12" w:space="0" w:color="000000"/>
              <w:right w:val="nil" w:sz="6" w:space="0" w:color="auto"/>
            </w:tcBorders>
          </w:tcPr>
          <w:p>
            <w:pPr/>
          </w:p>
        </w:tc>
      </w:tr>
      <w:tr>
        <w:trPr>
          <w:trHeight w:val="312" w:hRule="exact"/>
        </w:trPr>
        <w:tc>
          <w:tcPr>
            <w:tcW w:w="3108"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4"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911"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3"/>
              <w:jc w:val="right"/>
              <w:rPr>
                <w:rFonts w:ascii="Times New Roman" w:hAnsi="Times New Roman" w:cs="Times New Roman" w:eastAsia="Times New Roman" w:hint="default"/>
                <w:sz w:val="21"/>
                <w:szCs w:val="21"/>
              </w:rPr>
            </w:pPr>
            <w:r>
              <w:rPr>
                <w:rFonts w:ascii="Times New Roman"/>
                <w:spacing w:val="-1"/>
                <w:sz w:val="21"/>
              </w:rPr>
              <w:t>2,290,759.50</w:t>
            </w:r>
          </w:p>
        </w:tc>
        <w:tc>
          <w:tcPr>
            <w:tcW w:w="2786"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1"/>
              <w:jc w:val="center"/>
              <w:rPr>
                <w:rFonts w:ascii="Times New Roman" w:hAnsi="Times New Roman" w:cs="Times New Roman" w:eastAsia="Times New Roman" w:hint="default"/>
                <w:sz w:val="21"/>
                <w:szCs w:val="21"/>
              </w:rPr>
            </w:pPr>
            <w:r>
              <w:rPr>
                <w:rFonts w:ascii="Times New Roman"/>
                <w:sz w:val="21"/>
              </w:rPr>
              <w:t>10%</w:t>
            </w:r>
          </w:p>
        </w:tc>
      </w:tr>
      <w:tr>
        <w:trPr>
          <w:trHeight w:val="314" w:hRule="exact"/>
        </w:trPr>
        <w:tc>
          <w:tcPr>
            <w:tcW w:w="3108"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340"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2911"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4"/>
              <w:jc w:val="right"/>
              <w:rPr>
                <w:rFonts w:ascii="Times New Roman" w:hAnsi="Times New Roman" w:cs="Times New Roman" w:eastAsia="Times New Roman" w:hint="default"/>
                <w:sz w:val="21"/>
                <w:szCs w:val="21"/>
              </w:rPr>
            </w:pPr>
            <w:r>
              <w:rPr>
                <w:rFonts w:ascii="Times New Roman"/>
                <w:spacing w:val="-1"/>
                <w:sz w:val="21"/>
              </w:rPr>
              <w:t>---</w:t>
            </w:r>
          </w:p>
        </w:tc>
        <w:tc>
          <w:tcPr>
            <w:tcW w:w="2786" w:type="dxa"/>
            <w:tcBorders>
              <w:top w:val="single" w:sz="12" w:space="0" w:color="000000"/>
              <w:left w:val="single" w:sz="6" w:space="0" w:color="000000"/>
              <w:bottom w:val="single" w:sz="12" w:space="0" w:color="000000"/>
              <w:right w:val="nil" w:sz="6" w:space="0" w:color="auto"/>
            </w:tcBorders>
          </w:tcPr>
          <w:p>
            <w:pPr/>
          </w:p>
        </w:tc>
      </w:tr>
      <w:tr>
        <w:trPr>
          <w:trHeight w:val="312" w:hRule="exact"/>
        </w:trPr>
        <w:tc>
          <w:tcPr>
            <w:tcW w:w="3108"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340"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911"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3"/>
              <w:jc w:val="right"/>
              <w:rPr>
                <w:rFonts w:ascii="Times New Roman" w:hAnsi="Times New Roman" w:cs="Times New Roman" w:eastAsia="Times New Roman" w:hint="default"/>
                <w:sz w:val="21"/>
                <w:szCs w:val="21"/>
              </w:rPr>
            </w:pPr>
            <w:r>
              <w:rPr>
                <w:rFonts w:ascii="Times New Roman"/>
                <w:spacing w:val="-1"/>
                <w:sz w:val="21"/>
              </w:rPr>
              <w:t>5,280,000.00</w:t>
            </w:r>
          </w:p>
        </w:tc>
        <w:tc>
          <w:tcPr>
            <w:tcW w:w="2786"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2"/>
              <w:jc w:val="center"/>
              <w:rPr>
                <w:rFonts w:ascii="Times New Roman" w:hAnsi="Times New Roman" w:cs="Times New Roman" w:eastAsia="Times New Roman" w:hint="default"/>
                <w:sz w:val="21"/>
                <w:szCs w:val="21"/>
              </w:rPr>
            </w:pPr>
            <w:r>
              <w:rPr>
                <w:rFonts w:ascii="Times New Roman"/>
                <w:w w:val="100"/>
                <w:sz w:val="21"/>
              </w:rPr>
              <w:t>*</w:t>
            </w:r>
          </w:p>
        </w:tc>
      </w:tr>
      <w:tr>
        <w:trPr>
          <w:trHeight w:val="314" w:hRule="exact"/>
        </w:trPr>
        <w:tc>
          <w:tcPr>
            <w:tcW w:w="3108"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340"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2911"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4"/>
              <w:jc w:val="right"/>
              <w:rPr>
                <w:rFonts w:ascii="Times New Roman" w:hAnsi="Times New Roman" w:cs="Times New Roman" w:eastAsia="Times New Roman" w:hint="default"/>
                <w:sz w:val="21"/>
                <w:szCs w:val="21"/>
              </w:rPr>
            </w:pPr>
            <w:r>
              <w:rPr>
                <w:rFonts w:ascii="Times New Roman"/>
                <w:spacing w:val="-1"/>
                <w:sz w:val="21"/>
              </w:rPr>
              <w:t>---</w:t>
            </w:r>
          </w:p>
        </w:tc>
        <w:tc>
          <w:tcPr>
            <w:tcW w:w="2786" w:type="dxa"/>
            <w:tcBorders>
              <w:top w:val="single" w:sz="12" w:space="0" w:color="000000"/>
              <w:left w:val="single" w:sz="6" w:space="0" w:color="000000"/>
              <w:bottom w:val="single" w:sz="12" w:space="0" w:color="000000"/>
              <w:right w:val="nil" w:sz="6" w:space="0" w:color="auto"/>
            </w:tcBorders>
          </w:tcPr>
          <w:p>
            <w:pPr/>
          </w:p>
        </w:tc>
      </w:tr>
    </w:tbl>
    <w:p>
      <w:pPr>
        <w:spacing w:after="0"/>
        <w:sectPr>
          <w:pgSz w:w="11910" w:h="16840"/>
          <w:pgMar w:header="880" w:footer="979" w:top="1060" w:bottom="1160" w:left="980" w:right="980"/>
        </w:sectPr>
      </w:pPr>
    </w:p>
    <w:p>
      <w:pPr>
        <w:spacing w:line="240" w:lineRule="auto" w:before="4"/>
        <w:rPr>
          <w:rFonts w:ascii="宋体" w:hAnsi="宋体" w:cs="宋体" w:eastAsia="宋体" w:hint="default"/>
          <w:b/>
          <w:bCs/>
          <w:sz w:val="28"/>
          <w:szCs w:val="28"/>
        </w:rPr>
      </w:pPr>
    </w:p>
    <w:tbl>
      <w:tblPr>
        <w:tblW w:w="0" w:type="auto"/>
        <w:jc w:val="left"/>
        <w:tblInd w:w="145" w:type="dxa"/>
        <w:tblLayout w:type="fixed"/>
        <w:tblCellMar>
          <w:top w:w="0" w:type="dxa"/>
          <w:left w:w="0" w:type="dxa"/>
          <w:bottom w:w="0" w:type="dxa"/>
          <w:right w:w="0" w:type="dxa"/>
        </w:tblCellMar>
        <w:tblLook w:val="01E0"/>
      </w:tblPr>
      <w:tblGrid>
        <w:gridCol w:w="3108"/>
        <w:gridCol w:w="2911"/>
        <w:gridCol w:w="2786"/>
      </w:tblGrid>
      <w:tr>
        <w:trPr>
          <w:trHeight w:val="317" w:hRule="exact"/>
        </w:trPr>
        <w:tc>
          <w:tcPr>
            <w:tcW w:w="3108"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left="4"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91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
              <w:ind w:left="1583" w:right="-3"/>
              <w:jc w:val="left"/>
              <w:rPr>
                <w:rFonts w:ascii="Times New Roman" w:hAnsi="Times New Roman" w:cs="Times New Roman" w:eastAsia="Times New Roman" w:hint="default"/>
                <w:sz w:val="21"/>
                <w:szCs w:val="21"/>
              </w:rPr>
            </w:pPr>
            <w:r>
              <w:rPr>
                <w:rFonts w:ascii="Times New Roman"/>
                <w:sz w:val="21"/>
              </w:rPr>
              <w:t>101,236,053.71</w:t>
            </w:r>
          </w:p>
        </w:tc>
        <w:tc>
          <w:tcPr>
            <w:tcW w:w="2786" w:type="dxa"/>
            <w:tcBorders>
              <w:top w:val="single" w:sz="6" w:space="0" w:color="000000"/>
              <w:left w:val="single" w:sz="6" w:space="0" w:color="000000"/>
              <w:bottom w:val="single" w:sz="12" w:space="0" w:color="000000"/>
              <w:right w:val="nil" w:sz="6" w:space="0" w:color="auto"/>
            </w:tcBorders>
          </w:tcPr>
          <w:p>
            <w:pPr/>
          </w:p>
        </w:tc>
      </w:tr>
    </w:tbl>
    <w:p>
      <w:pPr>
        <w:spacing w:line="240" w:lineRule="auto" w:before="8"/>
        <w:rPr>
          <w:rFonts w:ascii="宋体" w:hAnsi="宋体" w:cs="宋体" w:eastAsia="宋体" w:hint="default"/>
          <w:b/>
          <w:bCs/>
          <w:sz w:val="14"/>
          <w:szCs w:val="14"/>
        </w:rPr>
      </w:pPr>
    </w:p>
    <w:p>
      <w:pPr>
        <w:pStyle w:val="BodyText"/>
        <w:spacing w:line="256" w:lineRule="auto" w:before="36"/>
        <w:ind w:right="148" w:firstLine="359"/>
        <w:jc w:val="both"/>
      </w:pP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6</w:t>
      </w:r>
      <w:r>
        <w:rPr>
          <w:spacing w:val="-3"/>
        </w:rPr>
        <w:t>日本公司召开</w:t>
      </w:r>
      <w:r>
        <w:rPr>
          <w:rFonts w:ascii="Times New Roman" w:hAnsi="Times New Roman" w:cs="Times New Roman" w:eastAsia="Times New Roman" w:hint="default"/>
          <w:spacing w:val="-3"/>
        </w:rPr>
        <w:t>2013</w:t>
      </w:r>
      <w:r>
        <w:rPr>
          <w:spacing w:val="-3"/>
        </w:rPr>
        <w:t>年度股东大会，决议通过《深圳市方直科技股份有限公司</w:t>
      </w:r>
      <w:r>
        <w:rPr>
          <w:rFonts w:ascii="Times New Roman" w:hAnsi="Times New Roman" w:cs="Times New Roman" w:eastAsia="Times New Roman" w:hint="default"/>
          <w:spacing w:val="-3"/>
        </w:rPr>
        <w:t>2013</w:t>
      </w:r>
      <w:r>
        <w:rPr>
          <w:spacing w:val="-3"/>
        </w:rPr>
        <w:t>年度利润</w:t>
      </w:r>
      <w:r>
        <w:rPr>
          <w:w w:val="100"/>
        </w:rPr>
        <w:t> </w:t>
      </w:r>
      <w:r>
        <w:rPr>
          <w:spacing w:val="-1"/>
        </w:rPr>
        <w:t>分配方案》</w:t>
      </w:r>
      <w:r>
        <w:rPr>
          <w:rFonts w:ascii="Times New Roman" w:hAnsi="Times New Roman" w:cs="Times New Roman" w:eastAsia="Times New Roman" w:hint="default"/>
          <w:spacing w:val="-1"/>
        </w:rPr>
        <w:t>:</w:t>
      </w:r>
      <w:r>
        <w:rPr>
          <w:rFonts w:ascii="Times New Roman" w:hAnsi="Times New Roman" w:cs="Times New Roman" w:eastAsia="Times New Roman" w:hint="default"/>
        </w:rPr>
        <w:t> </w:t>
      </w:r>
      <w:r>
        <w:rPr>
          <w:spacing w:val="-2"/>
        </w:rPr>
        <w:t>公司以总股本</w:t>
      </w:r>
      <w:r>
        <w:rPr>
          <w:rFonts w:ascii="Times New Roman" w:hAnsi="Times New Roman" w:cs="Times New Roman" w:eastAsia="Times New Roman" w:hint="default"/>
          <w:spacing w:val="-2"/>
        </w:rPr>
        <w:t>8,800</w:t>
      </w:r>
      <w:r>
        <w:rPr>
          <w:spacing w:val="-2"/>
        </w:rPr>
        <w:t>万股为基数，向全体股东每</w:t>
      </w:r>
      <w:r>
        <w:rPr>
          <w:rFonts w:ascii="Times New Roman" w:hAnsi="Times New Roman" w:cs="Times New Roman" w:eastAsia="Times New Roman" w:hint="default"/>
          <w:spacing w:val="-2"/>
        </w:rPr>
        <w:t>10</w:t>
      </w:r>
      <w:r>
        <w:rPr>
          <w:spacing w:val="-2"/>
        </w:rPr>
        <w:t>股派发现金红利</w:t>
      </w:r>
      <w:r>
        <w:rPr>
          <w:rFonts w:ascii="Times New Roman" w:hAnsi="Times New Roman" w:cs="Times New Roman" w:eastAsia="Times New Roman" w:hint="default"/>
          <w:spacing w:val="-2"/>
        </w:rPr>
        <w:t>0.60</w:t>
      </w:r>
      <w:r>
        <w:rPr>
          <w:spacing w:val="-2"/>
        </w:rPr>
        <w:t>元（含税）</w:t>
      </w:r>
      <w:r>
        <w:rPr>
          <w:rFonts w:ascii="Times New Roman" w:hAnsi="Times New Roman" w:cs="Times New Roman" w:eastAsia="Times New Roman" w:hint="default"/>
          <w:spacing w:val="-2"/>
        </w:rPr>
        <w:t>,</w:t>
      </w:r>
      <w:r>
        <w:rPr>
          <w:spacing w:val="-2"/>
        </w:rPr>
        <w:t>剩余未分配</w:t>
      </w:r>
      <w:r>
        <w:rPr>
          <w:spacing w:val="-50"/>
        </w:rPr>
        <w:t> </w:t>
      </w:r>
      <w:r>
        <w:rPr>
          <w:spacing w:val="-50"/>
        </w:rPr>
      </w:r>
      <w:r>
        <w:rPr/>
        <w:t>利润结转入下一年度。</w:t>
      </w:r>
    </w:p>
    <w:p>
      <w:pPr>
        <w:spacing w:line="240" w:lineRule="auto" w:before="7"/>
        <w:rPr>
          <w:rFonts w:ascii="宋体" w:hAnsi="宋体" w:cs="宋体" w:eastAsia="宋体" w:hint="default"/>
          <w:sz w:val="25"/>
          <w:szCs w:val="25"/>
        </w:rPr>
      </w:pPr>
    </w:p>
    <w:p>
      <w:pPr>
        <w:pStyle w:val="Heading5"/>
        <w:spacing w:line="240" w:lineRule="auto"/>
        <w:ind w:left="580" w:right="0"/>
        <w:jc w:val="left"/>
        <w:rPr>
          <w:b w:val="0"/>
          <w:bCs w:val="0"/>
        </w:rPr>
      </w:pPr>
      <w:r>
        <w:rPr/>
        <w:t>（二十七）营业收入与营业成本</w:t>
      </w:r>
      <w:r>
        <w:rPr>
          <w:b w:val="0"/>
          <w:bCs w:val="0"/>
        </w:rPr>
      </w:r>
    </w:p>
    <w:p>
      <w:pPr>
        <w:pStyle w:val="Heading5"/>
        <w:spacing w:line="240" w:lineRule="auto" w:before="37"/>
        <w:ind w:left="580" w:right="0"/>
        <w:jc w:val="left"/>
        <w:rPr>
          <w:b w:val="0"/>
          <w:bCs w:val="0"/>
        </w:rPr>
      </w:pPr>
      <w:r>
        <w:rPr>
          <w:rFonts w:ascii="Times New Roman" w:hAnsi="Times New Roman" w:cs="Times New Roman" w:eastAsia="Times New Roman" w:hint="default"/>
        </w:rPr>
        <w:t>1</w:t>
      </w:r>
      <w:r>
        <w:rPr/>
        <w:t>、营业收入与营业成本分类情况</w:t>
      </w:r>
      <w:r>
        <w:rPr>
          <w:b w:val="0"/>
          <w:bCs w:val="0"/>
        </w:rPr>
      </w:r>
    </w:p>
    <w:p>
      <w:pPr>
        <w:spacing w:line="240" w:lineRule="auto" w:before="8"/>
        <w:rPr>
          <w:rFonts w:ascii="宋体" w:hAnsi="宋体" w:cs="宋体" w:eastAsia="宋体" w:hint="default"/>
          <w:b/>
          <w:bCs/>
          <w:sz w:val="2"/>
          <w:szCs w:val="2"/>
        </w:rPr>
      </w:pPr>
    </w:p>
    <w:tbl>
      <w:tblPr>
        <w:tblW w:w="0" w:type="auto"/>
        <w:jc w:val="left"/>
        <w:tblInd w:w="145" w:type="dxa"/>
        <w:tblLayout w:type="fixed"/>
        <w:tblCellMar>
          <w:top w:w="0" w:type="dxa"/>
          <w:left w:w="0" w:type="dxa"/>
          <w:bottom w:w="0" w:type="dxa"/>
          <w:right w:w="0" w:type="dxa"/>
        </w:tblCellMar>
        <w:tblLook w:val="01E0"/>
      </w:tblPr>
      <w:tblGrid>
        <w:gridCol w:w="3122"/>
        <w:gridCol w:w="2911"/>
        <w:gridCol w:w="2798"/>
      </w:tblGrid>
      <w:tr>
        <w:trPr>
          <w:trHeight w:val="314" w:hRule="exact"/>
        </w:trPr>
        <w:tc>
          <w:tcPr>
            <w:tcW w:w="3122"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11"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left="92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98" w:type="dxa"/>
            <w:tcBorders>
              <w:top w:val="single" w:sz="6" w:space="0" w:color="000000"/>
              <w:left w:val="single" w:sz="6" w:space="0" w:color="000000"/>
              <w:bottom w:val="single" w:sz="12" w:space="0" w:color="000000"/>
              <w:right w:val="nil" w:sz="6" w:space="0" w:color="auto"/>
            </w:tcBorders>
          </w:tcPr>
          <w:p>
            <w:pPr>
              <w:pStyle w:val="TableParagraph"/>
              <w:spacing w:line="250" w:lineRule="exact"/>
              <w:ind w:left="86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14" w:hRule="exact"/>
        </w:trPr>
        <w:tc>
          <w:tcPr>
            <w:tcW w:w="3122"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4"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911"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82,827,812.22</w:t>
            </w:r>
          </w:p>
        </w:tc>
        <w:tc>
          <w:tcPr>
            <w:tcW w:w="2798"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5"/>
              <w:jc w:val="right"/>
              <w:rPr>
                <w:rFonts w:ascii="Times New Roman" w:hAnsi="Times New Roman" w:cs="Times New Roman" w:eastAsia="Times New Roman" w:hint="default"/>
                <w:sz w:val="21"/>
                <w:szCs w:val="21"/>
              </w:rPr>
            </w:pPr>
            <w:r>
              <w:rPr>
                <w:rFonts w:ascii="Times New Roman"/>
                <w:spacing w:val="-1"/>
                <w:sz w:val="21"/>
              </w:rPr>
              <w:t>75,089,058.91</w:t>
            </w:r>
          </w:p>
        </w:tc>
      </w:tr>
      <w:tr>
        <w:trPr>
          <w:trHeight w:val="312" w:hRule="exact"/>
        </w:trPr>
        <w:tc>
          <w:tcPr>
            <w:tcW w:w="3122"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4" w:right="0"/>
              <w:jc w:val="left"/>
              <w:rPr>
                <w:rFonts w:ascii="宋体" w:hAnsi="宋体" w:cs="宋体" w:eastAsia="宋体" w:hint="default"/>
                <w:sz w:val="21"/>
                <w:szCs w:val="21"/>
              </w:rPr>
            </w:pPr>
            <w:r>
              <w:rPr>
                <w:rFonts w:ascii="宋体" w:hAnsi="宋体" w:cs="宋体" w:eastAsia="宋体" w:hint="default"/>
                <w:sz w:val="21"/>
                <w:szCs w:val="21"/>
              </w:rPr>
              <w:t>其中：主营业务收入</w:t>
            </w:r>
          </w:p>
        </w:tc>
        <w:tc>
          <w:tcPr>
            <w:tcW w:w="2911"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3"/>
              <w:jc w:val="right"/>
              <w:rPr>
                <w:rFonts w:ascii="Times New Roman" w:hAnsi="Times New Roman" w:cs="Times New Roman" w:eastAsia="Times New Roman" w:hint="default"/>
                <w:sz w:val="21"/>
                <w:szCs w:val="21"/>
              </w:rPr>
            </w:pPr>
            <w:r>
              <w:rPr>
                <w:rFonts w:ascii="Times New Roman"/>
                <w:spacing w:val="-1"/>
                <w:sz w:val="21"/>
              </w:rPr>
              <w:t>82,827,812.22</w:t>
            </w:r>
          </w:p>
        </w:tc>
        <w:tc>
          <w:tcPr>
            <w:tcW w:w="2798"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5"/>
              <w:jc w:val="right"/>
              <w:rPr>
                <w:rFonts w:ascii="Times New Roman" w:hAnsi="Times New Roman" w:cs="Times New Roman" w:eastAsia="Times New Roman" w:hint="default"/>
                <w:sz w:val="21"/>
                <w:szCs w:val="21"/>
              </w:rPr>
            </w:pPr>
            <w:r>
              <w:rPr>
                <w:rFonts w:ascii="Times New Roman"/>
                <w:spacing w:val="-1"/>
                <w:sz w:val="21"/>
              </w:rPr>
              <w:t>75,089,058.91</w:t>
            </w:r>
          </w:p>
        </w:tc>
      </w:tr>
      <w:tr>
        <w:trPr>
          <w:trHeight w:val="312" w:hRule="exact"/>
        </w:trPr>
        <w:tc>
          <w:tcPr>
            <w:tcW w:w="3122"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544"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2911"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2798"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6"/>
              <w:jc w:val="right"/>
              <w:rPr>
                <w:rFonts w:ascii="Times New Roman" w:hAnsi="Times New Roman" w:cs="Times New Roman" w:eastAsia="Times New Roman" w:hint="default"/>
                <w:sz w:val="21"/>
                <w:szCs w:val="21"/>
              </w:rPr>
            </w:pPr>
            <w:r>
              <w:rPr>
                <w:rFonts w:ascii="Times New Roman"/>
                <w:spacing w:val="-1"/>
                <w:sz w:val="21"/>
              </w:rPr>
              <w:t>---</w:t>
            </w:r>
          </w:p>
        </w:tc>
      </w:tr>
      <w:tr>
        <w:trPr>
          <w:trHeight w:val="314" w:hRule="exact"/>
        </w:trPr>
        <w:tc>
          <w:tcPr>
            <w:tcW w:w="3122"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4"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911"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21,566,659.94</w:t>
            </w:r>
          </w:p>
        </w:tc>
        <w:tc>
          <w:tcPr>
            <w:tcW w:w="2798"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5"/>
              <w:jc w:val="right"/>
              <w:rPr>
                <w:rFonts w:ascii="Times New Roman" w:hAnsi="Times New Roman" w:cs="Times New Roman" w:eastAsia="Times New Roman" w:hint="default"/>
                <w:sz w:val="21"/>
                <w:szCs w:val="21"/>
              </w:rPr>
            </w:pPr>
            <w:r>
              <w:rPr>
                <w:rFonts w:ascii="Times New Roman"/>
                <w:spacing w:val="-1"/>
                <w:sz w:val="21"/>
              </w:rPr>
              <w:t>21,047,545.62</w:t>
            </w:r>
          </w:p>
        </w:tc>
      </w:tr>
      <w:tr>
        <w:trPr>
          <w:trHeight w:val="312" w:hRule="exact"/>
        </w:trPr>
        <w:tc>
          <w:tcPr>
            <w:tcW w:w="3122"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4" w:right="0"/>
              <w:jc w:val="left"/>
              <w:rPr>
                <w:rFonts w:ascii="宋体" w:hAnsi="宋体" w:cs="宋体" w:eastAsia="宋体" w:hint="default"/>
                <w:sz w:val="21"/>
                <w:szCs w:val="21"/>
              </w:rPr>
            </w:pPr>
            <w:r>
              <w:rPr>
                <w:rFonts w:ascii="宋体" w:hAnsi="宋体" w:cs="宋体" w:eastAsia="宋体" w:hint="default"/>
                <w:sz w:val="21"/>
                <w:szCs w:val="21"/>
              </w:rPr>
              <w:t>其中：主营业务成本</w:t>
            </w:r>
          </w:p>
        </w:tc>
        <w:tc>
          <w:tcPr>
            <w:tcW w:w="2911"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3"/>
              <w:jc w:val="right"/>
              <w:rPr>
                <w:rFonts w:ascii="Times New Roman" w:hAnsi="Times New Roman" w:cs="Times New Roman" w:eastAsia="Times New Roman" w:hint="default"/>
                <w:sz w:val="21"/>
                <w:szCs w:val="21"/>
              </w:rPr>
            </w:pPr>
            <w:r>
              <w:rPr>
                <w:rFonts w:ascii="Times New Roman"/>
                <w:spacing w:val="-1"/>
                <w:sz w:val="21"/>
              </w:rPr>
              <w:t>21,566,659.94</w:t>
            </w:r>
          </w:p>
        </w:tc>
        <w:tc>
          <w:tcPr>
            <w:tcW w:w="2798"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5"/>
              <w:jc w:val="right"/>
              <w:rPr>
                <w:rFonts w:ascii="Times New Roman" w:hAnsi="Times New Roman" w:cs="Times New Roman" w:eastAsia="Times New Roman" w:hint="default"/>
                <w:sz w:val="21"/>
                <w:szCs w:val="21"/>
              </w:rPr>
            </w:pPr>
            <w:r>
              <w:rPr>
                <w:rFonts w:ascii="Times New Roman"/>
                <w:spacing w:val="-1"/>
                <w:sz w:val="21"/>
              </w:rPr>
              <w:t>21,047,545.62</w:t>
            </w:r>
          </w:p>
        </w:tc>
      </w:tr>
      <w:tr>
        <w:trPr>
          <w:trHeight w:val="314" w:hRule="exact"/>
        </w:trPr>
        <w:tc>
          <w:tcPr>
            <w:tcW w:w="3122"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508" w:right="0"/>
              <w:jc w:val="left"/>
              <w:rPr>
                <w:rFonts w:ascii="宋体" w:hAnsi="宋体" w:cs="宋体" w:eastAsia="宋体" w:hint="default"/>
                <w:sz w:val="21"/>
                <w:szCs w:val="21"/>
              </w:rPr>
            </w:pPr>
            <w:r>
              <w:rPr>
                <w:rFonts w:ascii="宋体" w:hAnsi="宋体" w:cs="宋体" w:eastAsia="宋体" w:hint="default"/>
                <w:sz w:val="21"/>
                <w:szCs w:val="21"/>
              </w:rPr>
              <w:t>其他业务成本</w:t>
            </w:r>
          </w:p>
        </w:tc>
        <w:tc>
          <w:tcPr>
            <w:tcW w:w="2911"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2798"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6"/>
              <w:jc w:val="right"/>
              <w:rPr>
                <w:rFonts w:ascii="Times New Roman" w:hAnsi="Times New Roman" w:cs="Times New Roman" w:eastAsia="Times New Roman" w:hint="default"/>
                <w:sz w:val="21"/>
                <w:szCs w:val="21"/>
              </w:rPr>
            </w:pPr>
            <w:r>
              <w:rPr>
                <w:rFonts w:ascii="Times New Roman"/>
                <w:spacing w:val="-1"/>
                <w:sz w:val="21"/>
              </w:rPr>
              <w:t>---</w:t>
            </w:r>
          </w:p>
        </w:tc>
      </w:tr>
    </w:tbl>
    <w:p>
      <w:pPr>
        <w:spacing w:line="240" w:lineRule="auto" w:before="2"/>
        <w:rPr>
          <w:rFonts w:ascii="宋体" w:hAnsi="宋体" w:cs="宋体" w:eastAsia="宋体" w:hint="default"/>
          <w:b/>
          <w:bCs/>
          <w:sz w:val="20"/>
          <w:szCs w:val="20"/>
        </w:rPr>
      </w:pPr>
    </w:p>
    <w:p>
      <w:pPr>
        <w:pStyle w:val="Heading5"/>
        <w:spacing w:line="240" w:lineRule="auto" w:before="36"/>
        <w:ind w:left="580" w:right="0"/>
        <w:jc w:val="left"/>
        <w:rPr>
          <w:b w:val="0"/>
          <w:bCs w:val="0"/>
        </w:rPr>
      </w:pPr>
      <w:r>
        <w:rPr>
          <w:rFonts w:ascii="Times New Roman" w:hAnsi="Times New Roman" w:cs="Times New Roman" w:eastAsia="Times New Roman" w:hint="default"/>
        </w:rPr>
        <w:t>2</w:t>
      </w:r>
      <w:r>
        <w:rPr/>
        <w:t>、本公司前五名客户的营业收入情况</w:t>
      </w:r>
      <w:r>
        <w:rPr>
          <w:b w:val="0"/>
          <w:bCs w:val="0"/>
        </w:rPr>
      </w:r>
    </w:p>
    <w:p>
      <w:pPr>
        <w:spacing w:line="240" w:lineRule="auto" w:before="8"/>
        <w:rPr>
          <w:rFonts w:ascii="宋体" w:hAnsi="宋体" w:cs="宋体" w:eastAsia="宋体" w:hint="default"/>
          <w:b/>
          <w:bCs/>
          <w:sz w:val="2"/>
          <w:szCs w:val="2"/>
        </w:rPr>
      </w:pPr>
    </w:p>
    <w:tbl>
      <w:tblPr>
        <w:tblW w:w="0" w:type="auto"/>
        <w:jc w:val="left"/>
        <w:tblInd w:w="145" w:type="dxa"/>
        <w:tblLayout w:type="fixed"/>
        <w:tblCellMar>
          <w:top w:w="0" w:type="dxa"/>
          <w:left w:w="0" w:type="dxa"/>
          <w:bottom w:w="0" w:type="dxa"/>
          <w:right w:w="0" w:type="dxa"/>
        </w:tblCellMar>
        <w:tblLook w:val="01E0"/>
      </w:tblPr>
      <w:tblGrid>
        <w:gridCol w:w="3122"/>
        <w:gridCol w:w="2897"/>
        <w:gridCol w:w="2801"/>
      </w:tblGrid>
      <w:tr>
        <w:trPr>
          <w:trHeight w:val="557" w:hRule="exact"/>
        </w:trPr>
        <w:tc>
          <w:tcPr>
            <w:tcW w:w="3122" w:type="dxa"/>
            <w:tcBorders>
              <w:top w:val="single" w:sz="6" w:space="0" w:color="000000"/>
              <w:left w:val="single" w:sz="6" w:space="0" w:color="000000"/>
              <w:bottom w:val="single" w:sz="12" w:space="0" w:color="000000"/>
              <w:right w:val="single" w:sz="6" w:space="0" w:color="000000"/>
            </w:tcBorders>
          </w:tcPr>
          <w:p>
            <w:pPr>
              <w:pStyle w:val="TableParagraph"/>
              <w:spacing w:line="253" w:lineRule="exact"/>
              <w:ind w:left="4"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2897" w:type="dxa"/>
            <w:tcBorders>
              <w:top w:val="single" w:sz="6" w:space="0" w:color="000000"/>
              <w:left w:val="single" w:sz="6" w:space="0" w:color="000000"/>
              <w:bottom w:val="single" w:sz="12" w:space="0" w:color="000000"/>
              <w:right w:val="single" w:sz="6" w:space="0" w:color="000000"/>
            </w:tcBorders>
          </w:tcPr>
          <w:p>
            <w:pPr>
              <w:pStyle w:val="TableParagraph"/>
              <w:spacing w:line="253" w:lineRule="exact"/>
              <w:ind w:left="813" w:right="0"/>
              <w:jc w:val="left"/>
              <w:rPr>
                <w:rFonts w:ascii="宋体" w:hAnsi="宋体" w:cs="宋体" w:eastAsia="宋体" w:hint="default"/>
                <w:sz w:val="21"/>
                <w:szCs w:val="21"/>
              </w:rPr>
            </w:pPr>
            <w:r>
              <w:rPr>
                <w:rFonts w:ascii="宋体" w:hAnsi="宋体" w:cs="宋体" w:eastAsia="宋体" w:hint="default"/>
                <w:sz w:val="21"/>
                <w:szCs w:val="21"/>
              </w:rPr>
              <w:t>营业收入总额</w:t>
            </w:r>
          </w:p>
        </w:tc>
        <w:tc>
          <w:tcPr>
            <w:tcW w:w="2801" w:type="dxa"/>
            <w:tcBorders>
              <w:top w:val="single" w:sz="6" w:space="0" w:color="000000"/>
              <w:left w:val="single" w:sz="6" w:space="0" w:color="000000"/>
              <w:bottom w:val="single" w:sz="12" w:space="0" w:color="000000"/>
              <w:right w:val="nil" w:sz="6" w:space="0" w:color="auto"/>
            </w:tcBorders>
          </w:tcPr>
          <w:p>
            <w:pPr>
              <w:pStyle w:val="TableParagraph"/>
              <w:spacing w:line="253" w:lineRule="exact"/>
              <w:ind w:right="4"/>
              <w:jc w:val="center"/>
              <w:rPr>
                <w:rFonts w:ascii="宋体" w:hAnsi="宋体" w:cs="宋体" w:eastAsia="宋体" w:hint="default"/>
                <w:sz w:val="21"/>
                <w:szCs w:val="21"/>
              </w:rPr>
            </w:pPr>
            <w:r>
              <w:rPr>
                <w:rFonts w:ascii="宋体" w:hAnsi="宋体" w:cs="宋体" w:eastAsia="宋体" w:hint="default"/>
                <w:sz w:val="21"/>
                <w:szCs w:val="21"/>
              </w:rPr>
              <w:t>占公司全部营业收入的比例</w:t>
            </w:r>
          </w:p>
          <w:p>
            <w:pPr>
              <w:pStyle w:val="TableParagraph"/>
              <w:spacing w:line="240" w:lineRule="auto" w:before="24"/>
              <w:ind w:right="4"/>
              <w:jc w:val="center"/>
              <w:rPr>
                <w:rFonts w:ascii="Times New Roman" w:hAnsi="Times New Roman" w:cs="Times New Roman" w:eastAsia="Times New Roman" w:hint="default"/>
                <w:sz w:val="21"/>
                <w:szCs w:val="21"/>
              </w:rPr>
            </w:pPr>
            <w:r>
              <w:rPr>
                <w:rFonts w:ascii="Times New Roman"/>
                <w:sz w:val="21"/>
              </w:rPr>
              <w:t>(%)</w:t>
            </w:r>
          </w:p>
        </w:tc>
      </w:tr>
      <w:tr>
        <w:trPr>
          <w:trHeight w:val="314" w:hRule="exact"/>
        </w:trPr>
        <w:tc>
          <w:tcPr>
            <w:tcW w:w="3122"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4" w:right="0"/>
              <w:jc w:val="left"/>
              <w:rPr>
                <w:rFonts w:ascii="宋体" w:hAnsi="宋体" w:cs="宋体" w:eastAsia="宋体" w:hint="default"/>
                <w:sz w:val="21"/>
                <w:szCs w:val="21"/>
              </w:rPr>
            </w:pPr>
            <w:r>
              <w:rPr>
                <w:rFonts w:ascii="宋体" w:hAnsi="宋体" w:cs="宋体" w:eastAsia="宋体" w:hint="default"/>
                <w:sz w:val="21"/>
                <w:szCs w:val="21"/>
              </w:rPr>
              <w:t>广东教育书店有限公司</w:t>
            </w:r>
          </w:p>
        </w:tc>
        <w:tc>
          <w:tcPr>
            <w:tcW w:w="2897"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11,533,360.42</w:t>
            </w:r>
          </w:p>
        </w:tc>
        <w:tc>
          <w:tcPr>
            <w:tcW w:w="2801"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5"/>
              <w:jc w:val="right"/>
              <w:rPr>
                <w:rFonts w:ascii="Times New Roman" w:hAnsi="Times New Roman" w:cs="Times New Roman" w:eastAsia="Times New Roman" w:hint="default"/>
                <w:sz w:val="21"/>
                <w:szCs w:val="21"/>
              </w:rPr>
            </w:pPr>
            <w:r>
              <w:rPr>
                <w:rFonts w:ascii="Times New Roman"/>
                <w:sz w:val="21"/>
              </w:rPr>
              <w:t>13.92</w:t>
            </w:r>
          </w:p>
        </w:tc>
      </w:tr>
      <w:tr>
        <w:trPr>
          <w:trHeight w:val="312" w:hRule="exact"/>
        </w:trPr>
        <w:tc>
          <w:tcPr>
            <w:tcW w:w="3122"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4" w:right="0"/>
              <w:jc w:val="left"/>
              <w:rPr>
                <w:rFonts w:ascii="宋体" w:hAnsi="宋体" w:cs="宋体" w:eastAsia="宋体" w:hint="default"/>
                <w:sz w:val="21"/>
                <w:szCs w:val="21"/>
              </w:rPr>
            </w:pPr>
            <w:r>
              <w:rPr>
                <w:rFonts w:ascii="宋体" w:hAnsi="宋体" w:cs="宋体" w:eastAsia="宋体" w:hint="default"/>
                <w:sz w:val="21"/>
                <w:szCs w:val="21"/>
              </w:rPr>
              <w:t>广东教育出版社有限公司</w:t>
            </w:r>
          </w:p>
        </w:tc>
        <w:tc>
          <w:tcPr>
            <w:tcW w:w="2897"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6,492,775.21</w:t>
            </w:r>
          </w:p>
        </w:tc>
        <w:tc>
          <w:tcPr>
            <w:tcW w:w="2801"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5"/>
              <w:jc w:val="right"/>
              <w:rPr>
                <w:rFonts w:ascii="Times New Roman" w:hAnsi="Times New Roman" w:cs="Times New Roman" w:eastAsia="Times New Roman" w:hint="default"/>
                <w:sz w:val="21"/>
                <w:szCs w:val="21"/>
              </w:rPr>
            </w:pPr>
            <w:r>
              <w:rPr>
                <w:rFonts w:ascii="Times New Roman"/>
                <w:sz w:val="21"/>
              </w:rPr>
              <w:t>7.84</w:t>
            </w:r>
          </w:p>
        </w:tc>
      </w:tr>
      <w:tr>
        <w:trPr>
          <w:trHeight w:val="586" w:hRule="exact"/>
        </w:trPr>
        <w:tc>
          <w:tcPr>
            <w:tcW w:w="3122" w:type="dxa"/>
            <w:tcBorders>
              <w:top w:val="single" w:sz="12" w:space="0" w:color="000000"/>
              <w:left w:val="single" w:sz="6" w:space="0" w:color="000000"/>
              <w:bottom w:val="single" w:sz="12" w:space="0" w:color="000000"/>
              <w:right w:val="single" w:sz="6" w:space="0" w:color="000000"/>
            </w:tcBorders>
          </w:tcPr>
          <w:p>
            <w:pPr>
              <w:pStyle w:val="TableParagraph"/>
              <w:spacing w:line="240" w:lineRule="exact"/>
              <w:ind w:left="4" w:right="-15"/>
              <w:jc w:val="left"/>
              <w:rPr>
                <w:rFonts w:ascii="宋体" w:hAnsi="宋体" w:cs="宋体" w:eastAsia="宋体" w:hint="default"/>
                <w:sz w:val="21"/>
                <w:szCs w:val="21"/>
              </w:rPr>
            </w:pPr>
            <w:r>
              <w:rPr>
                <w:rFonts w:ascii="宋体" w:hAnsi="宋体" w:cs="宋体" w:eastAsia="宋体" w:hint="default"/>
                <w:spacing w:val="10"/>
                <w:sz w:val="21"/>
                <w:szCs w:val="21"/>
              </w:rPr>
              <w:t>上海世纪出版股份有限公司外语</w:t>
            </w:r>
            <w:r>
              <w:rPr>
                <w:rFonts w:ascii="宋体" w:hAnsi="宋体" w:cs="宋体" w:eastAsia="宋体" w:hint="default"/>
                <w:sz w:val="21"/>
                <w:szCs w:val="21"/>
              </w:rPr>
            </w:r>
          </w:p>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教育图书分公司</w:t>
            </w:r>
          </w:p>
        </w:tc>
        <w:tc>
          <w:tcPr>
            <w:tcW w:w="2897"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5,838,617.51</w:t>
            </w:r>
          </w:p>
        </w:tc>
        <w:tc>
          <w:tcPr>
            <w:tcW w:w="2801"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5"/>
              <w:jc w:val="right"/>
              <w:rPr>
                <w:rFonts w:ascii="Times New Roman" w:hAnsi="Times New Roman" w:cs="Times New Roman" w:eastAsia="Times New Roman" w:hint="default"/>
                <w:sz w:val="21"/>
                <w:szCs w:val="21"/>
              </w:rPr>
            </w:pPr>
            <w:r>
              <w:rPr>
                <w:rFonts w:ascii="Times New Roman"/>
                <w:sz w:val="21"/>
              </w:rPr>
              <w:t>7.05</w:t>
            </w:r>
          </w:p>
        </w:tc>
      </w:tr>
      <w:tr>
        <w:trPr>
          <w:trHeight w:val="586" w:hRule="exact"/>
        </w:trPr>
        <w:tc>
          <w:tcPr>
            <w:tcW w:w="3122"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4" w:right="-15"/>
              <w:jc w:val="left"/>
              <w:rPr>
                <w:rFonts w:ascii="宋体" w:hAnsi="宋体" w:cs="宋体" w:eastAsia="宋体" w:hint="default"/>
                <w:sz w:val="21"/>
                <w:szCs w:val="21"/>
              </w:rPr>
            </w:pPr>
            <w:r>
              <w:rPr>
                <w:rFonts w:ascii="宋体" w:hAnsi="宋体" w:cs="宋体" w:eastAsia="宋体" w:hint="default"/>
                <w:spacing w:val="10"/>
                <w:sz w:val="21"/>
                <w:szCs w:val="21"/>
              </w:rPr>
              <w:t>人民教育电子音像出版社有限公</w:t>
            </w:r>
            <w:r>
              <w:rPr>
                <w:rFonts w:ascii="宋体" w:hAnsi="宋体" w:cs="宋体" w:eastAsia="宋体" w:hint="default"/>
                <w:sz w:val="21"/>
                <w:szCs w:val="21"/>
              </w:rPr>
            </w:r>
          </w:p>
          <w:p>
            <w:pPr>
              <w:pStyle w:val="TableParagraph"/>
              <w:spacing w:line="273" w:lineRule="exact"/>
              <w:ind w:left="4"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897"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3,780,754.64</w:t>
            </w:r>
          </w:p>
        </w:tc>
        <w:tc>
          <w:tcPr>
            <w:tcW w:w="2801"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5"/>
              <w:jc w:val="right"/>
              <w:rPr>
                <w:rFonts w:ascii="Times New Roman" w:hAnsi="Times New Roman" w:cs="Times New Roman" w:eastAsia="Times New Roman" w:hint="default"/>
                <w:sz w:val="21"/>
                <w:szCs w:val="21"/>
              </w:rPr>
            </w:pPr>
            <w:r>
              <w:rPr>
                <w:rFonts w:ascii="Times New Roman"/>
                <w:sz w:val="21"/>
              </w:rPr>
              <w:t>4.56</w:t>
            </w:r>
          </w:p>
        </w:tc>
      </w:tr>
      <w:tr>
        <w:trPr>
          <w:trHeight w:val="314" w:hRule="exact"/>
        </w:trPr>
        <w:tc>
          <w:tcPr>
            <w:tcW w:w="3122"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4" w:right="0"/>
              <w:jc w:val="left"/>
              <w:rPr>
                <w:rFonts w:ascii="宋体" w:hAnsi="宋体" w:cs="宋体" w:eastAsia="宋体" w:hint="default"/>
                <w:sz w:val="21"/>
                <w:szCs w:val="21"/>
              </w:rPr>
            </w:pPr>
            <w:r>
              <w:rPr>
                <w:rFonts w:ascii="宋体" w:hAnsi="宋体" w:cs="宋体" w:eastAsia="宋体" w:hint="default"/>
                <w:sz w:val="21"/>
                <w:szCs w:val="21"/>
              </w:rPr>
              <w:t>语文出版社有限公司</w:t>
            </w:r>
          </w:p>
        </w:tc>
        <w:tc>
          <w:tcPr>
            <w:tcW w:w="2897"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3,433,775.93</w:t>
            </w:r>
          </w:p>
        </w:tc>
        <w:tc>
          <w:tcPr>
            <w:tcW w:w="2801"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5"/>
              <w:jc w:val="right"/>
              <w:rPr>
                <w:rFonts w:ascii="Times New Roman" w:hAnsi="Times New Roman" w:cs="Times New Roman" w:eastAsia="Times New Roman" w:hint="default"/>
                <w:sz w:val="21"/>
                <w:szCs w:val="21"/>
              </w:rPr>
            </w:pPr>
            <w:r>
              <w:rPr>
                <w:rFonts w:ascii="Times New Roman"/>
                <w:sz w:val="21"/>
              </w:rPr>
              <w:t>4.15</w:t>
            </w:r>
          </w:p>
        </w:tc>
      </w:tr>
      <w:tr>
        <w:trPr>
          <w:trHeight w:val="314" w:hRule="exact"/>
        </w:trPr>
        <w:tc>
          <w:tcPr>
            <w:tcW w:w="3122"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97"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31,079,283.71</w:t>
            </w:r>
          </w:p>
        </w:tc>
        <w:tc>
          <w:tcPr>
            <w:tcW w:w="2801"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5"/>
              <w:jc w:val="right"/>
              <w:rPr>
                <w:rFonts w:ascii="Times New Roman" w:hAnsi="Times New Roman" w:cs="Times New Roman" w:eastAsia="Times New Roman" w:hint="default"/>
                <w:sz w:val="21"/>
                <w:szCs w:val="21"/>
              </w:rPr>
            </w:pPr>
            <w:r>
              <w:rPr>
                <w:rFonts w:ascii="Times New Roman"/>
                <w:sz w:val="21"/>
              </w:rPr>
              <w:t>37.52</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5"/>
          <w:szCs w:val="15"/>
        </w:rPr>
      </w:pPr>
    </w:p>
    <w:p>
      <w:pPr>
        <w:pStyle w:val="Heading5"/>
        <w:spacing w:line="240" w:lineRule="auto" w:before="36"/>
        <w:ind w:left="580" w:right="0"/>
        <w:jc w:val="left"/>
        <w:rPr>
          <w:b w:val="0"/>
          <w:bCs w:val="0"/>
        </w:rPr>
      </w:pPr>
      <w:r>
        <w:rPr>
          <w:rFonts w:ascii="Times New Roman" w:hAnsi="Times New Roman" w:cs="Times New Roman" w:eastAsia="Times New Roman" w:hint="default"/>
        </w:rPr>
        <w:t>3</w:t>
      </w:r>
      <w:r>
        <w:rPr/>
        <w:t>、主营业务（分产品）</w:t>
      </w:r>
      <w:r>
        <w:rPr>
          <w:b w:val="0"/>
          <w:bCs w:val="0"/>
        </w:rPr>
      </w:r>
    </w:p>
    <w:p>
      <w:pPr>
        <w:spacing w:line="240" w:lineRule="auto" w:before="8"/>
        <w:rPr>
          <w:rFonts w:ascii="宋体" w:hAnsi="宋体" w:cs="宋体" w:eastAsia="宋体" w:hint="default"/>
          <w:b/>
          <w:bCs/>
          <w:sz w:val="2"/>
          <w:szCs w:val="2"/>
        </w:rPr>
      </w:pPr>
    </w:p>
    <w:tbl>
      <w:tblPr>
        <w:tblW w:w="0" w:type="auto"/>
        <w:jc w:val="left"/>
        <w:tblInd w:w="145" w:type="dxa"/>
        <w:tblLayout w:type="fixed"/>
        <w:tblCellMar>
          <w:top w:w="0" w:type="dxa"/>
          <w:left w:w="0" w:type="dxa"/>
          <w:bottom w:w="0" w:type="dxa"/>
          <w:right w:w="0" w:type="dxa"/>
        </w:tblCellMar>
        <w:tblLook w:val="01E0"/>
      </w:tblPr>
      <w:tblGrid>
        <w:gridCol w:w="1918"/>
        <w:gridCol w:w="1694"/>
        <w:gridCol w:w="1639"/>
        <w:gridCol w:w="1747"/>
        <w:gridCol w:w="1822"/>
      </w:tblGrid>
      <w:tr>
        <w:trPr>
          <w:trHeight w:val="353" w:hRule="exact"/>
        </w:trPr>
        <w:tc>
          <w:tcPr>
            <w:tcW w:w="1918" w:type="dxa"/>
            <w:vMerge w:val="restart"/>
            <w:tcBorders>
              <w:top w:val="single" w:sz="6" w:space="0" w:color="000000"/>
              <w:left w:val="single" w:sz="6" w:space="0" w:color="000000"/>
              <w:right w:val="single" w:sz="6" w:space="0" w:color="000000"/>
            </w:tcBorders>
          </w:tcPr>
          <w:p>
            <w:pPr>
              <w:pStyle w:val="TableParagraph"/>
              <w:spacing w:line="250" w:lineRule="exact"/>
              <w:ind w:left="532"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3334" w:type="dxa"/>
            <w:gridSpan w:val="2"/>
            <w:tcBorders>
              <w:top w:val="single" w:sz="6" w:space="0" w:color="000000"/>
              <w:left w:val="single" w:sz="6" w:space="0" w:color="000000"/>
              <w:bottom w:val="single" w:sz="12" w:space="0" w:color="000000"/>
              <w:right w:val="single" w:sz="6" w:space="0" w:color="000000"/>
            </w:tcBorders>
          </w:tcPr>
          <w:p>
            <w:pPr>
              <w:pStyle w:val="TableParagraph"/>
              <w:spacing w:line="250" w:lineRule="exact"/>
              <w:ind w:left="4"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569" w:type="dxa"/>
            <w:gridSpan w:val="2"/>
            <w:tcBorders>
              <w:top w:val="single" w:sz="6" w:space="0" w:color="000000"/>
              <w:left w:val="single" w:sz="6" w:space="0" w:color="000000"/>
              <w:bottom w:val="single" w:sz="12" w:space="0" w:color="000000"/>
              <w:right w:val="nil" w:sz="6" w:space="0" w:color="auto"/>
            </w:tcBorders>
          </w:tcPr>
          <w:p>
            <w:pPr>
              <w:pStyle w:val="TableParagraph"/>
              <w:spacing w:line="250" w:lineRule="exact"/>
              <w:ind w:right="5"/>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53" w:hRule="exact"/>
        </w:trPr>
        <w:tc>
          <w:tcPr>
            <w:tcW w:w="1918" w:type="dxa"/>
            <w:vMerge/>
            <w:tcBorders>
              <w:left w:val="single" w:sz="6" w:space="0" w:color="000000"/>
              <w:bottom w:val="single" w:sz="12" w:space="0" w:color="000000"/>
              <w:right w:val="single" w:sz="6" w:space="0" w:color="000000"/>
            </w:tcBorders>
          </w:tcPr>
          <w:p>
            <w:pPr/>
          </w:p>
        </w:tc>
        <w:tc>
          <w:tcPr>
            <w:tcW w:w="1694"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42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39"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39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747"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446"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22" w:type="dxa"/>
            <w:tcBorders>
              <w:top w:val="single" w:sz="12" w:space="0" w:color="000000"/>
              <w:left w:val="single" w:sz="6" w:space="0" w:color="000000"/>
              <w:bottom w:val="single" w:sz="12" w:space="0" w:color="000000"/>
              <w:right w:val="nil" w:sz="6" w:space="0" w:color="auto"/>
            </w:tcBorders>
          </w:tcPr>
          <w:p>
            <w:pPr>
              <w:pStyle w:val="TableParagraph"/>
              <w:spacing w:line="243" w:lineRule="exact"/>
              <w:ind w:left="484"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353" w:hRule="exact"/>
        </w:trPr>
        <w:tc>
          <w:tcPr>
            <w:tcW w:w="1918"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4" w:right="0"/>
              <w:jc w:val="left"/>
              <w:rPr>
                <w:rFonts w:ascii="宋体" w:hAnsi="宋体" w:cs="宋体" w:eastAsia="宋体" w:hint="default"/>
                <w:sz w:val="21"/>
                <w:szCs w:val="21"/>
              </w:rPr>
            </w:pPr>
            <w:r>
              <w:rPr>
                <w:rFonts w:ascii="宋体" w:hAnsi="宋体" w:cs="宋体" w:eastAsia="宋体" w:hint="default"/>
                <w:sz w:val="21"/>
                <w:szCs w:val="21"/>
              </w:rPr>
              <w:t>方直金太阳教育软件</w:t>
            </w:r>
          </w:p>
        </w:tc>
        <w:tc>
          <w:tcPr>
            <w:tcW w:w="1694"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Times New Roman" w:hAnsi="Times New Roman" w:cs="Times New Roman" w:eastAsia="Times New Roman" w:hint="default"/>
                <w:sz w:val="21"/>
                <w:szCs w:val="21"/>
              </w:rPr>
            </w:pPr>
            <w:r>
              <w:rPr>
                <w:rFonts w:ascii="Times New Roman"/>
                <w:spacing w:val="-1"/>
                <w:sz w:val="21"/>
              </w:rPr>
              <w:t>65,702,185.76</w:t>
            </w:r>
          </w:p>
        </w:tc>
        <w:tc>
          <w:tcPr>
            <w:tcW w:w="1639"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Times New Roman" w:hAnsi="Times New Roman" w:cs="Times New Roman" w:eastAsia="Times New Roman" w:hint="default"/>
                <w:sz w:val="21"/>
                <w:szCs w:val="21"/>
              </w:rPr>
            </w:pPr>
            <w:r>
              <w:rPr>
                <w:rFonts w:ascii="Times New Roman"/>
                <w:spacing w:val="-1"/>
                <w:sz w:val="21"/>
              </w:rPr>
              <w:t>16,427,923.75</w:t>
            </w:r>
          </w:p>
        </w:tc>
        <w:tc>
          <w:tcPr>
            <w:tcW w:w="1747"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Times New Roman" w:hAnsi="Times New Roman" w:cs="Times New Roman" w:eastAsia="Times New Roman" w:hint="default"/>
                <w:sz w:val="21"/>
                <w:szCs w:val="21"/>
              </w:rPr>
            </w:pPr>
            <w:r>
              <w:rPr>
                <w:rFonts w:ascii="Times New Roman"/>
                <w:spacing w:val="-1"/>
                <w:sz w:val="21"/>
              </w:rPr>
              <w:t>59,891,155.07</w:t>
            </w:r>
          </w:p>
        </w:tc>
        <w:tc>
          <w:tcPr>
            <w:tcW w:w="1822"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7"/>
              <w:jc w:val="right"/>
              <w:rPr>
                <w:rFonts w:ascii="Times New Roman" w:hAnsi="Times New Roman" w:cs="Times New Roman" w:eastAsia="Times New Roman" w:hint="default"/>
                <w:sz w:val="21"/>
                <w:szCs w:val="21"/>
              </w:rPr>
            </w:pPr>
            <w:r>
              <w:rPr>
                <w:rFonts w:ascii="Times New Roman"/>
                <w:spacing w:val="-1"/>
                <w:sz w:val="21"/>
              </w:rPr>
              <w:t>14,851,204.24</w:t>
            </w:r>
          </w:p>
        </w:tc>
      </w:tr>
      <w:tr>
        <w:trPr>
          <w:trHeight w:val="350" w:hRule="exact"/>
        </w:trPr>
        <w:tc>
          <w:tcPr>
            <w:tcW w:w="1918"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4" w:right="0"/>
              <w:jc w:val="left"/>
              <w:rPr>
                <w:rFonts w:ascii="宋体" w:hAnsi="宋体" w:cs="宋体" w:eastAsia="宋体" w:hint="default"/>
                <w:sz w:val="21"/>
                <w:szCs w:val="21"/>
              </w:rPr>
            </w:pPr>
            <w:r>
              <w:rPr>
                <w:rFonts w:ascii="宋体" w:hAnsi="宋体" w:cs="宋体" w:eastAsia="宋体" w:hint="default"/>
                <w:sz w:val="21"/>
                <w:szCs w:val="21"/>
              </w:rPr>
              <w:t>其他产品</w:t>
            </w:r>
          </w:p>
        </w:tc>
        <w:tc>
          <w:tcPr>
            <w:tcW w:w="1694"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6,893,307.68</w:t>
            </w:r>
          </w:p>
        </w:tc>
        <w:tc>
          <w:tcPr>
            <w:tcW w:w="1639"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5,138,736.19</w:t>
            </w:r>
          </w:p>
        </w:tc>
        <w:tc>
          <w:tcPr>
            <w:tcW w:w="1747"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Times New Roman" w:hAnsi="Times New Roman" w:cs="Times New Roman" w:eastAsia="Times New Roman" w:hint="default"/>
                <w:sz w:val="21"/>
                <w:szCs w:val="21"/>
              </w:rPr>
            </w:pPr>
            <w:r>
              <w:rPr>
                <w:rFonts w:ascii="Times New Roman"/>
                <w:spacing w:val="-1"/>
                <w:sz w:val="21"/>
              </w:rPr>
              <w:t>9,084,275.87</w:t>
            </w:r>
          </w:p>
        </w:tc>
        <w:tc>
          <w:tcPr>
            <w:tcW w:w="1822"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7"/>
              <w:jc w:val="right"/>
              <w:rPr>
                <w:rFonts w:ascii="Times New Roman" w:hAnsi="Times New Roman" w:cs="Times New Roman" w:eastAsia="Times New Roman" w:hint="default"/>
                <w:sz w:val="21"/>
                <w:szCs w:val="21"/>
              </w:rPr>
            </w:pPr>
            <w:r>
              <w:rPr>
                <w:rFonts w:ascii="Times New Roman"/>
                <w:spacing w:val="-1"/>
                <w:sz w:val="21"/>
              </w:rPr>
              <w:t>6,196,341.38</w:t>
            </w:r>
          </w:p>
        </w:tc>
      </w:tr>
      <w:tr>
        <w:trPr>
          <w:trHeight w:val="353" w:hRule="exact"/>
        </w:trPr>
        <w:tc>
          <w:tcPr>
            <w:tcW w:w="1918"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4" w:right="0"/>
              <w:jc w:val="left"/>
              <w:rPr>
                <w:rFonts w:ascii="宋体" w:hAnsi="宋体" w:cs="宋体" w:eastAsia="宋体" w:hint="default"/>
                <w:sz w:val="21"/>
                <w:szCs w:val="21"/>
              </w:rPr>
            </w:pPr>
            <w:r>
              <w:rPr>
                <w:rFonts w:ascii="宋体" w:hAnsi="宋体" w:cs="宋体" w:eastAsia="宋体" w:hint="default"/>
                <w:sz w:val="21"/>
                <w:szCs w:val="21"/>
              </w:rPr>
              <w:t>技术开发服务</w:t>
            </w:r>
          </w:p>
        </w:tc>
        <w:tc>
          <w:tcPr>
            <w:tcW w:w="1694"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0"/>
              <w:jc w:val="right"/>
              <w:rPr>
                <w:rFonts w:ascii="Times New Roman" w:hAnsi="Times New Roman" w:cs="Times New Roman" w:eastAsia="Times New Roman" w:hint="default"/>
                <w:sz w:val="21"/>
                <w:szCs w:val="21"/>
              </w:rPr>
            </w:pPr>
            <w:r>
              <w:rPr>
                <w:rFonts w:ascii="Times New Roman"/>
                <w:spacing w:val="-1"/>
                <w:sz w:val="21"/>
              </w:rPr>
              <w:t>10,232,318.78</w:t>
            </w:r>
          </w:p>
        </w:tc>
        <w:tc>
          <w:tcPr>
            <w:tcW w:w="1639"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747"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0"/>
              <w:jc w:val="right"/>
              <w:rPr>
                <w:rFonts w:ascii="Times New Roman" w:hAnsi="Times New Roman" w:cs="Times New Roman" w:eastAsia="Times New Roman" w:hint="default"/>
                <w:sz w:val="21"/>
                <w:szCs w:val="21"/>
              </w:rPr>
            </w:pPr>
            <w:r>
              <w:rPr>
                <w:rFonts w:ascii="Times New Roman"/>
                <w:spacing w:val="-1"/>
                <w:sz w:val="21"/>
              </w:rPr>
              <w:t>6,113,627.97</w:t>
            </w:r>
          </w:p>
        </w:tc>
        <w:tc>
          <w:tcPr>
            <w:tcW w:w="1822"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6"/>
              <w:jc w:val="right"/>
              <w:rPr>
                <w:rFonts w:ascii="Times New Roman" w:hAnsi="Times New Roman" w:cs="Times New Roman" w:eastAsia="Times New Roman" w:hint="default"/>
                <w:sz w:val="21"/>
                <w:szCs w:val="21"/>
              </w:rPr>
            </w:pPr>
            <w:r>
              <w:rPr>
                <w:rFonts w:ascii="Times New Roman"/>
                <w:spacing w:val="-1"/>
                <w:sz w:val="21"/>
              </w:rPr>
              <w:t>---</w:t>
            </w:r>
          </w:p>
        </w:tc>
      </w:tr>
      <w:tr>
        <w:trPr>
          <w:trHeight w:val="353" w:hRule="exact"/>
        </w:trPr>
        <w:tc>
          <w:tcPr>
            <w:tcW w:w="1918"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94"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82,827,812.22</w:t>
            </w:r>
          </w:p>
        </w:tc>
        <w:tc>
          <w:tcPr>
            <w:tcW w:w="1639"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21,566,659.94</w:t>
            </w:r>
          </w:p>
        </w:tc>
        <w:tc>
          <w:tcPr>
            <w:tcW w:w="1747"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75,089,058.91</w:t>
            </w:r>
          </w:p>
        </w:tc>
        <w:tc>
          <w:tcPr>
            <w:tcW w:w="1822"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5"/>
              <w:jc w:val="right"/>
              <w:rPr>
                <w:rFonts w:ascii="Times New Roman" w:hAnsi="Times New Roman" w:cs="Times New Roman" w:eastAsia="Times New Roman" w:hint="default"/>
                <w:sz w:val="21"/>
                <w:szCs w:val="21"/>
              </w:rPr>
            </w:pPr>
            <w:r>
              <w:rPr>
                <w:rFonts w:ascii="Times New Roman"/>
                <w:spacing w:val="-1"/>
                <w:sz w:val="21"/>
              </w:rPr>
              <w:t>21,047,545.62</w:t>
            </w:r>
          </w:p>
        </w:tc>
      </w:tr>
    </w:tbl>
    <w:p>
      <w:pPr>
        <w:spacing w:line="240" w:lineRule="auto" w:before="3"/>
        <w:rPr>
          <w:rFonts w:ascii="宋体" w:hAnsi="宋体" w:cs="宋体" w:eastAsia="宋体" w:hint="default"/>
          <w:b/>
          <w:bCs/>
          <w:sz w:val="8"/>
          <w:szCs w:val="8"/>
        </w:rPr>
      </w:pPr>
    </w:p>
    <w:p>
      <w:pPr>
        <w:pStyle w:val="Heading5"/>
        <w:spacing w:line="240" w:lineRule="auto" w:before="36"/>
        <w:ind w:left="580" w:right="0"/>
        <w:jc w:val="left"/>
        <w:rPr>
          <w:b w:val="0"/>
          <w:bCs w:val="0"/>
        </w:rPr>
      </w:pPr>
      <w:r>
        <w:rPr>
          <w:rFonts w:ascii="Times New Roman" w:hAnsi="Times New Roman" w:cs="Times New Roman" w:eastAsia="Times New Roman" w:hint="default"/>
        </w:rPr>
        <w:t>4</w:t>
      </w:r>
      <w:r>
        <w:rPr/>
        <w:t>、主营业务（分地区）</w:t>
      </w:r>
      <w:r>
        <w:rPr>
          <w:b w:val="0"/>
          <w:bCs w:val="0"/>
        </w:rPr>
      </w:r>
    </w:p>
    <w:p>
      <w:pPr>
        <w:spacing w:line="240" w:lineRule="auto" w:before="8"/>
        <w:rPr>
          <w:rFonts w:ascii="宋体" w:hAnsi="宋体" w:cs="宋体" w:eastAsia="宋体" w:hint="default"/>
          <w:b/>
          <w:bCs/>
          <w:sz w:val="2"/>
          <w:szCs w:val="2"/>
        </w:rPr>
      </w:pPr>
    </w:p>
    <w:tbl>
      <w:tblPr>
        <w:tblW w:w="0" w:type="auto"/>
        <w:jc w:val="left"/>
        <w:tblInd w:w="145" w:type="dxa"/>
        <w:tblLayout w:type="fixed"/>
        <w:tblCellMar>
          <w:top w:w="0" w:type="dxa"/>
          <w:left w:w="0" w:type="dxa"/>
          <w:bottom w:w="0" w:type="dxa"/>
          <w:right w:w="0" w:type="dxa"/>
        </w:tblCellMar>
        <w:tblLook w:val="01E0"/>
      </w:tblPr>
      <w:tblGrid>
        <w:gridCol w:w="1918"/>
        <w:gridCol w:w="1680"/>
        <w:gridCol w:w="1654"/>
        <w:gridCol w:w="1747"/>
        <w:gridCol w:w="1822"/>
      </w:tblGrid>
      <w:tr>
        <w:trPr>
          <w:trHeight w:val="355" w:hRule="exact"/>
        </w:trPr>
        <w:tc>
          <w:tcPr>
            <w:tcW w:w="1918" w:type="dxa"/>
            <w:vMerge w:val="restart"/>
            <w:tcBorders>
              <w:top w:val="single" w:sz="6" w:space="0" w:color="000000"/>
              <w:left w:val="single" w:sz="6" w:space="0" w:color="000000"/>
              <w:right w:val="single" w:sz="6" w:space="0" w:color="000000"/>
            </w:tcBorders>
          </w:tcPr>
          <w:p>
            <w:pPr>
              <w:pStyle w:val="TableParagraph"/>
              <w:spacing w:line="250" w:lineRule="exact"/>
              <w:ind w:left="532"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3334" w:type="dxa"/>
            <w:gridSpan w:val="2"/>
            <w:tcBorders>
              <w:top w:val="single" w:sz="6" w:space="0" w:color="000000"/>
              <w:left w:val="single" w:sz="6" w:space="0" w:color="000000"/>
              <w:bottom w:val="single" w:sz="12" w:space="0" w:color="000000"/>
              <w:right w:val="single" w:sz="6" w:space="0" w:color="000000"/>
            </w:tcBorders>
          </w:tcPr>
          <w:p>
            <w:pPr>
              <w:pStyle w:val="TableParagraph"/>
              <w:spacing w:line="250" w:lineRule="exact"/>
              <w:ind w:left="4"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569" w:type="dxa"/>
            <w:gridSpan w:val="2"/>
            <w:tcBorders>
              <w:top w:val="single" w:sz="6" w:space="0" w:color="000000"/>
              <w:left w:val="single" w:sz="6" w:space="0" w:color="000000"/>
              <w:bottom w:val="single" w:sz="12" w:space="0" w:color="000000"/>
              <w:right w:val="nil" w:sz="6" w:space="0" w:color="auto"/>
            </w:tcBorders>
          </w:tcPr>
          <w:p>
            <w:pPr>
              <w:pStyle w:val="TableParagraph"/>
              <w:spacing w:line="250" w:lineRule="exact"/>
              <w:ind w:right="5"/>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50" w:hRule="exact"/>
        </w:trPr>
        <w:tc>
          <w:tcPr>
            <w:tcW w:w="1918" w:type="dxa"/>
            <w:vMerge/>
            <w:tcBorders>
              <w:left w:val="single" w:sz="6" w:space="0" w:color="000000"/>
              <w:bottom w:val="single" w:sz="12" w:space="0" w:color="000000"/>
              <w:right w:val="single" w:sz="6" w:space="0" w:color="000000"/>
            </w:tcBorders>
          </w:tcPr>
          <w:p>
            <w:pPr/>
          </w:p>
        </w:tc>
        <w:tc>
          <w:tcPr>
            <w:tcW w:w="1680"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41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54"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40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747"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22" w:type="dxa"/>
            <w:tcBorders>
              <w:top w:val="single" w:sz="12" w:space="0" w:color="000000"/>
              <w:left w:val="single" w:sz="6" w:space="0" w:color="000000"/>
              <w:bottom w:val="single" w:sz="12" w:space="0" w:color="000000"/>
              <w:right w:val="nil" w:sz="6" w:space="0" w:color="auto"/>
            </w:tcBorders>
          </w:tcPr>
          <w:p>
            <w:pPr>
              <w:pStyle w:val="TableParagraph"/>
              <w:spacing w:line="241" w:lineRule="exact"/>
              <w:ind w:left="484"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353" w:hRule="exact"/>
        </w:trPr>
        <w:tc>
          <w:tcPr>
            <w:tcW w:w="1918"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4" w:right="0"/>
              <w:jc w:val="left"/>
              <w:rPr>
                <w:rFonts w:ascii="宋体" w:hAnsi="宋体" w:cs="宋体" w:eastAsia="宋体" w:hint="default"/>
                <w:sz w:val="21"/>
                <w:szCs w:val="21"/>
              </w:rPr>
            </w:pPr>
            <w:r>
              <w:rPr>
                <w:rFonts w:ascii="宋体" w:hAnsi="宋体" w:cs="宋体" w:eastAsia="宋体" w:hint="default"/>
                <w:sz w:val="21"/>
                <w:szCs w:val="21"/>
              </w:rPr>
              <w:t>华北区</w:t>
            </w:r>
          </w:p>
        </w:tc>
        <w:tc>
          <w:tcPr>
            <w:tcW w:w="1680"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left="456" w:right="-1"/>
              <w:jc w:val="left"/>
              <w:rPr>
                <w:rFonts w:ascii="Times New Roman" w:hAnsi="Times New Roman" w:cs="Times New Roman" w:eastAsia="Times New Roman" w:hint="default"/>
                <w:sz w:val="21"/>
                <w:szCs w:val="21"/>
              </w:rPr>
            </w:pPr>
            <w:r>
              <w:rPr>
                <w:rFonts w:ascii="Times New Roman"/>
                <w:sz w:val="21"/>
              </w:rPr>
              <w:t>12,863,550.67</w:t>
            </w:r>
          </w:p>
        </w:tc>
        <w:tc>
          <w:tcPr>
            <w:tcW w:w="1654"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left="530" w:right="0"/>
              <w:jc w:val="left"/>
              <w:rPr>
                <w:rFonts w:ascii="Times New Roman" w:hAnsi="Times New Roman" w:cs="Times New Roman" w:eastAsia="Times New Roman" w:hint="default"/>
                <w:sz w:val="21"/>
                <w:szCs w:val="21"/>
              </w:rPr>
            </w:pPr>
            <w:r>
              <w:rPr>
                <w:rFonts w:ascii="Times New Roman"/>
                <w:sz w:val="21"/>
              </w:rPr>
              <w:t>1,484,873.26</w:t>
            </w:r>
          </w:p>
        </w:tc>
        <w:tc>
          <w:tcPr>
            <w:tcW w:w="1747"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left="520" w:right="0"/>
              <w:jc w:val="left"/>
              <w:rPr>
                <w:rFonts w:ascii="Times New Roman" w:hAnsi="Times New Roman" w:cs="Times New Roman" w:eastAsia="Times New Roman" w:hint="default"/>
                <w:sz w:val="21"/>
                <w:szCs w:val="21"/>
              </w:rPr>
            </w:pPr>
            <w:r>
              <w:rPr>
                <w:rFonts w:ascii="Times New Roman"/>
                <w:sz w:val="21"/>
              </w:rPr>
              <w:t>11,429,738.64</w:t>
            </w:r>
          </w:p>
        </w:tc>
        <w:tc>
          <w:tcPr>
            <w:tcW w:w="1822"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left="698" w:right="0"/>
              <w:jc w:val="left"/>
              <w:rPr>
                <w:rFonts w:ascii="Times New Roman" w:hAnsi="Times New Roman" w:cs="Times New Roman" w:eastAsia="Times New Roman" w:hint="default"/>
                <w:sz w:val="21"/>
                <w:szCs w:val="21"/>
              </w:rPr>
            </w:pPr>
            <w:r>
              <w:rPr>
                <w:rFonts w:ascii="Times New Roman"/>
                <w:sz w:val="21"/>
              </w:rPr>
              <w:t>1,450,306.36</w:t>
            </w:r>
          </w:p>
        </w:tc>
      </w:tr>
    </w:tbl>
    <w:p>
      <w:pPr>
        <w:spacing w:after="0" w:line="237" w:lineRule="exact"/>
        <w:jc w:val="left"/>
        <w:rPr>
          <w:rFonts w:ascii="Times New Roman" w:hAnsi="Times New Roman" w:cs="Times New Roman" w:eastAsia="Times New Roman" w:hint="default"/>
          <w:sz w:val="21"/>
          <w:szCs w:val="21"/>
        </w:rPr>
        <w:sectPr>
          <w:pgSz w:w="11910" w:h="16840"/>
          <w:pgMar w:header="880" w:footer="979" w:top="1060" w:bottom="1160" w:left="980" w:right="980"/>
        </w:sectPr>
      </w:pPr>
    </w:p>
    <w:p>
      <w:pPr>
        <w:spacing w:line="240" w:lineRule="auto" w:before="4"/>
        <w:rPr>
          <w:rFonts w:ascii="宋体" w:hAnsi="宋体" w:cs="宋体" w:eastAsia="宋体" w:hint="default"/>
          <w:b/>
          <w:bCs/>
          <w:sz w:val="28"/>
          <w:szCs w:val="28"/>
        </w:rPr>
      </w:pPr>
    </w:p>
    <w:tbl>
      <w:tblPr>
        <w:tblW w:w="0" w:type="auto"/>
        <w:jc w:val="left"/>
        <w:tblInd w:w="145" w:type="dxa"/>
        <w:tblLayout w:type="fixed"/>
        <w:tblCellMar>
          <w:top w:w="0" w:type="dxa"/>
          <w:left w:w="0" w:type="dxa"/>
          <w:bottom w:w="0" w:type="dxa"/>
          <w:right w:w="0" w:type="dxa"/>
        </w:tblCellMar>
        <w:tblLook w:val="01E0"/>
      </w:tblPr>
      <w:tblGrid>
        <w:gridCol w:w="1918"/>
        <w:gridCol w:w="1680"/>
        <w:gridCol w:w="1654"/>
        <w:gridCol w:w="1747"/>
        <w:gridCol w:w="1822"/>
      </w:tblGrid>
      <w:tr>
        <w:trPr>
          <w:trHeight w:val="355" w:hRule="exact"/>
        </w:trPr>
        <w:tc>
          <w:tcPr>
            <w:tcW w:w="1918"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left="4" w:right="0"/>
              <w:jc w:val="left"/>
              <w:rPr>
                <w:rFonts w:ascii="宋体" w:hAnsi="宋体" w:cs="宋体" w:eastAsia="宋体" w:hint="default"/>
                <w:sz w:val="21"/>
                <w:szCs w:val="21"/>
              </w:rPr>
            </w:pPr>
            <w:r>
              <w:rPr>
                <w:rFonts w:ascii="宋体" w:hAnsi="宋体" w:cs="宋体" w:eastAsia="宋体" w:hint="default"/>
                <w:sz w:val="21"/>
                <w:szCs w:val="21"/>
              </w:rPr>
              <w:t>华东区</w:t>
            </w:r>
          </w:p>
        </w:tc>
        <w:tc>
          <w:tcPr>
            <w:tcW w:w="16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
              <w:ind w:right="-1"/>
              <w:jc w:val="right"/>
              <w:rPr>
                <w:rFonts w:ascii="Times New Roman" w:hAnsi="Times New Roman" w:cs="Times New Roman" w:eastAsia="Times New Roman" w:hint="default"/>
                <w:sz w:val="21"/>
                <w:szCs w:val="21"/>
              </w:rPr>
            </w:pPr>
            <w:r>
              <w:rPr>
                <w:rFonts w:ascii="Times New Roman"/>
                <w:spacing w:val="-1"/>
                <w:sz w:val="21"/>
              </w:rPr>
              <w:t>16,442,456.29</w:t>
            </w:r>
          </w:p>
        </w:tc>
        <w:tc>
          <w:tcPr>
            <w:tcW w:w="165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
              <w:ind w:right="0"/>
              <w:jc w:val="right"/>
              <w:rPr>
                <w:rFonts w:ascii="Times New Roman" w:hAnsi="Times New Roman" w:cs="Times New Roman" w:eastAsia="Times New Roman" w:hint="default"/>
                <w:sz w:val="21"/>
                <w:szCs w:val="21"/>
              </w:rPr>
            </w:pPr>
            <w:r>
              <w:rPr>
                <w:rFonts w:ascii="Times New Roman"/>
                <w:spacing w:val="-1"/>
                <w:sz w:val="21"/>
              </w:rPr>
              <w:t>4,366,381.39</w:t>
            </w:r>
          </w:p>
        </w:tc>
        <w:tc>
          <w:tcPr>
            <w:tcW w:w="174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
              <w:ind w:right="0"/>
              <w:jc w:val="right"/>
              <w:rPr>
                <w:rFonts w:ascii="Times New Roman" w:hAnsi="Times New Roman" w:cs="Times New Roman" w:eastAsia="Times New Roman" w:hint="default"/>
                <w:sz w:val="21"/>
                <w:szCs w:val="21"/>
              </w:rPr>
            </w:pPr>
            <w:r>
              <w:rPr>
                <w:rFonts w:ascii="Times New Roman"/>
                <w:spacing w:val="-1"/>
                <w:sz w:val="21"/>
              </w:rPr>
              <w:t>16,727,007.72</w:t>
            </w:r>
          </w:p>
        </w:tc>
        <w:tc>
          <w:tcPr>
            <w:tcW w:w="182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
              <w:ind w:right="7"/>
              <w:jc w:val="right"/>
              <w:rPr>
                <w:rFonts w:ascii="Times New Roman" w:hAnsi="Times New Roman" w:cs="Times New Roman" w:eastAsia="Times New Roman" w:hint="default"/>
                <w:sz w:val="21"/>
                <w:szCs w:val="21"/>
              </w:rPr>
            </w:pPr>
            <w:r>
              <w:rPr>
                <w:rFonts w:ascii="Times New Roman"/>
                <w:spacing w:val="-1"/>
                <w:sz w:val="21"/>
              </w:rPr>
              <w:t>3,947,139.07</w:t>
            </w:r>
          </w:p>
        </w:tc>
      </w:tr>
      <w:tr>
        <w:trPr>
          <w:trHeight w:val="350" w:hRule="exact"/>
        </w:trPr>
        <w:tc>
          <w:tcPr>
            <w:tcW w:w="1918"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4" w:right="0"/>
              <w:jc w:val="left"/>
              <w:rPr>
                <w:rFonts w:ascii="宋体" w:hAnsi="宋体" w:cs="宋体" w:eastAsia="宋体" w:hint="default"/>
                <w:sz w:val="21"/>
                <w:szCs w:val="21"/>
              </w:rPr>
            </w:pPr>
            <w:r>
              <w:rPr>
                <w:rFonts w:ascii="宋体" w:hAnsi="宋体" w:cs="宋体" w:eastAsia="宋体" w:hint="default"/>
                <w:sz w:val="21"/>
                <w:szCs w:val="21"/>
              </w:rPr>
              <w:t>华南区</w:t>
            </w:r>
          </w:p>
        </w:tc>
        <w:tc>
          <w:tcPr>
            <w:tcW w:w="1680"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3"/>
              <w:jc w:val="right"/>
              <w:rPr>
                <w:rFonts w:ascii="Times New Roman" w:hAnsi="Times New Roman" w:cs="Times New Roman" w:eastAsia="Times New Roman" w:hint="default"/>
                <w:sz w:val="21"/>
                <w:szCs w:val="21"/>
              </w:rPr>
            </w:pPr>
            <w:r>
              <w:rPr>
                <w:rFonts w:ascii="Times New Roman"/>
                <w:spacing w:val="-1"/>
                <w:sz w:val="21"/>
              </w:rPr>
              <w:t>47,953,417.99</w:t>
            </w:r>
          </w:p>
        </w:tc>
        <w:tc>
          <w:tcPr>
            <w:tcW w:w="1654"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14,866,458.40</w:t>
            </w:r>
          </w:p>
        </w:tc>
        <w:tc>
          <w:tcPr>
            <w:tcW w:w="1747"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Times New Roman" w:hAnsi="Times New Roman" w:cs="Times New Roman" w:eastAsia="Times New Roman" w:hint="default"/>
                <w:sz w:val="21"/>
                <w:szCs w:val="21"/>
              </w:rPr>
            </w:pPr>
            <w:r>
              <w:rPr>
                <w:rFonts w:ascii="Times New Roman"/>
                <w:spacing w:val="-1"/>
                <w:sz w:val="21"/>
              </w:rPr>
              <w:t>42,868,777.79</w:t>
            </w:r>
          </w:p>
        </w:tc>
        <w:tc>
          <w:tcPr>
            <w:tcW w:w="1822"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7"/>
              <w:jc w:val="right"/>
              <w:rPr>
                <w:rFonts w:ascii="Times New Roman" w:hAnsi="Times New Roman" w:cs="Times New Roman" w:eastAsia="Times New Roman" w:hint="default"/>
                <w:sz w:val="21"/>
                <w:szCs w:val="21"/>
              </w:rPr>
            </w:pPr>
            <w:r>
              <w:rPr>
                <w:rFonts w:ascii="Times New Roman"/>
                <w:spacing w:val="-1"/>
                <w:sz w:val="21"/>
              </w:rPr>
              <w:t>14,917,806.62</w:t>
            </w:r>
          </w:p>
        </w:tc>
      </w:tr>
      <w:tr>
        <w:trPr>
          <w:trHeight w:val="353" w:hRule="exact"/>
        </w:trPr>
        <w:tc>
          <w:tcPr>
            <w:tcW w:w="1918"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4" w:right="0"/>
              <w:jc w:val="left"/>
              <w:rPr>
                <w:rFonts w:ascii="宋体" w:hAnsi="宋体" w:cs="宋体" w:eastAsia="宋体" w:hint="default"/>
                <w:sz w:val="21"/>
                <w:szCs w:val="21"/>
              </w:rPr>
            </w:pPr>
            <w:r>
              <w:rPr>
                <w:rFonts w:ascii="宋体" w:hAnsi="宋体" w:cs="宋体" w:eastAsia="宋体" w:hint="default"/>
                <w:sz w:val="21"/>
                <w:szCs w:val="21"/>
              </w:rPr>
              <w:t>其他地区</w:t>
            </w:r>
          </w:p>
        </w:tc>
        <w:tc>
          <w:tcPr>
            <w:tcW w:w="1680"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5,568,387.27</w:t>
            </w:r>
          </w:p>
        </w:tc>
        <w:tc>
          <w:tcPr>
            <w:tcW w:w="1654"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0"/>
              <w:jc w:val="right"/>
              <w:rPr>
                <w:rFonts w:ascii="Times New Roman" w:hAnsi="Times New Roman" w:cs="Times New Roman" w:eastAsia="Times New Roman" w:hint="default"/>
                <w:sz w:val="21"/>
                <w:szCs w:val="21"/>
              </w:rPr>
            </w:pPr>
            <w:r>
              <w:rPr>
                <w:rFonts w:ascii="Times New Roman"/>
                <w:spacing w:val="-1"/>
                <w:sz w:val="21"/>
              </w:rPr>
              <w:t>848,946.89</w:t>
            </w:r>
          </w:p>
        </w:tc>
        <w:tc>
          <w:tcPr>
            <w:tcW w:w="1747"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0"/>
              <w:jc w:val="right"/>
              <w:rPr>
                <w:rFonts w:ascii="Times New Roman" w:hAnsi="Times New Roman" w:cs="Times New Roman" w:eastAsia="Times New Roman" w:hint="default"/>
                <w:sz w:val="21"/>
                <w:szCs w:val="21"/>
              </w:rPr>
            </w:pPr>
            <w:r>
              <w:rPr>
                <w:rFonts w:ascii="Times New Roman"/>
                <w:spacing w:val="-1"/>
                <w:sz w:val="21"/>
              </w:rPr>
              <w:t>4,063,534.76</w:t>
            </w:r>
          </w:p>
        </w:tc>
        <w:tc>
          <w:tcPr>
            <w:tcW w:w="1822"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7"/>
              <w:jc w:val="right"/>
              <w:rPr>
                <w:rFonts w:ascii="Times New Roman" w:hAnsi="Times New Roman" w:cs="Times New Roman" w:eastAsia="Times New Roman" w:hint="default"/>
                <w:sz w:val="21"/>
                <w:szCs w:val="21"/>
              </w:rPr>
            </w:pPr>
            <w:r>
              <w:rPr>
                <w:rFonts w:ascii="Times New Roman"/>
                <w:spacing w:val="-1"/>
                <w:sz w:val="21"/>
              </w:rPr>
              <w:t>732,293.57</w:t>
            </w:r>
          </w:p>
        </w:tc>
      </w:tr>
      <w:tr>
        <w:trPr>
          <w:trHeight w:val="353" w:hRule="exact"/>
        </w:trPr>
        <w:tc>
          <w:tcPr>
            <w:tcW w:w="1918"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0"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3"/>
              <w:jc w:val="right"/>
              <w:rPr>
                <w:rFonts w:ascii="Times New Roman" w:hAnsi="Times New Roman" w:cs="Times New Roman" w:eastAsia="Times New Roman" w:hint="default"/>
                <w:sz w:val="21"/>
                <w:szCs w:val="21"/>
              </w:rPr>
            </w:pPr>
            <w:r>
              <w:rPr>
                <w:rFonts w:ascii="Times New Roman"/>
                <w:spacing w:val="-1"/>
                <w:sz w:val="21"/>
              </w:rPr>
              <w:t>82,827,812.22</w:t>
            </w:r>
          </w:p>
        </w:tc>
        <w:tc>
          <w:tcPr>
            <w:tcW w:w="1654"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21,566,659.94</w:t>
            </w:r>
          </w:p>
        </w:tc>
        <w:tc>
          <w:tcPr>
            <w:tcW w:w="1747"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Times New Roman" w:hAnsi="Times New Roman" w:cs="Times New Roman" w:eastAsia="Times New Roman" w:hint="default"/>
                <w:sz w:val="21"/>
                <w:szCs w:val="21"/>
              </w:rPr>
            </w:pPr>
            <w:r>
              <w:rPr>
                <w:rFonts w:ascii="Times New Roman"/>
                <w:spacing w:val="-1"/>
                <w:sz w:val="21"/>
              </w:rPr>
              <w:t>75,089,058.91</w:t>
            </w:r>
          </w:p>
        </w:tc>
        <w:tc>
          <w:tcPr>
            <w:tcW w:w="1822"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7"/>
              <w:jc w:val="right"/>
              <w:rPr>
                <w:rFonts w:ascii="Times New Roman" w:hAnsi="Times New Roman" w:cs="Times New Roman" w:eastAsia="Times New Roman" w:hint="default"/>
                <w:sz w:val="21"/>
                <w:szCs w:val="21"/>
              </w:rPr>
            </w:pPr>
            <w:r>
              <w:rPr>
                <w:rFonts w:ascii="Times New Roman"/>
                <w:spacing w:val="-1"/>
                <w:sz w:val="21"/>
              </w:rPr>
              <w:t>21,047,545.62</w:t>
            </w:r>
          </w:p>
        </w:tc>
      </w:tr>
    </w:tbl>
    <w:p>
      <w:pPr>
        <w:spacing w:line="240" w:lineRule="auto" w:before="3"/>
        <w:rPr>
          <w:rFonts w:ascii="宋体" w:hAnsi="宋体" w:cs="宋体" w:eastAsia="宋体" w:hint="default"/>
          <w:b/>
          <w:bCs/>
          <w:sz w:val="8"/>
          <w:szCs w:val="8"/>
        </w:rPr>
      </w:pPr>
    </w:p>
    <w:p>
      <w:pPr>
        <w:pStyle w:val="Heading5"/>
        <w:spacing w:line="240" w:lineRule="auto" w:before="36"/>
        <w:ind w:left="575" w:right="0"/>
        <w:jc w:val="left"/>
        <w:rPr>
          <w:b w:val="0"/>
          <w:bCs w:val="0"/>
        </w:rPr>
      </w:pPr>
      <w:r>
        <w:rPr/>
        <w:t>（二十八）营业税金及附加</w:t>
      </w:r>
      <w:r>
        <w:rPr>
          <w:b w:val="0"/>
          <w:bCs w:val="0"/>
        </w:rPr>
      </w:r>
    </w:p>
    <w:p>
      <w:pPr>
        <w:spacing w:line="240" w:lineRule="auto" w:before="10"/>
        <w:rPr>
          <w:rFonts w:ascii="宋体" w:hAnsi="宋体" w:cs="宋体" w:eastAsia="宋体" w:hint="default"/>
          <w:b/>
          <w:bCs/>
          <w:sz w:val="3"/>
          <w:szCs w:val="3"/>
        </w:rPr>
      </w:pPr>
    </w:p>
    <w:tbl>
      <w:tblPr>
        <w:tblW w:w="0" w:type="auto"/>
        <w:jc w:val="left"/>
        <w:tblInd w:w="145" w:type="dxa"/>
        <w:tblLayout w:type="fixed"/>
        <w:tblCellMar>
          <w:top w:w="0" w:type="dxa"/>
          <w:left w:w="0" w:type="dxa"/>
          <w:bottom w:w="0" w:type="dxa"/>
          <w:right w:w="0" w:type="dxa"/>
        </w:tblCellMar>
        <w:tblLook w:val="01E0"/>
      </w:tblPr>
      <w:tblGrid>
        <w:gridCol w:w="3137"/>
        <w:gridCol w:w="2966"/>
        <w:gridCol w:w="2729"/>
      </w:tblGrid>
      <w:tr>
        <w:trPr>
          <w:trHeight w:val="314" w:hRule="exact"/>
        </w:trPr>
        <w:tc>
          <w:tcPr>
            <w:tcW w:w="3137" w:type="dxa"/>
            <w:tcBorders>
              <w:top w:val="single" w:sz="6" w:space="0" w:color="000000"/>
              <w:left w:val="single" w:sz="6" w:space="0" w:color="000000"/>
              <w:bottom w:val="single" w:sz="12" w:space="0" w:color="000000"/>
              <w:right w:val="single" w:sz="6" w:space="0" w:color="000000"/>
            </w:tcBorders>
          </w:tcPr>
          <w:p>
            <w:pPr>
              <w:pStyle w:val="TableParagraph"/>
              <w:spacing w:line="253" w:lineRule="exact"/>
              <w:ind w:right="1344"/>
              <w:jc w:val="right"/>
              <w:rPr>
                <w:rFonts w:ascii="宋体" w:hAnsi="宋体" w:cs="宋体" w:eastAsia="宋体" w:hint="default"/>
                <w:sz w:val="21"/>
                <w:szCs w:val="21"/>
              </w:rPr>
            </w:pPr>
            <w:r>
              <w:rPr>
                <w:rFonts w:ascii="宋体" w:hAnsi="宋体" w:cs="宋体" w:eastAsia="宋体" w:hint="default"/>
                <w:sz w:val="21"/>
                <w:szCs w:val="21"/>
              </w:rPr>
              <w:t>项目</w:t>
            </w:r>
          </w:p>
        </w:tc>
        <w:tc>
          <w:tcPr>
            <w:tcW w:w="2966" w:type="dxa"/>
            <w:tcBorders>
              <w:top w:val="single" w:sz="6" w:space="0" w:color="000000"/>
              <w:left w:val="single" w:sz="6" w:space="0" w:color="000000"/>
              <w:bottom w:val="single" w:sz="12" w:space="0" w:color="000000"/>
              <w:right w:val="single" w:sz="6" w:space="0" w:color="000000"/>
            </w:tcBorders>
          </w:tcPr>
          <w:p>
            <w:pPr>
              <w:pStyle w:val="TableParagraph"/>
              <w:spacing w:line="253" w:lineRule="exact"/>
              <w:ind w:left="95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29" w:type="dxa"/>
            <w:tcBorders>
              <w:top w:val="single" w:sz="6" w:space="0" w:color="000000"/>
              <w:left w:val="single" w:sz="6" w:space="0" w:color="000000"/>
              <w:bottom w:val="single" w:sz="12" w:space="0" w:color="000000"/>
              <w:right w:val="nil" w:sz="6" w:space="0" w:color="auto"/>
            </w:tcBorders>
          </w:tcPr>
          <w:p>
            <w:pPr>
              <w:pStyle w:val="TableParagraph"/>
              <w:spacing w:line="253" w:lineRule="exact"/>
              <w:ind w:left="83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14" w:hRule="exact"/>
        </w:trPr>
        <w:tc>
          <w:tcPr>
            <w:tcW w:w="3137"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4"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966"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z w:val="21"/>
              </w:rPr>
              <w:t>40,307.79</w:t>
            </w:r>
          </w:p>
        </w:tc>
        <w:tc>
          <w:tcPr>
            <w:tcW w:w="2729"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2"/>
              <w:jc w:val="right"/>
              <w:rPr>
                <w:rFonts w:ascii="Times New Roman" w:hAnsi="Times New Roman" w:cs="Times New Roman" w:eastAsia="Times New Roman" w:hint="default"/>
                <w:sz w:val="21"/>
                <w:szCs w:val="21"/>
              </w:rPr>
            </w:pPr>
            <w:r>
              <w:rPr>
                <w:rFonts w:ascii="Times New Roman"/>
                <w:spacing w:val="-1"/>
                <w:sz w:val="21"/>
              </w:rPr>
              <w:t>4,610.70</w:t>
            </w:r>
          </w:p>
        </w:tc>
      </w:tr>
      <w:tr>
        <w:trPr>
          <w:trHeight w:val="312" w:hRule="exact"/>
        </w:trPr>
        <w:tc>
          <w:tcPr>
            <w:tcW w:w="3137"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4"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966"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z w:val="21"/>
              </w:rPr>
              <w:t>503,877.19</w:t>
            </w:r>
          </w:p>
        </w:tc>
        <w:tc>
          <w:tcPr>
            <w:tcW w:w="2729"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2"/>
              <w:jc w:val="right"/>
              <w:rPr>
                <w:rFonts w:ascii="Times New Roman" w:hAnsi="Times New Roman" w:cs="Times New Roman" w:eastAsia="Times New Roman" w:hint="default"/>
                <w:sz w:val="21"/>
                <w:szCs w:val="21"/>
              </w:rPr>
            </w:pPr>
            <w:r>
              <w:rPr>
                <w:rFonts w:ascii="Times New Roman"/>
                <w:spacing w:val="-1"/>
                <w:sz w:val="21"/>
              </w:rPr>
              <w:t>426,569.68</w:t>
            </w:r>
          </w:p>
        </w:tc>
      </w:tr>
      <w:tr>
        <w:trPr>
          <w:trHeight w:val="314" w:hRule="exact"/>
        </w:trPr>
        <w:tc>
          <w:tcPr>
            <w:tcW w:w="3137"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4"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966"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z w:val="21"/>
              </w:rPr>
              <w:t>359,912.27</w:t>
            </w:r>
          </w:p>
        </w:tc>
        <w:tc>
          <w:tcPr>
            <w:tcW w:w="2729"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2"/>
              <w:jc w:val="right"/>
              <w:rPr>
                <w:rFonts w:ascii="Times New Roman" w:hAnsi="Times New Roman" w:cs="Times New Roman" w:eastAsia="Times New Roman" w:hint="default"/>
                <w:sz w:val="21"/>
                <w:szCs w:val="21"/>
              </w:rPr>
            </w:pPr>
            <w:r>
              <w:rPr>
                <w:rFonts w:ascii="Times New Roman"/>
                <w:spacing w:val="-1"/>
                <w:sz w:val="21"/>
              </w:rPr>
              <w:t>304,692.66</w:t>
            </w:r>
          </w:p>
        </w:tc>
      </w:tr>
      <w:tr>
        <w:trPr>
          <w:trHeight w:val="312" w:hRule="exact"/>
        </w:trPr>
        <w:tc>
          <w:tcPr>
            <w:tcW w:w="3137"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66"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z w:val="21"/>
              </w:rPr>
              <w:t>3,791.23</w:t>
            </w:r>
          </w:p>
        </w:tc>
        <w:tc>
          <w:tcPr>
            <w:tcW w:w="2729"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2"/>
              <w:jc w:val="right"/>
              <w:rPr>
                <w:rFonts w:ascii="Times New Roman" w:hAnsi="Times New Roman" w:cs="Times New Roman" w:eastAsia="Times New Roman" w:hint="default"/>
                <w:sz w:val="21"/>
                <w:szCs w:val="21"/>
              </w:rPr>
            </w:pPr>
            <w:r>
              <w:rPr>
                <w:rFonts w:ascii="Times New Roman"/>
                <w:spacing w:val="-1"/>
                <w:sz w:val="21"/>
              </w:rPr>
              <w:t>7,193.29</w:t>
            </w:r>
          </w:p>
        </w:tc>
      </w:tr>
      <w:tr>
        <w:trPr>
          <w:trHeight w:val="314" w:hRule="exact"/>
        </w:trPr>
        <w:tc>
          <w:tcPr>
            <w:tcW w:w="3137"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right="1344"/>
              <w:jc w:val="right"/>
              <w:rPr>
                <w:rFonts w:ascii="宋体" w:hAnsi="宋体" w:cs="宋体" w:eastAsia="宋体" w:hint="default"/>
                <w:sz w:val="21"/>
                <w:szCs w:val="21"/>
              </w:rPr>
            </w:pPr>
            <w:r>
              <w:rPr>
                <w:rFonts w:ascii="宋体" w:hAnsi="宋体" w:cs="宋体" w:eastAsia="宋体" w:hint="default"/>
                <w:sz w:val="21"/>
                <w:szCs w:val="21"/>
              </w:rPr>
              <w:t>合计</w:t>
            </w:r>
          </w:p>
        </w:tc>
        <w:tc>
          <w:tcPr>
            <w:tcW w:w="2966"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z w:val="21"/>
              </w:rPr>
              <w:t>907,888.48</w:t>
            </w:r>
          </w:p>
        </w:tc>
        <w:tc>
          <w:tcPr>
            <w:tcW w:w="2729"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2"/>
              <w:jc w:val="right"/>
              <w:rPr>
                <w:rFonts w:ascii="Times New Roman" w:hAnsi="Times New Roman" w:cs="Times New Roman" w:eastAsia="Times New Roman" w:hint="default"/>
                <w:sz w:val="21"/>
                <w:szCs w:val="21"/>
              </w:rPr>
            </w:pPr>
            <w:r>
              <w:rPr>
                <w:rFonts w:ascii="Times New Roman"/>
                <w:spacing w:val="-1"/>
                <w:sz w:val="21"/>
              </w:rPr>
              <w:t>743,066.33</w:t>
            </w:r>
          </w:p>
        </w:tc>
      </w:tr>
    </w:tbl>
    <w:p>
      <w:pPr>
        <w:spacing w:line="240" w:lineRule="auto" w:before="3"/>
        <w:rPr>
          <w:rFonts w:ascii="宋体" w:hAnsi="宋体" w:cs="宋体" w:eastAsia="宋体" w:hint="default"/>
          <w:b/>
          <w:bCs/>
          <w:sz w:val="8"/>
          <w:szCs w:val="8"/>
        </w:rPr>
      </w:pPr>
    </w:p>
    <w:p>
      <w:pPr>
        <w:pStyle w:val="Heading5"/>
        <w:spacing w:line="240" w:lineRule="auto" w:before="36"/>
        <w:ind w:left="575" w:right="0"/>
        <w:jc w:val="left"/>
        <w:rPr>
          <w:b w:val="0"/>
          <w:bCs w:val="0"/>
        </w:rPr>
      </w:pPr>
      <w:r>
        <w:rPr/>
        <w:t>（二十九）销售费用</w:t>
      </w:r>
      <w:r>
        <w:rPr>
          <w:b w:val="0"/>
          <w:bCs w:val="0"/>
        </w:rPr>
      </w:r>
    </w:p>
    <w:p>
      <w:pPr>
        <w:spacing w:line="240" w:lineRule="auto" w:before="10"/>
        <w:rPr>
          <w:rFonts w:ascii="宋体" w:hAnsi="宋体" w:cs="宋体" w:eastAsia="宋体" w:hint="default"/>
          <w:b/>
          <w:bCs/>
          <w:sz w:val="3"/>
          <w:szCs w:val="3"/>
        </w:rPr>
      </w:pPr>
    </w:p>
    <w:tbl>
      <w:tblPr>
        <w:tblW w:w="0" w:type="auto"/>
        <w:jc w:val="left"/>
        <w:tblInd w:w="145" w:type="dxa"/>
        <w:tblLayout w:type="fixed"/>
        <w:tblCellMar>
          <w:top w:w="0" w:type="dxa"/>
          <w:left w:w="0" w:type="dxa"/>
          <w:bottom w:w="0" w:type="dxa"/>
          <w:right w:w="0" w:type="dxa"/>
        </w:tblCellMar>
        <w:tblLook w:val="01E0"/>
      </w:tblPr>
      <w:tblGrid>
        <w:gridCol w:w="3108"/>
        <w:gridCol w:w="2995"/>
        <w:gridCol w:w="2736"/>
      </w:tblGrid>
      <w:tr>
        <w:trPr>
          <w:trHeight w:val="314" w:hRule="exact"/>
        </w:trPr>
        <w:tc>
          <w:tcPr>
            <w:tcW w:w="3108"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right="1331"/>
              <w:jc w:val="right"/>
              <w:rPr>
                <w:rFonts w:ascii="宋体" w:hAnsi="宋体" w:cs="宋体" w:eastAsia="宋体" w:hint="default"/>
                <w:sz w:val="21"/>
                <w:szCs w:val="21"/>
              </w:rPr>
            </w:pPr>
            <w:r>
              <w:rPr>
                <w:rFonts w:ascii="宋体" w:hAnsi="宋体" w:cs="宋体" w:eastAsia="宋体" w:hint="default"/>
                <w:sz w:val="21"/>
                <w:szCs w:val="21"/>
              </w:rPr>
              <w:t>项目</w:t>
            </w:r>
          </w:p>
        </w:tc>
        <w:tc>
          <w:tcPr>
            <w:tcW w:w="2995"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left="96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36" w:type="dxa"/>
            <w:tcBorders>
              <w:top w:val="single" w:sz="6" w:space="0" w:color="000000"/>
              <w:left w:val="single" w:sz="6" w:space="0" w:color="000000"/>
              <w:bottom w:val="single" w:sz="12" w:space="0" w:color="000000"/>
              <w:right w:val="nil" w:sz="6" w:space="0" w:color="auto"/>
            </w:tcBorders>
          </w:tcPr>
          <w:p>
            <w:pPr>
              <w:pStyle w:val="TableParagraph"/>
              <w:spacing w:line="250" w:lineRule="exact"/>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14" w:hRule="exact"/>
        </w:trPr>
        <w:tc>
          <w:tcPr>
            <w:tcW w:w="3108"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4" w:right="0"/>
              <w:jc w:val="left"/>
              <w:rPr>
                <w:rFonts w:ascii="宋体" w:hAnsi="宋体" w:cs="宋体" w:eastAsia="宋体" w:hint="default"/>
                <w:sz w:val="21"/>
                <w:szCs w:val="21"/>
              </w:rPr>
            </w:pPr>
            <w:r>
              <w:rPr>
                <w:rFonts w:ascii="宋体" w:hAnsi="宋体" w:cs="宋体" w:eastAsia="宋体" w:hint="default"/>
                <w:sz w:val="21"/>
                <w:szCs w:val="21"/>
              </w:rPr>
              <w:t>工资、社保</w:t>
            </w:r>
          </w:p>
        </w:tc>
        <w:tc>
          <w:tcPr>
            <w:tcW w:w="2995"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9,632,627.61</w:t>
            </w:r>
          </w:p>
        </w:tc>
        <w:tc>
          <w:tcPr>
            <w:tcW w:w="2736"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5"/>
              <w:jc w:val="right"/>
              <w:rPr>
                <w:rFonts w:ascii="Times New Roman" w:hAnsi="Times New Roman" w:cs="Times New Roman" w:eastAsia="Times New Roman" w:hint="default"/>
                <w:sz w:val="21"/>
                <w:szCs w:val="21"/>
              </w:rPr>
            </w:pPr>
            <w:r>
              <w:rPr>
                <w:rFonts w:ascii="Times New Roman"/>
                <w:spacing w:val="-1"/>
                <w:sz w:val="21"/>
              </w:rPr>
              <w:t>7,263,986.92</w:t>
            </w:r>
          </w:p>
        </w:tc>
      </w:tr>
      <w:tr>
        <w:trPr>
          <w:trHeight w:val="312" w:hRule="exact"/>
        </w:trPr>
        <w:tc>
          <w:tcPr>
            <w:tcW w:w="3108"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4"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995"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1,323,355.43</w:t>
            </w:r>
          </w:p>
        </w:tc>
        <w:tc>
          <w:tcPr>
            <w:tcW w:w="2736"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5"/>
              <w:jc w:val="right"/>
              <w:rPr>
                <w:rFonts w:ascii="Times New Roman" w:hAnsi="Times New Roman" w:cs="Times New Roman" w:eastAsia="Times New Roman" w:hint="default"/>
                <w:sz w:val="21"/>
                <w:szCs w:val="21"/>
              </w:rPr>
            </w:pPr>
            <w:r>
              <w:rPr>
                <w:rFonts w:ascii="Times New Roman"/>
                <w:spacing w:val="-1"/>
                <w:sz w:val="21"/>
              </w:rPr>
              <w:t>1,144,655.24</w:t>
            </w:r>
          </w:p>
        </w:tc>
      </w:tr>
      <w:tr>
        <w:trPr>
          <w:trHeight w:val="314" w:hRule="exact"/>
        </w:trPr>
        <w:tc>
          <w:tcPr>
            <w:tcW w:w="3108"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4" w:right="0"/>
              <w:jc w:val="left"/>
              <w:rPr>
                <w:rFonts w:ascii="宋体" w:hAnsi="宋体" w:cs="宋体" w:eastAsia="宋体" w:hint="default"/>
                <w:sz w:val="21"/>
                <w:szCs w:val="21"/>
              </w:rPr>
            </w:pPr>
            <w:r>
              <w:rPr>
                <w:rFonts w:ascii="宋体" w:hAnsi="宋体" w:cs="宋体" w:eastAsia="宋体" w:hint="default"/>
                <w:sz w:val="21"/>
                <w:szCs w:val="21"/>
              </w:rPr>
              <w:t>业务宣传费</w:t>
            </w:r>
          </w:p>
        </w:tc>
        <w:tc>
          <w:tcPr>
            <w:tcW w:w="2995"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3,621,310.05</w:t>
            </w:r>
          </w:p>
        </w:tc>
        <w:tc>
          <w:tcPr>
            <w:tcW w:w="2736"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5"/>
              <w:jc w:val="right"/>
              <w:rPr>
                <w:rFonts w:ascii="Times New Roman" w:hAnsi="Times New Roman" w:cs="Times New Roman" w:eastAsia="Times New Roman" w:hint="default"/>
                <w:sz w:val="21"/>
                <w:szCs w:val="21"/>
              </w:rPr>
            </w:pPr>
            <w:r>
              <w:rPr>
                <w:rFonts w:ascii="Times New Roman"/>
                <w:spacing w:val="-1"/>
                <w:sz w:val="21"/>
              </w:rPr>
              <w:t>3,446,601.98</w:t>
            </w:r>
          </w:p>
        </w:tc>
      </w:tr>
      <w:tr>
        <w:trPr>
          <w:trHeight w:val="312" w:hRule="exact"/>
        </w:trPr>
        <w:tc>
          <w:tcPr>
            <w:tcW w:w="3108"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4" w:right="0"/>
              <w:jc w:val="left"/>
              <w:rPr>
                <w:rFonts w:ascii="宋体" w:hAnsi="宋体" w:cs="宋体" w:eastAsia="宋体" w:hint="default"/>
                <w:sz w:val="21"/>
                <w:szCs w:val="21"/>
              </w:rPr>
            </w:pPr>
            <w:r>
              <w:rPr>
                <w:rFonts w:ascii="宋体" w:hAnsi="宋体" w:cs="宋体" w:eastAsia="宋体" w:hint="default"/>
                <w:sz w:val="21"/>
                <w:szCs w:val="21"/>
              </w:rPr>
              <w:t>办公费用</w:t>
            </w:r>
          </w:p>
        </w:tc>
        <w:tc>
          <w:tcPr>
            <w:tcW w:w="2995"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323,822.86</w:t>
            </w:r>
          </w:p>
        </w:tc>
        <w:tc>
          <w:tcPr>
            <w:tcW w:w="2736"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5"/>
              <w:jc w:val="right"/>
              <w:rPr>
                <w:rFonts w:ascii="Times New Roman" w:hAnsi="Times New Roman" w:cs="Times New Roman" w:eastAsia="Times New Roman" w:hint="default"/>
                <w:sz w:val="21"/>
                <w:szCs w:val="21"/>
              </w:rPr>
            </w:pPr>
            <w:r>
              <w:rPr>
                <w:rFonts w:ascii="Times New Roman"/>
                <w:spacing w:val="-1"/>
                <w:sz w:val="21"/>
              </w:rPr>
              <w:t>239,506.41</w:t>
            </w:r>
          </w:p>
        </w:tc>
      </w:tr>
      <w:tr>
        <w:trPr>
          <w:trHeight w:val="312" w:hRule="exact"/>
        </w:trPr>
        <w:tc>
          <w:tcPr>
            <w:tcW w:w="3108"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4" w:right="0"/>
              <w:jc w:val="left"/>
              <w:rPr>
                <w:rFonts w:ascii="宋体" w:hAnsi="宋体" w:cs="宋体" w:eastAsia="宋体" w:hint="default"/>
                <w:sz w:val="21"/>
                <w:szCs w:val="21"/>
              </w:rPr>
            </w:pPr>
            <w:r>
              <w:rPr>
                <w:rFonts w:ascii="宋体" w:hAnsi="宋体" w:cs="宋体" w:eastAsia="宋体" w:hint="default"/>
                <w:sz w:val="21"/>
                <w:szCs w:val="21"/>
              </w:rPr>
              <w:t>租赁及物管费</w:t>
            </w:r>
          </w:p>
        </w:tc>
        <w:tc>
          <w:tcPr>
            <w:tcW w:w="2995"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1,127,934.21</w:t>
            </w:r>
          </w:p>
        </w:tc>
        <w:tc>
          <w:tcPr>
            <w:tcW w:w="2736"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5"/>
              <w:jc w:val="right"/>
              <w:rPr>
                <w:rFonts w:ascii="Times New Roman" w:hAnsi="Times New Roman" w:cs="Times New Roman" w:eastAsia="Times New Roman" w:hint="default"/>
                <w:sz w:val="21"/>
                <w:szCs w:val="21"/>
              </w:rPr>
            </w:pPr>
            <w:r>
              <w:rPr>
                <w:rFonts w:ascii="Times New Roman"/>
                <w:spacing w:val="-1"/>
                <w:sz w:val="21"/>
              </w:rPr>
              <w:t>1,099,449.41</w:t>
            </w:r>
          </w:p>
        </w:tc>
      </w:tr>
      <w:tr>
        <w:trPr>
          <w:trHeight w:val="314" w:hRule="exact"/>
        </w:trPr>
        <w:tc>
          <w:tcPr>
            <w:tcW w:w="3108"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4" w:right="0"/>
              <w:jc w:val="left"/>
              <w:rPr>
                <w:rFonts w:ascii="宋体" w:hAnsi="宋体" w:cs="宋体" w:eastAsia="宋体" w:hint="default"/>
                <w:sz w:val="21"/>
                <w:szCs w:val="21"/>
              </w:rPr>
            </w:pPr>
            <w:r>
              <w:rPr>
                <w:rFonts w:ascii="宋体" w:hAnsi="宋体" w:cs="宋体" w:eastAsia="宋体" w:hint="default"/>
                <w:sz w:val="21"/>
                <w:szCs w:val="21"/>
              </w:rPr>
              <w:t>运输费用</w:t>
            </w:r>
          </w:p>
        </w:tc>
        <w:tc>
          <w:tcPr>
            <w:tcW w:w="2995"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671,262.69</w:t>
            </w:r>
          </w:p>
        </w:tc>
        <w:tc>
          <w:tcPr>
            <w:tcW w:w="2736"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5"/>
              <w:jc w:val="right"/>
              <w:rPr>
                <w:rFonts w:ascii="Times New Roman" w:hAnsi="Times New Roman" w:cs="Times New Roman" w:eastAsia="Times New Roman" w:hint="default"/>
                <w:sz w:val="21"/>
                <w:szCs w:val="21"/>
              </w:rPr>
            </w:pPr>
            <w:r>
              <w:rPr>
                <w:rFonts w:ascii="Times New Roman"/>
                <w:spacing w:val="-1"/>
                <w:sz w:val="21"/>
              </w:rPr>
              <w:t>702,333.37</w:t>
            </w:r>
          </w:p>
        </w:tc>
      </w:tr>
      <w:tr>
        <w:trPr>
          <w:trHeight w:val="312" w:hRule="exact"/>
        </w:trPr>
        <w:tc>
          <w:tcPr>
            <w:tcW w:w="3108"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4"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995"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1,660,105.62</w:t>
            </w:r>
          </w:p>
        </w:tc>
        <w:tc>
          <w:tcPr>
            <w:tcW w:w="2736"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5"/>
              <w:jc w:val="right"/>
              <w:rPr>
                <w:rFonts w:ascii="Times New Roman" w:hAnsi="Times New Roman" w:cs="Times New Roman" w:eastAsia="Times New Roman" w:hint="default"/>
                <w:sz w:val="21"/>
                <w:szCs w:val="21"/>
              </w:rPr>
            </w:pPr>
            <w:r>
              <w:rPr>
                <w:rFonts w:ascii="Times New Roman"/>
                <w:spacing w:val="-1"/>
                <w:sz w:val="21"/>
              </w:rPr>
              <w:t>1,299,822.62</w:t>
            </w:r>
          </w:p>
        </w:tc>
      </w:tr>
      <w:tr>
        <w:trPr>
          <w:trHeight w:val="314" w:hRule="exact"/>
        </w:trPr>
        <w:tc>
          <w:tcPr>
            <w:tcW w:w="3108"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4" w:right="0"/>
              <w:jc w:val="left"/>
              <w:rPr>
                <w:rFonts w:ascii="宋体" w:hAnsi="宋体" w:cs="宋体" w:eastAsia="宋体" w:hint="default"/>
                <w:sz w:val="21"/>
                <w:szCs w:val="21"/>
              </w:rPr>
            </w:pPr>
            <w:r>
              <w:rPr>
                <w:rFonts w:ascii="宋体" w:hAnsi="宋体" w:cs="宋体" w:eastAsia="宋体" w:hint="default"/>
                <w:sz w:val="21"/>
                <w:szCs w:val="21"/>
              </w:rPr>
              <w:t>折旧</w:t>
            </w:r>
          </w:p>
        </w:tc>
        <w:tc>
          <w:tcPr>
            <w:tcW w:w="2995"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618,972.01</w:t>
            </w:r>
          </w:p>
        </w:tc>
        <w:tc>
          <w:tcPr>
            <w:tcW w:w="2736"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5"/>
              <w:jc w:val="right"/>
              <w:rPr>
                <w:rFonts w:ascii="Times New Roman" w:hAnsi="Times New Roman" w:cs="Times New Roman" w:eastAsia="Times New Roman" w:hint="default"/>
                <w:sz w:val="21"/>
                <w:szCs w:val="21"/>
              </w:rPr>
            </w:pPr>
            <w:r>
              <w:rPr>
                <w:rFonts w:ascii="Times New Roman"/>
                <w:spacing w:val="-1"/>
                <w:sz w:val="21"/>
              </w:rPr>
              <w:t>131,963.44</w:t>
            </w:r>
          </w:p>
        </w:tc>
      </w:tr>
      <w:tr>
        <w:trPr>
          <w:trHeight w:val="312" w:hRule="exact"/>
        </w:trPr>
        <w:tc>
          <w:tcPr>
            <w:tcW w:w="3108"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4" w:right="0"/>
              <w:jc w:val="left"/>
              <w:rPr>
                <w:rFonts w:ascii="宋体" w:hAnsi="宋体" w:cs="宋体" w:eastAsia="宋体" w:hint="default"/>
                <w:sz w:val="21"/>
                <w:szCs w:val="21"/>
              </w:rPr>
            </w:pPr>
            <w:r>
              <w:rPr>
                <w:rFonts w:ascii="宋体" w:hAnsi="宋体" w:cs="宋体" w:eastAsia="宋体" w:hint="default"/>
                <w:sz w:val="21"/>
                <w:szCs w:val="21"/>
              </w:rPr>
              <w:t>会务费及培训费</w:t>
            </w:r>
          </w:p>
        </w:tc>
        <w:tc>
          <w:tcPr>
            <w:tcW w:w="2995"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674,781.84</w:t>
            </w:r>
          </w:p>
        </w:tc>
        <w:tc>
          <w:tcPr>
            <w:tcW w:w="2736"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5"/>
              <w:jc w:val="right"/>
              <w:rPr>
                <w:rFonts w:ascii="Times New Roman" w:hAnsi="Times New Roman" w:cs="Times New Roman" w:eastAsia="Times New Roman" w:hint="default"/>
                <w:sz w:val="21"/>
                <w:szCs w:val="21"/>
              </w:rPr>
            </w:pPr>
            <w:r>
              <w:rPr>
                <w:rFonts w:ascii="Times New Roman"/>
                <w:spacing w:val="-1"/>
                <w:sz w:val="21"/>
              </w:rPr>
              <w:t>244,192.60</w:t>
            </w:r>
          </w:p>
        </w:tc>
      </w:tr>
      <w:tr>
        <w:trPr>
          <w:trHeight w:val="312" w:hRule="exact"/>
        </w:trPr>
        <w:tc>
          <w:tcPr>
            <w:tcW w:w="3108"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4" w:right="0"/>
              <w:jc w:val="left"/>
              <w:rPr>
                <w:rFonts w:ascii="宋体" w:hAnsi="宋体" w:cs="宋体" w:eastAsia="宋体" w:hint="default"/>
                <w:sz w:val="21"/>
                <w:szCs w:val="21"/>
              </w:rPr>
            </w:pPr>
            <w:r>
              <w:rPr>
                <w:rFonts w:ascii="宋体" w:hAnsi="宋体" w:cs="宋体" w:eastAsia="宋体" w:hint="default"/>
                <w:sz w:val="21"/>
                <w:szCs w:val="21"/>
              </w:rPr>
              <w:t>通讯费及网络费</w:t>
            </w:r>
          </w:p>
        </w:tc>
        <w:tc>
          <w:tcPr>
            <w:tcW w:w="2995"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136,805.78</w:t>
            </w:r>
          </w:p>
        </w:tc>
        <w:tc>
          <w:tcPr>
            <w:tcW w:w="2736"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5"/>
              <w:jc w:val="right"/>
              <w:rPr>
                <w:rFonts w:ascii="Times New Roman" w:hAnsi="Times New Roman" w:cs="Times New Roman" w:eastAsia="Times New Roman" w:hint="default"/>
                <w:sz w:val="21"/>
                <w:szCs w:val="21"/>
              </w:rPr>
            </w:pPr>
            <w:r>
              <w:rPr>
                <w:rFonts w:ascii="Times New Roman"/>
                <w:spacing w:val="-1"/>
                <w:sz w:val="21"/>
              </w:rPr>
              <w:t>138,098.69</w:t>
            </w:r>
          </w:p>
        </w:tc>
      </w:tr>
      <w:tr>
        <w:trPr>
          <w:trHeight w:val="314" w:hRule="exact"/>
        </w:trPr>
        <w:tc>
          <w:tcPr>
            <w:tcW w:w="3108"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95"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z w:val="21"/>
              </w:rPr>
              <w:t>51,398.48</w:t>
            </w:r>
          </w:p>
        </w:tc>
        <w:tc>
          <w:tcPr>
            <w:tcW w:w="2736"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5"/>
              <w:jc w:val="right"/>
              <w:rPr>
                <w:rFonts w:ascii="Times New Roman" w:hAnsi="Times New Roman" w:cs="Times New Roman" w:eastAsia="Times New Roman" w:hint="default"/>
                <w:sz w:val="21"/>
                <w:szCs w:val="21"/>
              </w:rPr>
            </w:pPr>
            <w:r>
              <w:rPr>
                <w:rFonts w:ascii="Times New Roman"/>
                <w:spacing w:val="-1"/>
                <w:sz w:val="21"/>
              </w:rPr>
              <w:t>5,130.36</w:t>
            </w:r>
          </w:p>
        </w:tc>
      </w:tr>
      <w:tr>
        <w:trPr>
          <w:trHeight w:val="314" w:hRule="exact"/>
        </w:trPr>
        <w:tc>
          <w:tcPr>
            <w:tcW w:w="3108"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right="1331"/>
              <w:jc w:val="right"/>
              <w:rPr>
                <w:rFonts w:ascii="宋体" w:hAnsi="宋体" w:cs="宋体" w:eastAsia="宋体" w:hint="default"/>
                <w:sz w:val="21"/>
                <w:szCs w:val="21"/>
              </w:rPr>
            </w:pPr>
            <w:r>
              <w:rPr>
                <w:rFonts w:ascii="宋体" w:hAnsi="宋体" w:cs="宋体" w:eastAsia="宋体" w:hint="default"/>
                <w:sz w:val="21"/>
                <w:szCs w:val="21"/>
              </w:rPr>
              <w:t>合计</w:t>
            </w:r>
          </w:p>
        </w:tc>
        <w:tc>
          <w:tcPr>
            <w:tcW w:w="2995"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19,842,376.58</w:t>
            </w:r>
          </w:p>
        </w:tc>
        <w:tc>
          <w:tcPr>
            <w:tcW w:w="2736"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5"/>
              <w:jc w:val="right"/>
              <w:rPr>
                <w:rFonts w:ascii="Times New Roman" w:hAnsi="Times New Roman" w:cs="Times New Roman" w:eastAsia="Times New Roman" w:hint="default"/>
                <w:sz w:val="21"/>
                <w:szCs w:val="21"/>
              </w:rPr>
            </w:pPr>
            <w:r>
              <w:rPr>
                <w:rFonts w:ascii="Times New Roman"/>
                <w:spacing w:val="-1"/>
                <w:sz w:val="21"/>
              </w:rPr>
              <w:t>15,715,741.04</w:t>
            </w:r>
          </w:p>
        </w:tc>
      </w:tr>
    </w:tbl>
    <w:p>
      <w:pPr>
        <w:pStyle w:val="Heading5"/>
        <w:spacing w:line="262" w:lineRule="exact"/>
        <w:ind w:left="580" w:right="0"/>
        <w:jc w:val="left"/>
        <w:rPr>
          <w:b w:val="0"/>
          <w:bCs w:val="0"/>
        </w:rPr>
      </w:pPr>
      <w:r>
        <w:rPr/>
        <w:t>（三十）管理费用</w:t>
      </w:r>
      <w:r>
        <w:rPr>
          <w:b w:val="0"/>
          <w:bCs w:val="0"/>
        </w:rPr>
      </w:r>
    </w:p>
    <w:p>
      <w:pPr>
        <w:spacing w:line="240" w:lineRule="auto" w:before="10"/>
        <w:rPr>
          <w:rFonts w:ascii="宋体" w:hAnsi="宋体" w:cs="宋体" w:eastAsia="宋体" w:hint="default"/>
          <w:b/>
          <w:bCs/>
          <w:sz w:val="3"/>
          <w:szCs w:val="3"/>
        </w:rPr>
      </w:pPr>
    </w:p>
    <w:tbl>
      <w:tblPr>
        <w:tblW w:w="0" w:type="auto"/>
        <w:jc w:val="left"/>
        <w:tblInd w:w="145" w:type="dxa"/>
        <w:tblLayout w:type="fixed"/>
        <w:tblCellMar>
          <w:top w:w="0" w:type="dxa"/>
          <w:left w:w="0" w:type="dxa"/>
          <w:bottom w:w="0" w:type="dxa"/>
          <w:right w:w="0" w:type="dxa"/>
        </w:tblCellMar>
        <w:tblLook w:val="01E0"/>
      </w:tblPr>
      <w:tblGrid>
        <w:gridCol w:w="3108"/>
        <w:gridCol w:w="2995"/>
        <w:gridCol w:w="2729"/>
      </w:tblGrid>
      <w:tr>
        <w:trPr>
          <w:trHeight w:val="314" w:hRule="exact"/>
        </w:trPr>
        <w:tc>
          <w:tcPr>
            <w:tcW w:w="3108"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95"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left="96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29" w:type="dxa"/>
            <w:tcBorders>
              <w:top w:val="single" w:sz="6" w:space="0" w:color="000000"/>
              <w:left w:val="single" w:sz="6" w:space="0" w:color="000000"/>
              <w:bottom w:val="single" w:sz="12" w:space="0" w:color="000000"/>
              <w:right w:val="nil" w:sz="6" w:space="0" w:color="auto"/>
            </w:tcBorders>
          </w:tcPr>
          <w:p>
            <w:pPr>
              <w:pStyle w:val="TableParagraph"/>
              <w:spacing w:line="250" w:lineRule="exact"/>
              <w:ind w:left="83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14" w:hRule="exact"/>
        </w:trPr>
        <w:tc>
          <w:tcPr>
            <w:tcW w:w="3108"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4"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2995"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17,256,623.60</w:t>
            </w:r>
          </w:p>
        </w:tc>
        <w:tc>
          <w:tcPr>
            <w:tcW w:w="2729"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2"/>
              <w:jc w:val="right"/>
              <w:rPr>
                <w:rFonts w:ascii="Times New Roman" w:hAnsi="Times New Roman" w:cs="Times New Roman" w:eastAsia="Times New Roman" w:hint="default"/>
                <w:sz w:val="21"/>
                <w:szCs w:val="21"/>
              </w:rPr>
            </w:pPr>
            <w:r>
              <w:rPr>
                <w:rFonts w:ascii="Times New Roman"/>
                <w:spacing w:val="-1"/>
                <w:sz w:val="21"/>
              </w:rPr>
              <w:t>14,111,773.97</w:t>
            </w:r>
          </w:p>
        </w:tc>
      </w:tr>
      <w:tr>
        <w:trPr>
          <w:trHeight w:val="312" w:hRule="exact"/>
        </w:trPr>
        <w:tc>
          <w:tcPr>
            <w:tcW w:w="3108"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4" w:right="0"/>
              <w:jc w:val="left"/>
              <w:rPr>
                <w:rFonts w:ascii="宋体" w:hAnsi="宋体" w:cs="宋体" w:eastAsia="宋体" w:hint="default"/>
                <w:sz w:val="21"/>
                <w:szCs w:val="21"/>
              </w:rPr>
            </w:pPr>
            <w:r>
              <w:rPr>
                <w:rFonts w:ascii="宋体" w:hAnsi="宋体" w:cs="宋体" w:eastAsia="宋体" w:hint="default"/>
                <w:sz w:val="21"/>
                <w:szCs w:val="21"/>
              </w:rPr>
              <w:t>工资、社保</w:t>
            </w:r>
          </w:p>
        </w:tc>
        <w:tc>
          <w:tcPr>
            <w:tcW w:w="2995"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5,775,313.10</w:t>
            </w:r>
          </w:p>
        </w:tc>
        <w:tc>
          <w:tcPr>
            <w:tcW w:w="2729"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2"/>
              <w:jc w:val="right"/>
              <w:rPr>
                <w:rFonts w:ascii="Times New Roman" w:hAnsi="Times New Roman" w:cs="Times New Roman" w:eastAsia="Times New Roman" w:hint="default"/>
                <w:sz w:val="21"/>
                <w:szCs w:val="21"/>
              </w:rPr>
            </w:pPr>
            <w:r>
              <w:rPr>
                <w:rFonts w:ascii="Times New Roman"/>
                <w:spacing w:val="-1"/>
                <w:sz w:val="21"/>
              </w:rPr>
              <w:t>5,719,681.61</w:t>
            </w:r>
          </w:p>
        </w:tc>
      </w:tr>
      <w:tr>
        <w:trPr>
          <w:trHeight w:val="312" w:hRule="exact"/>
        </w:trPr>
        <w:tc>
          <w:tcPr>
            <w:tcW w:w="3108"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4" w:right="0"/>
              <w:jc w:val="left"/>
              <w:rPr>
                <w:rFonts w:ascii="宋体" w:hAnsi="宋体" w:cs="宋体" w:eastAsia="宋体" w:hint="default"/>
                <w:sz w:val="21"/>
                <w:szCs w:val="21"/>
              </w:rPr>
            </w:pPr>
            <w:r>
              <w:rPr>
                <w:rFonts w:ascii="宋体" w:hAnsi="宋体" w:cs="宋体" w:eastAsia="宋体" w:hint="default"/>
                <w:sz w:val="21"/>
                <w:szCs w:val="21"/>
              </w:rPr>
              <w:t>办公费用</w:t>
            </w:r>
          </w:p>
        </w:tc>
        <w:tc>
          <w:tcPr>
            <w:tcW w:w="2995"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268,701.31</w:t>
            </w:r>
          </w:p>
        </w:tc>
        <w:tc>
          <w:tcPr>
            <w:tcW w:w="2729"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2"/>
              <w:jc w:val="right"/>
              <w:rPr>
                <w:rFonts w:ascii="Times New Roman" w:hAnsi="Times New Roman" w:cs="Times New Roman" w:eastAsia="Times New Roman" w:hint="default"/>
                <w:sz w:val="21"/>
                <w:szCs w:val="21"/>
              </w:rPr>
            </w:pPr>
            <w:r>
              <w:rPr>
                <w:rFonts w:ascii="Times New Roman"/>
                <w:spacing w:val="-1"/>
                <w:sz w:val="21"/>
              </w:rPr>
              <w:t>374,925.91</w:t>
            </w:r>
          </w:p>
        </w:tc>
      </w:tr>
      <w:tr>
        <w:trPr>
          <w:trHeight w:val="314" w:hRule="exact"/>
        </w:trPr>
        <w:tc>
          <w:tcPr>
            <w:tcW w:w="3108"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4"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995"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406,284.88</w:t>
            </w:r>
          </w:p>
        </w:tc>
        <w:tc>
          <w:tcPr>
            <w:tcW w:w="2729"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2"/>
              <w:jc w:val="right"/>
              <w:rPr>
                <w:rFonts w:ascii="Times New Roman" w:hAnsi="Times New Roman" w:cs="Times New Roman" w:eastAsia="Times New Roman" w:hint="default"/>
                <w:sz w:val="21"/>
                <w:szCs w:val="21"/>
              </w:rPr>
            </w:pPr>
            <w:r>
              <w:rPr>
                <w:rFonts w:ascii="Times New Roman"/>
                <w:spacing w:val="-1"/>
                <w:sz w:val="21"/>
              </w:rPr>
              <w:t>419,738.77</w:t>
            </w:r>
          </w:p>
        </w:tc>
      </w:tr>
      <w:tr>
        <w:trPr>
          <w:trHeight w:val="312" w:hRule="exact"/>
        </w:trPr>
        <w:tc>
          <w:tcPr>
            <w:tcW w:w="3108"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4" w:right="0"/>
              <w:jc w:val="left"/>
              <w:rPr>
                <w:rFonts w:ascii="宋体" w:hAnsi="宋体" w:cs="宋体" w:eastAsia="宋体" w:hint="default"/>
                <w:sz w:val="21"/>
                <w:szCs w:val="21"/>
              </w:rPr>
            </w:pPr>
            <w:r>
              <w:rPr>
                <w:rFonts w:ascii="宋体" w:hAnsi="宋体" w:cs="宋体" w:eastAsia="宋体" w:hint="default"/>
                <w:sz w:val="21"/>
                <w:szCs w:val="21"/>
              </w:rPr>
              <w:t>租赁及物管费</w:t>
            </w:r>
          </w:p>
        </w:tc>
        <w:tc>
          <w:tcPr>
            <w:tcW w:w="2995"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z w:val="21"/>
              </w:rPr>
              <w:t>86,532.89</w:t>
            </w:r>
          </w:p>
        </w:tc>
        <w:tc>
          <w:tcPr>
            <w:tcW w:w="2729"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2"/>
              <w:jc w:val="right"/>
              <w:rPr>
                <w:rFonts w:ascii="Times New Roman" w:hAnsi="Times New Roman" w:cs="Times New Roman" w:eastAsia="Times New Roman" w:hint="default"/>
                <w:sz w:val="21"/>
                <w:szCs w:val="21"/>
              </w:rPr>
            </w:pPr>
            <w:r>
              <w:rPr>
                <w:rFonts w:ascii="Times New Roman"/>
                <w:spacing w:val="-1"/>
                <w:sz w:val="21"/>
              </w:rPr>
              <w:t>324,942.24</w:t>
            </w:r>
          </w:p>
        </w:tc>
      </w:tr>
      <w:tr>
        <w:trPr>
          <w:trHeight w:val="314" w:hRule="exact"/>
        </w:trPr>
        <w:tc>
          <w:tcPr>
            <w:tcW w:w="3108"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4"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995"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643,147.10</w:t>
            </w:r>
          </w:p>
        </w:tc>
        <w:tc>
          <w:tcPr>
            <w:tcW w:w="2729"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2"/>
              <w:jc w:val="right"/>
              <w:rPr>
                <w:rFonts w:ascii="Times New Roman" w:hAnsi="Times New Roman" w:cs="Times New Roman" w:eastAsia="Times New Roman" w:hint="default"/>
                <w:sz w:val="21"/>
                <w:szCs w:val="21"/>
              </w:rPr>
            </w:pPr>
            <w:r>
              <w:rPr>
                <w:rFonts w:ascii="Times New Roman"/>
                <w:spacing w:val="-1"/>
                <w:sz w:val="21"/>
              </w:rPr>
              <w:t>692,812.98</w:t>
            </w:r>
          </w:p>
        </w:tc>
      </w:tr>
      <w:tr>
        <w:trPr>
          <w:trHeight w:val="312" w:hRule="exact"/>
        </w:trPr>
        <w:tc>
          <w:tcPr>
            <w:tcW w:w="3108"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4" w:right="0"/>
              <w:jc w:val="left"/>
              <w:rPr>
                <w:rFonts w:ascii="宋体" w:hAnsi="宋体" w:cs="宋体" w:eastAsia="宋体" w:hint="default"/>
                <w:sz w:val="21"/>
                <w:szCs w:val="21"/>
              </w:rPr>
            </w:pPr>
            <w:r>
              <w:rPr>
                <w:rFonts w:ascii="宋体" w:hAnsi="宋体" w:cs="宋体" w:eastAsia="宋体" w:hint="default"/>
                <w:sz w:val="21"/>
                <w:szCs w:val="21"/>
              </w:rPr>
              <w:t>培训费</w:t>
            </w:r>
          </w:p>
        </w:tc>
        <w:tc>
          <w:tcPr>
            <w:tcW w:w="2995"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151,414.97</w:t>
            </w:r>
          </w:p>
        </w:tc>
        <w:tc>
          <w:tcPr>
            <w:tcW w:w="2729"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2"/>
              <w:jc w:val="right"/>
              <w:rPr>
                <w:rFonts w:ascii="Times New Roman" w:hAnsi="Times New Roman" w:cs="Times New Roman" w:eastAsia="Times New Roman" w:hint="default"/>
                <w:sz w:val="21"/>
                <w:szCs w:val="21"/>
              </w:rPr>
            </w:pPr>
            <w:r>
              <w:rPr>
                <w:rFonts w:ascii="Times New Roman"/>
                <w:spacing w:val="-1"/>
                <w:sz w:val="21"/>
              </w:rPr>
              <w:t>525,004.18</w:t>
            </w:r>
          </w:p>
        </w:tc>
      </w:tr>
      <w:tr>
        <w:trPr>
          <w:trHeight w:val="312" w:hRule="exact"/>
        </w:trPr>
        <w:tc>
          <w:tcPr>
            <w:tcW w:w="3108"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4" w:right="0"/>
              <w:jc w:val="left"/>
              <w:rPr>
                <w:rFonts w:ascii="宋体" w:hAnsi="宋体" w:cs="宋体" w:eastAsia="宋体" w:hint="default"/>
                <w:sz w:val="21"/>
                <w:szCs w:val="21"/>
              </w:rPr>
            </w:pPr>
            <w:r>
              <w:rPr>
                <w:rFonts w:ascii="宋体" w:hAnsi="宋体" w:cs="宋体" w:eastAsia="宋体" w:hint="default"/>
                <w:sz w:val="21"/>
                <w:szCs w:val="21"/>
              </w:rPr>
              <w:t>折旧费</w:t>
            </w:r>
          </w:p>
        </w:tc>
        <w:tc>
          <w:tcPr>
            <w:tcW w:w="2995"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580,990.96</w:t>
            </w:r>
          </w:p>
        </w:tc>
        <w:tc>
          <w:tcPr>
            <w:tcW w:w="2729"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2"/>
              <w:jc w:val="right"/>
              <w:rPr>
                <w:rFonts w:ascii="Times New Roman" w:hAnsi="Times New Roman" w:cs="Times New Roman" w:eastAsia="Times New Roman" w:hint="default"/>
                <w:sz w:val="21"/>
                <w:szCs w:val="21"/>
              </w:rPr>
            </w:pPr>
            <w:r>
              <w:rPr>
                <w:rFonts w:ascii="Times New Roman"/>
                <w:spacing w:val="-1"/>
                <w:sz w:val="21"/>
              </w:rPr>
              <w:t>631,754.42</w:t>
            </w:r>
          </w:p>
        </w:tc>
      </w:tr>
      <w:tr>
        <w:trPr>
          <w:trHeight w:val="314" w:hRule="exact"/>
        </w:trPr>
        <w:tc>
          <w:tcPr>
            <w:tcW w:w="3108"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4" w:right="0"/>
              <w:jc w:val="left"/>
              <w:rPr>
                <w:rFonts w:ascii="宋体" w:hAnsi="宋体" w:cs="宋体" w:eastAsia="宋体" w:hint="default"/>
                <w:sz w:val="21"/>
                <w:szCs w:val="21"/>
              </w:rPr>
            </w:pPr>
            <w:r>
              <w:rPr>
                <w:rFonts w:ascii="宋体" w:hAnsi="宋体" w:cs="宋体" w:eastAsia="宋体" w:hint="default"/>
                <w:sz w:val="21"/>
                <w:szCs w:val="21"/>
              </w:rPr>
              <w:t>税费</w:t>
            </w:r>
          </w:p>
        </w:tc>
        <w:tc>
          <w:tcPr>
            <w:tcW w:w="2995"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z w:val="21"/>
              </w:rPr>
              <w:t>77,601.90</w:t>
            </w:r>
          </w:p>
        </w:tc>
        <w:tc>
          <w:tcPr>
            <w:tcW w:w="2729"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2"/>
              <w:jc w:val="right"/>
              <w:rPr>
                <w:rFonts w:ascii="Times New Roman" w:hAnsi="Times New Roman" w:cs="Times New Roman" w:eastAsia="Times New Roman" w:hint="default"/>
                <w:sz w:val="21"/>
                <w:szCs w:val="21"/>
              </w:rPr>
            </w:pPr>
            <w:r>
              <w:rPr>
                <w:rFonts w:ascii="Times New Roman"/>
                <w:spacing w:val="-1"/>
                <w:sz w:val="21"/>
              </w:rPr>
              <w:t>31,317.20</w:t>
            </w:r>
          </w:p>
        </w:tc>
      </w:tr>
      <w:tr>
        <w:trPr>
          <w:trHeight w:val="312" w:hRule="exact"/>
        </w:trPr>
        <w:tc>
          <w:tcPr>
            <w:tcW w:w="3108"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4" w:right="0"/>
              <w:jc w:val="left"/>
              <w:rPr>
                <w:rFonts w:ascii="宋体" w:hAnsi="宋体" w:cs="宋体" w:eastAsia="宋体" w:hint="default"/>
                <w:sz w:val="21"/>
                <w:szCs w:val="21"/>
              </w:rPr>
            </w:pPr>
            <w:r>
              <w:rPr>
                <w:rFonts w:ascii="宋体" w:hAnsi="宋体" w:cs="宋体" w:eastAsia="宋体" w:hint="default"/>
                <w:sz w:val="21"/>
                <w:szCs w:val="21"/>
              </w:rPr>
              <w:t>会费及年审费、中介机构费</w:t>
            </w:r>
          </w:p>
        </w:tc>
        <w:tc>
          <w:tcPr>
            <w:tcW w:w="2995"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1,490,292.80</w:t>
            </w:r>
          </w:p>
        </w:tc>
        <w:tc>
          <w:tcPr>
            <w:tcW w:w="2729"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2"/>
              <w:jc w:val="right"/>
              <w:rPr>
                <w:rFonts w:ascii="Times New Roman" w:hAnsi="Times New Roman" w:cs="Times New Roman" w:eastAsia="Times New Roman" w:hint="default"/>
                <w:sz w:val="21"/>
                <w:szCs w:val="21"/>
              </w:rPr>
            </w:pPr>
            <w:r>
              <w:rPr>
                <w:rFonts w:ascii="Times New Roman"/>
                <w:spacing w:val="-1"/>
                <w:sz w:val="21"/>
              </w:rPr>
              <w:t>1,794,581.44</w:t>
            </w:r>
          </w:p>
        </w:tc>
      </w:tr>
      <w:tr>
        <w:trPr>
          <w:trHeight w:val="314" w:hRule="exact"/>
        </w:trPr>
        <w:tc>
          <w:tcPr>
            <w:tcW w:w="3108"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4" w:right="0"/>
              <w:jc w:val="left"/>
              <w:rPr>
                <w:rFonts w:ascii="宋体" w:hAnsi="宋体" w:cs="宋体" w:eastAsia="宋体" w:hint="default"/>
                <w:sz w:val="21"/>
                <w:szCs w:val="21"/>
              </w:rPr>
            </w:pPr>
            <w:r>
              <w:rPr>
                <w:rFonts w:ascii="宋体" w:hAnsi="宋体" w:cs="宋体" w:eastAsia="宋体" w:hint="default"/>
                <w:sz w:val="21"/>
                <w:szCs w:val="21"/>
              </w:rPr>
              <w:t>通讯费及网络费</w:t>
            </w:r>
          </w:p>
        </w:tc>
        <w:tc>
          <w:tcPr>
            <w:tcW w:w="2995"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223,443.72</w:t>
            </w:r>
          </w:p>
        </w:tc>
        <w:tc>
          <w:tcPr>
            <w:tcW w:w="2729"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2"/>
              <w:jc w:val="right"/>
              <w:rPr>
                <w:rFonts w:ascii="Times New Roman" w:hAnsi="Times New Roman" w:cs="Times New Roman" w:eastAsia="Times New Roman" w:hint="default"/>
                <w:sz w:val="21"/>
                <w:szCs w:val="21"/>
              </w:rPr>
            </w:pPr>
            <w:r>
              <w:rPr>
                <w:rFonts w:ascii="Times New Roman"/>
                <w:spacing w:val="-1"/>
                <w:sz w:val="21"/>
              </w:rPr>
              <w:t>184,116.43</w:t>
            </w:r>
          </w:p>
        </w:tc>
      </w:tr>
      <w:tr>
        <w:trPr>
          <w:trHeight w:val="312" w:hRule="exact"/>
        </w:trPr>
        <w:tc>
          <w:tcPr>
            <w:tcW w:w="3108"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95"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493,919.70</w:t>
            </w:r>
          </w:p>
        </w:tc>
        <w:tc>
          <w:tcPr>
            <w:tcW w:w="2729"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2"/>
              <w:jc w:val="right"/>
              <w:rPr>
                <w:rFonts w:ascii="Times New Roman" w:hAnsi="Times New Roman" w:cs="Times New Roman" w:eastAsia="Times New Roman" w:hint="default"/>
                <w:sz w:val="21"/>
                <w:szCs w:val="21"/>
              </w:rPr>
            </w:pPr>
            <w:r>
              <w:rPr>
                <w:rFonts w:ascii="Times New Roman"/>
                <w:spacing w:val="-1"/>
                <w:sz w:val="21"/>
              </w:rPr>
              <w:t>1,029,868.05</w:t>
            </w:r>
          </w:p>
        </w:tc>
      </w:tr>
      <w:tr>
        <w:trPr>
          <w:trHeight w:val="314" w:hRule="exact"/>
        </w:trPr>
        <w:tc>
          <w:tcPr>
            <w:tcW w:w="3108"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7"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95"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27,454,266.93</w:t>
            </w:r>
          </w:p>
        </w:tc>
        <w:tc>
          <w:tcPr>
            <w:tcW w:w="2729"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2"/>
              <w:jc w:val="right"/>
              <w:rPr>
                <w:rFonts w:ascii="Times New Roman" w:hAnsi="Times New Roman" w:cs="Times New Roman" w:eastAsia="Times New Roman" w:hint="default"/>
                <w:sz w:val="21"/>
                <w:szCs w:val="21"/>
              </w:rPr>
            </w:pPr>
            <w:r>
              <w:rPr>
                <w:rFonts w:ascii="Times New Roman"/>
                <w:spacing w:val="-1"/>
                <w:sz w:val="21"/>
              </w:rPr>
              <w:t>25,840,517.20</w:t>
            </w:r>
          </w:p>
        </w:tc>
      </w:tr>
    </w:tbl>
    <w:p>
      <w:pPr>
        <w:spacing w:line="240" w:lineRule="auto" w:before="2"/>
        <w:rPr>
          <w:rFonts w:ascii="宋体" w:hAnsi="宋体" w:cs="宋体" w:eastAsia="宋体" w:hint="default"/>
          <w:b/>
          <w:bCs/>
          <w:sz w:val="20"/>
          <w:szCs w:val="20"/>
        </w:rPr>
      </w:pPr>
    </w:p>
    <w:p>
      <w:pPr>
        <w:pStyle w:val="Heading5"/>
        <w:spacing w:line="240" w:lineRule="auto" w:before="36"/>
        <w:ind w:left="580" w:right="0"/>
        <w:jc w:val="left"/>
        <w:rPr>
          <w:b w:val="0"/>
          <w:bCs w:val="0"/>
        </w:rPr>
      </w:pPr>
      <w:r>
        <w:rPr/>
        <w:t>（三十一）财务费用</w:t>
      </w:r>
      <w:r>
        <w:rPr>
          <w:b w:val="0"/>
          <w:bCs w:val="0"/>
        </w:rPr>
      </w:r>
    </w:p>
    <w:p>
      <w:pPr>
        <w:spacing w:after="0" w:line="240" w:lineRule="auto"/>
        <w:jc w:val="left"/>
        <w:sectPr>
          <w:pgSz w:w="11910" w:h="16840"/>
          <w:pgMar w:header="880" w:footer="979" w:top="1060" w:bottom="1160" w:left="980" w:right="980"/>
        </w:sectPr>
      </w:pPr>
    </w:p>
    <w:p>
      <w:pPr>
        <w:spacing w:line="240" w:lineRule="auto" w:before="4"/>
        <w:rPr>
          <w:rFonts w:ascii="宋体" w:hAnsi="宋体" w:cs="宋体" w:eastAsia="宋体" w:hint="default"/>
          <w:b/>
          <w:bCs/>
          <w:sz w:val="28"/>
          <w:szCs w:val="28"/>
        </w:rPr>
      </w:pPr>
    </w:p>
    <w:tbl>
      <w:tblPr>
        <w:tblW w:w="0" w:type="auto"/>
        <w:jc w:val="left"/>
        <w:tblInd w:w="145" w:type="dxa"/>
        <w:tblLayout w:type="fixed"/>
        <w:tblCellMar>
          <w:top w:w="0" w:type="dxa"/>
          <w:left w:w="0" w:type="dxa"/>
          <w:bottom w:w="0" w:type="dxa"/>
          <w:right w:w="0" w:type="dxa"/>
        </w:tblCellMar>
        <w:tblLook w:val="01E0"/>
      </w:tblPr>
      <w:tblGrid>
        <w:gridCol w:w="3108"/>
        <w:gridCol w:w="2995"/>
        <w:gridCol w:w="2736"/>
      </w:tblGrid>
      <w:tr>
        <w:trPr>
          <w:trHeight w:val="314" w:hRule="exact"/>
        </w:trPr>
        <w:tc>
          <w:tcPr>
            <w:tcW w:w="3108"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right="1331"/>
              <w:jc w:val="right"/>
              <w:rPr>
                <w:rFonts w:ascii="宋体" w:hAnsi="宋体" w:cs="宋体" w:eastAsia="宋体" w:hint="default"/>
                <w:sz w:val="21"/>
                <w:szCs w:val="21"/>
              </w:rPr>
            </w:pPr>
            <w:r>
              <w:rPr>
                <w:rFonts w:ascii="宋体" w:hAnsi="宋体" w:cs="宋体" w:eastAsia="宋体" w:hint="default"/>
                <w:sz w:val="21"/>
                <w:szCs w:val="21"/>
              </w:rPr>
              <w:t>类别</w:t>
            </w:r>
          </w:p>
        </w:tc>
        <w:tc>
          <w:tcPr>
            <w:tcW w:w="2995"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left="96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36" w:type="dxa"/>
            <w:tcBorders>
              <w:top w:val="single" w:sz="6" w:space="0" w:color="000000"/>
              <w:left w:val="single" w:sz="6" w:space="0" w:color="000000"/>
              <w:bottom w:val="single" w:sz="12" w:space="0" w:color="000000"/>
              <w:right w:val="nil" w:sz="6" w:space="0" w:color="auto"/>
            </w:tcBorders>
          </w:tcPr>
          <w:p>
            <w:pPr>
              <w:pStyle w:val="TableParagraph"/>
              <w:spacing w:line="250" w:lineRule="exact"/>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14" w:hRule="exact"/>
        </w:trPr>
        <w:tc>
          <w:tcPr>
            <w:tcW w:w="3108"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4"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995"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2736"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6"/>
              <w:jc w:val="right"/>
              <w:rPr>
                <w:rFonts w:ascii="Times New Roman" w:hAnsi="Times New Roman" w:cs="Times New Roman" w:eastAsia="Times New Roman" w:hint="default"/>
                <w:sz w:val="21"/>
                <w:szCs w:val="21"/>
              </w:rPr>
            </w:pPr>
            <w:r>
              <w:rPr>
                <w:rFonts w:ascii="Times New Roman"/>
                <w:spacing w:val="-1"/>
                <w:sz w:val="21"/>
              </w:rPr>
              <w:t>---</w:t>
            </w:r>
          </w:p>
        </w:tc>
      </w:tr>
      <w:tr>
        <w:trPr>
          <w:trHeight w:val="312" w:hRule="exact"/>
        </w:trPr>
        <w:tc>
          <w:tcPr>
            <w:tcW w:w="3108"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172"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2995"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3,004,769.69</w:t>
            </w:r>
          </w:p>
        </w:tc>
        <w:tc>
          <w:tcPr>
            <w:tcW w:w="2736"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5"/>
              <w:jc w:val="right"/>
              <w:rPr>
                <w:rFonts w:ascii="Times New Roman" w:hAnsi="Times New Roman" w:cs="Times New Roman" w:eastAsia="Times New Roman" w:hint="default"/>
                <w:sz w:val="21"/>
                <w:szCs w:val="21"/>
              </w:rPr>
            </w:pPr>
            <w:r>
              <w:rPr>
                <w:rFonts w:ascii="Times New Roman"/>
                <w:spacing w:val="-1"/>
                <w:sz w:val="21"/>
              </w:rPr>
              <w:t>3,511,676.13</w:t>
            </w:r>
          </w:p>
        </w:tc>
      </w:tr>
      <w:tr>
        <w:trPr>
          <w:trHeight w:val="314" w:hRule="exact"/>
        </w:trPr>
        <w:tc>
          <w:tcPr>
            <w:tcW w:w="3108"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4" w:right="0"/>
              <w:jc w:val="left"/>
              <w:rPr>
                <w:rFonts w:ascii="宋体" w:hAnsi="宋体" w:cs="宋体" w:eastAsia="宋体" w:hint="default"/>
                <w:sz w:val="21"/>
                <w:szCs w:val="21"/>
              </w:rPr>
            </w:pPr>
            <w:r>
              <w:rPr>
                <w:rFonts w:ascii="宋体" w:hAnsi="宋体" w:cs="宋体" w:eastAsia="宋体" w:hint="default"/>
                <w:sz w:val="21"/>
                <w:szCs w:val="21"/>
              </w:rPr>
              <w:t>汇兑损益</w:t>
            </w:r>
          </w:p>
        </w:tc>
        <w:tc>
          <w:tcPr>
            <w:tcW w:w="2995"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(30,857.31)</w:t>
            </w:r>
          </w:p>
        </w:tc>
        <w:tc>
          <w:tcPr>
            <w:tcW w:w="2736"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4"/>
              <w:jc w:val="right"/>
              <w:rPr>
                <w:rFonts w:ascii="Times New Roman" w:hAnsi="Times New Roman" w:cs="Times New Roman" w:eastAsia="Times New Roman" w:hint="default"/>
                <w:sz w:val="21"/>
                <w:szCs w:val="21"/>
              </w:rPr>
            </w:pPr>
            <w:r>
              <w:rPr>
                <w:rFonts w:ascii="Times New Roman"/>
                <w:spacing w:val="-1"/>
                <w:sz w:val="21"/>
              </w:rPr>
              <w:t>(89,386.25)</w:t>
            </w:r>
          </w:p>
        </w:tc>
      </w:tr>
      <w:tr>
        <w:trPr>
          <w:trHeight w:val="312" w:hRule="exact"/>
        </w:trPr>
        <w:tc>
          <w:tcPr>
            <w:tcW w:w="3108" w:type="dxa"/>
            <w:tcBorders>
              <w:top w:val="single" w:sz="12" w:space="0" w:color="000000"/>
              <w:left w:val="single" w:sz="6" w:space="0" w:color="000000"/>
              <w:bottom w:val="single" w:sz="12" w:space="0" w:color="000000"/>
              <w:right w:val="single" w:sz="6" w:space="0" w:color="000000"/>
            </w:tcBorders>
          </w:tcPr>
          <w:p>
            <w:pPr>
              <w:pStyle w:val="TableParagraph"/>
              <w:spacing w:line="257" w:lineRule="exact"/>
              <w:ind w:left="8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其他杂费</w:t>
            </w:r>
            <w:r>
              <w:rPr>
                <w:rFonts w:ascii="Times New Roman" w:hAnsi="Times New Roman" w:cs="Times New Roman" w:eastAsia="Times New Roman" w:hint="default"/>
                <w:sz w:val="21"/>
                <w:szCs w:val="21"/>
              </w:rPr>
              <w:t>(</w:t>
            </w:r>
            <w:r>
              <w:rPr>
                <w:rFonts w:ascii="宋体" w:hAnsi="宋体" w:cs="宋体" w:eastAsia="宋体" w:hint="default"/>
                <w:sz w:val="21"/>
                <w:szCs w:val="21"/>
              </w:rPr>
              <w:t>手续费</w:t>
            </w:r>
            <w:r>
              <w:rPr>
                <w:rFonts w:ascii="Times New Roman" w:hAnsi="Times New Roman" w:cs="Times New Roman" w:eastAsia="Times New Roman" w:hint="default"/>
                <w:sz w:val="21"/>
                <w:szCs w:val="21"/>
              </w:rPr>
              <w:t>)</w:t>
            </w:r>
          </w:p>
        </w:tc>
        <w:tc>
          <w:tcPr>
            <w:tcW w:w="2995"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z w:val="21"/>
              </w:rPr>
              <w:t>22,494.36</w:t>
            </w:r>
          </w:p>
        </w:tc>
        <w:tc>
          <w:tcPr>
            <w:tcW w:w="2736"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5"/>
              <w:jc w:val="right"/>
              <w:rPr>
                <w:rFonts w:ascii="Times New Roman" w:hAnsi="Times New Roman" w:cs="Times New Roman" w:eastAsia="Times New Roman" w:hint="default"/>
                <w:sz w:val="21"/>
                <w:szCs w:val="21"/>
              </w:rPr>
            </w:pPr>
            <w:r>
              <w:rPr>
                <w:rFonts w:ascii="Times New Roman"/>
                <w:spacing w:val="-1"/>
                <w:sz w:val="21"/>
              </w:rPr>
              <w:t>62,799.05</w:t>
            </w:r>
          </w:p>
        </w:tc>
      </w:tr>
      <w:tr>
        <w:trPr>
          <w:trHeight w:val="314" w:hRule="exact"/>
        </w:trPr>
        <w:tc>
          <w:tcPr>
            <w:tcW w:w="3108"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right="1331"/>
              <w:jc w:val="right"/>
              <w:rPr>
                <w:rFonts w:ascii="宋体" w:hAnsi="宋体" w:cs="宋体" w:eastAsia="宋体" w:hint="default"/>
                <w:sz w:val="21"/>
                <w:szCs w:val="21"/>
              </w:rPr>
            </w:pPr>
            <w:r>
              <w:rPr>
                <w:rFonts w:ascii="宋体" w:hAnsi="宋体" w:cs="宋体" w:eastAsia="宋体" w:hint="default"/>
                <w:sz w:val="21"/>
                <w:szCs w:val="21"/>
              </w:rPr>
              <w:t>合计</w:t>
            </w:r>
          </w:p>
        </w:tc>
        <w:tc>
          <w:tcPr>
            <w:tcW w:w="2995"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(3,013,132.64)</w:t>
            </w:r>
          </w:p>
        </w:tc>
        <w:tc>
          <w:tcPr>
            <w:tcW w:w="2736"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4"/>
              <w:jc w:val="right"/>
              <w:rPr>
                <w:rFonts w:ascii="Times New Roman" w:hAnsi="Times New Roman" w:cs="Times New Roman" w:eastAsia="Times New Roman" w:hint="default"/>
                <w:sz w:val="21"/>
                <w:szCs w:val="21"/>
              </w:rPr>
            </w:pPr>
            <w:r>
              <w:rPr>
                <w:rFonts w:ascii="Times New Roman"/>
                <w:spacing w:val="-1"/>
                <w:sz w:val="21"/>
              </w:rPr>
              <w:t>(3,538,263.33)</w:t>
            </w:r>
          </w:p>
        </w:tc>
      </w:tr>
    </w:tbl>
    <w:p>
      <w:pPr>
        <w:spacing w:line="240" w:lineRule="auto" w:before="2"/>
        <w:rPr>
          <w:rFonts w:ascii="宋体" w:hAnsi="宋体" w:cs="宋体" w:eastAsia="宋体" w:hint="default"/>
          <w:b/>
          <w:bCs/>
          <w:sz w:val="20"/>
          <w:szCs w:val="20"/>
        </w:rPr>
      </w:pPr>
    </w:p>
    <w:p>
      <w:pPr>
        <w:pStyle w:val="Heading5"/>
        <w:spacing w:line="240" w:lineRule="auto" w:before="36"/>
        <w:ind w:left="580" w:right="0"/>
        <w:jc w:val="left"/>
        <w:rPr>
          <w:b w:val="0"/>
          <w:bCs w:val="0"/>
        </w:rPr>
      </w:pPr>
      <w:r>
        <w:rPr/>
        <w:t>（三十二）资产减值损失</w:t>
      </w:r>
      <w:r>
        <w:rPr>
          <w:b w:val="0"/>
          <w:bCs w:val="0"/>
        </w:rPr>
      </w:r>
    </w:p>
    <w:p>
      <w:pPr>
        <w:spacing w:line="240" w:lineRule="auto" w:before="10"/>
        <w:rPr>
          <w:rFonts w:ascii="宋体" w:hAnsi="宋体" w:cs="宋体" w:eastAsia="宋体" w:hint="default"/>
          <w:b/>
          <w:bCs/>
          <w:sz w:val="3"/>
          <w:szCs w:val="3"/>
        </w:rPr>
      </w:pPr>
    </w:p>
    <w:tbl>
      <w:tblPr>
        <w:tblW w:w="0" w:type="auto"/>
        <w:jc w:val="left"/>
        <w:tblInd w:w="145" w:type="dxa"/>
        <w:tblLayout w:type="fixed"/>
        <w:tblCellMar>
          <w:top w:w="0" w:type="dxa"/>
          <w:left w:w="0" w:type="dxa"/>
          <w:bottom w:w="0" w:type="dxa"/>
          <w:right w:w="0" w:type="dxa"/>
        </w:tblCellMar>
        <w:tblLook w:val="01E0"/>
      </w:tblPr>
      <w:tblGrid>
        <w:gridCol w:w="3122"/>
        <w:gridCol w:w="2995"/>
        <w:gridCol w:w="2722"/>
      </w:tblGrid>
      <w:tr>
        <w:trPr>
          <w:trHeight w:val="314" w:hRule="exact"/>
        </w:trPr>
        <w:tc>
          <w:tcPr>
            <w:tcW w:w="3122"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right="1337"/>
              <w:jc w:val="right"/>
              <w:rPr>
                <w:rFonts w:ascii="宋体" w:hAnsi="宋体" w:cs="宋体" w:eastAsia="宋体" w:hint="default"/>
                <w:sz w:val="21"/>
                <w:szCs w:val="21"/>
              </w:rPr>
            </w:pPr>
            <w:r>
              <w:rPr>
                <w:rFonts w:ascii="宋体" w:hAnsi="宋体" w:cs="宋体" w:eastAsia="宋体" w:hint="default"/>
                <w:sz w:val="21"/>
                <w:szCs w:val="21"/>
              </w:rPr>
              <w:t>项目</w:t>
            </w:r>
          </w:p>
        </w:tc>
        <w:tc>
          <w:tcPr>
            <w:tcW w:w="2995"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left="96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22" w:type="dxa"/>
            <w:tcBorders>
              <w:top w:val="single" w:sz="6" w:space="0" w:color="000000"/>
              <w:left w:val="single" w:sz="6" w:space="0" w:color="000000"/>
              <w:bottom w:val="single" w:sz="12" w:space="0" w:color="000000"/>
              <w:right w:val="nil" w:sz="6" w:space="0" w:color="auto"/>
            </w:tcBorders>
          </w:tcPr>
          <w:p>
            <w:pPr>
              <w:pStyle w:val="TableParagraph"/>
              <w:spacing w:line="250" w:lineRule="exact"/>
              <w:ind w:left="82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14" w:hRule="exact"/>
        </w:trPr>
        <w:tc>
          <w:tcPr>
            <w:tcW w:w="3122"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4" w:right="0"/>
              <w:jc w:val="left"/>
              <w:rPr>
                <w:rFonts w:ascii="宋体" w:hAnsi="宋体" w:cs="宋体" w:eastAsia="宋体" w:hint="default"/>
                <w:sz w:val="21"/>
                <w:szCs w:val="21"/>
              </w:rPr>
            </w:pPr>
            <w:r>
              <w:rPr>
                <w:rFonts w:ascii="宋体" w:hAnsi="宋体" w:cs="宋体" w:eastAsia="宋体" w:hint="default"/>
                <w:sz w:val="21"/>
                <w:szCs w:val="21"/>
              </w:rPr>
              <w:t>坏账损失</w:t>
            </w:r>
          </w:p>
        </w:tc>
        <w:tc>
          <w:tcPr>
            <w:tcW w:w="2995"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3"/>
              <w:jc w:val="right"/>
              <w:rPr>
                <w:rFonts w:ascii="Times New Roman" w:hAnsi="Times New Roman" w:cs="Times New Roman" w:eastAsia="Times New Roman" w:hint="default"/>
                <w:sz w:val="21"/>
                <w:szCs w:val="21"/>
              </w:rPr>
            </w:pPr>
            <w:r>
              <w:rPr>
                <w:rFonts w:ascii="Times New Roman"/>
                <w:spacing w:val="-1"/>
                <w:sz w:val="21"/>
              </w:rPr>
              <w:t>410,698.33</w:t>
            </w:r>
          </w:p>
        </w:tc>
        <w:tc>
          <w:tcPr>
            <w:tcW w:w="2722"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7"/>
              <w:jc w:val="right"/>
              <w:rPr>
                <w:rFonts w:ascii="Times New Roman" w:hAnsi="Times New Roman" w:cs="Times New Roman" w:eastAsia="Times New Roman" w:hint="default"/>
                <w:sz w:val="21"/>
                <w:szCs w:val="21"/>
              </w:rPr>
            </w:pPr>
            <w:r>
              <w:rPr>
                <w:rFonts w:ascii="Times New Roman"/>
                <w:spacing w:val="-1"/>
                <w:sz w:val="21"/>
              </w:rPr>
              <w:t>166,491.66</w:t>
            </w:r>
          </w:p>
        </w:tc>
      </w:tr>
      <w:tr>
        <w:trPr>
          <w:trHeight w:val="312" w:hRule="exact"/>
        </w:trPr>
        <w:tc>
          <w:tcPr>
            <w:tcW w:w="3122"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4" w:right="0"/>
              <w:jc w:val="left"/>
              <w:rPr>
                <w:rFonts w:ascii="宋体" w:hAnsi="宋体" w:cs="宋体" w:eastAsia="宋体" w:hint="default"/>
                <w:sz w:val="21"/>
                <w:szCs w:val="21"/>
              </w:rPr>
            </w:pPr>
            <w:r>
              <w:rPr>
                <w:rFonts w:ascii="宋体" w:hAnsi="宋体" w:cs="宋体" w:eastAsia="宋体" w:hint="default"/>
                <w:sz w:val="21"/>
                <w:szCs w:val="21"/>
              </w:rPr>
              <w:t>存货跌价损失</w:t>
            </w:r>
          </w:p>
        </w:tc>
        <w:tc>
          <w:tcPr>
            <w:tcW w:w="2995"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1,552,732.21</w:t>
            </w:r>
          </w:p>
        </w:tc>
        <w:tc>
          <w:tcPr>
            <w:tcW w:w="2722"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7"/>
              <w:jc w:val="right"/>
              <w:rPr>
                <w:rFonts w:ascii="Times New Roman" w:hAnsi="Times New Roman" w:cs="Times New Roman" w:eastAsia="Times New Roman" w:hint="default"/>
                <w:sz w:val="21"/>
                <w:szCs w:val="21"/>
              </w:rPr>
            </w:pPr>
            <w:r>
              <w:rPr>
                <w:rFonts w:ascii="Times New Roman"/>
                <w:spacing w:val="-1"/>
                <w:sz w:val="21"/>
              </w:rPr>
              <w:t>369,555.96</w:t>
            </w:r>
          </w:p>
        </w:tc>
      </w:tr>
      <w:tr>
        <w:trPr>
          <w:trHeight w:val="314" w:hRule="exact"/>
        </w:trPr>
        <w:tc>
          <w:tcPr>
            <w:tcW w:w="3122"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right="1337"/>
              <w:jc w:val="right"/>
              <w:rPr>
                <w:rFonts w:ascii="宋体" w:hAnsi="宋体" w:cs="宋体" w:eastAsia="宋体" w:hint="default"/>
                <w:sz w:val="21"/>
                <w:szCs w:val="21"/>
              </w:rPr>
            </w:pPr>
            <w:r>
              <w:rPr>
                <w:rFonts w:ascii="宋体" w:hAnsi="宋体" w:cs="宋体" w:eastAsia="宋体" w:hint="default"/>
                <w:sz w:val="21"/>
                <w:szCs w:val="21"/>
              </w:rPr>
              <w:t>合计</w:t>
            </w:r>
          </w:p>
        </w:tc>
        <w:tc>
          <w:tcPr>
            <w:tcW w:w="2995"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1,963,430.54</w:t>
            </w:r>
          </w:p>
        </w:tc>
        <w:tc>
          <w:tcPr>
            <w:tcW w:w="2722"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7"/>
              <w:jc w:val="right"/>
              <w:rPr>
                <w:rFonts w:ascii="Times New Roman" w:hAnsi="Times New Roman" w:cs="Times New Roman" w:eastAsia="Times New Roman" w:hint="default"/>
                <w:sz w:val="21"/>
                <w:szCs w:val="21"/>
              </w:rPr>
            </w:pPr>
            <w:r>
              <w:rPr>
                <w:rFonts w:ascii="Times New Roman"/>
                <w:spacing w:val="-1"/>
                <w:sz w:val="21"/>
              </w:rPr>
              <w:t>536,047.62</w:t>
            </w:r>
          </w:p>
        </w:tc>
      </w:tr>
    </w:tbl>
    <w:p>
      <w:pPr>
        <w:spacing w:line="240" w:lineRule="auto" w:before="3"/>
        <w:rPr>
          <w:rFonts w:ascii="宋体" w:hAnsi="宋体" w:cs="宋体" w:eastAsia="宋体" w:hint="default"/>
          <w:b/>
          <w:bCs/>
          <w:sz w:val="8"/>
          <w:szCs w:val="8"/>
        </w:rPr>
      </w:pPr>
    </w:p>
    <w:p>
      <w:pPr>
        <w:pStyle w:val="Heading5"/>
        <w:spacing w:line="256" w:lineRule="auto" w:before="36"/>
        <w:ind w:right="0" w:firstLine="422"/>
        <w:jc w:val="left"/>
        <w:rPr>
          <w:b w:val="0"/>
          <w:bCs w:val="0"/>
        </w:rPr>
      </w:pPr>
      <w:r>
        <w:rPr>
          <w:spacing w:val="-2"/>
        </w:rPr>
        <w:t>资产减值损失本期发生额较上期发生额增加</w:t>
      </w:r>
      <w:r>
        <w:rPr>
          <w:rFonts w:ascii="Times New Roman" w:hAnsi="Times New Roman" w:cs="Times New Roman" w:eastAsia="Times New Roman" w:hint="default"/>
          <w:spacing w:val="-2"/>
        </w:rPr>
        <w:t>1,427,382.92</w:t>
      </w:r>
      <w:r>
        <w:rPr>
          <w:spacing w:val="-2"/>
        </w:rPr>
        <w:t>元，增幅为</w:t>
      </w:r>
      <w:r>
        <w:rPr>
          <w:rFonts w:ascii="Times New Roman" w:hAnsi="Times New Roman" w:cs="Times New Roman" w:eastAsia="Times New Roman" w:hint="default"/>
          <w:spacing w:val="-2"/>
        </w:rPr>
        <w:t>266.28%</w:t>
      </w:r>
      <w:r>
        <w:rPr>
          <w:spacing w:val="-2"/>
        </w:rPr>
        <w:t>，原因主要是受期末应收</w:t>
      </w:r>
      <w:r>
        <w:rPr>
          <w:w w:val="100"/>
        </w:rPr>
        <w:t> </w:t>
      </w:r>
      <w:r>
        <w:rPr/>
        <w:t>账款及其他应收款余额及账龄的影响，计提的坏账准备相应增加；存货跌价准备的增加。</w:t>
      </w:r>
      <w:r>
        <w:rPr>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7"/>
          <w:szCs w:val="17"/>
        </w:rPr>
      </w:pPr>
    </w:p>
    <w:p>
      <w:pPr>
        <w:pStyle w:val="Heading5"/>
        <w:spacing w:line="273" w:lineRule="auto"/>
        <w:ind w:left="577" w:right="7459" w:firstLine="2"/>
        <w:jc w:val="left"/>
        <w:rPr>
          <w:b w:val="0"/>
          <w:bCs w:val="0"/>
        </w:rPr>
      </w:pPr>
      <w:r>
        <w:rPr>
          <w:spacing w:val="-1"/>
        </w:rPr>
        <w:t>（三十三）投资收益</w:t>
      </w:r>
      <w:r>
        <w:rPr>
          <w:w w:val="100"/>
        </w:rPr>
        <w:t> </w:t>
      </w:r>
      <w:r>
        <w:rPr/>
        <w:t>投资收益明细情况</w:t>
      </w:r>
      <w:r>
        <w:rPr>
          <w:b w:val="0"/>
          <w:bCs w:val="0"/>
        </w:rPr>
      </w:r>
    </w:p>
    <w:tbl>
      <w:tblPr>
        <w:tblW w:w="0" w:type="auto"/>
        <w:jc w:val="left"/>
        <w:tblInd w:w="160" w:type="dxa"/>
        <w:tblLayout w:type="fixed"/>
        <w:tblCellMar>
          <w:top w:w="0" w:type="dxa"/>
          <w:left w:w="0" w:type="dxa"/>
          <w:bottom w:w="0" w:type="dxa"/>
          <w:right w:w="0" w:type="dxa"/>
        </w:tblCellMar>
        <w:tblLook w:val="01E0"/>
      </w:tblPr>
      <w:tblGrid>
        <w:gridCol w:w="2995"/>
        <w:gridCol w:w="2940"/>
        <w:gridCol w:w="2882"/>
      </w:tblGrid>
      <w:tr>
        <w:trPr>
          <w:trHeight w:val="314" w:hRule="exact"/>
        </w:trPr>
        <w:tc>
          <w:tcPr>
            <w:tcW w:w="2995"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right="1277"/>
              <w:jc w:val="right"/>
              <w:rPr>
                <w:rFonts w:ascii="宋体" w:hAnsi="宋体" w:cs="宋体" w:eastAsia="宋体" w:hint="default"/>
                <w:sz w:val="21"/>
                <w:szCs w:val="21"/>
              </w:rPr>
            </w:pPr>
            <w:r>
              <w:rPr>
                <w:rFonts w:ascii="宋体" w:hAnsi="宋体" w:cs="宋体" w:eastAsia="宋体" w:hint="default"/>
                <w:sz w:val="21"/>
                <w:szCs w:val="21"/>
              </w:rPr>
              <w:t>项目</w:t>
            </w:r>
          </w:p>
        </w:tc>
        <w:tc>
          <w:tcPr>
            <w:tcW w:w="2940"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left="93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82" w:type="dxa"/>
            <w:tcBorders>
              <w:top w:val="single" w:sz="6" w:space="0" w:color="000000"/>
              <w:left w:val="single" w:sz="6" w:space="0" w:color="000000"/>
              <w:bottom w:val="single" w:sz="12" w:space="0" w:color="000000"/>
              <w:right w:val="nil" w:sz="6" w:space="0" w:color="auto"/>
            </w:tcBorders>
          </w:tcPr>
          <w:p>
            <w:pPr>
              <w:pStyle w:val="TableParagraph"/>
              <w:spacing w:line="250" w:lineRule="exact"/>
              <w:ind w:left="90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14" w:hRule="exact"/>
        </w:trPr>
        <w:tc>
          <w:tcPr>
            <w:tcW w:w="2995"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2" w:right="0"/>
              <w:jc w:val="left"/>
              <w:rPr>
                <w:rFonts w:ascii="宋体" w:hAnsi="宋体" w:cs="宋体" w:eastAsia="宋体" w:hint="default"/>
                <w:sz w:val="21"/>
                <w:szCs w:val="21"/>
              </w:rPr>
            </w:pPr>
            <w:r>
              <w:rPr>
                <w:rFonts w:ascii="宋体" w:hAnsi="宋体" w:cs="宋体" w:eastAsia="宋体" w:hint="default"/>
                <w:sz w:val="21"/>
                <w:szCs w:val="21"/>
              </w:rPr>
              <w:t>银行理财产品</w:t>
            </w:r>
          </w:p>
        </w:tc>
        <w:tc>
          <w:tcPr>
            <w:tcW w:w="2940"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0"/>
              <w:jc w:val="right"/>
              <w:rPr>
                <w:rFonts w:ascii="Times New Roman" w:hAnsi="Times New Roman" w:cs="Times New Roman" w:eastAsia="Times New Roman" w:hint="default"/>
                <w:sz w:val="21"/>
                <w:szCs w:val="21"/>
              </w:rPr>
            </w:pPr>
            <w:r>
              <w:rPr>
                <w:rFonts w:ascii="Times New Roman"/>
                <w:spacing w:val="-1"/>
                <w:sz w:val="21"/>
              </w:rPr>
              <w:t>4,424,106.13</w:t>
            </w:r>
          </w:p>
        </w:tc>
        <w:tc>
          <w:tcPr>
            <w:tcW w:w="2882"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5"/>
              <w:jc w:val="right"/>
              <w:rPr>
                <w:rFonts w:ascii="Times New Roman" w:hAnsi="Times New Roman" w:cs="Times New Roman" w:eastAsia="Times New Roman" w:hint="default"/>
                <w:sz w:val="21"/>
                <w:szCs w:val="21"/>
              </w:rPr>
            </w:pPr>
            <w:r>
              <w:rPr>
                <w:rFonts w:ascii="Times New Roman"/>
                <w:spacing w:val="-1"/>
                <w:sz w:val="21"/>
              </w:rPr>
              <w:t>2,776,904.09</w:t>
            </w:r>
          </w:p>
        </w:tc>
      </w:tr>
      <w:tr>
        <w:trPr>
          <w:trHeight w:val="314" w:hRule="exact"/>
        </w:trPr>
        <w:tc>
          <w:tcPr>
            <w:tcW w:w="2995"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right="1277"/>
              <w:jc w:val="right"/>
              <w:rPr>
                <w:rFonts w:ascii="宋体" w:hAnsi="宋体" w:cs="宋体" w:eastAsia="宋体" w:hint="default"/>
                <w:sz w:val="21"/>
                <w:szCs w:val="21"/>
              </w:rPr>
            </w:pPr>
            <w:r>
              <w:rPr>
                <w:rFonts w:ascii="宋体" w:hAnsi="宋体" w:cs="宋体" w:eastAsia="宋体" w:hint="default"/>
                <w:sz w:val="21"/>
                <w:szCs w:val="21"/>
              </w:rPr>
              <w:t>合计</w:t>
            </w:r>
          </w:p>
        </w:tc>
        <w:tc>
          <w:tcPr>
            <w:tcW w:w="2940"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Times New Roman" w:hAnsi="Times New Roman" w:cs="Times New Roman" w:eastAsia="Times New Roman" w:hint="default"/>
                <w:sz w:val="21"/>
                <w:szCs w:val="21"/>
              </w:rPr>
            </w:pPr>
            <w:r>
              <w:rPr>
                <w:rFonts w:ascii="Times New Roman"/>
                <w:spacing w:val="-1"/>
                <w:sz w:val="21"/>
              </w:rPr>
              <w:t>4,424,106.13</w:t>
            </w:r>
          </w:p>
        </w:tc>
        <w:tc>
          <w:tcPr>
            <w:tcW w:w="2882"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5"/>
              <w:jc w:val="right"/>
              <w:rPr>
                <w:rFonts w:ascii="Times New Roman" w:hAnsi="Times New Roman" w:cs="Times New Roman" w:eastAsia="Times New Roman" w:hint="default"/>
                <w:sz w:val="21"/>
                <w:szCs w:val="21"/>
              </w:rPr>
            </w:pPr>
            <w:r>
              <w:rPr>
                <w:rFonts w:ascii="Times New Roman"/>
                <w:spacing w:val="-1"/>
                <w:sz w:val="21"/>
              </w:rPr>
              <w:t>2,776,904.09</w:t>
            </w:r>
          </w:p>
        </w:tc>
      </w:tr>
    </w:tbl>
    <w:p>
      <w:pPr>
        <w:spacing w:line="240" w:lineRule="auto" w:before="10"/>
        <w:rPr>
          <w:rFonts w:ascii="宋体" w:hAnsi="宋体" w:cs="宋体" w:eastAsia="宋体" w:hint="default"/>
          <w:b/>
          <w:bCs/>
          <w:sz w:val="9"/>
          <w:szCs w:val="9"/>
        </w:rPr>
      </w:pPr>
    </w:p>
    <w:p>
      <w:pPr>
        <w:pStyle w:val="Heading5"/>
        <w:spacing w:line="256" w:lineRule="auto" w:before="36"/>
        <w:ind w:right="0" w:firstLine="427"/>
        <w:jc w:val="left"/>
        <w:rPr>
          <w:b w:val="0"/>
          <w:bCs w:val="0"/>
        </w:rPr>
      </w:pPr>
      <w:r>
        <w:rPr/>
        <w:t>投资收益本期发生额较上期发生额增加</w:t>
      </w:r>
      <w:r>
        <w:rPr>
          <w:rFonts w:ascii="Times New Roman" w:hAnsi="Times New Roman" w:cs="Times New Roman" w:eastAsia="Times New Roman" w:hint="default"/>
        </w:rPr>
        <w:t>1,647,202.04</w:t>
      </w:r>
      <w:r>
        <w:rPr/>
        <w:t>元，增幅为</w:t>
      </w:r>
      <w:r>
        <w:rPr>
          <w:rFonts w:ascii="Times New Roman" w:hAnsi="Times New Roman" w:cs="Times New Roman" w:eastAsia="Times New Roman" w:hint="default"/>
        </w:rPr>
        <w:t>59.32%</w:t>
      </w:r>
      <w:r>
        <w:rPr/>
        <w:t>，原因主要系理财产品产生的</w:t>
      </w:r>
      <w:r>
        <w:rPr>
          <w:w w:val="100"/>
        </w:rPr>
        <w:t> </w:t>
      </w:r>
      <w:r>
        <w:rPr/>
        <w:t>投资收益增加所致。</w:t>
      </w:r>
      <w:r>
        <w:rPr>
          <w:b w:val="0"/>
          <w:bCs w:val="0"/>
        </w:rPr>
      </w:r>
    </w:p>
    <w:p>
      <w:pPr>
        <w:pStyle w:val="Heading5"/>
        <w:spacing w:line="240" w:lineRule="auto" w:before="178"/>
        <w:ind w:left="580" w:right="0"/>
        <w:jc w:val="left"/>
        <w:rPr>
          <w:b w:val="0"/>
          <w:bCs w:val="0"/>
        </w:rPr>
      </w:pPr>
      <w:r>
        <w:rPr/>
        <w:t>（三十四）营业外收入</w:t>
      </w:r>
      <w:r>
        <w:rPr>
          <w:b w:val="0"/>
          <w:bCs w:val="0"/>
        </w:rPr>
      </w:r>
    </w:p>
    <w:p>
      <w:pPr>
        <w:pStyle w:val="Heading5"/>
        <w:spacing w:line="240" w:lineRule="auto" w:before="37"/>
        <w:ind w:left="579" w:right="0"/>
        <w:jc w:val="left"/>
        <w:rPr>
          <w:b w:val="0"/>
          <w:bCs w:val="0"/>
        </w:rPr>
      </w:pPr>
      <w:r>
        <w:rPr>
          <w:rFonts w:ascii="Times New Roman" w:hAnsi="Times New Roman" w:cs="Times New Roman" w:eastAsia="Times New Roman" w:hint="default"/>
        </w:rPr>
        <w:t>1</w:t>
      </w:r>
      <w:r>
        <w:rPr/>
        <w:t>、营业外收入分类</w:t>
      </w:r>
      <w:r>
        <w:rPr>
          <w:b w:val="0"/>
          <w:bCs w:val="0"/>
        </w:rPr>
      </w:r>
    </w:p>
    <w:p>
      <w:pPr>
        <w:spacing w:line="240" w:lineRule="auto" w:before="8"/>
        <w:rPr>
          <w:rFonts w:ascii="宋体" w:hAnsi="宋体" w:cs="宋体" w:eastAsia="宋体" w:hint="default"/>
          <w:b/>
          <w:bCs/>
          <w:sz w:val="2"/>
          <w:szCs w:val="2"/>
        </w:rPr>
      </w:pPr>
    </w:p>
    <w:tbl>
      <w:tblPr>
        <w:tblW w:w="0" w:type="auto"/>
        <w:jc w:val="left"/>
        <w:tblInd w:w="145" w:type="dxa"/>
        <w:tblLayout w:type="fixed"/>
        <w:tblCellMar>
          <w:top w:w="0" w:type="dxa"/>
          <w:left w:w="0" w:type="dxa"/>
          <w:bottom w:w="0" w:type="dxa"/>
          <w:right w:w="0" w:type="dxa"/>
        </w:tblCellMar>
        <w:tblLook w:val="01E0"/>
      </w:tblPr>
      <w:tblGrid>
        <w:gridCol w:w="2114"/>
        <w:gridCol w:w="2141"/>
        <w:gridCol w:w="1862"/>
        <w:gridCol w:w="2722"/>
      </w:tblGrid>
      <w:tr>
        <w:trPr>
          <w:trHeight w:val="588" w:hRule="exact"/>
        </w:trPr>
        <w:tc>
          <w:tcPr>
            <w:tcW w:w="2114"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41"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left="53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862"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left="398"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722" w:type="dxa"/>
            <w:tcBorders>
              <w:top w:val="single" w:sz="6" w:space="0" w:color="000000"/>
              <w:left w:val="single" w:sz="6" w:space="0" w:color="000000"/>
              <w:bottom w:val="single" w:sz="12" w:space="0" w:color="000000"/>
              <w:right w:val="nil" w:sz="6" w:space="0" w:color="auto"/>
            </w:tcBorders>
          </w:tcPr>
          <w:p>
            <w:pPr>
              <w:pStyle w:val="TableParagraph"/>
              <w:spacing w:line="274" w:lineRule="exact" w:before="1"/>
              <w:ind w:left="1245" w:right="98" w:hanging="1155"/>
              <w:jc w:val="left"/>
              <w:rPr>
                <w:rFonts w:ascii="宋体" w:hAnsi="宋体" w:cs="宋体" w:eastAsia="宋体" w:hint="default"/>
                <w:sz w:val="21"/>
                <w:szCs w:val="21"/>
              </w:rPr>
            </w:pPr>
            <w:r>
              <w:rPr>
                <w:rFonts w:ascii="宋体" w:hAnsi="宋体" w:cs="宋体" w:eastAsia="宋体" w:hint="default"/>
                <w:spacing w:val="-2"/>
                <w:sz w:val="21"/>
                <w:szCs w:val="21"/>
              </w:rPr>
              <w:t>计入当期非经常性损益的金</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额</w:t>
            </w:r>
          </w:p>
        </w:tc>
      </w:tr>
      <w:tr>
        <w:trPr>
          <w:trHeight w:val="312" w:hRule="exact"/>
        </w:trPr>
        <w:tc>
          <w:tcPr>
            <w:tcW w:w="2114"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4" w:right="0"/>
              <w:jc w:val="left"/>
              <w:rPr>
                <w:rFonts w:ascii="宋体" w:hAnsi="宋体" w:cs="宋体" w:eastAsia="宋体" w:hint="default"/>
                <w:sz w:val="21"/>
                <w:szCs w:val="21"/>
              </w:rPr>
            </w:pPr>
            <w:r>
              <w:rPr>
                <w:rFonts w:ascii="宋体" w:hAnsi="宋体" w:cs="宋体" w:eastAsia="宋体" w:hint="default"/>
                <w:sz w:val="21"/>
                <w:szCs w:val="21"/>
              </w:rPr>
              <w:t>固定资产清理收益</w:t>
            </w:r>
          </w:p>
        </w:tc>
        <w:tc>
          <w:tcPr>
            <w:tcW w:w="2141"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Times New Roman" w:hAnsi="Times New Roman" w:cs="Times New Roman" w:eastAsia="Times New Roman" w:hint="default"/>
                <w:sz w:val="21"/>
                <w:szCs w:val="21"/>
              </w:rPr>
            </w:pPr>
            <w:r>
              <w:rPr>
                <w:rFonts w:ascii="Times New Roman"/>
                <w:spacing w:val="-1"/>
                <w:sz w:val="21"/>
              </w:rPr>
              <w:t>234,476.00</w:t>
            </w:r>
          </w:p>
        </w:tc>
        <w:tc>
          <w:tcPr>
            <w:tcW w:w="1862"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2722"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9"/>
              <w:jc w:val="right"/>
              <w:rPr>
                <w:rFonts w:ascii="Times New Roman" w:hAnsi="Times New Roman" w:cs="Times New Roman" w:eastAsia="Times New Roman" w:hint="default"/>
                <w:sz w:val="21"/>
                <w:szCs w:val="21"/>
              </w:rPr>
            </w:pPr>
            <w:r>
              <w:rPr>
                <w:rFonts w:ascii="Times New Roman"/>
                <w:spacing w:val="-1"/>
                <w:sz w:val="21"/>
              </w:rPr>
              <w:t>234,476.00</w:t>
            </w:r>
          </w:p>
        </w:tc>
      </w:tr>
      <w:tr>
        <w:trPr>
          <w:trHeight w:val="314" w:hRule="exact"/>
        </w:trPr>
        <w:tc>
          <w:tcPr>
            <w:tcW w:w="2114" w:type="dxa"/>
            <w:tcBorders>
              <w:top w:val="single" w:sz="12" w:space="0" w:color="000000"/>
              <w:left w:val="single" w:sz="6" w:space="0" w:color="000000"/>
              <w:bottom w:val="single" w:sz="12" w:space="0" w:color="000000"/>
              <w:right w:val="single" w:sz="6" w:space="0" w:color="000000"/>
            </w:tcBorders>
          </w:tcPr>
          <w:p>
            <w:pPr>
              <w:pStyle w:val="TableParagraph"/>
              <w:spacing w:line="259" w:lineRule="exact"/>
              <w:ind w:left="4" w:right="0"/>
              <w:jc w:val="left"/>
              <w:rPr>
                <w:rFonts w:ascii="宋体" w:hAnsi="宋体" w:cs="宋体" w:eastAsia="宋体" w:hint="default"/>
                <w:sz w:val="21"/>
                <w:szCs w:val="21"/>
              </w:rPr>
            </w:pPr>
            <w:r>
              <w:rPr>
                <w:rFonts w:ascii="宋体" w:hAnsi="宋体" w:cs="宋体" w:eastAsia="宋体" w:hint="default"/>
                <w:sz w:val="21"/>
                <w:szCs w:val="21"/>
              </w:rPr>
              <w:t>政府补助</w:t>
            </w:r>
            <w:r>
              <w:rPr>
                <w:rFonts w:ascii="Times New Roman" w:hAnsi="Times New Roman" w:cs="Times New Roman" w:eastAsia="Times New Roman" w:hint="default"/>
                <w:sz w:val="21"/>
                <w:szCs w:val="21"/>
              </w:rPr>
              <w:t>-</w:t>
            </w:r>
            <w:r>
              <w:rPr>
                <w:rFonts w:ascii="宋体" w:hAnsi="宋体" w:cs="宋体" w:eastAsia="宋体" w:hint="default"/>
                <w:sz w:val="21"/>
                <w:szCs w:val="21"/>
              </w:rPr>
              <w:t>税收返还</w:t>
            </w:r>
          </w:p>
        </w:tc>
        <w:tc>
          <w:tcPr>
            <w:tcW w:w="2141"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0"/>
              <w:jc w:val="right"/>
              <w:rPr>
                <w:rFonts w:ascii="Times New Roman" w:hAnsi="Times New Roman" w:cs="Times New Roman" w:eastAsia="Times New Roman" w:hint="default"/>
                <w:sz w:val="21"/>
                <w:szCs w:val="21"/>
              </w:rPr>
            </w:pPr>
            <w:r>
              <w:rPr>
                <w:rFonts w:ascii="Times New Roman"/>
                <w:spacing w:val="-1"/>
                <w:sz w:val="21"/>
              </w:rPr>
              <w:t>3,564,977.33</w:t>
            </w:r>
          </w:p>
        </w:tc>
        <w:tc>
          <w:tcPr>
            <w:tcW w:w="1862"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0"/>
              <w:jc w:val="right"/>
              <w:rPr>
                <w:rFonts w:ascii="Times New Roman" w:hAnsi="Times New Roman" w:cs="Times New Roman" w:eastAsia="Times New Roman" w:hint="default"/>
                <w:sz w:val="21"/>
                <w:szCs w:val="21"/>
              </w:rPr>
            </w:pPr>
            <w:r>
              <w:rPr>
                <w:rFonts w:ascii="Times New Roman"/>
                <w:spacing w:val="-1"/>
                <w:sz w:val="21"/>
              </w:rPr>
              <w:t>3,758,773.21</w:t>
            </w:r>
            <w:r>
              <w:rPr>
                <w:rFonts w:ascii="Times New Roman"/>
                <w:sz w:val="21"/>
              </w:rPr>
            </w:r>
          </w:p>
        </w:tc>
        <w:tc>
          <w:tcPr>
            <w:tcW w:w="2722"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6"/>
              <w:jc w:val="right"/>
              <w:rPr>
                <w:rFonts w:ascii="Times New Roman" w:hAnsi="Times New Roman" w:cs="Times New Roman" w:eastAsia="Times New Roman" w:hint="default"/>
                <w:sz w:val="21"/>
                <w:szCs w:val="21"/>
              </w:rPr>
            </w:pPr>
            <w:r>
              <w:rPr>
                <w:rFonts w:ascii="Times New Roman"/>
                <w:spacing w:val="-1"/>
                <w:sz w:val="21"/>
              </w:rPr>
              <w:t>---</w:t>
            </w:r>
          </w:p>
        </w:tc>
      </w:tr>
      <w:tr>
        <w:trPr>
          <w:trHeight w:val="586" w:hRule="exact"/>
        </w:trPr>
        <w:tc>
          <w:tcPr>
            <w:tcW w:w="2114" w:type="dxa"/>
            <w:tcBorders>
              <w:top w:val="single" w:sz="12" w:space="0" w:color="000000"/>
              <w:left w:val="single" w:sz="6" w:space="0" w:color="000000"/>
              <w:bottom w:val="single" w:sz="12" w:space="0" w:color="000000"/>
              <w:right w:val="single" w:sz="6" w:space="0" w:color="000000"/>
            </w:tcBorders>
          </w:tcPr>
          <w:p>
            <w:pPr>
              <w:pStyle w:val="TableParagraph"/>
              <w:spacing w:line="248" w:lineRule="exact"/>
              <w:ind w:left="4" w:right="-17"/>
              <w:jc w:val="left"/>
              <w:rPr>
                <w:rFonts w:ascii="宋体" w:hAnsi="宋体" w:cs="宋体" w:eastAsia="宋体" w:hint="default"/>
                <w:sz w:val="21"/>
                <w:szCs w:val="21"/>
              </w:rPr>
            </w:pPr>
            <w:r>
              <w:rPr>
                <w:rFonts w:ascii="宋体" w:hAnsi="宋体" w:cs="宋体" w:eastAsia="宋体" w:hint="default"/>
                <w:spacing w:val="12"/>
                <w:sz w:val="21"/>
                <w:szCs w:val="21"/>
              </w:rPr>
              <w:t>政府补助</w:t>
            </w:r>
            <w:r>
              <w:rPr>
                <w:rFonts w:ascii="Times New Roman" w:hAnsi="Times New Roman" w:cs="Times New Roman" w:eastAsia="Times New Roman" w:hint="default"/>
                <w:spacing w:val="12"/>
                <w:sz w:val="21"/>
                <w:szCs w:val="21"/>
              </w:rPr>
              <w:t>-</w:t>
            </w:r>
            <w:r>
              <w:rPr>
                <w:rFonts w:ascii="宋体" w:hAnsi="宋体" w:cs="宋体" w:eastAsia="宋体" w:hint="default"/>
                <w:spacing w:val="12"/>
                <w:sz w:val="21"/>
                <w:szCs w:val="21"/>
              </w:rPr>
              <w:t>其他政府补</w:t>
            </w:r>
            <w:r>
              <w:rPr>
                <w:rFonts w:ascii="宋体" w:hAnsi="宋体" w:cs="宋体" w:eastAsia="宋体" w:hint="default"/>
                <w:sz w:val="21"/>
                <w:szCs w:val="21"/>
              </w:rPr>
            </w:r>
          </w:p>
          <w:p>
            <w:pPr>
              <w:pStyle w:val="TableParagraph"/>
              <w:spacing w:line="266" w:lineRule="exact"/>
              <w:ind w:left="4" w:right="0"/>
              <w:jc w:val="left"/>
              <w:rPr>
                <w:rFonts w:ascii="宋体" w:hAnsi="宋体" w:cs="宋体" w:eastAsia="宋体" w:hint="default"/>
                <w:sz w:val="21"/>
                <w:szCs w:val="21"/>
              </w:rPr>
            </w:pPr>
            <w:r>
              <w:rPr>
                <w:rFonts w:ascii="宋体" w:hAnsi="宋体" w:cs="宋体" w:eastAsia="宋体" w:hint="default"/>
                <w:w w:val="100"/>
                <w:sz w:val="21"/>
                <w:szCs w:val="21"/>
              </w:rPr>
              <w:t>助</w:t>
            </w:r>
          </w:p>
        </w:tc>
        <w:tc>
          <w:tcPr>
            <w:tcW w:w="2141"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Times New Roman" w:hAnsi="Times New Roman" w:cs="Times New Roman" w:eastAsia="Times New Roman" w:hint="default"/>
                <w:sz w:val="21"/>
                <w:szCs w:val="21"/>
              </w:rPr>
            </w:pPr>
            <w:r>
              <w:rPr>
                <w:rFonts w:ascii="Times New Roman"/>
                <w:spacing w:val="-1"/>
                <w:sz w:val="21"/>
              </w:rPr>
              <w:t>3,587,217.65</w:t>
            </w:r>
          </w:p>
        </w:tc>
        <w:tc>
          <w:tcPr>
            <w:tcW w:w="1862"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6,036,665.25</w:t>
            </w:r>
          </w:p>
        </w:tc>
        <w:tc>
          <w:tcPr>
            <w:tcW w:w="2722"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9"/>
              <w:jc w:val="right"/>
              <w:rPr>
                <w:rFonts w:ascii="Times New Roman" w:hAnsi="Times New Roman" w:cs="Times New Roman" w:eastAsia="Times New Roman" w:hint="default"/>
                <w:sz w:val="21"/>
                <w:szCs w:val="21"/>
              </w:rPr>
            </w:pPr>
            <w:r>
              <w:rPr>
                <w:rFonts w:ascii="Times New Roman"/>
                <w:spacing w:val="-1"/>
                <w:sz w:val="21"/>
              </w:rPr>
              <w:t>3,587,217.65</w:t>
            </w:r>
          </w:p>
        </w:tc>
      </w:tr>
      <w:tr>
        <w:trPr>
          <w:trHeight w:val="314" w:hRule="exact"/>
        </w:trPr>
        <w:tc>
          <w:tcPr>
            <w:tcW w:w="2114"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41"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Times New Roman" w:hAnsi="Times New Roman" w:cs="Times New Roman" w:eastAsia="Times New Roman" w:hint="default"/>
                <w:sz w:val="21"/>
                <w:szCs w:val="21"/>
              </w:rPr>
            </w:pPr>
            <w:r>
              <w:rPr>
                <w:rFonts w:ascii="Times New Roman"/>
                <w:spacing w:val="-1"/>
                <w:sz w:val="21"/>
              </w:rPr>
              <w:t>7,386,670.98</w:t>
            </w:r>
          </w:p>
        </w:tc>
        <w:tc>
          <w:tcPr>
            <w:tcW w:w="1862"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9,795,438.46</w:t>
            </w:r>
          </w:p>
        </w:tc>
        <w:tc>
          <w:tcPr>
            <w:tcW w:w="2722"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9"/>
              <w:jc w:val="right"/>
              <w:rPr>
                <w:rFonts w:ascii="Times New Roman" w:hAnsi="Times New Roman" w:cs="Times New Roman" w:eastAsia="Times New Roman" w:hint="default"/>
                <w:sz w:val="21"/>
                <w:szCs w:val="21"/>
              </w:rPr>
            </w:pPr>
            <w:r>
              <w:rPr>
                <w:rFonts w:ascii="Times New Roman"/>
                <w:spacing w:val="-1"/>
                <w:sz w:val="21"/>
              </w:rPr>
              <w:t>3,821,693.65</w:t>
            </w:r>
          </w:p>
        </w:tc>
      </w:tr>
    </w:tbl>
    <w:p>
      <w:pPr>
        <w:spacing w:line="240" w:lineRule="auto" w:before="3"/>
        <w:rPr>
          <w:rFonts w:ascii="宋体" w:hAnsi="宋体" w:cs="宋体" w:eastAsia="宋体" w:hint="default"/>
          <w:b/>
          <w:bCs/>
          <w:sz w:val="8"/>
          <w:szCs w:val="8"/>
        </w:rPr>
      </w:pPr>
    </w:p>
    <w:p>
      <w:pPr>
        <w:pStyle w:val="Heading5"/>
        <w:spacing w:line="240" w:lineRule="auto" w:before="36"/>
        <w:ind w:left="580" w:right="0"/>
        <w:jc w:val="left"/>
        <w:rPr>
          <w:b w:val="0"/>
          <w:bCs w:val="0"/>
        </w:rPr>
      </w:pPr>
      <w:r>
        <w:rPr>
          <w:rFonts w:ascii="Times New Roman" w:hAnsi="Times New Roman" w:cs="Times New Roman" w:eastAsia="Times New Roman" w:hint="default"/>
        </w:rPr>
        <w:t>2</w:t>
      </w:r>
      <w:r>
        <w:rPr/>
        <w:t>、政府补助明细如下：</w:t>
      </w:r>
      <w:r>
        <w:rPr>
          <w:b w:val="0"/>
          <w:bCs w:val="0"/>
        </w:rPr>
      </w:r>
    </w:p>
    <w:p>
      <w:pPr>
        <w:spacing w:line="240" w:lineRule="auto" w:before="8"/>
        <w:rPr>
          <w:rFonts w:ascii="宋体" w:hAnsi="宋体" w:cs="宋体" w:eastAsia="宋体" w:hint="default"/>
          <w:b/>
          <w:bCs/>
          <w:sz w:val="2"/>
          <w:szCs w:val="2"/>
        </w:rPr>
      </w:pPr>
    </w:p>
    <w:tbl>
      <w:tblPr>
        <w:tblW w:w="0" w:type="auto"/>
        <w:jc w:val="left"/>
        <w:tblInd w:w="160" w:type="dxa"/>
        <w:tblLayout w:type="fixed"/>
        <w:tblCellMar>
          <w:top w:w="0" w:type="dxa"/>
          <w:left w:w="0" w:type="dxa"/>
          <w:bottom w:w="0" w:type="dxa"/>
          <w:right w:w="0" w:type="dxa"/>
        </w:tblCellMar>
        <w:tblLook w:val="01E0"/>
      </w:tblPr>
      <w:tblGrid>
        <w:gridCol w:w="2100"/>
        <w:gridCol w:w="2141"/>
        <w:gridCol w:w="1862"/>
        <w:gridCol w:w="2714"/>
      </w:tblGrid>
      <w:tr>
        <w:trPr>
          <w:trHeight w:val="314" w:hRule="exact"/>
        </w:trPr>
        <w:tc>
          <w:tcPr>
            <w:tcW w:w="2100"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41"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left="53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862"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left="398"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714" w:type="dxa"/>
            <w:tcBorders>
              <w:top w:val="single" w:sz="6" w:space="0" w:color="000000"/>
              <w:left w:val="single" w:sz="6" w:space="0" w:color="000000"/>
              <w:bottom w:val="single" w:sz="12" w:space="0" w:color="000000"/>
              <w:right w:val="nil" w:sz="6" w:space="0" w:color="auto"/>
            </w:tcBorders>
          </w:tcPr>
          <w:p>
            <w:pPr>
              <w:pStyle w:val="TableParagraph"/>
              <w:spacing w:line="266" w:lineRule="exact"/>
              <w:ind w:right="4"/>
              <w:jc w:val="center"/>
              <w:rPr>
                <w:rFonts w:ascii="宋体" w:hAnsi="宋体" w:cs="宋体" w:eastAsia="宋体" w:hint="default"/>
                <w:sz w:val="21"/>
                <w:szCs w:val="21"/>
              </w:rPr>
            </w:pPr>
            <w:r>
              <w:rPr>
                <w:rFonts w:ascii="宋体" w:hAnsi="宋体" w:cs="宋体" w:eastAsia="宋体" w:hint="default"/>
                <w:sz w:val="21"/>
                <w:szCs w:val="21"/>
              </w:rPr>
              <w:t>与资产相关</w:t>
            </w:r>
            <w:r>
              <w:rPr>
                <w:rFonts w:ascii="Times New Roman" w:hAnsi="Times New Roman" w:cs="Times New Roman" w:eastAsia="Times New Roman" w:hint="default"/>
                <w:sz w:val="21"/>
                <w:szCs w:val="21"/>
              </w:rPr>
              <w:t>/</w:t>
            </w:r>
            <w:r>
              <w:rPr>
                <w:rFonts w:ascii="宋体" w:hAnsi="宋体" w:cs="宋体" w:eastAsia="宋体" w:hint="default"/>
                <w:sz w:val="21"/>
                <w:szCs w:val="21"/>
              </w:rPr>
              <w:t>与收益相关</w:t>
            </w:r>
          </w:p>
        </w:tc>
      </w:tr>
      <w:tr>
        <w:trPr>
          <w:trHeight w:val="312" w:hRule="exact"/>
        </w:trPr>
        <w:tc>
          <w:tcPr>
            <w:tcW w:w="2100"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141" w:right="0"/>
              <w:jc w:val="left"/>
              <w:rPr>
                <w:rFonts w:ascii="宋体" w:hAnsi="宋体" w:cs="宋体" w:eastAsia="宋体" w:hint="default"/>
                <w:sz w:val="21"/>
                <w:szCs w:val="21"/>
              </w:rPr>
            </w:pPr>
            <w:r>
              <w:rPr>
                <w:rFonts w:ascii="宋体" w:hAnsi="宋体" w:cs="宋体" w:eastAsia="宋体" w:hint="default"/>
                <w:sz w:val="21"/>
                <w:szCs w:val="21"/>
              </w:rPr>
              <w:t>税收返还</w:t>
            </w:r>
          </w:p>
        </w:tc>
        <w:tc>
          <w:tcPr>
            <w:tcW w:w="2141"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Times New Roman" w:hAnsi="Times New Roman" w:cs="Times New Roman" w:eastAsia="Times New Roman" w:hint="default"/>
                <w:sz w:val="21"/>
                <w:szCs w:val="21"/>
              </w:rPr>
            </w:pPr>
            <w:r>
              <w:rPr>
                <w:rFonts w:ascii="Times New Roman"/>
                <w:spacing w:val="-1"/>
                <w:sz w:val="21"/>
              </w:rPr>
              <w:t>3,564,977.33</w:t>
            </w:r>
          </w:p>
        </w:tc>
        <w:tc>
          <w:tcPr>
            <w:tcW w:w="1862"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3,758,773.21</w:t>
            </w:r>
          </w:p>
        </w:tc>
        <w:tc>
          <w:tcPr>
            <w:tcW w:w="2714" w:type="dxa"/>
            <w:tcBorders>
              <w:top w:val="single" w:sz="12" w:space="0" w:color="000000"/>
              <w:left w:val="single" w:sz="6" w:space="0" w:color="000000"/>
              <w:bottom w:val="single" w:sz="12" w:space="0" w:color="000000"/>
              <w:right w:val="nil" w:sz="6" w:space="0" w:color="auto"/>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14" w:hRule="exact"/>
        </w:trPr>
        <w:tc>
          <w:tcPr>
            <w:tcW w:w="2100"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141" w:right="0"/>
              <w:jc w:val="left"/>
              <w:rPr>
                <w:rFonts w:ascii="宋体" w:hAnsi="宋体" w:cs="宋体" w:eastAsia="宋体" w:hint="default"/>
                <w:sz w:val="21"/>
                <w:szCs w:val="21"/>
              </w:rPr>
            </w:pPr>
            <w:r>
              <w:rPr>
                <w:rFonts w:ascii="宋体" w:hAnsi="宋体" w:cs="宋体" w:eastAsia="宋体" w:hint="default"/>
                <w:sz w:val="21"/>
                <w:szCs w:val="21"/>
              </w:rPr>
              <w:t>其他政府补助</w:t>
            </w:r>
          </w:p>
        </w:tc>
        <w:tc>
          <w:tcPr>
            <w:tcW w:w="2141"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3,496,917.02</w:t>
            </w:r>
          </w:p>
        </w:tc>
        <w:tc>
          <w:tcPr>
            <w:tcW w:w="1862"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5,992,263.49</w:t>
            </w:r>
          </w:p>
        </w:tc>
        <w:tc>
          <w:tcPr>
            <w:tcW w:w="2714" w:type="dxa"/>
            <w:tcBorders>
              <w:top w:val="single" w:sz="12" w:space="0" w:color="000000"/>
              <w:left w:val="single" w:sz="6" w:space="0" w:color="000000"/>
              <w:bottom w:val="single" w:sz="12" w:space="0" w:color="000000"/>
              <w:right w:val="nil" w:sz="6" w:space="0" w:color="auto"/>
            </w:tcBorders>
          </w:tcPr>
          <w:p>
            <w:pPr>
              <w:pStyle w:val="TableParagraph"/>
              <w:spacing w:line="243" w:lineRule="exact"/>
              <w:ind w:right="5"/>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12" w:hRule="exact"/>
        </w:trPr>
        <w:tc>
          <w:tcPr>
            <w:tcW w:w="2100"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其他政府补助</w:t>
            </w:r>
          </w:p>
        </w:tc>
        <w:tc>
          <w:tcPr>
            <w:tcW w:w="2141"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Times New Roman" w:hAnsi="Times New Roman" w:cs="Times New Roman" w:eastAsia="Times New Roman" w:hint="default"/>
                <w:sz w:val="21"/>
                <w:szCs w:val="21"/>
              </w:rPr>
            </w:pPr>
            <w:r>
              <w:rPr>
                <w:rFonts w:ascii="Times New Roman"/>
                <w:sz w:val="21"/>
              </w:rPr>
              <w:t>90,300.63</w:t>
            </w:r>
          </w:p>
        </w:tc>
        <w:tc>
          <w:tcPr>
            <w:tcW w:w="1862"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Times New Roman" w:hAnsi="Times New Roman" w:cs="Times New Roman" w:eastAsia="Times New Roman" w:hint="default"/>
                <w:sz w:val="21"/>
                <w:szCs w:val="21"/>
              </w:rPr>
            </w:pPr>
            <w:r>
              <w:rPr>
                <w:rFonts w:ascii="Times New Roman"/>
                <w:sz w:val="21"/>
              </w:rPr>
              <w:t>44,401.76</w:t>
            </w:r>
          </w:p>
        </w:tc>
        <w:tc>
          <w:tcPr>
            <w:tcW w:w="2714" w:type="dxa"/>
            <w:tcBorders>
              <w:top w:val="single" w:sz="12" w:space="0" w:color="000000"/>
              <w:left w:val="single" w:sz="6" w:space="0" w:color="000000"/>
              <w:bottom w:val="single" w:sz="12" w:space="0" w:color="000000"/>
              <w:right w:val="nil" w:sz="6" w:space="0" w:color="auto"/>
            </w:tcBorders>
          </w:tcPr>
          <w:p>
            <w:pPr>
              <w:pStyle w:val="TableParagraph"/>
              <w:spacing w:line="241" w:lineRule="exact"/>
              <w:ind w:left="31" w:right="0"/>
              <w:jc w:val="center"/>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314" w:hRule="exact"/>
        </w:trPr>
        <w:tc>
          <w:tcPr>
            <w:tcW w:w="2100"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41"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0"/>
              <w:jc w:val="right"/>
              <w:rPr>
                <w:rFonts w:ascii="Times New Roman" w:hAnsi="Times New Roman" w:cs="Times New Roman" w:eastAsia="Times New Roman" w:hint="default"/>
                <w:sz w:val="21"/>
                <w:szCs w:val="21"/>
              </w:rPr>
            </w:pPr>
            <w:r>
              <w:rPr>
                <w:rFonts w:ascii="Times New Roman"/>
                <w:spacing w:val="-1"/>
                <w:sz w:val="21"/>
              </w:rPr>
              <w:t>7,152,194.98</w:t>
            </w:r>
          </w:p>
        </w:tc>
        <w:tc>
          <w:tcPr>
            <w:tcW w:w="1862"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9,795,438.46</w:t>
            </w:r>
          </w:p>
        </w:tc>
        <w:tc>
          <w:tcPr>
            <w:tcW w:w="2714"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8"/>
        <w:rPr>
          <w:rFonts w:ascii="宋体" w:hAnsi="宋体" w:cs="宋体" w:eastAsia="宋体" w:hint="default"/>
          <w:b/>
          <w:bCs/>
          <w:sz w:val="14"/>
          <w:szCs w:val="14"/>
        </w:rPr>
      </w:pPr>
    </w:p>
    <w:p>
      <w:pPr>
        <w:pStyle w:val="Heading5"/>
        <w:spacing w:line="240" w:lineRule="auto" w:before="36"/>
        <w:ind w:right="0"/>
        <w:jc w:val="left"/>
        <w:rPr>
          <w:b w:val="0"/>
          <w:bCs w:val="0"/>
        </w:rPr>
      </w:pPr>
      <w:r>
        <w:rPr>
          <w:rFonts w:ascii="宋体" w:hAnsi="宋体" w:cs="宋体" w:eastAsia="宋体" w:hint="default"/>
        </w:rPr>
        <w:t>1.</w:t>
      </w:r>
      <w:r>
        <w:rPr>
          <w:rFonts w:ascii="宋体" w:hAnsi="宋体" w:cs="宋体" w:eastAsia="宋体" w:hint="default"/>
          <w:spacing w:val="15"/>
        </w:rPr>
        <w:t> </w:t>
      </w:r>
      <w:r>
        <w:rPr/>
        <w:t>税收返还为本公司收到的按增值税实际税负超过</w:t>
      </w:r>
      <w:r>
        <w:rPr>
          <w:rFonts w:ascii="Times New Roman" w:hAnsi="Times New Roman" w:cs="Times New Roman" w:eastAsia="Times New Roman" w:hint="default"/>
        </w:rPr>
        <w:t>3</w:t>
      </w:r>
      <w:r>
        <w:rPr/>
        <w:t>％的部分即征即退的增值税。</w:t>
      </w:r>
      <w:r>
        <w:rPr>
          <w:b w:val="0"/>
          <w:bCs w:val="0"/>
        </w:rPr>
      </w:r>
    </w:p>
    <w:p>
      <w:pPr>
        <w:pStyle w:val="Heading5"/>
        <w:spacing w:line="240" w:lineRule="auto" w:before="21"/>
        <w:ind w:left="575" w:right="0"/>
        <w:jc w:val="left"/>
        <w:rPr>
          <w:b w:val="0"/>
          <w:bCs w:val="0"/>
        </w:rPr>
      </w:pPr>
      <w:r>
        <w:rPr>
          <w:rFonts w:ascii="Times New Roman" w:hAnsi="Times New Roman" w:cs="Times New Roman" w:eastAsia="Times New Roman" w:hint="default"/>
        </w:rPr>
        <w:t>2</w:t>
      </w:r>
      <w:r>
        <w:rPr/>
        <w:t>．其他政府补助主要系：</w:t>
      </w:r>
      <w:r>
        <w:rPr>
          <w:b w:val="0"/>
          <w:bCs w:val="0"/>
        </w:rPr>
      </w:r>
    </w:p>
    <w:p>
      <w:pPr>
        <w:pStyle w:val="Heading5"/>
        <w:spacing w:line="256" w:lineRule="auto" w:before="21"/>
        <w:ind w:right="0" w:firstLine="422"/>
        <w:jc w:val="left"/>
        <w:rPr>
          <w:b w:val="0"/>
          <w:bCs w:val="0"/>
        </w:rPr>
      </w:pPr>
      <w:r>
        <w:rPr/>
        <w:t>（</w:t>
      </w:r>
      <w:r>
        <w:rPr>
          <w:rFonts w:ascii="Times New Roman" w:hAnsi="Times New Roman" w:cs="Times New Roman" w:eastAsia="Times New Roman" w:hint="default"/>
        </w:rPr>
        <w:t>1</w:t>
      </w:r>
      <w:r>
        <w:rPr/>
        <w:t>）本公司收到深圳市科技工贸和信息化委员会的深圳市生物、互联网、新能源产业发展专项基金</w:t>
      </w:r>
      <w:r>
        <w:rPr>
          <w:w w:val="100"/>
        </w:rPr>
        <w:t> </w:t>
      </w:r>
      <w:r>
        <w:rPr>
          <w:spacing w:val="-2"/>
        </w:rPr>
        <w:t>项目基于互联网的中小学英语在线智能记忆平台无偿资助</w:t>
      </w:r>
      <w:r>
        <w:rPr>
          <w:rFonts w:ascii="Times New Roman" w:hAnsi="Times New Roman" w:cs="Times New Roman" w:eastAsia="Times New Roman" w:hint="default"/>
          <w:spacing w:val="-2"/>
        </w:rPr>
        <w:t>80</w:t>
      </w:r>
      <w:r>
        <w:rPr>
          <w:spacing w:val="-2"/>
        </w:rPr>
        <w:t>万元。本期计入营业外收入</w:t>
      </w:r>
      <w:r>
        <w:rPr>
          <w:rFonts w:ascii="Times New Roman" w:hAnsi="Times New Roman" w:cs="Times New Roman" w:eastAsia="Times New Roman" w:hint="default"/>
          <w:spacing w:val="-2"/>
        </w:rPr>
        <w:t>19,996.56</w:t>
      </w:r>
      <w:r>
        <w:rPr>
          <w:spacing w:val="-2"/>
        </w:rPr>
        <w:t>元，详见</w:t>
      </w:r>
      <w:r>
        <w:rPr>
          <w:b w:val="0"/>
          <w:bCs w:val="0"/>
          <w:spacing w:val="-2"/>
        </w:rPr>
      </w:r>
    </w:p>
    <w:p>
      <w:pPr>
        <w:spacing w:after="0" w:line="256" w:lineRule="auto"/>
        <w:jc w:val="left"/>
        <w:sectPr>
          <w:pgSz w:w="11910" w:h="16840"/>
          <w:pgMar w:header="880" w:footer="979" w:top="1060" w:bottom="1160" w:left="980" w:right="980"/>
        </w:sectPr>
      </w:pPr>
    </w:p>
    <w:p>
      <w:pPr>
        <w:spacing w:line="240" w:lineRule="auto" w:before="8"/>
        <w:rPr>
          <w:rFonts w:ascii="宋体" w:hAnsi="宋体" w:cs="宋体" w:eastAsia="宋体" w:hint="default"/>
          <w:b/>
          <w:bCs/>
          <w:sz w:val="24"/>
          <w:szCs w:val="24"/>
        </w:rPr>
      </w:pPr>
    </w:p>
    <w:p>
      <w:pPr>
        <w:pStyle w:val="Heading5"/>
        <w:spacing w:line="240" w:lineRule="auto" w:before="36"/>
        <w:ind w:right="0"/>
        <w:jc w:val="left"/>
        <w:rPr>
          <w:b w:val="0"/>
          <w:bCs w:val="0"/>
        </w:rPr>
      </w:pPr>
      <w:r>
        <w:rPr/>
        <w:t>六、（二十二）</w:t>
      </w:r>
      <w:r>
        <w:rPr>
          <w:rFonts w:ascii="Times New Roman" w:hAnsi="Times New Roman" w:cs="Times New Roman" w:eastAsia="Times New Roman" w:hint="default"/>
        </w:rPr>
        <w:t>2</w:t>
      </w:r>
      <w:r>
        <w:rPr/>
        <w:t>。</w:t>
      </w:r>
      <w:r>
        <w:rPr>
          <w:b w:val="0"/>
          <w:bCs w:val="0"/>
        </w:rPr>
      </w:r>
    </w:p>
    <w:p>
      <w:pPr>
        <w:pStyle w:val="Heading5"/>
        <w:spacing w:line="256" w:lineRule="auto" w:before="21"/>
        <w:ind w:right="151" w:firstLine="422"/>
        <w:jc w:val="both"/>
        <w:rPr>
          <w:b w:val="0"/>
          <w:bCs w:val="0"/>
        </w:rPr>
      </w:pPr>
      <w:r>
        <w:rPr/>
        <w:t>（</w:t>
      </w:r>
      <w:r>
        <w:rPr>
          <w:rFonts w:ascii="Times New Roman" w:hAnsi="Times New Roman" w:cs="Times New Roman" w:eastAsia="Times New Roman" w:hint="default"/>
        </w:rPr>
        <w:t>2</w:t>
      </w:r>
      <w:r>
        <w:rPr/>
        <w:t>）本公司收到深圳市科技创新委员会的深圳市战略性新兴产业发展专项资金项目基于云计算的教</w:t>
      </w:r>
      <w:r>
        <w:rPr>
          <w:w w:val="100"/>
        </w:rPr>
        <w:t> </w:t>
      </w:r>
      <w:r>
        <w:rPr/>
        <w:t>育质量监测与评价系统无偿资助</w:t>
      </w:r>
      <w:r>
        <w:rPr>
          <w:rFonts w:ascii="Times New Roman" w:hAnsi="Times New Roman" w:cs="Times New Roman" w:eastAsia="Times New Roman" w:hint="default"/>
        </w:rPr>
        <w:t>200</w:t>
      </w:r>
      <w:r>
        <w:rPr/>
        <w:t>万元。本期计入营业外收入</w:t>
      </w:r>
      <w:r>
        <w:rPr>
          <w:rFonts w:ascii="Times New Roman" w:hAnsi="Times New Roman" w:cs="Times New Roman" w:eastAsia="Times New Roman" w:hint="default"/>
        </w:rPr>
        <w:t>82,299.16</w:t>
      </w:r>
      <w:r>
        <w:rPr/>
        <w:t>元，详见六、（二十二）</w:t>
      </w:r>
      <w:r>
        <w:rPr>
          <w:rFonts w:ascii="Times New Roman" w:hAnsi="Times New Roman" w:cs="Times New Roman" w:eastAsia="Times New Roman" w:hint="default"/>
        </w:rPr>
        <w:t>2</w:t>
      </w:r>
      <w:r>
        <w:rPr/>
        <w:t>。</w:t>
      </w:r>
      <w:r>
        <w:rPr>
          <w:b w:val="0"/>
          <w:bCs w:val="0"/>
        </w:rPr>
      </w:r>
    </w:p>
    <w:p>
      <w:pPr>
        <w:pStyle w:val="Heading5"/>
        <w:spacing w:line="256" w:lineRule="auto" w:before="5"/>
        <w:ind w:right="150" w:firstLine="422"/>
        <w:jc w:val="both"/>
        <w:rPr>
          <w:b w:val="0"/>
          <w:bCs w:val="0"/>
        </w:rPr>
      </w:pPr>
      <w:r>
        <w:rPr>
          <w:spacing w:val="-1"/>
        </w:rPr>
        <w:t>（</w:t>
      </w:r>
      <w:r>
        <w:rPr>
          <w:rFonts w:ascii="Times New Roman" w:hAnsi="Times New Roman" w:cs="Times New Roman" w:eastAsia="Times New Roman" w:hint="default"/>
          <w:spacing w:val="-1"/>
        </w:rPr>
        <w:t>3</w:t>
      </w:r>
      <w:r>
        <w:rPr>
          <w:spacing w:val="-1"/>
        </w:rPr>
        <w:t>）根据深发改</w:t>
      </w:r>
      <w:r>
        <w:rPr>
          <w:rFonts w:ascii="Times New Roman" w:hAnsi="Times New Roman" w:cs="Times New Roman" w:eastAsia="Times New Roman" w:hint="default"/>
          <w:spacing w:val="-1"/>
        </w:rPr>
        <w:t>[2013]535</w:t>
      </w:r>
      <w:r>
        <w:rPr>
          <w:spacing w:val="-1"/>
        </w:rPr>
        <w:t>号文件相关规定，本公司获得深圳市经济贸易和信息化委员会的外语互动</w:t>
      </w:r>
      <w:r>
        <w:rPr>
          <w:w w:val="100"/>
        </w:rPr>
        <w:t> </w:t>
      </w:r>
      <w:r>
        <w:rPr/>
        <w:t>学习平台创新项目无偿资助</w:t>
      </w:r>
      <w:r>
        <w:rPr>
          <w:rFonts w:ascii="Times New Roman" w:hAnsi="Times New Roman" w:cs="Times New Roman" w:eastAsia="Times New Roman" w:hint="default"/>
        </w:rPr>
        <w:t>80</w:t>
      </w:r>
      <w:r>
        <w:rPr/>
        <w:t>万元。本期计入营业外收入</w:t>
      </w:r>
      <w:r>
        <w:rPr>
          <w:rFonts w:ascii="Times New Roman" w:hAnsi="Times New Roman" w:cs="Times New Roman" w:eastAsia="Times New Roman" w:hint="default"/>
        </w:rPr>
        <w:t>248,038.72</w:t>
      </w:r>
      <w:r>
        <w:rPr/>
        <w:t>元，详见六、（二十二）</w:t>
      </w:r>
      <w:r>
        <w:rPr>
          <w:rFonts w:ascii="Times New Roman" w:hAnsi="Times New Roman" w:cs="Times New Roman" w:eastAsia="Times New Roman" w:hint="default"/>
        </w:rPr>
        <w:t>2</w:t>
      </w:r>
      <w:r>
        <w:rPr/>
        <w:t>。</w:t>
      </w:r>
      <w:r>
        <w:rPr>
          <w:b w:val="0"/>
          <w:bCs w:val="0"/>
        </w:rPr>
      </w:r>
    </w:p>
    <w:p>
      <w:pPr>
        <w:pStyle w:val="Heading5"/>
        <w:spacing w:line="256" w:lineRule="auto" w:before="5"/>
        <w:ind w:right="150" w:firstLine="422"/>
        <w:jc w:val="both"/>
        <w:rPr>
          <w:b w:val="0"/>
          <w:bCs w:val="0"/>
        </w:rPr>
      </w:pPr>
      <w:r>
        <w:rPr/>
        <w:t>（</w:t>
      </w:r>
      <w:r>
        <w:rPr>
          <w:rFonts w:ascii="Times New Roman" w:hAnsi="Times New Roman" w:cs="Times New Roman" w:eastAsia="Times New Roman" w:hint="default"/>
        </w:rPr>
        <w:t>4</w:t>
      </w:r>
      <w:r>
        <w:rPr/>
        <w:t>）为落实《深圳市文化创意产业发展专项资金管理办法》所规定的优惠政策，本公司获得深圳市</w:t>
      </w:r>
      <w:r>
        <w:rPr>
          <w:w w:val="100"/>
        </w:rPr>
        <w:t> </w:t>
      </w:r>
      <w:r>
        <w:rPr>
          <w:spacing w:val="-4"/>
        </w:rPr>
        <w:t>文体旅游局的中小学教育游戏平台项目无偿资助</w:t>
      </w:r>
      <w:r>
        <w:rPr>
          <w:rFonts w:ascii="Times New Roman" w:hAnsi="Times New Roman" w:cs="Times New Roman" w:eastAsia="Times New Roman" w:hint="default"/>
          <w:spacing w:val="-4"/>
        </w:rPr>
        <w:t>91</w:t>
      </w:r>
      <w:r>
        <w:rPr>
          <w:spacing w:val="-4"/>
        </w:rPr>
        <w:t>万元。本期计入营业外收入</w:t>
      </w:r>
      <w:r>
        <w:rPr>
          <w:rFonts w:ascii="Times New Roman" w:hAnsi="Times New Roman" w:cs="Times New Roman" w:eastAsia="Times New Roman" w:hint="default"/>
          <w:spacing w:val="-4"/>
        </w:rPr>
        <w:t>420,283.21</w:t>
      </w:r>
      <w:r>
        <w:rPr>
          <w:spacing w:val="-4"/>
        </w:rPr>
        <w:t>元，详见六、（二</w:t>
      </w:r>
      <w:r>
        <w:rPr>
          <w:spacing w:val="-66"/>
        </w:rPr>
        <w:t> </w:t>
      </w:r>
      <w:r>
        <w:rPr>
          <w:spacing w:val="-66"/>
        </w:rPr>
      </w:r>
      <w:r>
        <w:rPr/>
        <w:t>十二）</w:t>
      </w:r>
      <w:r>
        <w:rPr>
          <w:rFonts w:ascii="Times New Roman" w:hAnsi="Times New Roman" w:cs="Times New Roman" w:eastAsia="Times New Roman" w:hint="default"/>
        </w:rPr>
        <w:t>2</w:t>
      </w:r>
      <w:r>
        <w:rPr/>
        <w:t>。</w:t>
      </w:r>
      <w:r>
        <w:rPr>
          <w:b w:val="0"/>
          <w:bCs w:val="0"/>
        </w:rPr>
      </w:r>
    </w:p>
    <w:p>
      <w:pPr>
        <w:pStyle w:val="Heading5"/>
        <w:spacing w:line="256" w:lineRule="auto" w:before="5"/>
        <w:ind w:right="148" w:firstLine="422"/>
        <w:jc w:val="both"/>
        <w:rPr>
          <w:b w:val="0"/>
          <w:bCs w:val="0"/>
        </w:rPr>
      </w:pPr>
      <w:r>
        <w:rPr>
          <w:spacing w:val="-1"/>
        </w:rPr>
        <w:t>（</w:t>
      </w:r>
      <w:r>
        <w:rPr>
          <w:rFonts w:ascii="Times New Roman" w:hAnsi="Times New Roman" w:cs="Times New Roman" w:eastAsia="Times New Roman" w:hint="default"/>
          <w:spacing w:val="-1"/>
        </w:rPr>
        <w:t>5</w:t>
      </w:r>
      <w:r>
        <w:rPr>
          <w:spacing w:val="-1"/>
        </w:rPr>
        <w:t>）根据深圳市南山区经济促进局、深圳市南山区财政局深南经</w:t>
      </w:r>
      <w:r>
        <w:rPr>
          <w:rFonts w:ascii="Times New Roman" w:hAnsi="Times New Roman" w:cs="Times New Roman" w:eastAsia="Times New Roman" w:hint="default"/>
          <w:spacing w:val="-1"/>
        </w:rPr>
        <w:t>[2013]5</w:t>
      </w:r>
      <w:r>
        <w:rPr>
          <w:spacing w:val="-1"/>
        </w:rPr>
        <w:t>号文件的相关规定，本公司</w:t>
      </w:r>
      <w:r>
        <w:rPr>
          <w:w w:val="100"/>
        </w:rPr>
        <w:t> </w:t>
      </w:r>
      <w:r>
        <w:rPr>
          <w:spacing w:val="-3"/>
          <w:w w:val="100"/>
        </w:rPr>
        <w:t>获得深圳市南山区财政局的南山区财政局关于重点企业和创新机构扶持专项资金</w:t>
      </w:r>
      <w:r>
        <w:rPr>
          <w:rFonts w:ascii="Times New Roman" w:hAnsi="Times New Roman" w:cs="Times New Roman" w:eastAsia="Times New Roman" w:hint="default"/>
          <w:spacing w:val="-3"/>
          <w:w w:val="100"/>
        </w:rPr>
        <w:t>16.65</w:t>
      </w:r>
      <w:r>
        <w:rPr>
          <w:spacing w:val="-3"/>
          <w:w w:val="100"/>
        </w:rPr>
        <w:t>万元。本期全部计入</w:t>
      </w:r>
      <w:r>
        <w:rPr>
          <w:spacing w:val="-98"/>
          <w:w w:val="100"/>
        </w:rPr>
        <w:t> </w:t>
      </w:r>
      <w:r>
        <w:rPr>
          <w:spacing w:val="-98"/>
          <w:w w:val="100"/>
        </w:rPr>
      </w:r>
      <w:r>
        <w:rPr/>
        <w:t>营业外收入。</w:t>
      </w:r>
      <w:r>
        <w:rPr>
          <w:b w:val="0"/>
          <w:bCs w:val="0"/>
        </w:rPr>
      </w:r>
    </w:p>
    <w:p>
      <w:pPr>
        <w:pStyle w:val="Heading5"/>
        <w:spacing w:line="256" w:lineRule="auto" w:before="22"/>
        <w:ind w:right="148" w:firstLine="422"/>
        <w:jc w:val="both"/>
        <w:rPr>
          <w:b w:val="0"/>
          <w:bCs w:val="0"/>
        </w:rPr>
      </w:pPr>
      <w:r>
        <w:rPr>
          <w:spacing w:val="-1"/>
        </w:rPr>
        <w:t>（</w:t>
      </w:r>
      <w:r>
        <w:rPr>
          <w:rFonts w:ascii="Times New Roman" w:hAnsi="Times New Roman" w:cs="Times New Roman" w:eastAsia="Times New Roman" w:hint="default"/>
          <w:spacing w:val="-1"/>
        </w:rPr>
        <w:t>6</w:t>
      </w:r>
      <w:r>
        <w:rPr>
          <w:spacing w:val="-1"/>
        </w:rPr>
        <w:t>）本公司获得深圳市南山区财政局的南山区自主创新产业发展专项资金</w:t>
      </w:r>
      <w:r>
        <w:rPr>
          <w:rFonts w:ascii="Times New Roman" w:hAnsi="Times New Roman" w:cs="Times New Roman" w:eastAsia="Times New Roman" w:hint="default"/>
          <w:spacing w:val="-1"/>
        </w:rPr>
        <w:t>45.50</w:t>
      </w:r>
      <w:r>
        <w:rPr>
          <w:spacing w:val="-1"/>
        </w:rPr>
        <w:t>万元。本期全部计入</w:t>
      </w:r>
      <w:r>
        <w:rPr>
          <w:w w:val="100"/>
        </w:rPr>
        <w:t> </w:t>
      </w:r>
      <w:r>
        <w:rPr/>
        <w:t>营业外收入。</w:t>
      </w:r>
      <w:r>
        <w:rPr>
          <w:b w:val="0"/>
          <w:bCs w:val="0"/>
        </w:rPr>
      </w:r>
    </w:p>
    <w:p>
      <w:pPr>
        <w:pStyle w:val="Heading5"/>
        <w:spacing w:line="256" w:lineRule="auto" w:before="22"/>
        <w:ind w:right="151" w:firstLine="422"/>
        <w:jc w:val="both"/>
        <w:rPr>
          <w:b w:val="0"/>
          <w:bCs w:val="0"/>
        </w:rPr>
      </w:pPr>
      <w:r>
        <w:rPr/>
        <w:t>（</w:t>
      </w:r>
      <w:r>
        <w:rPr>
          <w:rFonts w:ascii="Times New Roman" w:hAnsi="Times New Roman" w:cs="Times New Roman" w:eastAsia="Times New Roman" w:hint="default"/>
        </w:rPr>
        <w:t>7</w:t>
      </w:r>
      <w:r>
        <w:rPr/>
        <w:t>）本公司获得深圳市南山区财政局的方直金太阳品牌培育项目资助款资金</w:t>
      </w:r>
      <w:r>
        <w:rPr>
          <w:rFonts w:ascii="Times New Roman" w:hAnsi="Times New Roman" w:cs="Times New Roman" w:eastAsia="Times New Roman" w:hint="default"/>
        </w:rPr>
        <w:t>72</w:t>
      </w:r>
      <w:r>
        <w:rPr/>
        <w:t>万元。本期全部计入</w:t>
      </w:r>
      <w:r>
        <w:rPr>
          <w:w w:val="100"/>
        </w:rPr>
        <w:t> </w:t>
      </w:r>
      <w:r>
        <w:rPr/>
        <w:t>营业外收入。</w:t>
      </w:r>
      <w:r>
        <w:rPr>
          <w:b w:val="0"/>
          <w:bCs w:val="0"/>
        </w:rPr>
      </w:r>
    </w:p>
    <w:p>
      <w:pPr>
        <w:pStyle w:val="Heading5"/>
        <w:spacing w:line="256" w:lineRule="auto" w:before="22"/>
        <w:ind w:right="148" w:firstLine="422"/>
        <w:jc w:val="both"/>
        <w:rPr>
          <w:b w:val="0"/>
          <w:bCs w:val="0"/>
        </w:rPr>
      </w:pPr>
      <w:r>
        <w:rPr>
          <w:spacing w:val="-3"/>
        </w:rPr>
        <w:t>（</w:t>
      </w:r>
      <w:r>
        <w:rPr>
          <w:rFonts w:ascii="Times New Roman" w:hAnsi="Times New Roman" w:cs="Times New Roman" w:eastAsia="Times New Roman" w:hint="default"/>
          <w:spacing w:val="-3"/>
        </w:rPr>
        <w:t>8</w:t>
      </w:r>
      <w:r>
        <w:rPr>
          <w:spacing w:val="-3"/>
        </w:rPr>
        <w:t>）本公司获得深圳市市场监督管理局的计算机著作登记补贴资金</w:t>
      </w:r>
      <w:r>
        <w:rPr>
          <w:rFonts w:ascii="Times New Roman" w:hAnsi="Times New Roman" w:cs="Times New Roman" w:eastAsia="Times New Roman" w:hint="default"/>
          <w:spacing w:val="-3"/>
        </w:rPr>
        <w:t>0.12</w:t>
      </w:r>
      <w:r>
        <w:rPr>
          <w:spacing w:val="-3"/>
        </w:rPr>
        <w:t>万元。本期全部计入营业外收</w:t>
      </w:r>
      <w:r>
        <w:rPr>
          <w:w w:val="100"/>
        </w:rPr>
        <w:t> </w:t>
      </w:r>
      <w:r>
        <w:rPr/>
        <w:t>入。</w:t>
      </w:r>
      <w:r>
        <w:rPr>
          <w:b w:val="0"/>
          <w:bCs w:val="0"/>
        </w:rPr>
      </w:r>
    </w:p>
    <w:p>
      <w:pPr>
        <w:pStyle w:val="Heading5"/>
        <w:spacing w:line="256" w:lineRule="auto" w:before="22"/>
        <w:ind w:right="151" w:firstLine="422"/>
        <w:jc w:val="both"/>
        <w:rPr>
          <w:b w:val="0"/>
          <w:bCs w:val="0"/>
        </w:rPr>
      </w:pPr>
      <w:r>
        <w:rPr/>
        <w:t>（</w:t>
      </w:r>
      <w:r>
        <w:rPr>
          <w:rFonts w:ascii="Times New Roman" w:hAnsi="Times New Roman" w:cs="Times New Roman" w:eastAsia="Times New Roman" w:hint="default"/>
        </w:rPr>
        <w:t>9</w:t>
      </w:r>
      <w:r>
        <w:rPr/>
        <w:t>）本公司获得深圳市财政委员会和深圳市经济贸易和信息化委员会的中小企业发展专项资金企业</w:t>
      </w:r>
      <w:r>
        <w:rPr>
          <w:w w:val="100"/>
        </w:rPr>
        <w:t> </w:t>
      </w:r>
      <w:r>
        <w:rPr/>
        <w:t>信息化建设项目资助资金</w:t>
      </w:r>
      <w:r>
        <w:rPr>
          <w:rFonts w:ascii="Times New Roman" w:hAnsi="Times New Roman" w:cs="Times New Roman" w:eastAsia="Times New Roman" w:hint="default"/>
        </w:rPr>
        <w:t>20.00</w:t>
      </w:r>
      <w:r>
        <w:rPr/>
        <w:t>万元。本期全部计入营业外收入。</w:t>
      </w:r>
      <w:r>
        <w:rPr>
          <w:b w:val="0"/>
          <w:bCs w:val="0"/>
        </w:rPr>
      </w:r>
    </w:p>
    <w:p>
      <w:pPr>
        <w:pStyle w:val="Heading5"/>
        <w:spacing w:line="256" w:lineRule="auto" w:before="5"/>
        <w:ind w:right="148" w:firstLine="422"/>
        <w:jc w:val="both"/>
        <w:rPr>
          <w:b w:val="0"/>
          <w:bCs w:val="0"/>
        </w:rPr>
      </w:pPr>
      <w:r>
        <w:rPr>
          <w:spacing w:val="-1"/>
        </w:rPr>
        <w:t>（</w:t>
      </w:r>
      <w:r>
        <w:rPr>
          <w:rFonts w:ascii="Times New Roman" w:hAnsi="Times New Roman" w:cs="Times New Roman" w:eastAsia="Times New Roman" w:hint="default"/>
          <w:spacing w:val="-1"/>
        </w:rPr>
        <w:t>10</w:t>
      </w:r>
      <w:r>
        <w:rPr>
          <w:spacing w:val="-1"/>
        </w:rPr>
        <w:t>）本公司获得深圳市财政委员会的深圳市高新技术产业专项补助资金</w:t>
      </w:r>
      <w:r>
        <w:rPr>
          <w:rFonts w:ascii="Times New Roman" w:hAnsi="Times New Roman" w:cs="Times New Roman" w:eastAsia="Times New Roman" w:hint="default"/>
          <w:spacing w:val="-1"/>
        </w:rPr>
        <w:t>127.09</w:t>
      </w:r>
      <w:r>
        <w:rPr>
          <w:spacing w:val="-1"/>
        </w:rPr>
        <w:t>万元。本期全部计入</w:t>
      </w:r>
      <w:r>
        <w:rPr>
          <w:w w:val="100"/>
        </w:rPr>
        <w:t> </w:t>
      </w:r>
      <w:r>
        <w:rPr/>
        <w:t>营业外收入。</w:t>
      </w:r>
      <w:r>
        <w:rPr>
          <w:b w:val="0"/>
          <w:bCs w:val="0"/>
        </w:rPr>
      </w:r>
    </w:p>
    <w:p>
      <w:pPr>
        <w:pStyle w:val="Heading5"/>
        <w:spacing w:line="240" w:lineRule="auto" w:before="22"/>
        <w:ind w:left="575" w:right="0"/>
        <w:jc w:val="left"/>
        <w:rPr>
          <w:b w:val="0"/>
          <w:bCs w:val="0"/>
        </w:rPr>
      </w:pPr>
      <w:r>
        <w:rPr/>
        <w:t>（</w:t>
      </w:r>
      <w:r>
        <w:rPr>
          <w:rFonts w:ascii="Times New Roman" w:hAnsi="Times New Roman" w:cs="Times New Roman" w:eastAsia="Times New Roman" w:hint="default"/>
        </w:rPr>
        <w:t>11</w:t>
      </w:r>
      <w:r>
        <w:rPr/>
        <w:t>）本公司获得深圳市软件行业协会的软博会补贴补助资金</w:t>
      </w:r>
      <w:r>
        <w:rPr>
          <w:rFonts w:ascii="Times New Roman" w:hAnsi="Times New Roman" w:cs="Times New Roman" w:eastAsia="Times New Roman" w:hint="default"/>
        </w:rPr>
        <w:t>0.30</w:t>
      </w:r>
      <w:r>
        <w:rPr/>
        <w:t>万元。本期全部计入营业外收入。</w:t>
      </w:r>
      <w:r>
        <w:rPr>
          <w:b w:val="0"/>
          <w:bCs w:val="0"/>
        </w:rPr>
      </w:r>
    </w:p>
    <w:p>
      <w:pPr>
        <w:pStyle w:val="Heading5"/>
        <w:spacing w:line="240" w:lineRule="auto" w:before="177"/>
        <w:ind w:left="580" w:right="0"/>
        <w:jc w:val="left"/>
        <w:rPr>
          <w:b w:val="0"/>
          <w:bCs w:val="0"/>
        </w:rPr>
      </w:pPr>
      <w:r>
        <w:rPr/>
        <w:t>（三十五）营业外支出</w:t>
      </w:r>
      <w:r>
        <w:rPr>
          <w:b w:val="0"/>
          <w:bCs w:val="0"/>
        </w:rPr>
      </w:r>
    </w:p>
    <w:p>
      <w:pPr>
        <w:spacing w:line="240" w:lineRule="auto" w:before="10"/>
        <w:rPr>
          <w:rFonts w:ascii="宋体" w:hAnsi="宋体" w:cs="宋体" w:eastAsia="宋体" w:hint="default"/>
          <w:b/>
          <w:bCs/>
          <w:sz w:val="3"/>
          <w:szCs w:val="3"/>
        </w:rPr>
      </w:pPr>
    </w:p>
    <w:tbl>
      <w:tblPr>
        <w:tblW w:w="0" w:type="auto"/>
        <w:jc w:val="left"/>
        <w:tblInd w:w="145" w:type="dxa"/>
        <w:tblLayout w:type="fixed"/>
        <w:tblCellMar>
          <w:top w:w="0" w:type="dxa"/>
          <w:left w:w="0" w:type="dxa"/>
          <w:bottom w:w="0" w:type="dxa"/>
          <w:right w:w="0" w:type="dxa"/>
        </w:tblCellMar>
        <w:tblLook w:val="01E0"/>
      </w:tblPr>
      <w:tblGrid>
        <w:gridCol w:w="2539"/>
        <w:gridCol w:w="1675"/>
        <w:gridCol w:w="1860"/>
        <w:gridCol w:w="2786"/>
      </w:tblGrid>
      <w:tr>
        <w:trPr>
          <w:trHeight w:val="314" w:hRule="exact"/>
        </w:trPr>
        <w:tc>
          <w:tcPr>
            <w:tcW w:w="2539"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75"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left="30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860"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left="395"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786" w:type="dxa"/>
            <w:tcBorders>
              <w:top w:val="single" w:sz="6" w:space="0" w:color="000000"/>
              <w:left w:val="single" w:sz="6" w:space="0" w:color="000000"/>
              <w:bottom w:val="single" w:sz="12" w:space="0" w:color="000000"/>
              <w:right w:val="nil" w:sz="6" w:space="0" w:color="auto"/>
            </w:tcBorders>
          </w:tcPr>
          <w:p>
            <w:pPr>
              <w:pStyle w:val="TableParagraph"/>
              <w:spacing w:line="250" w:lineRule="exact"/>
              <w:ind w:right="21"/>
              <w:jc w:val="right"/>
              <w:rPr>
                <w:rFonts w:ascii="宋体" w:hAnsi="宋体" w:cs="宋体" w:eastAsia="宋体" w:hint="default"/>
                <w:sz w:val="21"/>
                <w:szCs w:val="21"/>
              </w:rPr>
            </w:pPr>
            <w:r>
              <w:rPr>
                <w:rFonts w:ascii="宋体" w:hAnsi="宋体" w:cs="宋体" w:eastAsia="宋体" w:hint="default"/>
                <w:spacing w:val="-2"/>
                <w:sz w:val="21"/>
                <w:szCs w:val="21"/>
              </w:rPr>
              <w:t>计入本期非经常性损益的金额</w:t>
            </w:r>
          </w:p>
        </w:tc>
      </w:tr>
      <w:tr>
        <w:trPr>
          <w:trHeight w:val="314" w:hRule="exact"/>
        </w:trPr>
        <w:tc>
          <w:tcPr>
            <w:tcW w:w="2539"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4" w:right="0"/>
              <w:jc w:val="left"/>
              <w:rPr>
                <w:rFonts w:ascii="宋体" w:hAnsi="宋体" w:cs="宋体" w:eastAsia="宋体" w:hint="default"/>
                <w:sz w:val="21"/>
                <w:szCs w:val="21"/>
              </w:rPr>
            </w:pPr>
            <w:r>
              <w:rPr>
                <w:rFonts w:ascii="宋体" w:hAnsi="宋体" w:cs="宋体" w:eastAsia="宋体" w:hint="default"/>
                <w:sz w:val="21"/>
                <w:szCs w:val="21"/>
              </w:rPr>
              <w:t>固定资产清理损失</w:t>
            </w:r>
          </w:p>
        </w:tc>
        <w:tc>
          <w:tcPr>
            <w:tcW w:w="1675"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7,770.68</w:t>
            </w:r>
          </w:p>
        </w:tc>
        <w:tc>
          <w:tcPr>
            <w:tcW w:w="1860"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3,571.51</w:t>
            </w:r>
          </w:p>
        </w:tc>
        <w:tc>
          <w:tcPr>
            <w:tcW w:w="2786"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2"/>
              <w:jc w:val="right"/>
              <w:rPr>
                <w:rFonts w:ascii="Times New Roman" w:hAnsi="Times New Roman" w:cs="Times New Roman" w:eastAsia="Times New Roman" w:hint="default"/>
                <w:sz w:val="21"/>
                <w:szCs w:val="21"/>
              </w:rPr>
            </w:pPr>
            <w:r>
              <w:rPr>
                <w:rFonts w:ascii="Times New Roman"/>
                <w:spacing w:val="-1"/>
                <w:sz w:val="21"/>
              </w:rPr>
              <w:t>7,770.68</w:t>
            </w:r>
          </w:p>
        </w:tc>
      </w:tr>
      <w:tr>
        <w:trPr>
          <w:trHeight w:val="312" w:hRule="exact"/>
        </w:trPr>
        <w:tc>
          <w:tcPr>
            <w:tcW w:w="2539"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4" w:right="0"/>
              <w:jc w:val="left"/>
              <w:rPr>
                <w:rFonts w:ascii="宋体" w:hAnsi="宋体" w:cs="宋体" w:eastAsia="宋体" w:hint="default"/>
                <w:sz w:val="21"/>
                <w:szCs w:val="21"/>
              </w:rPr>
            </w:pPr>
            <w:r>
              <w:rPr>
                <w:rFonts w:ascii="宋体" w:hAnsi="宋体" w:cs="宋体" w:eastAsia="宋体" w:hint="default"/>
                <w:sz w:val="21"/>
                <w:szCs w:val="21"/>
              </w:rPr>
              <w:t>罚款支出</w:t>
            </w:r>
          </w:p>
        </w:tc>
        <w:tc>
          <w:tcPr>
            <w:tcW w:w="1675"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860"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z w:val="21"/>
              </w:rPr>
              <w:t>150.00</w:t>
            </w:r>
          </w:p>
        </w:tc>
        <w:tc>
          <w:tcPr>
            <w:tcW w:w="2786"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4"/>
              <w:jc w:val="right"/>
              <w:rPr>
                <w:rFonts w:ascii="Times New Roman" w:hAnsi="Times New Roman" w:cs="Times New Roman" w:eastAsia="Times New Roman" w:hint="default"/>
                <w:sz w:val="21"/>
                <w:szCs w:val="21"/>
              </w:rPr>
            </w:pPr>
            <w:r>
              <w:rPr>
                <w:rFonts w:ascii="Times New Roman"/>
                <w:spacing w:val="-1"/>
                <w:sz w:val="21"/>
              </w:rPr>
              <w:t>---</w:t>
            </w:r>
          </w:p>
        </w:tc>
      </w:tr>
      <w:tr>
        <w:trPr>
          <w:trHeight w:val="314" w:hRule="exact"/>
        </w:trPr>
        <w:tc>
          <w:tcPr>
            <w:tcW w:w="2539"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4" w:right="0"/>
              <w:jc w:val="left"/>
              <w:rPr>
                <w:rFonts w:ascii="宋体" w:hAnsi="宋体" w:cs="宋体" w:eastAsia="宋体" w:hint="default"/>
                <w:sz w:val="21"/>
                <w:szCs w:val="21"/>
              </w:rPr>
            </w:pPr>
            <w:r>
              <w:rPr>
                <w:rFonts w:ascii="宋体" w:hAnsi="宋体" w:cs="宋体" w:eastAsia="宋体" w:hint="default"/>
                <w:sz w:val="21"/>
                <w:szCs w:val="21"/>
              </w:rPr>
              <w:t>著作权权属侵权纠纷损失</w:t>
            </w:r>
          </w:p>
        </w:tc>
        <w:tc>
          <w:tcPr>
            <w:tcW w:w="1675"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860"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220,000.00</w:t>
            </w:r>
          </w:p>
        </w:tc>
        <w:tc>
          <w:tcPr>
            <w:tcW w:w="2786"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4"/>
              <w:jc w:val="right"/>
              <w:rPr>
                <w:rFonts w:ascii="Times New Roman" w:hAnsi="Times New Roman" w:cs="Times New Roman" w:eastAsia="Times New Roman" w:hint="default"/>
                <w:sz w:val="21"/>
                <w:szCs w:val="21"/>
              </w:rPr>
            </w:pPr>
            <w:r>
              <w:rPr>
                <w:rFonts w:ascii="Times New Roman"/>
                <w:spacing w:val="-1"/>
                <w:sz w:val="21"/>
              </w:rPr>
              <w:t>---</w:t>
            </w:r>
          </w:p>
        </w:tc>
      </w:tr>
      <w:tr>
        <w:trPr>
          <w:trHeight w:val="312" w:hRule="exact"/>
        </w:trPr>
        <w:tc>
          <w:tcPr>
            <w:tcW w:w="2539"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4" w:right="0"/>
              <w:jc w:val="left"/>
              <w:rPr>
                <w:rFonts w:ascii="宋体" w:hAnsi="宋体" w:cs="宋体" w:eastAsia="宋体" w:hint="default"/>
                <w:sz w:val="21"/>
                <w:szCs w:val="21"/>
              </w:rPr>
            </w:pPr>
            <w:r>
              <w:rPr>
                <w:rFonts w:ascii="宋体" w:hAnsi="宋体" w:cs="宋体" w:eastAsia="宋体" w:hint="default"/>
                <w:sz w:val="21"/>
                <w:szCs w:val="21"/>
              </w:rPr>
              <w:t>其他支出</w:t>
            </w:r>
          </w:p>
        </w:tc>
        <w:tc>
          <w:tcPr>
            <w:tcW w:w="1675"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860"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z w:val="21"/>
              </w:rPr>
              <w:t>430.14</w:t>
            </w:r>
          </w:p>
        </w:tc>
        <w:tc>
          <w:tcPr>
            <w:tcW w:w="2786"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4"/>
              <w:jc w:val="right"/>
              <w:rPr>
                <w:rFonts w:ascii="Times New Roman" w:hAnsi="Times New Roman" w:cs="Times New Roman" w:eastAsia="Times New Roman" w:hint="default"/>
                <w:sz w:val="21"/>
                <w:szCs w:val="21"/>
              </w:rPr>
            </w:pPr>
            <w:r>
              <w:rPr>
                <w:rFonts w:ascii="Times New Roman"/>
                <w:spacing w:val="-1"/>
                <w:sz w:val="21"/>
              </w:rPr>
              <w:t>---</w:t>
            </w:r>
          </w:p>
        </w:tc>
      </w:tr>
      <w:tr>
        <w:trPr>
          <w:trHeight w:val="314" w:hRule="exact"/>
        </w:trPr>
        <w:tc>
          <w:tcPr>
            <w:tcW w:w="2539"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75"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7,770.68</w:t>
            </w:r>
          </w:p>
        </w:tc>
        <w:tc>
          <w:tcPr>
            <w:tcW w:w="1860"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224,151.65</w:t>
            </w:r>
          </w:p>
        </w:tc>
        <w:tc>
          <w:tcPr>
            <w:tcW w:w="2786"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2"/>
              <w:jc w:val="right"/>
              <w:rPr>
                <w:rFonts w:ascii="Times New Roman" w:hAnsi="Times New Roman" w:cs="Times New Roman" w:eastAsia="Times New Roman" w:hint="default"/>
                <w:sz w:val="21"/>
                <w:szCs w:val="21"/>
              </w:rPr>
            </w:pPr>
            <w:r>
              <w:rPr>
                <w:rFonts w:ascii="Times New Roman"/>
                <w:spacing w:val="-1"/>
                <w:sz w:val="21"/>
              </w:rPr>
              <w:t>7,770.68</w:t>
            </w:r>
          </w:p>
        </w:tc>
      </w:tr>
    </w:tbl>
    <w:p>
      <w:pPr>
        <w:spacing w:line="240" w:lineRule="auto" w:before="2"/>
        <w:rPr>
          <w:rFonts w:ascii="宋体" w:hAnsi="宋体" w:cs="宋体" w:eastAsia="宋体" w:hint="default"/>
          <w:b/>
          <w:bCs/>
          <w:sz w:val="20"/>
          <w:szCs w:val="20"/>
        </w:rPr>
      </w:pPr>
    </w:p>
    <w:p>
      <w:pPr>
        <w:pStyle w:val="Heading5"/>
        <w:spacing w:line="240" w:lineRule="auto" w:before="36"/>
        <w:ind w:left="580" w:right="0"/>
        <w:jc w:val="left"/>
        <w:rPr>
          <w:b w:val="0"/>
          <w:bCs w:val="0"/>
        </w:rPr>
      </w:pPr>
      <w:r>
        <w:rPr/>
        <w:t>（三十六）所得税费用</w:t>
      </w:r>
      <w:r>
        <w:rPr>
          <w:b w:val="0"/>
          <w:bCs w:val="0"/>
        </w:rPr>
      </w:r>
    </w:p>
    <w:p>
      <w:pPr>
        <w:pStyle w:val="Heading5"/>
        <w:spacing w:line="240" w:lineRule="auto" w:before="37"/>
        <w:ind w:left="575" w:right="0"/>
        <w:jc w:val="left"/>
        <w:rPr>
          <w:b w:val="0"/>
          <w:bCs w:val="0"/>
        </w:rPr>
      </w:pPr>
      <w:r>
        <w:rPr>
          <w:rFonts w:ascii="Times New Roman" w:hAnsi="Times New Roman" w:cs="Times New Roman" w:eastAsia="Times New Roman" w:hint="default"/>
        </w:rPr>
        <w:t>1</w:t>
      </w:r>
      <w:r>
        <w:rPr/>
        <w:t>、所得税费用表</w:t>
      </w:r>
      <w:r>
        <w:rPr>
          <w:b w:val="0"/>
          <w:bCs w:val="0"/>
        </w:rPr>
      </w:r>
    </w:p>
    <w:p>
      <w:pPr>
        <w:spacing w:line="240" w:lineRule="auto" w:before="8"/>
        <w:rPr>
          <w:rFonts w:ascii="宋体" w:hAnsi="宋体" w:cs="宋体" w:eastAsia="宋体" w:hint="default"/>
          <w:b/>
          <w:bCs/>
          <w:sz w:val="2"/>
          <w:szCs w:val="2"/>
        </w:rPr>
      </w:pPr>
    </w:p>
    <w:tbl>
      <w:tblPr>
        <w:tblW w:w="0" w:type="auto"/>
        <w:jc w:val="left"/>
        <w:tblInd w:w="145" w:type="dxa"/>
        <w:tblLayout w:type="fixed"/>
        <w:tblCellMar>
          <w:top w:w="0" w:type="dxa"/>
          <w:left w:w="0" w:type="dxa"/>
          <w:bottom w:w="0" w:type="dxa"/>
          <w:right w:w="0" w:type="dxa"/>
        </w:tblCellMar>
        <w:tblLook w:val="01E0"/>
      </w:tblPr>
      <w:tblGrid>
        <w:gridCol w:w="3235"/>
        <w:gridCol w:w="3077"/>
        <w:gridCol w:w="2549"/>
      </w:tblGrid>
      <w:tr>
        <w:trPr>
          <w:trHeight w:val="314" w:hRule="exact"/>
        </w:trPr>
        <w:tc>
          <w:tcPr>
            <w:tcW w:w="3235"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right="1394"/>
              <w:jc w:val="right"/>
              <w:rPr>
                <w:rFonts w:ascii="宋体" w:hAnsi="宋体" w:cs="宋体" w:eastAsia="宋体" w:hint="default"/>
                <w:sz w:val="21"/>
                <w:szCs w:val="21"/>
              </w:rPr>
            </w:pPr>
            <w:r>
              <w:rPr>
                <w:rFonts w:ascii="宋体" w:hAnsi="宋体" w:cs="宋体" w:eastAsia="宋体" w:hint="default"/>
                <w:sz w:val="21"/>
                <w:szCs w:val="21"/>
              </w:rPr>
              <w:t>项目</w:t>
            </w:r>
          </w:p>
        </w:tc>
        <w:tc>
          <w:tcPr>
            <w:tcW w:w="3077"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left="100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549" w:type="dxa"/>
            <w:tcBorders>
              <w:top w:val="single" w:sz="6" w:space="0" w:color="000000"/>
              <w:left w:val="single" w:sz="6" w:space="0" w:color="000000"/>
              <w:bottom w:val="single" w:sz="12" w:space="0" w:color="000000"/>
              <w:right w:val="nil" w:sz="6" w:space="0" w:color="auto"/>
            </w:tcBorders>
          </w:tcPr>
          <w:p>
            <w:pPr>
              <w:pStyle w:val="TableParagraph"/>
              <w:spacing w:line="250" w:lineRule="exact"/>
              <w:ind w:left="74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14" w:hRule="exact"/>
        </w:trPr>
        <w:tc>
          <w:tcPr>
            <w:tcW w:w="3235"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4" w:right="0"/>
              <w:jc w:val="left"/>
              <w:rPr>
                <w:rFonts w:ascii="宋体" w:hAnsi="宋体" w:cs="宋体" w:eastAsia="宋体" w:hint="default"/>
                <w:sz w:val="21"/>
                <w:szCs w:val="21"/>
              </w:rPr>
            </w:pPr>
            <w:r>
              <w:rPr>
                <w:rFonts w:ascii="宋体" w:hAnsi="宋体" w:cs="宋体" w:eastAsia="宋体" w:hint="default"/>
                <w:sz w:val="21"/>
                <w:szCs w:val="21"/>
              </w:rPr>
              <w:t>当期所得税费用</w:t>
            </w:r>
          </w:p>
        </w:tc>
        <w:tc>
          <w:tcPr>
            <w:tcW w:w="3077"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3,304,664.78</w:t>
            </w:r>
          </w:p>
        </w:tc>
        <w:tc>
          <w:tcPr>
            <w:tcW w:w="2549"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7"/>
              <w:jc w:val="right"/>
              <w:rPr>
                <w:rFonts w:ascii="Times New Roman" w:hAnsi="Times New Roman" w:cs="Times New Roman" w:eastAsia="Times New Roman" w:hint="default"/>
                <w:sz w:val="21"/>
                <w:szCs w:val="21"/>
              </w:rPr>
            </w:pPr>
            <w:r>
              <w:rPr>
                <w:rFonts w:ascii="Times New Roman"/>
                <w:spacing w:val="-1"/>
                <w:sz w:val="21"/>
              </w:rPr>
              <w:t>3,597,219.49</w:t>
            </w:r>
          </w:p>
        </w:tc>
      </w:tr>
      <w:tr>
        <w:trPr>
          <w:trHeight w:val="312" w:hRule="exact"/>
        </w:trPr>
        <w:tc>
          <w:tcPr>
            <w:tcW w:w="3235"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4"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3077"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80,758.69</w:t>
            </w:r>
          </w:p>
        </w:tc>
        <w:tc>
          <w:tcPr>
            <w:tcW w:w="2549"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5"/>
              <w:jc w:val="right"/>
              <w:rPr>
                <w:rFonts w:ascii="Times New Roman" w:hAnsi="Times New Roman" w:cs="Times New Roman" w:eastAsia="Times New Roman" w:hint="default"/>
                <w:sz w:val="21"/>
                <w:szCs w:val="21"/>
              </w:rPr>
            </w:pPr>
            <w:r>
              <w:rPr>
                <w:rFonts w:ascii="Times New Roman"/>
                <w:spacing w:val="-1"/>
                <w:sz w:val="21"/>
              </w:rPr>
              <w:t>183,385.52</w:t>
            </w:r>
          </w:p>
        </w:tc>
      </w:tr>
      <w:tr>
        <w:trPr>
          <w:trHeight w:val="314" w:hRule="exact"/>
        </w:trPr>
        <w:tc>
          <w:tcPr>
            <w:tcW w:w="3235"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right="1394"/>
              <w:jc w:val="right"/>
              <w:rPr>
                <w:rFonts w:ascii="宋体" w:hAnsi="宋体" w:cs="宋体" w:eastAsia="宋体" w:hint="default"/>
                <w:sz w:val="21"/>
                <w:szCs w:val="21"/>
              </w:rPr>
            </w:pPr>
            <w:r>
              <w:rPr>
                <w:rFonts w:ascii="宋体" w:hAnsi="宋体" w:cs="宋体" w:eastAsia="宋体" w:hint="default"/>
                <w:sz w:val="21"/>
                <w:szCs w:val="21"/>
              </w:rPr>
              <w:t>合计</w:t>
            </w:r>
          </w:p>
        </w:tc>
        <w:tc>
          <w:tcPr>
            <w:tcW w:w="3077"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3,385,423.47</w:t>
            </w:r>
          </w:p>
        </w:tc>
        <w:tc>
          <w:tcPr>
            <w:tcW w:w="2549"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7"/>
              <w:jc w:val="right"/>
              <w:rPr>
                <w:rFonts w:ascii="Times New Roman" w:hAnsi="Times New Roman" w:cs="Times New Roman" w:eastAsia="Times New Roman" w:hint="default"/>
                <w:sz w:val="21"/>
                <w:szCs w:val="21"/>
              </w:rPr>
            </w:pPr>
            <w:r>
              <w:rPr>
                <w:rFonts w:ascii="Times New Roman"/>
                <w:spacing w:val="-1"/>
                <w:sz w:val="21"/>
              </w:rPr>
              <w:t>3,780,605.01</w:t>
            </w:r>
          </w:p>
        </w:tc>
      </w:tr>
    </w:tbl>
    <w:p>
      <w:pPr>
        <w:spacing w:line="240" w:lineRule="auto" w:before="3"/>
        <w:rPr>
          <w:rFonts w:ascii="宋体" w:hAnsi="宋体" w:cs="宋体" w:eastAsia="宋体" w:hint="default"/>
          <w:b/>
          <w:bCs/>
          <w:sz w:val="8"/>
          <w:szCs w:val="8"/>
        </w:rPr>
      </w:pPr>
    </w:p>
    <w:p>
      <w:pPr>
        <w:pStyle w:val="Heading5"/>
        <w:spacing w:line="240" w:lineRule="auto" w:before="36"/>
        <w:ind w:left="565" w:right="0"/>
        <w:jc w:val="left"/>
        <w:rPr>
          <w:b w:val="0"/>
          <w:bCs w:val="0"/>
        </w:rPr>
      </w:pPr>
      <w:r>
        <w:rPr>
          <w:rFonts w:ascii="Times New Roman" w:hAnsi="Times New Roman" w:cs="Times New Roman" w:eastAsia="Times New Roman" w:hint="default"/>
        </w:rPr>
        <w:t>2</w:t>
      </w:r>
      <w:r>
        <w:rPr/>
        <w:t>、会计利润与所得税费用调整过程</w:t>
      </w:r>
      <w:r>
        <w:rPr>
          <w:b w:val="0"/>
          <w:bCs w:val="0"/>
        </w:rPr>
      </w:r>
    </w:p>
    <w:p>
      <w:pPr>
        <w:spacing w:line="240" w:lineRule="auto" w:before="8"/>
        <w:rPr>
          <w:rFonts w:ascii="宋体" w:hAnsi="宋体" w:cs="宋体" w:eastAsia="宋体" w:hint="default"/>
          <w:b/>
          <w:bCs/>
          <w:sz w:val="2"/>
          <w:szCs w:val="2"/>
        </w:rPr>
      </w:pPr>
    </w:p>
    <w:tbl>
      <w:tblPr>
        <w:tblW w:w="0" w:type="auto"/>
        <w:jc w:val="left"/>
        <w:tblInd w:w="145" w:type="dxa"/>
        <w:tblLayout w:type="fixed"/>
        <w:tblCellMar>
          <w:top w:w="0" w:type="dxa"/>
          <w:left w:w="0" w:type="dxa"/>
          <w:bottom w:w="0" w:type="dxa"/>
          <w:right w:w="0" w:type="dxa"/>
        </w:tblCellMar>
        <w:tblLook w:val="01E0"/>
      </w:tblPr>
      <w:tblGrid>
        <w:gridCol w:w="5844"/>
        <w:gridCol w:w="3348"/>
      </w:tblGrid>
      <w:tr>
        <w:trPr>
          <w:trHeight w:val="314" w:hRule="exact"/>
        </w:trPr>
        <w:tc>
          <w:tcPr>
            <w:tcW w:w="5844"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48" w:type="dxa"/>
            <w:tcBorders>
              <w:top w:val="single" w:sz="6" w:space="0" w:color="000000"/>
              <w:left w:val="single" w:sz="6" w:space="0" w:color="000000"/>
              <w:bottom w:val="single" w:sz="12" w:space="0" w:color="000000"/>
              <w:right w:val="nil" w:sz="6" w:space="0" w:color="auto"/>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r>
      <w:tr>
        <w:trPr>
          <w:trHeight w:val="314" w:hRule="exact"/>
        </w:trPr>
        <w:tc>
          <w:tcPr>
            <w:tcW w:w="5844"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4"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3348"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5"/>
              <w:jc w:val="right"/>
              <w:rPr>
                <w:rFonts w:ascii="Times New Roman" w:hAnsi="Times New Roman" w:cs="Times New Roman" w:eastAsia="Times New Roman" w:hint="default"/>
                <w:sz w:val="21"/>
                <w:szCs w:val="21"/>
              </w:rPr>
            </w:pPr>
            <w:r>
              <w:rPr>
                <w:rFonts w:ascii="Times New Roman"/>
                <w:spacing w:val="-1"/>
                <w:sz w:val="21"/>
              </w:rPr>
              <w:t>25,909,328.82</w:t>
            </w:r>
          </w:p>
        </w:tc>
      </w:tr>
      <w:tr>
        <w:trPr>
          <w:trHeight w:val="312" w:hRule="exact"/>
        </w:trPr>
        <w:tc>
          <w:tcPr>
            <w:tcW w:w="5844"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4" w:right="0"/>
              <w:jc w:val="left"/>
              <w:rPr>
                <w:rFonts w:ascii="宋体" w:hAnsi="宋体" w:cs="宋体" w:eastAsia="宋体" w:hint="default"/>
                <w:sz w:val="21"/>
                <w:szCs w:val="21"/>
              </w:rPr>
            </w:pPr>
            <w:r>
              <w:rPr>
                <w:rFonts w:ascii="宋体" w:hAnsi="宋体" w:cs="宋体" w:eastAsia="宋体" w:hint="default"/>
                <w:sz w:val="21"/>
                <w:szCs w:val="21"/>
              </w:rPr>
              <w:t>按法定税率计算的所得税费用</w:t>
            </w:r>
          </w:p>
        </w:tc>
        <w:tc>
          <w:tcPr>
            <w:tcW w:w="3348"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5"/>
              <w:jc w:val="right"/>
              <w:rPr>
                <w:rFonts w:ascii="Times New Roman" w:hAnsi="Times New Roman" w:cs="Times New Roman" w:eastAsia="Times New Roman" w:hint="default"/>
                <w:sz w:val="21"/>
                <w:szCs w:val="21"/>
              </w:rPr>
            </w:pPr>
            <w:r>
              <w:rPr>
                <w:rFonts w:ascii="Times New Roman"/>
                <w:spacing w:val="-1"/>
                <w:sz w:val="21"/>
              </w:rPr>
              <w:t>6,477,332.20</w:t>
            </w:r>
          </w:p>
        </w:tc>
      </w:tr>
      <w:tr>
        <w:trPr>
          <w:trHeight w:val="314" w:hRule="exact"/>
        </w:trPr>
        <w:tc>
          <w:tcPr>
            <w:tcW w:w="5844"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4" w:right="0"/>
              <w:jc w:val="left"/>
              <w:rPr>
                <w:rFonts w:ascii="宋体" w:hAnsi="宋体" w:cs="宋体" w:eastAsia="宋体" w:hint="default"/>
                <w:sz w:val="21"/>
                <w:szCs w:val="21"/>
              </w:rPr>
            </w:pPr>
            <w:r>
              <w:rPr>
                <w:rFonts w:ascii="宋体" w:hAnsi="宋体" w:cs="宋体" w:eastAsia="宋体" w:hint="default"/>
                <w:sz w:val="21"/>
                <w:szCs w:val="21"/>
              </w:rPr>
              <w:t>母公司减免所得税额的影响</w:t>
            </w:r>
          </w:p>
        </w:tc>
        <w:tc>
          <w:tcPr>
            <w:tcW w:w="3348"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2"/>
              <w:jc w:val="right"/>
              <w:rPr>
                <w:rFonts w:ascii="Times New Roman" w:hAnsi="Times New Roman" w:cs="Times New Roman" w:eastAsia="Times New Roman" w:hint="default"/>
                <w:sz w:val="21"/>
                <w:szCs w:val="21"/>
              </w:rPr>
            </w:pPr>
            <w:r>
              <w:rPr>
                <w:rFonts w:ascii="Times New Roman"/>
                <w:spacing w:val="-1"/>
                <w:sz w:val="21"/>
              </w:rPr>
              <w:t>(2,633,045.13)</w:t>
            </w:r>
          </w:p>
        </w:tc>
      </w:tr>
      <w:tr>
        <w:trPr>
          <w:trHeight w:val="312" w:hRule="exact"/>
        </w:trPr>
        <w:tc>
          <w:tcPr>
            <w:tcW w:w="5844"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4" w:right="0"/>
              <w:jc w:val="left"/>
              <w:rPr>
                <w:rFonts w:ascii="宋体" w:hAnsi="宋体" w:cs="宋体" w:eastAsia="宋体" w:hint="default"/>
                <w:sz w:val="21"/>
                <w:szCs w:val="21"/>
              </w:rPr>
            </w:pPr>
            <w:r>
              <w:rPr>
                <w:rFonts w:ascii="宋体" w:hAnsi="宋体" w:cs="宋体" w:eastAsia="宋体" w:hint="default"/>
                <w:sz w:val="21"/>
                <w:szCs w:val="21"/>
              </w:rPr>
              <w:t>子公司适用不同税率的影响</w:t>
            </w:r>
          </w:p>
        </w:tc>
        <w:tc>
          <w:tcPr>
            <w:tcW w:w="3348"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4"/>
              <w:jc w:val="right"/>
              <w:rPr>
                <w:rFonts w:ascii="Times New Roman" w:hAnsi="Times New Roman" w:cs="Times New Roman" w:eastAsia="Times New Roman" w:hint="default"/>
                <w:sz w:val="21"/>
                <w:szCs w:val="21"/>
              </w:rPr>
            </w:pPr>
            <w:r>
              <w:rPr>
                <w:rFonts w:ascii="Times New Roman"/>
                <w:spacing w:val="-1"/>
                <w:sz w:val="21"/>
              </w:rPr>
              <w:t>---</w:t>
            </w:r>
          </w:p>
        </w:tc>
      </w:tr>
      <w:tr>
        <w:trPr>
          <w:trHeight w:val="314" w:hRule="exact"/>
        </w:trPr>
        <w:tc>
          <w:tcPr>
            <w:tcW w:w="5844"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4" w:right="0"/>
              <w:jc w:val="left"/>
              <w:rPr>
                <w:rFonts w:ascii="宋体" w:hAnsi="宋体" w:cs="宋体" w:eastAsia="宋体" w:hint="default"/>
                <w:sz w:val="21"/>
                <w:szCs w:val="21"/>
              </w:rPr>
            </w:pPr>
            <w:r>
              <w:rPr>
                <w:rFonts w:ascii="宋体" w:hAnsi="宋体" w:cs="宋体" w:eastAsia="宋体" w:hint="default"/>
                <w:sz w:val="21"/>
                <w:szCs w:val="21"/>
              </w:rPr>
              <w:t>调整以前期间所得税的影响</w:t>
            </w:r>
          </w:p>
        </w:tc>
        <w:tc>
          <w:tcPr>
            <w:tcW w:w="3348"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5"/>
              <w:jc w:val="right"/>
              <w:rPr>
                <w:rFonts w:ascii="Times New Roman" w:hAnsi="Times New Roman" w:cs="Times New Roman" w:eastAsia="Times New Roman" w:hint="default"/>
                <w:sz w:val="21"/>
                <w:szCs w:val="21"/>
              </w:rPr>
            </w:pPr>
            <w:r>
              <w:rPr>
                <w:rFonts w:ascii="Times New Roman"/>
                <w:sz w:val="21"/>
              </w:rPr>
              <w:t>8,360.92</w:t>
            </w:r>
          </w:p>
        </w:tc>
      </w:tr>
    </w:tbl>
    <w:p>
      <w:pPr>
        <w:spacing w:after="0" w:line="235" w:lineRule="exact"/>
        <w:jc w:val="right"/>
        <w:rPr>
          <w:rFonts w:ascii="Times New Roman" w:hAnsi="Times New Roman" w:cs="Times New Roman" w:eastAsia="Times New Roman" w:hint="default"/>
          <w:sz w:val="21"/>
          <w:szCs w:val="21"/>
        </w:rPr>
        <w:sectPr>
          <w:pgSz w:w="11910" w:h="16840"/>
          <w:pgMar w:header="880" w:footer="979" w:top="1060" w:bottom="1160" w:left="980" w:right="980"/>
        </w:sectPr>
      </w:pPr>
    </w:p>
    <w:p>
      <w:pPr>
        <w:spacing w:line="240" w:lineRule="auto" w:before="4"/>
        <w:rPr>
          <w:rFonts w:ascii="宋体" w:hAnsi="宋体" w:cs="宋体" w:eastAsia="宋体" w:hint="default"/>
          <w:b/>
          <w:bCs/>
          <w:sz w:val="28"/>
          <w:szCs w:val="28"/>
        </w:rPr>
      </w:pPr>
    </w:p>
    <w:tbl>
      <w:tblPr>
        <w:tblW w:w="0" w:type="auto"/>
        <w:jc w:val="left"/>
        <w:tblInd w:w="145" w:type="dxa"/>
        <w:tblLayout w:type="fixed"/>
        <w:tblCellMar>
          <w:top w:w="0" w:type="dxa"/>
          <w:left w:w="0" w:type="dxa"/>
          <w:bottom w:w="0" w:type="dxa"/>
          <w:right w:w="0" w:type="dxa"/>
        </w:tblCellMar>
        <w:tblLook w:val="01E0"/>
      </w:tblPr>
      <w:tblGrid>
        <w:gridCol w:w="5844"/>
        <w:gridCol w:w="3348"/>
      </w:tblGrid>
      <w:tr>
        <w:trPr>
          <w:trHeight w:val="314" w:hRule="exact"/>
        </w:trPr>
        <w:tc>
          <w:tcPr>
            <w:tcW w:w="5844"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left="4" w:right="0"/>
              <w:jc w:val="left"/>
              <w:rPr>
                <w:rFonts w:ascii="宋体" w:hAnsi="宋体" w:cs="宋体" w:eastAsia="宋体" w:hint="default"/>
                <w:sz w:val="21"/>
                <w:szCs w:val="21"/>
              </w:rPr>
            </w:pPr>
            <w:r>
              <w:rPr>
                <w:rFonts w:ascii="宋体" w:hAnsi="宋体" w:cs="宋体" w:eastAsia="宋体" w:hint="default"/>
                <w:sz w:val="21"/>
                <w:szCs w:val="21"/>
              </w:rPr>
              <w:t>非应税收入的影响</w:t>
            </w:r>
          </w:p>
        </w:tc>
        <w:tc>
          <w:tcPr>
            <w:tcW w:w="334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
              <w:ind w:right="4"/>
              <w:jc w:val="right"/>
              <w:rPr>
                <w:rFonts w:ascii="Times New Roman" w:hAnsi="Times New Roman" w:cs="Times New Roman" w:eastAsia="Times New Roman" w:hint="default"/>
                <w:sz w:val="21"/>
                <w:szCs w:val="21"/>
              </w:rPr>
            </w:pPr>
            <w:r>
              <w:rPr>
                <w:rFonts w:ascii="Times New Roman"/>
                <w:spacing w:val="-1"/>
                <w:sz w:val="21"/>
              </w:rPr>
              <w:t>---</w:t>
            </w:r>
          </w:p>
        </w:tc>
      </w:tr>
      <w:tr>
        <w:trPr>
          <w:trHeight w:val="314" w:hRule="exact"/>
        </w:trPr>
        <w:tc>
          <w:tcPr>
            <w:tcW w:w="5844"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4"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不可抵扣的成本、费用和损失影响</w:t>
            </w:r>
          </w:p>
        </w:tc>
        <w:tc>
          <w:tcPr>
            <w:tcW w:w="3348"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2"/>
              <w:jc w:val="right"/>
              <w:rPr>
                <w:rFonts w:ascii="Times New Roman" w:hAnsi="Times New Roman" w:cs="Times New Roman" w:eastAsia="Times New Roman" w:hint="default"/>
                <w:sz w:val="21"/>
                <w:szCs w:val="21"/>
              </w:rPr>
            </w:pPr>
            <w:r>
              <w:rPr>
                <w:rFonts w:ascii="Times New Roman"/>
                <w:spacing w:val="-1"/>
                <w:sz w:val="21"/>
              </w:rPr>
              <w:t>(529,007.14)</w:t>
            </w:r>
          </w:p>
        </w:tc>
      </w:tr>
      <w:tr>
        <w:trPr>
          <w:trHeight w:val="312" w:hRule="exact"/>
        </w:trPr>
        <w:tc>
          <w:tcPr>
            <w:tcW w:w="5844"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4" w:right="0"/>
              <w:jc w:val="left"/>
              <w:rPr>
                <w:rFonts w:ascii="宋体" w:hAnsi="宋体" w:cs="宋体" w:eastAsia="宋体" w:hint="default"/>
                <w:sz w:val="21"/>
                <w:szCs w:val="21"/>
              </w:rPr>
            </w:pPr>
            <w:r>
              <w:rPr>
                <w:rFonts w:ascii="宋体" w:hAnsi="宋体" w:cs="宋体" w:eastAsia="宋体" w:hint="default"/>
                <w:sz w:val="21"/>
                <w:szCs w:val="21"/>
              </w:rPr>
              <w:t>使用前期未确认递延所得税资产的可抵扣亏损的影响</w:t>
            </w:r>
          </w:p>
        </w:tc>
        <w:tc>
          <w:tcPr>
            <w:tcW w:w="3348"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4"/>
              <w:jc w:val="right"/>
              <w:rPr>
                <w:rFonts w:ascii="Times New Roman" w:hAnsi="Times New Roman" w:cs="Times New Roman" w:eastAsia="Times New Roman" w:hint="default"/>
                <w:sz w:val="21"/>
                <w:szCs w:val="21"/>
              </w:rPr>
            </w:pPr>
            <w:r>
              <w:rPr>
                <w:rFonts w:ascii="Times New Roman"/>
                <w:spacing w:val="-1"/>
                <w:sz w:val="21"/>
              </w:rPr>
              <w:t>---</w:t>
            </w:r>
          </w:p>
        </w:tc>
      </w:tr>
      <w:tr>
        <w:trPr>
          <w:trHeight w:val="586" w:hRule="exact"/>
        </w:trPr>
        <w:tc>
          <w:tcPr>
            <w:tcW w:w="5844"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4" w:right="-9"/>
              <w:jc w:val="left"/>
              <w:rPr>
                <w:rFonts w:ascii="宋体" w:hAnsi="宋体" w:cs="宋体" w:eastAsia="宋体" w:hint="default"/>
                <w:sz w:val="21"/>
                <w:szCs w:val="21"/>
              </w:rPr>
            </w:pPr>
            <w:r>
              <w:rPr>
                <w:rFonts w:ascii="宋体" w:hAnsi="宋体" w:cs="宋体" w:eastAsia="宋体" w:hint="default"/>
                <w:spacing w:val="3"/>
                <w:sz w:val="21"/>
                <w:szCs w:val="21"/>
              </w:rPr>
              <w:t>本期未确认递延所得税资产的可抵扣暂时性差异或可抵扣亏损</w:t>
            </w:r>
            <w:r>
              <w:rPr>
                <w:rFonts w:ascii="宋体" w:hAnsi="宋体" w:cs="宋体" w:eastAsia="宋体" w:hint="default"/>
                <w:sz w:val="21"/>
                <w:szCs w:val="21"/>
              </w:rPr>
            </w:r>
          </w:p>
          <w:p>
            <w:pPr>
              <w:pStyle w:val="TableParagraph"/>
              <w:spacing w:line="273" w:lineRule="exact"/>
              <w:ind w:left="4" w:right="0"/>
              <w:jc w:val="left"/>
              <w:rPr>
                <w:rFonts w:ascii="宋体" w:hAnsi="宋体" w:cs="宋体" w:eastAsia="宋体" w:hint="default"/>
                <w:sz w:val="21"/>
                <w:szCs w:val="21"/>
              </w:rPr>
            </w:pPr>
            <w:r>
              <w:rPr>
                <w:rFonts w:ascii="宋体" w:hAnsi="宋体" w:cs="宋体" w:eastAsia="宋体" w:hint="default"/>
                <w:sz w:val="21"/>
                <w:szCs w:val="21"/>
              </w:rPr>
              <w:t>的影响</w:t>
            </w:r>
          </w:p>
        </w:tc>
        <w:tc>
          <w:tcPr>
            <w:tcW w:w="3348"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5"/>
              <w:jc w:val="right"/>
              <w:rPr>
                <w:rFonts w:ascii="Times New Roman" w:hAnsi="Times New Roman" w:cs="Times New Roman" w:eastAsia="Times New Roman" w:hint="default"/>
                <w:sz w:val="21"/>
                <w:szCs w:val="21"/>
              </w:rPr>
            </w:pPr>
            <w:r>
              <w:rPr>
                <w:rFonts w:ascii="Times New Roman"/>
                <w:sz w:val="21"/>
              </w:rPr>
              <w:t>61,782.62</w:t>
            </w:r>
          </w:p>
        </w:tc>
      </w:tr>
      <w:tr>
        <w:trPr>
          <w:trHeight w:val="314" w:hRule="exact"/>
        </w:trPr>
        <w:tc>
          <w:tcPr>
            <w:tcW w:w="5844"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348"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4"/>
              <w:jc w:val="right"/>
              <w:rPr>
                <w:rFonts w:ascii="Times New Roman" w:hAnsi="Times New Roman" w:cs="Times New Roman" w:eastAsia="Times New Roman" w:hint="default"/>
                <w:sz w:val="21"/>
                <w:szCs w:val="21"/>
              </w:rPr>
            </w:pPr>
            <w:r>
              <w:rPr>
                <w:rFonts w:ascii="Times New Roman"/>
                <w:spacing w:val="-1"/>
                <w:sz w:val="21"/>
              </w:rPr>
              <w:t>---</w:t>
            </w:r>
          </w:p>
        </w:tc>
      </w:tr>
      <w:tr>
        <w:trPr>
          <w:trHeight w:val="314" w:hRule="exact"/>
        </w:trPr>
        <w:tc>
          <w:tcPr>
            <w:tcW w:w="5844"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所得税费用</w:t>
            </w:r>
          </w:p>
        </w:tc>
        <w:tc>
          <w:tcPr>
            <w:tcW w:w="3348"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5"/>
              <w:jc w:val="right"/>
              <w:rPr>
                <w:rFonts w:ascii="Times New Roman" w:hAnsi="Times New Roman" w:cs="Times New Roman" w:eastAsia="Times New Roman" w:hint="default"/>
                <w:sz w:val="21"/>
                <w:szCs w:val="21"/>
              </w:rPr>
            </w:pPr>
            <w:r>
              <w:rPr>
                <w:rFonts w:ascii="Times New Roman"/>
                <w:spacing w:val="-1"/>
                <w:sz w:val="21"/>
              </w:rPr>
              <w:t>3,385,423.47</w:t>
            </w:r>
          </w:p>
        </w:tc>
      </w:tr>
    </w:tbl>
    <w:p>
      <w:pPr>
        <w:spacing w:line="240" w:lineRule="auto" w:before="2"/>
        <w:rPr>
          <w:rFonts w:ascii="宋体" w:hAnsi="宋体" w:cs="宋体" w:eastAsia="宋体" w:hint="default"/>
          <w:b/>
          <w:bCs/>
          <w:sz w:val="20"/>
          <w:szCs w:val="20"/>
        </w:rPr>
      </w:pPr>
    </w:p>
    <w:p>
      <w:pPr>
        <w:pStyle w:val="Heading5"/>
        <w:spacing w:line="240" w:lineRule="auto" w:before="36"/>
        <w:ind w:left="580" w:right="0"/>
        <w:jc w:val="left"/>
        <w:rPr>
          <w:b w:val="0"/>
          <w:bCs w:val="0"/>
        </w:rPr>
      </w:pPr>
      <w:r>
        <w:rPr/>
        <w:t>（三十七）现金流量表附注</w:t>
      </w:r>
      <w:r>
        <w:rPr>
          <w:b w:val="0"/>
          <w:bCs w:val="0"/>
        </w:rPr>
      </w:r>
    </w:p>
    <w:p>
      <w:pPr>
        <w:pStyle w:val="Heading5"/>
        <w:spacing w:line="240" w:lineRule="auto" w:before="37"/>
        <w:ind w:left="579" w:right="0"/>
        <w:jc w:val="left"/>
        <w:rPr>
          <w:b w:val="0"/>
          <w:bCs w:val="0"/>
        </w:rPr>
      </w:pP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8"/>
        <w:rPr>
          <w:rFonts w:ascii="宋体" w:hAnsi="宋体" w:cs="宋体" w:eastAsia="宋体" w:hint="default"/>
          <w:b/>
          <w:bCs/>
          <w:sz w:val="2"/>
          <w:szCs w:val="2"/>
        </w:rPr>
      </w:pPr>
    </w:p>
    <w:tbl>
      <w:tblPr>
        <w:tblW w:w="0" w:type="auto"/>
        <w:jc w:val="left"/>
        <w:tblInd w:w="145" w:type="dxa"/>
        <w:tblLayout w:type="fixed"/>
        <w:tblCellMar>
          <w:top w:w="0" w:type="dxa"/>
          <w:left w:w="0" w:type="dxa"/>
          <w:bottom w:w="0" w:type="dxa"/>
          <w:right w:w="0" w:type="dxa"/>
        </w:tblCellMar>
        <w:tblLook w:val="01E0"/>
      </w:tblPr>
      <w:tblGrid>
        <w:gridCol w:w="3842"/>
        <w:gridCol w:w="2482"/>
        <w:gridCol w:w="2551"/>
      </w:tblGrid>
      <w:tr>
        <w:trPr>
          <w:trHeight w:val="314" w:hRule="exact"/>
        </w:trPr>
        <w:tc>
          <w:tcPr>
            <w:tcW w:w="3842"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right="1697"/>
              <w:jc w:val="right"/>
              <w:rPr>
                <w:rFonts w:ascii="宋体" w:hAnsi="宋体" w:cs="宋体" w:eastAsia="宋体" w:hint="default"/>
                <w:sz w:val="21"/>
                <w:szCs w:val="21"/>
              </w:rPr>
            </w:pPr>
            <w:r>
              <w:rPr>
                <w:rFonts w:ascii="宋体" w:hAnsi="宋体" w:cs="宋体" w:eastAsia="宋体" w:hint="default"/>
                <w:sz w:val="21"/>
                <w:szCs w:val="21"/>
              </w:rPr>
              <w:t>项目</w:t>
            </w:r>
          </w:p>
        </w:tc>
        <w:tc>
          <w:tcPr>
            <w:tcW w:w="2482"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left="816"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551" w:type="dxa"/>
            <w:tcBorders>
              <w:top w:val="single" w:sz="6" w:space="0" w:color="000000"/>
              <w:left w:val="single" w:sz="6" w:space="0" w:color="000000"/>
              <w:bottom w:val="single" w:sz="12" w:space="0" w:color="000000"/>
              <w:right w:val="nil" w:sz="6" w:space="0" w:color="auto"/>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312" w:hRule="exact"/>
        </w:trPr>
        <w:tc>
          <w:tcPr>
            <w:tcW w:w="3842"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4"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482"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1,156,802.10</w:t>
            </w:r>
          </w:p>
        </w:tc>
        <w:tc>
          <w:tcPr>
            <w:tcW w:w="2551"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2"/>
              <w:jc w:val="right"/>
              <w:rPr>
                <w:rFonts w:ascii="Times New Roman" w:hAnsi="Times New Roman" w:cs="Times New Roman" w:eastAsia="Times New Roman" w:hint="default"/>
                <w:sz w:val="21"/>
                <w:szCs w:val="21"/>
              </w:rPr>
            </w:pPr>
            <w:r>
              <w:rPr>
                <w:rFonts w:ascii="Times New Roman"/>
                <w:spacing w:val="-1"/>
                <w:sz w:val="21"/>
              </w:rPr>
              <w:t>664,023.86</w:t>
            </w:r>
          </w:p>
        </w:tc>
      </w:tr>
      <w:tr>
        <w:trPr>
          <w:trHeight w:val="314" w:hRule="exact"/>
        </w:trPr>
        <w:tc>
          <w:tcPr>
            <w:tcW w:w="3842"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4"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482"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4,216,600.00</w:t>
            </w:r>
          </w:p>
        </w:tc>
        <w:tc>
          <w:tcPr>
            <w:tcW w:w="2551"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5"/>
              <w:jc w:val="right"/>
              <w:rPr>
                <w:rFonts w:ascii="Times New Roman" w:hAnsi="Times New Roman" w:cs="Times New Roman" w:eastAsia="Times New Roman" w:hint="default"/>
                <w:sz w:val="21"/>
                <w:szCs w:val="21"/>
              </w:rPr>
            </w:pPr>
            <w:r>
              <w:rPr>
                <w:rFonts w:ascii="Times New Roman"/>
                <w:spacing w:val="-1"/>
                <w:sz w:val="21"/>
              </w:rPr>
              <w:t>8,073,100.00</w:t>
            </w:r>
          </w:p>
        </w:tc>
      </w:tr>
      <w:tr>
        <w:trPr>
          <w:trHeight w:val="312" w:hRule="exact"/>
        </w:trPr>
        <w:tc>
          <w:tcPr>
            <w:tcW w:w="3842"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4" w:right="0"/>
              <w:jc w:val="left"/>
              <w:rPr>
                <w:rFonts w:ascii="宋体" w:hAnsi="宋体" w:cs="宋体" w:eastAsia="宋体" w:hint="default"/>
                <w:sz w:val="21"/>
                <w:szCs w:val="21"/>
              </w:rPr>
            </w:pPr>
            <w:r>
              <w:rPr>
                <w:rFonts w:ascii="宋体" w:hAnsi="宋体" w:cs="宋体" w:eastAsia="宋体" w:hint="default"/>
                <w:sz w:val="21"/>
                <w:szCs w:val="21"/>
              </w:rPr>
              <w:t>往来款及其他</w:t>
            </w:r>
          </w:p>
        </w:tc>
        <w:tc>
          <w:tcPr>
            <w:tcW w:w="2482"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z w:val="21"/>
              </w:rPr>
              <w:t>76,901.15</w:t>
            </w:r>
          </w:p>
        </w:tc>
        <w:tc>
          <w:tcPr>
            <w:tcW w:w="2551"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5"/>
              <w:jc w:val="right"/>
              <w:rPr>
                <w:rFonts w:ascii="Times New Roman" w:hAnsi="Times New Roman" w:cs="Times New Roman" w:eastAsia="Times New Roman" w:hint="default"/>
                <w:sz w:val="21"/>
                <w:szCs w:val="21"/>
              </w:rPr>
            </w:pPr>
            <w:r>
              <w:rPr>
                <w:rFonts w:ascii="Times New Roman"/>
                <w:sz w:val="21"/>
              </w:rPr>
              <w:t>41,637.32</w:t>
            </w:r>
          </w:p>
        </w:tc>
      </w:tr>
      <w:tr>
        <w:trPr>
          <w:trHeight w:val="314" w:hRule="exact"/>
        </w:trPr>
        <w:tc>
          <w:tcPr>
            <w:tcW w:w="3842"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right="1697"/>
              <w:jc w:val="right"/>
              <w:rPr>
                <w:rFonts w:ascii="宋体" w:hAnsi="宋体" w:cs="宋体" w:eastAsia="宋体" w:hint="default"/>
                <w:sz w:val="21"/>
                <w:szCs w:val="21"/>
              </w:rPr>
            </w:pPr>
            <w:r>
              <w:rPr>
                <w:rFonts w:ascii="宋体" w:hAnsi="宋体" w:cs="宋体" w:eastAsia="宋体" w:hint="default"/>
                <w:sz w:val="21"/>
                <w:szCs w:val="21"/>
              </w:rPr>
              <w:t>合计</w:t>
            </w:r>
          </w:p>
        </w:tc>
        <w:tc>
          <w:tcPr>
            <w:tcW w:w="2482"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5,450,303.25</w:t>
            </w:r>
          </w:p>
        </w:tc>
        <w:tc>
          <w:tcPr>
            <w:tcW w:w="2551"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2"/>
              <w:jc w:val="right"/>
              <w:rPr>
                <w:rFonts w:ascii="Times New Roman" w:hAnsi="Times New Roman" w:cs="Times New Roman" w:eastAsia="Times New Roman" w:hint="default"/>
                <w:sz w:val="21"/>
                <w:szCs w:val="21"/>
              </w:rPr>
            </w:pPr>
            <w:r>
              <w:rPr>
                <w:rFonts w:ascii="Times New Roman"/>
                <w:spacing w:val="-1"/>
                <w:sz w:val="21"/>
              </w:rPr>
              <w:t>8,778,761.18</w:t>
            </w:r>
          </w:p>
        </w:tc>
      </w:tr>
    </w:tbl>
    <w:p>
      <w:pPr>
        <w:spacing w:line="240" w:lineRule="auto" w:before="2"/>
        <w:rPr>
          <w:rFonts w:ascii="宋体" w:hAnsi="宋体" w:cs="宋体" w:eastAsia="宋体" w:hint="default"/>
          <w:b/>
          <w:bCs/>
          <w:sz w:val="20"/>
          <w:szCs w:val="20"/>
        </w:rPr>
      </w:pPr>
    </w:p>
    <w:p>
      <w:pPr>
        <w:pStyle w:val="Heading5"/>
        <w:spacing w:line="240" w:lineRule="auto" w:before="36"/>
        <w:ind w:left="580" w:right="0"/>
        <w:jc w:val="left"/>
        <w:rPr>
          <w:b w:val="0"/>
          <w:bCs w:val="0"/>
        </w:rPr>
      </w:pP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8"/>
        <w:rPr>
          <w:rFonts w:ascii="宋体" w:hAnsi="宋体" w:cs="宋体" w:eastAsia="宋体" w:hint="default"/>
          <w:b/>
          <w:bCs/>
          <w:sz w:val="2"/>
          <w:szCs w:val="2"/>
        </w:rPr>
      </w:pPr>
    </w:p>
    <w:tbl>
      <w:tblPr>
        <w:tblW w:w="0" w:type="auto"/>
        <w:jc w:val="left"/>
        <w:tblInd w:w="145" w:type="dxa"/>
        <w:tblLayout w:type="fixed"/>
        <w:tblCellMar>
          <w:top w:w="0" w:type="dxa"/>
          <w:left w:w="0" w:type="dxa"/>
          <w:bottom w:w="0" w:type="dxa"/>
          <w:right w:w="0" w:type="dxa"/>
        </w:tblCellMar>
        <w:tblLook w:val="01E0"/>
      </w:tblPr>
      <w:tblGrid>
        <w:gridCol w:w="3857"/>
        <w:gridCol w:w="2484"/>
        <w:gridCol w:w="2549"/>
      </w:tblGrid>
      <w:tr>
        <w:trPr>
          <w:trHeight w:val="314" w:hRule="exact"/>
        </w:trPr>
        <w:tc>
          <w:tcPr>
            <w:tcW w:w="3857" w:type="dxa"/>
            <w:tcBorders>
              <w:top w:val="single" w:sz="6" w:space="0" w:color="000000"/>
              <w:left w:val="single" w:sz="6" w:space="0" w:color="000000"/>
              <w:bottom w:val="single" w:sz="12" w:space="0" w:color="000000"/>
              <w:right w:val="single" w:sz="6" w:space="0" w:color="000000"/>
            </w:tcBorders>
          </w:tcPr>
          <w:p>
            <w:pPr>
              <w:pStyle w:val="TableParagraph"/>
              <w:spacing w:line="253" w:lineRule="exact"/>
              <w:ind w:right="1706"/>
              <w:jc w:val="right"/>
              <w:rPr>
                <w:rFonts w:ascii="宋体" w:hAnsi="宋体" w:cs="宋体" w:eastAsia="宋体" w:hint="default"/>
                <w:sz w:val="21"/>
                <w:szCs w:val="21"/>
              </w:rPr>
            </w:pPr>
            <w:r>
              <w:rPr>
                <w:rFonts w:ascii="宋体" w:hAnsi="宋体" w:cs="宋体" w:eastAsia="宋体" w:hint="default"/>
                <w:sz w:val="21"/>
                <w:szCs w:val="21"/>
              </w:rPr>
              <w:t>项目</w:t>
            </w:r>
          </w:p>
        </w:tc>
        <w:tc>
          <w:tcPr>
            <w:tcW w:w="2484" w:type="dxa"/>
            <w:tcBorders>
              <w:top w:val="single" w:sz="6" w:space="0" w:color="000000"/>
              <w:left w:val="single" w:sz="6" w:space="0" w:color="000000"/>
              <w:bottom w:val="single" w:sz="12" w:space="0" w:color="000000"/>
              <w:right w:val="single" w:sz="6" w:space="0" w:color="000000"/>
            </w:tcBorders>
          </w:tcPr>
          <w:p>
            <w:pPr>
              <w:pStyle w:val="TableParagraph"/>
              <w:spacing w:line="253" w:lineRule="exact"/>
              <w:ind w:left="813"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549" w:type="dxa"/>
            <w:tcBorders>
              <w:top w:val="single" w:sz="6" w:space="0" w:color="000000"/>
              <w:left w:val="single" w:sz="6" w:space="0" w:color="000000"/>
              <w:bottom w:val="single" w:sz="12" w:space="0" w:color="000000"/>
              <w:right w:val="nil" w:sz="6" w:space="0" w:color="auto"/>
            </w:tcBorders>
          </w:tcPr>
          <w:p>
            <w:pPr>
              <w:pStyle w:val="TableParagraph"/>
              <w:spacing w:line="253" w:lineRule="exact"/>
              <w:ind w:left="847"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314" w:hRule="exact"/>
        </w:trPr>
        <w:tc>
          <w:tcPr>
            <w:tcW w:w="3857"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4" w:right="0"/>
              <w:jc w:val="left"/>
              <w:rPr>
                <w:rFonts w:ascii="宋体" w:hAnsi="宋体" w:cs="宋体" w:eastAsia="宋体" w:hint="default"/>
                <w:sz w:val="21"/>
                <w:szCs w:val="21"/>
              </w:rPr>
            </w:pPr>
            <w:r>
              <w:rPr>
                <w:rFonts w:ascii="宋体" w:hAnsi="宋体" w:cs="宋体" w:eastAsia="宋体" w:hint="default"/>
                <w:sz w:val="21"/>
                <w:szCs w:val="21"/>
              </w:rPr>
              <w:t>费用</w:t>
            </w:r>
          </w:p>
        </w:tc>
        <w:tc>
          <w:tcPr>
            <w:tcW w:w="2484"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19,151,117.84</w:t>
            </w:r>
          </w:p>
        </w:tc>
        <w:tc>
          <w:tcPr>
            <w:tcW w:w="2549"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7"/>
              <w:jc w:val="right"/>
              <w:rPr>
                <w:rFonts w:ascii="Times New Roman" w:hAnsi="Times New Roman" w:cs="Times New Roman" w:eastAsia="Times New Roman" w:hint="default"/>
                <w:sz w:val="21"/>
                <w:szCs w:val="21"/>
              </w:rPr>
            </w:pPr>
            <w:r>
              <w:rPr>
                <w:rFonts w:ascii="Times New Roman"/>
                <w:spacing w:val="-1"/>
                <w:sz w:val="21"/>
              </w:rPr>
              <w:t>17,320,741.29</w:t>
            </w:r>
          </w:p>
        </w:tc>
      </w:tr>
      <w:tr>
        <w:trPr>
          <w:trHeight w:val="312" w:hRule="exact"/>
        </w:trPr>
        <w:tc>
          <w:tcPr>
            <w:tcW w:w="3857"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4" w:right="0"/>
              <w:jc w:val="left"/>
              <w:rPr>
                <w:rFonts w:ascii="宋体" w:hAnsi="宋体" w:cs="宋体" w:eastAsia="宋体" w:hint="default"/>
                <w:sz w:val="21"/>
                <w:szCs w:val="21"/>
              </w:rPr>
            </w:pPr>
            <w:r>
              <w:rPr>
                <w:rFonts w:ascii="宋体" w:hAnsi="宋体" w:cs="宋体" w:eastAsia="宋体" w:hint="default"/>
                <w:sz w:val="21"/>
                <w:szCs w:val="21"/>
              </w:rPr>
              <w:t>往来款及其他</w:t>
            </w:r>
          </w:p>
        </w:tc>
        <w:tc>
          <w:tcPr>
            <w:tcW w:w="2484"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Times New Roman" w:hAnsi="Times New Roman" w:cs="Times New Roman" w:eastAsia="Times New Roman" w:hint="default"/>
                <w:sz w:val="21"/>
                <w:szCs w:val="21"/>
              </w:rPr>
            </w:pPr>
            <w:r>
              <w:rPr>
                <w:rFonts w:ascii="Times New Roman"/>
                <w:sz w:val="21"/>
              </w:rPr>
              <w:t>27,541.46</w:t>
            </w:r>
          </w:p>
        </w:tc>
        <w:tc>
          <w:tcPr>
            <w:tcW w:w="2549"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7"/>
              <w:jc w:val="right"/>
              <w:rPr>
                <w:rFonts w:ascii="Times New Roman" w:hAnsi="Times New Roman" w:cs="Times New Roman" w:eastAsia="Times New Roman" w:hint="default"/>
                <w:sz w:val="21"/>
                <w:szCs w:val="21"/>
              </w:rPr>
            </w:pPr>
            <w:r>
              <w:rPr>
                <w:rFonts w:ascii="Times New Roman"/>
                <w:spacing w:val="-1"/>
                <w:sz w:val="21"/>
              </w:rPr>
              <w:t>319,000.00</w:t>
            </w:r>
          </w:p>
        </w:tc>
      </w:tr>
      <w:tr>
        <w:trPr>
          <w:trHeight w:val="314" w:hRule="exact"/>
        </w:trPr>
        <w:tc>
          <w:tcPr>
            <w:tcW w:w="3857"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right="1706"/>
              <w:jc w:val="right"/>
              <w:rPr>
                <w:rFonts w:ascii="宋体" w:hAnsi="宋体" w:cs="宋体" w:eastAsia="宋体" w:hint="default"/>
                <w:sz w:val="21"/>
                <w:szCs w:val="21"/>
              </w:rPr>
            </w:pPr>
            <w:r>
              <w:rPr>
                <w:rFonts w:ascii="宋体" w:hAnsi="宋体" w:cs="宋体" w:eastAsia="宋体" w:hint="default"/>
                <w:sz w:val="21"/>
                <w:szCs w:val="21"/>
              </w:rPr>
              <w:t>合计</w:t>
            </w:r>
          </w:p>
        </w:tc>
        <w:tc>
          <w:tcPr>
            <w:tcW w:w="2484"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0"/>
              <w:jc w:val="right"/>
              <w:rPr>
                <w:rFonts w:ascii="Times New Roman" w:hAnsi="Times New Roman" w:cs="Times New Roman" w:eastAsia="Times New Roman" w:hint="default"/>
                <w:sz w:val="21"/>
                <w:szCs w:val="21"/>
              </w:rPr>
            </w:pPr>
            <w:r>
              <w:rPr>
                <w:rFonts w:ascii="Times New Roman"/>
                <w:spacing w:val="-1"/>
                <w:sz w:val="21"/>
              </w:rPr>
              <w:t>19,178,659.30</w:t>
            </w:r>
          </w:p>
        </w:tc>
        <w:tc>
          <w:tcPr>
            <w:tcW w:w="2549"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7"/>
              <w:jc w:val="right"/>
              <w:rPr>
                <w:rFonts w:ascii="Times New Roman" w:hAnsi="Times New Roman" w:cs="Times New Roman" w:eastAsia="Times New Roman" w:hint="default"/>
                <w:sz w:val="21"/>
                <w:szCs w:val="21"/>
              </w:rPr>
            </w:pPr>
            <w:r>
              <w:rPr>
                <w:rFonts w:ascii="Times New Roman"/>
                <w:spacing w:val="-1"/>
                <w:sz w:val="21"/>
              </w:rPr>
              <w:t>17,639,741.29</w:t>
            </w:r>
          </w:p>
        </w:tc>
      </w:tr>
    </w:tbl>
    <w:p>
      <w:pPr>
        <w:spacing w:line="240" w:lineRule="auto" w:before="2"/>
        <w:rPr>
          <w:rFonts w:ascii="宋体" w:hAnsi="宋体" w:cs="宋体" w:eastAsia="宋体" w:hint="default"/>
          <w:b/>
          <w:bCs/>
          <w:sz w:val="20"/>
          <w:szCs w:val="20"/>
        </w:rPr>
      </w:pPr>
    </w:p>
    <w:p>
      <w:pPr>
        <w:pStyle w:val="Heading5"/>
        <w:spacing w:line="240" w:lineRule="auto" w:before="36"/>
        <w:ind w:left="580" w:right="0"/>
        <w:jc w:val="left"/>
        <w:rPr>
          <w:b w:val="0"/>
          <w:bCs w:val="0"/>
        </w:rPr>
      </w:pPr>
      <w:r>
        <w:rPr>
          <w:rFonts w:ascii="Times New Roman" w:hAnsi="Times New Roman" w:cs="Times New Roman" w:eastAsia="Times New Roman" w:hint="default"/>
        </w:rPr>
        <w:t>3</w:t>
      </w:r>
      <w:r>
        <w:rPr/>
        <w:t>、收到其他与筹资活动有关的现金</w:t>
      </w:r>
      <w:r>
        <w:rPr>
          <w:b w:val="0"/>
          <w:bCs w:val="0"/>
        </w:rPr>
      </w:r>
    </w:p>
    <w:p>
      <w:pPr>
        <w:spacing w:line="240" w:lineRule="auto" w:before="8"/>
        <w:rPr>
          <w:rFonts w:ascii="宋体" w:hAnsi="宋体" w:cs="宋体" w:eastAsia="宋体" w:hint="default"/>
          <w:b/>
          <w:bCs/>
          <w:sz w:val="2"/>
          <w:szCs w:val="2"/>
        </w:rPr>
      </w:pPr>
    </w:p>
    <w:tbl>
      <w:tblPr>
        <w:tblW w:w="0" w:type="auto"/>
        <w:jc w:val="left"/>
        <w:tblInd w:w="145" w:type="dxa"/>
        <w:tblLayout w:type="fixed"/>
        <w:tblCellMar>
          <w:top w:w="0" w:type="dxa"/>
          <w:left w:w="0" w:type="dxa"/>
          <w:bottom w:w="0" w:type="dxa"/>
          <w:right w:w="0" w:type="dxa"/>
        </w:tblCellMar>
        <w:tblLook w:val="01E0"/>
      </w:tblPr>
      <w:tblGrid>
        <w:gridCol w:w="3842"/>
        <w:gridCol w:w="2551"/>
        <w:gridCol w:w="2482"/>
      </w:tblGrid>
      <w:tr>
        <w:trPr>
          <w:trHeight w:val="317" w:hRule="exact"/>
        </w:trPr>
        <w:tc>
          <w:tcPr>
            <w:tcW w:w="3842" w:type="dxa"/>
            <w:tcBorders>
              <w:top w:val="single" w:sz="6" w:space="0" w:color="000000"/>
              <w:left w:val="single" w:sz="6" w:space="0" w:color="000000"/>
              <w:bottom w:val="single" w:sz="12" w:space="0" w:color="000000"/>
              <w:right w:val="single" w:sz="6" w:space="0" w:color="000000"/>
            </w:tcBorders>
          </w:tcPr>
          <w:p>
            <w:pPr>
              <w:pStyle w:val="TableParagraph"/>
              <w:spacing w:line="253" w:lineRule="exact"/>
              <w:ind w:right="1697"/>
              <w:jc w:val="right"/>
              <w:rPr>
                <w:rFonts w:ascii="宋体" w:hAnsi="宋体" w:cs="宋体" w:eastAsia="宋体" w:hint="default"/>
                <w:sz w:val="21"/>
                <w:szCs w:val="21"/>
              </w:rPr>
            </w:pPr>
            <w:r>
              <w:rPr>
                <w:rFonts w:ascii="宋体" w:hAnsi="宋体" w:cs="宋体" w:eastAsia="宋体" w:hint="default"/>
                <w:sz w:val="21"/>
                <w:szCs w:val="21"/>
              </w:rPr>
              <w:t>项目</w:t>
            </w:r>
          </w:p>
        </w:tc>
        <w:tc>
          <w:tcPr>
            <w:tcW w:w="2551" w:type="dxa"/>
            <w:tcBorders>
              <w:top w:val="single" w:sz="6" w:space="0" w:color="000000"/>
              <w:left w:val="single" w:sz="6" w:space="0" w:color="000000"/>
              <w:bottom w:val="single" w:sz="12" w:space="0" w:color="000000"/>
              <w:right w:val="single" w:sz="6" w:space="0" w:color="000000"/>
            </w:tcBorders>
          </w:tcPr>
          <w:p>
            <w:pPr>
              <w:pStyle w:val="TableParagraph"/>
              <w:spacing w:line="253" w:lineRule="exact"/>
              <w:ind w:left="849"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482" w:type="dxa"/>
            <w:tcBorders>
              <w:top w:val="single" w:sz="6" w:space="0" w:color="000000"/>
              <w:left w:val="single" w:sz="6" w:space="0" w:color="000000"/>
              <w:bottom w:val="single" w:sz="12" w:space="0" w:color="000000"/>
              <w:right w:val="nil" w:sz="6" w:space="0" w:color="auto"/>
            </w:tcBorders>
          </w:tcPr>
          <w:p>
            <w:pPr>
              <w:pStyle w:val="TableParagraph"/>
              <w:spacing w:line="253" w:lineRule="exact"/>
              <w:ind w:left="813"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312" w:hRule="exact"/>
        </w:trPr>
        <w:tc>
          <w:tcPr>
            <w:tcW w:w="3842"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4" w:right="0"/>
              <w:jc w:val="left"/>
              <w:rPr>
                <w:rFonts w:ascii="宋体" w:hAnsi="宋体" w:cs="宋体" w:eastAsia="宋体" w:hint="default"/>
                <w:sz w:val="21"/>
                <w:szCs w:val="21"/>
              </w:rPr>
            </w:pPr>
            <w:r>
              <w:rPr>
                <w:rFonts w:ascii="宋体" w:hAnsi="宋体" w:cs="宋体" w:eastAsia="宋体" w:hint="default"/>
                <w:sz w:val="21"/>
                <w:szCs w:val="21"/>
              </w:rPr>
              <w:t>募集资金利息收入</w:t>
            </w:r>
          </w:p>
        </w:tc>
        <w:tc>
          <w:tcPr>
            <w:tcW w:w="2551"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1,560,939.09</w:t>
            </w:r>
          </w:p>
        </w:tc>
        <w:tc>
          <w:tcPr>
            <w:tcW w:w="2482"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5"/>
              <w:jc w:val="right"/>
              <w:rPr>
                <w:rFonts w:ascii="Times New Roman" w:hAnsi="Times New Roman" w:cs="Times New Roman" w:eastAsia="Times New Roman" w:hint="default"/>
                <w:sz w:val="21"/>
                <w:szCs w:val="21"/>
              </w:rPr>
            </w:pPr>
            <w:r>
              <w:rPr>
                <w:rFonts w:ascii="Times New Roman"/>
                <w:spacing w:val="-1"/>
                <w:sz w:val="21"/>
              </w:rPr>
              <w:t>2,847,652.27</w:t>
            </w:r>
          </w:p>
        </w:tc>
      </w:tr>
      <w:tr>
        <w:trPr>
          <w:trHeight w:val="314" w:hRule="exact"/>
        </w:trPr>
        <w:tc>
          <w:tcPr>
            <w:tcW w:w="3842"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right="1697"/>
              <w:jc w:val="right"/>
              <w:rPr>
                <w:rFonts w:ascii="宋体" w:hAnsi="宋体" w:cs="宋体" w:eastAsia="宋体" w:hint="default"/>
                <w:sz w:val="21"/>
                <w:szCs w:val="21"/>
              </w:rPr>
            </w:pPr>
            <w:r>
              <w:rPr>
                <w:rFonts w:ascii="宋体" w:hAnsi="宋体" w:cs="宋体" w:eastAsia="宋体" w:hint="default"/>
                <w:sz w:val="21"/>
                <w:szCs w:val="21"/>
              </w:rPr>
              <w:t>合计</w:t>
            </w:r>
          </w:p>
        </w:tc>
        <w:tc>
          <w:tcPr>
            <w:tcW w:w="2551"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1,560,939.09</w:t>
            </w:r>
          </w:p>
        </w:tc>
        <w:tc>
          <w:tcPr>
            <w:tcW w:w="2482"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5"/>
              <w:jc w:val="right"/>
              <w:rPr>
                <w:rFonts w:ascii="Times New Roman" w:hAnsi="Times New Roman" w:cs="Times New Roman" w:eastAsia="Times New Roman" w:hint="default"/>
                <w:sz w:val="21"/>
                <w:szCs w:val="21"/>
              </w:rPr>
            </w:pPr>
            <w:r>
              <w:rPr>
                <w:rFonts w:ascii="Times New Roman"/>
                <w:spacing w:val="-1"/>
                <w:sz w:val="21"/>
              </w:rPr>
              <w:t>2,847,652.27</w:t>
            </w:r>
          </w:p>
        </w:tc>
      </w:tr>
    </w:tbl>
    <w:p>
      <w:pPr>
        <w:spacing w:line="240" w:lineRule="auto" w:before="3"/>
        <w:rPr>
          <w:rFonts w:ascii="宋体" w:hAnsi="宋体" w:cs="宋体" w:eastAsia="宋体" w:hint="default"/>
          <w:b/>
          <w:bCs/>
          <w:sz w:val="8"/>
          <w:szCs w:val="8"/>
        </w:rPr>
      </w:pPr>
    </w:p>
    <w:p>
      <w:pPr>
        <w:pStyle w:val="Heading5"/>
        <w:spacing w:line="240" w:lineRule="auto" w:before="36"/>
        <w:ind w:left="580" w:right="0"/>
        <w:jc w:val="left"/>
        <w:rPr>
          <w:b w:val="0"/>
          <w:bCs w:val="0"/>
        </w:rPr>
      </w:pPr>
      <w:r>
        <w:rPr>
          <w:rFonts w:ascii="Times New Roman" w:hAnsi="Times New Roman" w:cs="Times New Roman" w:eastAsia="Times New Roman" w:hint="default"/>
        </w:rPr>
        <w:t>4</w:t>
      </w:r>
      <w:r>
        <w:rPr/>
        <w:t>、支付的其他与筹资活动有关的现金</w:t>
      </w:r>
      <w:r>
        <w:rPr>
          <w:b w:val="0"/>
          <w:bCs w:val="0"/>
        </w:rPr>
      </w:r>
    </w:p>
    <w:p>
      <w:pPr>
        <w:spacing w:line="240" w:lineRule="auto" w:before="8"/>
        <w:rPr>
          <w:rFonts w:ascii="宋体" w:hAnsi="宋体" w:cs="宋体" w:eastAsia="宋体" w:hint="default"/>
          <w:b/>
          <w:bCs/>
          <w:sz w:val="2"/>
          <w:szCs w:val="2"/>
        </w:rPr>
      </w:pPr>
    </w:p>
    <w:tbl>
      <w:tblPr>
        <w:tblW w:w="0" w:type="auto"/>
        <w:jc w:val="left"/>
        <w:tblInd w:w="145" w:type="dxa"/>
        <w:tblLayout w:type="fixed"/>
        <w:tblCellMar>
          <w:top w:w="0" w:type="dxa"/>
          <w:left w:w="0" w:type="dxa"/>
          <w:bottom w:w="0" w:type="dxa"/>
          <w:right w:w="0" w:type="dxa"/>
        </w:tblCellMar>
        <w:tblLook w:val="01E0"/>
      </w:tblPr>
      <w:tblGrid>
        <w:gridCol w:w="3828"/>
        <w:gridCol w:w="2551"/>
        <w:gridCol w:w="2482"/>
      </w:tblGrid>
      <w:tr>
        <w:trPr>
          <w:trHeight w:val="314" w:hRule="exact"/>
        </w:trPr>
        <w:tc>
          <w:tcPr>
            <w:tcW w:w="3828"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right="1691"/>
              <w:jc w:val="right"/>
              <w:rPr>
                <w:rFonts w:ascii="宋体" w:hAnsi="宋体" w:cs="宋体" w:eastAsia="宋体" w:hint="default"/>
                <w:sz w:val="21"/>
                <w:szCs w:val="21"/>
              </w:rPr>
            </w:pPr>
            <w:r>
              <w:rPr>
                <w:rFonts w:ascii="宋体" w:hAnsi="宋体" w:cs="宋体" w:eastAsia="宋体" w:hint="default"/>
                <w:sz w:val="21"/>
                <w:szCs w:val="21"/>
              </w:rPr>
              <w:t>项目</w:t>
            </w:r>
          </w:p>
        </w:tc>
        <w:tc>
          <w:tcPr>
            <w:tcW w:w="2551"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left="849"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482" w:type="dxa"/>
            <w:tcBorders>
              <w:top w:val="single" w:sz="6" w:space="0" w:color="000000"/>
              <w:left w:val="single" w:sz="6" w:space="0" w:color="000000"/>
              <w:bottom w:val="single" w:sz="12" w:space="0" w:color="000000"/>
              <w:right w:val="nil" w:sz="6" w:space="0" w:color="auto"/>
            </w:tcBorders>
          </w:tcPr>
          <w:p>
            <w:pPr>
              <w:pStyle w:val="TableParagraph"/>
              <w:spacing w:line="250" w:lineRule="exact"/>
              <w:ind w:left="815"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314" w:hRule="exact"/>
        </w:trPr>
        <w:tc>
          <w:tcPr>
            <w:tcW w:w="3828"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88" w:right="0"/>
              <w:jc w:val="left"/>
              <w:rPr>
                <w:rFonts w:ascii="宋体" w:hAnsi="宋体" w:cs="宋体" w:eastAsia="宋体" w:hint="default"/>
                <w:sz w:val="21"/>
                <w:szCs w:val="21"/>
              </w:rPr>
            </w:pPr>
            <w:r>
              <w:rPr>
                <w:rFonts w:ascii="宋体" w:hAnsi="宋体" w:cs="宋体" w:eastAsia="宋体" w:hint="default"/>
                <w:sz w:val="21"/>
                <w:szCs w:val="21"/>
              </w:rPr>
              <w:t>受限的货币资金</w:t>
            </w:r>
          </w:p>
        </w:tc>
        <w:tc>
          <w:tcPr>
            <w:tcW w:w="2551"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2482"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4"/>
              <w:jc w:val="right"/>
              <w:rPr>
                <w:rFonts w:ascii="Times New Roman" w:hAnsi="Times New Roman" w:cs="Times New Roman" w:eastAsia="Times New Roman" w:hint="default"/>
                <w:sz w:val="21"/>
                <w:szCs w:val="21"/>
              </w:rPr>
            </w:pPr>
            <w:r>
              <w:rPr>
                <w:rFonts w:ascii="Times New Roman"/>
                <w:spacing w:val="-1"/>
                <w:sz w:val="21"/>
              </w:rPr>
              <w:t>---</w:t>
            </w:r>
          </w:p>
        </w:tc>
      </w:tr>
      <w:tr>
        <w:trPr>
          <w:trHeight w:val="312" w:hRule="exact"/>
        </w:trPr>
        <w:tc>
          <w:tcPr>
            <w:tcW w:w="3828"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88" w:right="0"/>
              <w:jc w:val="left"/>
              <w:rPr>
                <w:rFonts w:ascii="宋体" w:hAnsi="宋体" w:cs="宋体" w:eastAsia="宋体" w:hint="default"/>
                <w:sz w:val="21"/>
                <w:szCs w:val="21"/>
              </w:rPr>
            </w:pPr>
            <w:r>
              <w:rPr>
                <w:rFonts w:ascii="宋体" w:hAnsi="宋体" w:cs="宋体" w:eastAsia="宋体" w:hint="default"/>
                <w:sz w:val="21"/>
                <w:szCs w:val="21"/>
              </w:rPr>
              <w:t>手续费</w:t>
            </w:r>
          </w:p>
        </w:tc>
        <w:tc>
          <w:tcPr>
            <w:tcW w:w="2551"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z w:val="21"/>
              </w:rPr>
              <w:t>1,205.06</w:t>
            </w:r>
          </w:p>
        </w:tc>
        <w:tc>
          <w:tcPr>
            <w:tcW w:w="2482"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2"/>
              <w:jc w:val="right"/>
              <w:rPr>
                <w:rFonts w:ascii="Times New Roman" w:hAnsi="Times New Roman" w:cs="Times New Roman" w:eastAsia="Times New Roman" w:hint="default"/>
                <w:sz w:val="21"/>
                <w:szCs w:val="21"/>
              </w:rPr>
            </w:pPr>
            <w:r>
              <w:rPr>
                <w:rFonts w:ascii="Times New Roman"/>
                <w:spacing w:val="-1"/>
                <w:sz w:val="21"/>
              </w:rPr>
              <w:t>1,111.40</w:t>
            </w:r>
          </w:p>
        </w:tc>
      </w:tr>
      <w:tr>
        <w:trPr>
          <w:trHeight w:val="314" w:hRule="exact"/>
        </w:trPr>
        <w:tc>
          <w:tcPr>
            <w:tcW w:w="3828"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right="1691"/>
              <w:jc w:val="right"/>
              <w:rPr>
                <w:rFonts w:ascii="宋体" w:hAnsi="宋体" w:cs="宋体" w:eastAsia="宋体" w:hint="default"/>
                <w:sz w:val="21"/>
                <w:szCs w:val="21"/>
              </w:rPr>
            </w:pPr>
            <w:r>
              <w:rPr>
                <w:rFonts w:ascii="宋体" w:hAnsi="宋体" w:cs="宋体" w:eastAsia="宋体" w:hint="default"/>
                <w:sz w:val="21"/>
                <w:szCs w:val="21"/>
              </w:rPr>
              <w:t>合计</w:t>
            </w:r>
          </w:p>
        </w:tc>
        <w:tc>
          <w:tcPr>
            <w:tcW w:w="2551"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z w:val="21"/>
              </w:rPr>
              <w:t>1,205.06</w:t>
            </w:r>
          </w:p>
        </w:tc>
        <w:tc>
          <w:tcPr>
            <w:tcW w:w="2482"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2"/>
              <w:jc w:val="right"/>
              <w:rPr>
                <w:rFonts w:ascii="Times New Roman" w:hAnsi="Times New Roman" w:cs="Times New Roman" w:eastAsia="Times New Roman" w:hint="default"/>
                <w:sz w:val="21"/>
                <w:szCs w:val="21"/>
              </w:rPr>
            </w:pPr>
            <w:r>
              <w:rPr>
                <w:rFonts w:ascii="Times New Roman"/>
                <w:spacing w:val="-1"/>
                <w:sz w:val="21"/>
              </w:rPr>
              <w:t>1,111.40</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4"/>
          <w:szCs w:val="14"/>
        </w:rPr>
      </w:pPr>
    </w:p>
    <w:p>
      <w:pPr>
        <w:pStyle w:val="Heading5"/>
        <w:spacing w:line="240" w:lineRule="auto"/>
        <w:ind w:left="575" w:right="0"/>
        <w:jc w:val="left"/>
        <w:rPr>
          <w:b w:val="0"/>
          <w:bCs w:val="0"/>
        </w:rPr>
      </w:pPr>
      <w:r>
        <w:rPr/>
        <w:t>（三十八）现金流量表补充资料</w:t>
      </w:r>
      <w:r>
        <w:rPr>
          <w:b w:val="0"/>
          <w:bCs w:val="0"/>
        </w:rPr>
      </w:r>
    </w:p>
    <w:p>
      <w:pPr>
        <w:pStyle w:val="Heading5"/>
        <w:spacing w:line="240" w:lineRule="auto" w:before="37"/>
        <w:ind w:left="580" w:right="0"/>
        <w:jc w:val="left"/>
        <w:rPr>
          <w:b w:val="0"/>
          <w:bCs w:val="0"/>
        </w:rPr>
      </w:pPr>
      <w:r>
        <w:rPr>
          <w:rFonts w:ascii="Times New Roman" w:hAnsi="Times New Roman" w:cs="Times New Roman" w:eastAsia="Times New Roman" w:hint="default"/>
        </w:rPr>
        <w:t>1</w:t>
      </w:r>
      <w:r>
        <w:rPr/>
        <w:t>、现金流量表补充资料</w:t>
      </w:r>
      <w:r>
        <w:rPr>
          <w:b w:val="0"/>
          <w:bCs w:val="0"/>
        </w:rPr>
      </w:r>
    </w:p>
    <w:p>
      <w:pPr>
        <w:spacing w:line="240" w:lineRule="auto" w:before="8"/>
        <w:rPr>
          <w:rFonts w:ascii="宋体" w:hAnsi="宋体" w:cs="宋体" w:eastAsia="宋体" w:hint="default"/>
          <w:b/>
          <w:bCs/>
          <w:sz w:val="2"/>
          <w:szCs w:val="2"/>
        </w:rPr>
      </w:pPr>
    </w:p>
    <w:tbl>
      <w:tblPr>
        <w:tblW w:w="0" w:type="auto"/>
        <w:jc w:val="left"/>
        <w:tblInd w:w="145" w:type="dxa"/>
        <w:tblLayout w:type="fixed"/>
        <w:tblCellMar>
          <w:top w:w="0" w:type="dxa"/>
          <w:left w:w="0" w:type="dxa"/>
          <w:bottom w:w="0" w:type="dxa"/>
          <w:right w:w="0" w:type="dxa"/>
        </w:tblCellMar>
        <w:tblLook w:val="01E0"/>
      </w:tblPr>
      <w:tblGrid>
        <w:gridCol w:w="4630"/>
        <w:gridCol w:w="2110"/>
        <w:gridCol w:w="2206"/>
      </w:tblGrid>
      <w:tr>
        <w:trPr>
          <w:trHeight w:val="314" w:hRule="exact"/>
        </w:trPr>
        <w:tc>
          <w:tcPr>
            <w:tcW w:w="4630"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10"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left="626"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206" w:type="dxa"/>
            <w:tcBorders>
              <w:top w:val="single" w:sz="6" w:space="0" w:color="000000"/>
              <w:left w:val="single" w:sz="6" w:space="0" w:color="000000"/>
              <w:bottom w:val="single" w:sz="12" w:space="0" w:color="000000"/>
              <w:right w:val="nil" w:sz="6" w:space="0" w:color="auto"/>
            </w:tcBorders>
          </w:tcPr>
          <w:p>
            <w:pPr>
              <w:pStyle w:val="TableParagraph"/>
              <w:spacing w:line="250" w:lineRule="exact"/>
              <w:ind w:left="676"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314" w:hRule="exact"/>
        </w:trPr>
        <w:tc>
          <w:tcPr>
            <w:tcW w:w="4630" w:type="dxa"/>
            <w:tcBorders>
              <w:top w:val="single" w:sz="12" w:space="0" w:color="000000"/>
              <w:left w:val="single" w:sz="6" w:space="0" w:color="000000"/>
              <w:bottom w:val="single" w:sz="12" w:space="0" w:color="000000"/>
              <w:right w:val="single" w:sz="6" w:space="0" w:color="000000"/>
            </w:tcBorders>
          </w:tcPr>
          <w:p>
            <w:pPr>
              <w:pStyle w:val="TableParagraph"/>
              <w:spacing w:line="259"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、将净利润调节为经营活动现金流量：</w:t>
            </w:r>
          </w:p>
        </w:tc>
        <w:tc>
          <w:tcPr>
            <w:tcW w:w="2110" w:type="dxa"/>
            <w:tcBorders>
              <w:top w:val="single" w:sz="12" w:space="0" w:color="000000"/>
              <w:left w:val="single" w:sz="6" w:space="0" w:color="000000"/>
              <w:bottom w:val="single" w:sz="12" w:space="0" w:color="000000"/>
              <w:right w:val="single" w:sz="6" w:space="0" w:color="000000"/>
            </w:tcBorders>
          </w:tcPr>
          <w:p>
            <w:pPr/>
          </w:p>
        </w:tc>
        <w:tc>
          <w:tcPr>
            <w:tcW w:w="2206" w:type="dxa"/>
            <w:tcBorders>
              <w:top w:val="single" w:sz="12" w:space="0" w:color="000000"/>
              <w:left w:val="single" w:sz="6" w:space="0" w:color="000000"/>
              <w:bottom w:val="single" w:sz="12" w:space="0" w:color="000000"/>
              <w:right w:val="nil" w:sz="6" w:space="0" w:color="auto"/>
            </w:tcBorders>
          </w:tcPr>
          <w:p>
            <w:pPr/>
          </w:p>
        </w:tc>
      </w:tr>
      <w:tr>
        <w:trPr>
          <w:trHeight w:val="312" w:hRule="exact"/>
        </w:trPr>
        <w:tc>
          <w:tcPr>
            <w:tcW w:w="4630"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4"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110"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Times New Roman" w:hAnsi="Times New Roman" w:cs="Times New Roman" w:eastAsia="Times New Roman" w:hint="default"/>
                <w:sz w:val="21"/>
                <w:szCs w:val="21"/>
              </w:rPr>
            </w:pPr>
            <w:r>
              <w:rPr>
                <w:rFonts w:ascii="Times New Roman"/>
                <w:spacing w:val="-1"/>
                <w:sz w:val="21"/>
              </w:rPr>
              <w:t>22,523,905.35</w:t>
            </w:r>
          </w:p>
        </w:tc>
        <w:tc>
          <w:tcPr>
            <w:tcW w:w="2206"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5"/>
              <w:jc w:val="right"/>
              <w:rPr>
                <w:rFonts w:ascii="Times New Roman" w:hAnsi="Times New Roman" w:cs="Times New Roman" w:eastAsia="Times New Roman" w:hint="default"/>
                <w:sz w:val="21"/>
                <w:szCs w:val="21"/>
              </w:rPr>
            </w:pPr>
            <w:r>
              <w:rPr>
                <w:rFonts w:ascii="Times New Roman"/>
                <w:spacing w:val="-1"/>
                <w:sz w:val="21"/>
              </w:rPr>
              <w:t>23,311,990.32</w:t>
            </w:r>
          </w:p>
        </w:tc>
      </w:tr>
      <w:tr>
        <w:trPr>
          <w:trHeight w:val="314" w:hRule="exact"/>
        </w:trPr>
        <w:tc>
          <w:tcPr>
            <w:tcW w:w="4630"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4"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110"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0"/>
              <w:jc w:val="right"/>
              <w:rPr>
                <w:rFonts w:ascii="Times New Roman" w:hAnsi="Times New Roman" w:cs="Times New Roman" w:eastAsia="Times New Roman" w:hint="default"/>
                <w:sz w:val="21"/>
                <w:szCs w:val="21"/>
              </w:rPr>
            </w:pPr>
            <w:r>
              <w:rPr>
                <w:rFonts w:ascii="Times New Roman"/>
                <w:spacing w:val="-1"/>
                <w:sz w:val="21"/>
              </w:rPr>
              <w:t>1,963,430.54</w:t>
            </w:r>
          </w:p>
        </w:tc>
        <w:tc>
          <w:tcPr>
            <w:tcW w:w="2206"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5"/>
              <w:jc w:val="right"/>
              <w:rPr>
                <w:rFonts w:ascii="Times New Roman" w:hAnsi="Times New Roman" w:cs="Times New Roman" w:eastAsia="Times New Roman" w:hint="default"/>
                <w:sz w:val="21"/>
                <w:szCs w:val="21"/>
              </w:rPr>
            </w:pPr>
            <w:r>
              <w:rPr>
                <w:rFonts w:ascii="Times New Roman"/>
                <w:spacing w:val="-1"/>
                <w:sz w:val="21"/>
              </w:rPr>
              <w:t>536,047.62</w:t>
            </w:r>
          </w:p>
        </w:tc>
      </w:tr>
      <w:tr>
        <w:trPr>
          <w:trHeight w:val="586" w:hRule="exact"/>
        </w:trPr>
        <w:tc>
          <w:tcPr>
            <w:tcW w:w="4630" w:type="dxa"/>
            <w:tcBorders>
              <w:top w:val="single" w:sz="12" w:space="0" w:color="000000"/>
              <w:left w:val="single" w:sz="6" w:space="0" w:color="000000"/>
              <w:bottom w:val="single" w:sz="12" w:space="0" w:color="000000"/>
              <w:right w:val="single" w:sz="6" w:space="0" w:color="000000"/>
            </w:tcBorders>
          </w:tcPr>
          <w:p>
            <w:pPr>
              <w:pStyle w:val="TableParagraph"/>
              <w:spacing w:line="240" w:lineRule="exact"/>
              <w:ind w:left="364" w:right="0"/>
              <w:jc w:val="left"/>
              <w:rPr>
                <w:rFonts w:ascii="宋体" w:hAnsi="宋体" w:cs="宋体" w:eastAsia="宋体" w:hint="default"/>
                <w:sz w:val="21"/>
                <w:szCs w:val="21"/>
              </w:rPr>
            </w:pPr>
            <w:r>
              <w:rPr>
                <w:rFonts w:ascii="宋体" w:hAnsi="宋体" w:cs="宋体" w:eastAsia="宋体" w:hint="default"/>
                <w:sz w:val="21"/>
                <w:szCs w:val="21"/>
              </w:rPr>
              <w:t>固定资产折旧、油气资产折耗、生产性生物资</w:t>
            </w:r>
          </w:p>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产折旧</w:t>
            </w:r>
          </w:p>
        </w:tc>
        <w:tc>
          <w:tcPr>
            <w:tcW w:w="2110"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Times New Roman" w:hAnsi="Times New Roman" w:cs="Times New Roman" w:eastAsia="Times New Roman" w:hint="default"/>
                <w:sz w:val="21"/>
                <w:szCs w:val="21"/>
              </w:rPr>
            </w:pPr>
            <w:r>
              <w:rPr>
                <w:rFonts w:ascii="Times New Roman"/>
                <w:spacing w:val="-1"/>
                <w:sz w:val="21"/>
              </w:rPr>
              <w:t>1,541,561.55</w:t>
            </w:r>
          </w:p>
        </w:tc>
        <w:tc>
          <w:tcPr>
            <w:tcW w:w="2206"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5"/>
              <w:jc w:val="right"/>
              <w:rPr>
                <w:rFonts w:ascii="Times New Roman" w:hAnsi="Times New Roman" w:cs="Times New Roman" w:eastAsia="Times New Roman" w:hint="default"/>
                <w:sz w:val="21"/>
                <w:szCs w:val="21"/>
              </w:rPr>
            </w:pPr>
            <w:r>
              <w:rPr>
                <w:rFonts w:ascii="Times New Roman"/>
                <w:spacing w:val="-1"/>
                <w:sz w:val="21"/>
              </w:rPr>
              <w:t>995,225.46</w:t>
            </w:r>
          </w:p>
        </w:tc>
      </w:tr>
      <w:tr>
        <w:trPr>
          <w:trHeight w:val="312" w:hRule="exact"/>
        </w:trPr>
        <w:tc>
          <w:tcPr>
            <w:tcW w:w="4630"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364"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110"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Times New Roman" w:hAnsi="Times New Roman" w:cs="Times New Roman" w:eastAsia="Times New Roman" w:hint="default"/>
                <w:sz w:val="21"/>
                <w:szCs w:val="21"/>
              </w:rPr>
            </w:pPr>
            <w:r>
              <w:rPr>
                <w:rFonts w:ascii="Times New Roman"/>
                <w:spacing w:val="-1"/>
                <w:sz w:val="21"/>
              </w:rPr>
              <w:t>1,644,633.74</w:t>
            </w:r>
          </w:p>
        </w:tc>
        <w:tc>
          <w:tcPr>
            <w:tcW w:w="2206"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5"/>
              <w:jc w:val="right"/>
              <w:rPr>
                <w:rFonts w:ascii="Times New Roman" w:hAnsi="Times New Roman" w:cs="Times New Roman" w:eastAsia="Times New Roman" w:hint="default"/>
                <w:sz w:val="21"/>
                <w:szCs w:val="21"/>
              </w:rPr>
            </w:pPr>
            <w:r>
              <w:rPr>
                <w:rFonts w:ascii="Times New Roman"/>
                <w:spacing w:val="-1"/>
                <w:sz w:val="21"/>
              </w:rPr>
              <w:t>1,640,180.40</w:t>
            </w:r>
          </w:p>
        </w:tc>
      </w:tr>
      <w:tr>
        <w:trPr>
          <w:trHeight w:val="314" w:hRule="exact"/>
        </w:trPr>
        <w:tc>
          <w:tcPr>
            <w:tcW w:w="4630"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364"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110"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0"/>
              <w:jc w:val="right"/>
              <w:rPr>
                <w:rFonts w:ascii="Times New Roman" w:hAnsi="Times New Roman" w:cs="Times New Roman" w:eastAsia="Times New Roman" w:hint="default"/>
                <w:sz w:val="21"/>
                <w:szCs w:val="21"/>
              </w:rPr>
            </w:pPr>
            <w:r>
              <w:rPr>
                <w:rFonts w:ascii="Times New Roman"/>
                <w:sz w:val="21"/>
              </w:rPr>
              <w:t>67,411.98</w:t>
            </w:r>
          </w:p>
        </w:tc>
        <w:tc>
          <w:tcPr>
            <w:tcW w:w="2206"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5"/>
              <w:jc w:val="right"/>
              <w:rPr>
                <w:rFonts w:ascii="Times New Roman" w:hAnsi="Times New Roman" w:cs="Times New Roman" w:eastAsia="Times New Roman" w:hint="default"/>
                <w:sz w:val="21"/>
                <w:szCs w:val="21"/>
              </w:rPr>
            </w:pPr>
            <w:r>
              <w:rPr>
                <w:rFonts w:ascii="Times New Roman"/>
                <w:spacing w:val="-1"/>
                <w:sz w:val="21"/>
              </w:rPr>
              <w:t>111,667.28</w:t>
            </w:r>
          </w:p>
        </w:tc>
      </w:tr>
      <w:tr>
        <w:trPr>
          <w:trHeight w:val="312" w:hRule="exact"/>
        </w:trPr>
        <w:tc>
          <w:tcPr>
            <w:tcW w:w="4630"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364"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处置固定资产、无形资产和其他长期资产的损</w:t>
            </w:r>
          </w:p>
        </w:tc>
        <w:tc>
          <w:tcPr>
            <w:tcW w:w="2110"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(226,705.32)</w:t>
            </w:r>
          </w:p>
        </w:tc>
        <w:tc>
          <w:tcPr>
            <w:tcW w:w="2206"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5"/>
              <w:jc w:val="right"/>
              <w:rPr>
                <w:rFonts w:ascii="Times New Roman" w:hAnsi="Times New Roman" w:cs="Times New Roman" w:eastAsia="Times New Roman" w:hint="default"/>
                <w:sz w:val="21"/>
                <w:szCs w:val="21"/>
              </w:rPr>
            </w:pPr>
            <w:r>
              <w:rPr>
                <w:rFonts w:ascii="Times New Roman"/>
                <w:spacing w:val="-1"/>
                <w:sz w:val="21"/>
              </w:rPr>
              <w:t>3,571.51</w:t>
            </w:r>
          </w:p>
        </w:tc>
      </w:tr>
    </w:tbl>
    <w:p>
      <w:pPr>
        <w:spacing w:after="0" w:line="235" w:lineRule="exact"/>
        <w:jc w:val="right"/>
        <w:rPr>
          <w:rFonts w:ascii="Times New Roman" w:hAnsi="Times New Roman" w:cs="Times New Roman" w:eastAsia="Times New Roman" w:hint="default"/>
          <w:sz w:val="21"/>
          <w:szCs w:val="21"/>
        </w:rPr>
        <w:sectPr>
          <w:pgSz w:w="11910" w:h="16840"/>
          <w:pgMar w:header="880" w:footer="979" w:top="1060" w:bottom="1160" w:left="980" w:right="980"/>
        </w:sectPr>
      </w:pPr>
    </w:p>
    <w:p>
      <w:pPr>
        <w:spacing w:line="240" w:lineRule="auto" w:before="4"/>
        <w:rPr>
          <w:rFonts w:ascii="宋体" w:hAnsi="宋体" w:cs="宋体" w:eastAsia="宋体" w:hint="default"/>
          <w:b/>
          <w:bCs/>
          <w:sz w:val="28"/>
          <w:szCs w:val="28"/>
        </w:rPr>
      </w:pPr>
    </w:p>
    <w:tbl>
      <w:tblPr>
        <w:tblW w:w="0" w:type="auto"/>
        <w:jc w:val="left"/>
        <w:tblInd w:w="145" w:type="dxa"/>
        <w:tblLayout w:type="fixed"/>
        <w:tblCellMar>
          <w:top w:w="0" w:type="dxa"/>
          <w:left w:w="0" w:type="dxa"/>
          <w:bottom w:w="0" w:type="dxa"/>
          <w:right w:w="0" w:type="dxa"/>
        </w:tblCellMar>
        <w:tblLook w:val="01E0"/>
      </w:tblPr>
      <w:tblGrid>
        <w:gridCol w:w="4630"/>
        <w:gridCol w:w="2110"/>
        <w:gridCol w:w="2206"/>
      </w:tblGrid>
      <w:tr>
        <w:trPr>
          <w:trHeight w:val="314" w:hRule="exact"/>
        </w:trPr>
        <w:tc>
          <w:tcPr>
            <w:tcW w:w="4630"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left="4" w:right="0"/>
              <w:jc w:val="left"/>
              <w:rPr>
                <w:rFonts w:ascii="宋体" w:hAnsi="宋体" w:cs="宋体" w:eastAsia="宋体" w:hint="default"/>
                <w:sz w:val="21"/>
                <w:szCs w:val="21"/>
              </w:rPr>
            </w:pPr>
            <w:r>
              <w:rPr>
                <w:rFonts w:ascii="宋体" w:hAnsi="宋体" w:cs="宋体" w:eastAsia="宋体" w:hint="default"/>
                <w:w w:val="100"/>
                <w:sz w:val="21"/>
                <w:szCs w:val="21"/>
              </w:rPr>
              <w:t>失</w:t>
            </w:r>
          </w:p>
        </w:tc>
        <w:tc>
          <w:tcPr>
            <w:tcW w:w="2110" w:type="dxa"/>
            <w:tcBorders>
              <w:top w:val="single" w:sz="6" w:space="0" w:color="000000"/>
              <w:left w:val="single" w:sz="6" w:space="0" w:color="000000"/>
              <w:bottom w:val="single" w:sz="12" w:space="0" w:color="000000"/>
              <w:right w:val="single" w:sz="6" w:space="0" w:color="000000"/>
            </w:tcBorders>
          </w:tcPr>
          <w:p>
            <w:pPr/>
          </w:p>
        </w:tc>
        <w:tc>
          <w:tcPr>
            <w:tcW w:w="2206" w:type="dxa"/>
            <w:tcBorders>
              <w:top w:val="single" w:sz="6" w:space="0" w:color="000000"/>
              <w:left w:val="single" w:sz="6" w:space="0" w:color="000000"/>
              <w:bottom w:val="single" w:sz="12" w:space="0" w:color="000000"/>
              <w:right w:val="nil" w:sz="6" w:space="0" w:color="auto"/>
            </w:tcBorders>
          </w:tcPr>
          <w:p>
            <w:pPr/>
          </w:p>
        </w:tc>
      </w:tr>
      <w:tr>
        <w:trPr>
          <w:trHeight w:val="314" w:hRule="exact"/>
        </w:trPr>
        <w:tc>
          <w:tcPr>
            <w:tcW w:w="4630"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364" w:right="0"/>
              <w:jc w:val="left"/>
              <w:rPr>
                <w:rFonts w:ascii="宋体" w:hAnsi="宋体" w:cs="宋体" w:eastAsia="宋体" w:hint="default"/>
                <w:sz w:val="21"/>
                <w:szCs w:val="21"/>
              </w:rPr>
            </w:pPr>
            <w:r>
              <w:rPr>
                <w:rFonts w:ascii="宋体" w:hAnsi="宋体" w:cs="宋体" w:eastAsia="宋体" w:hint="default"/>
                <w:sz w:val="21"/>
                <w:szCs w:val="21"/>
              </w:rPr>
              <w:t>固定资产报废损失</w:t>
            </w:r>
          </w:p>
        </w:tc>
        <w:tc>
          <w:tcPr>
            <w:tcW w:w="2110"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2206"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6"/>
              <w:jc w:val="right"/>
              <w:rPr>
                <w:rFonts w:ascii="Times New Roman" w:hAnsi="Times New Roman" w:cs="Times New Roman" w:eastAsia="Times New Roman" w:hint="default"/>
                <w:sz w:val="21"/>
                <w:szCs w:val="21"/>
              </w:rPr>
            </w:pPr>
            <w:r>
              <w:rPr>
                <w:rFonts w:ascii="Times New Roman"/>
                <w:spacing w:val="-1"/>
                <w:sz w:val="21"/>
              </w:rPr>
              <w:t>---</w:t>
            </w:r>
          </w:p>
        </w:tc>
      </w:tr>
      <w:tr>
        <w:trPr>
          <w:trHeight w:val="312" w:hRule="exact"/>
        </w:trPr>
        <w:tc>
          <w:tcPr>
            <w:tcW w:w="4630"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364" w:right="0"/>
              <w:jc w:val="left"/>
              <w:rPr>
                <w:rFonts w:ascii="宋体" w:hAnsi="宋体" w:cs="宋体" w:eastAsia="宋体" w:hint="default"/>
                <w:sz w:val="21"/>
                <w:szCs w:val="21"/>
              </w:rPr>
            </w:pPr>
            <w:r>
              <w:rPr>
                <w:rFonts w:ascii="宋体" w:hAnsi="宋体" w:cs="宋体" w:eastAsia="宋体" w:hint="default"/>
                <w:sz w:val="21"/>
                <w:szCs w:val="21"/>
              </w:rPr>
              <w:t>公允价值变动损失</w:t>
            </w:r>
          </w:p>
        </w:tc>
        <w:tc>
          <w:tcPr>
            <w:tcW w:w="2110"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2206"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4"/>
              <w:jc w:val="right"/>
              <w:rPr>
                <w:rFonts w:ascii="Times New Roman" w:hAnsi="Times New Roman" w:cs="Times New Roman" w:eastAsia="Times New Roman" w:hint="default"/>
                <w:sz w:val="21"/>
                <w:szCs w:val="21"/>
              </w:rPr>
            </w:pPr>
            <w:r>
              <w:rPr>
                <w:rFonts w:ascii="Times New Roman"/>
                <w:spacing w:val="-1"/>
                <w:sz w:val="21"/>
              </w:rPr>
              <w:t>---</w:t>
            </w:r>
          </w:p>
        </w:tc>
      </w:tr>
      <w:tr>
        <w:trPr>
          <w:trHeight w:val="314" w:hRule="exact"/>
        </w:trPr>
        <w:tc>
          <w:tcPr>
            <w:tcW w:w="4630"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364"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110"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(1,733,271.70)</w:t>
            </w:r>
          </w:p>
        </w:tc>
        <w:tc>
          <w:tcPr>
            <w:tcW w:w="2206"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4"/>
              <w:jc w:val="right"/>
              <w:rPr>
                <w:rFonts w:ascii="Times New Roman" w:hAnsi="Times New Roman" w:cs="Times New Roman" w:eastAsia="Times New Roman" w:hint="default"/>
                <w:sz w:val="21"/>
                <w:szCs w:val="21"/>
              </w:rPr>
            </w:pPr>
            <w:r>
              <w:rPr>
                <w:rFonts w:ascii="Times New Roman"/>
                <w:spacing w:val="-1"/>
                <w:sz w:val="21"/>
              </w:rPr>
              <w:t>(2,846,540.87)</w:t>
            </w:r>
          </w:p>
        </w:tc>
      </w:tr>
      <w:tr>
        <w:trPr>
          <w:trHeight w:val="312" w:hRule="exact"/>
        </w:trPr>
        <w:tc>
          <w:tcPr>
            <w:tcW w:w="4630"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364" w:right="0"/>
              <w:jc w:val="left"/>
              <w:rPr>
                <w:rFonts w:ascii="宋体" w:hAnsi="宋体" w:cs="宋体" w:eastAsia="宋体" w:hint="default"/>
                <w:sz w:val="21"/>
                <w:szCs w:val="21"/>
              </w:rPr>
            </w:pPr>
            <w:r>
              <w:rPr>
                <w:rFonts w:ascii="宋体" w:hAnsi="宋体" w:cs="宋体" w:eastAsia="宋体" w:hint="default"/>
                <w:sz w:val="21"/>
                <w:szCs w:val="21"/>
              </w:rPr>
              <w:t>投资损失</w:t>
            </w:r>
          </w:p>
        </w:tc>
        <w:tc>
          <w:tcPr>
            <w:tcW w:w="2110"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(4,424,106.13)</w:t>
            </w:r>
          </w:p>
        </w:tc>
        <w:tc>
          <w:tcPr>
            <w:tcW w:w="2206"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4"/>
              <w:jc w:val="right"/>
              <w:rPr>
                <w:rFonts w:ascii="Times New Roman" w:hAnsi="Times New Roman" w:cs="Times New Roman" w:eastAsia="Times New Roman" w:hint="default"/>
                <w:sz w:val="21"/>
                <w:szCs w:val="21"/>
              </w:rPr>
            </w:pPr>
            <w:r>
              <w:rPr>
                <w:rFonts w:ascii="Times New Roman"/>
                <w:spacing w:val="-1"/>
                <w:sz w:val="21"/>
              </w:rPr>
              <w:t>(2,776,904.09)</w:t>
            </w:r>
          </w:p>
        </w:tc>
      </w:tr>
      <w:tr>
        <w:trPr>
          <w:trHeight w:val="312" w:hRule="exact"/>
        </w:trPr>
        <w:tc>
          <w:tcPr>
            <w:tcW w:w="4630"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364" w:right="0"/>
              <w:jc w:val="left"/>
              <w:rPr>
                <w:rFonts w:ascii="宋体" w:hAnsi="宋体" w:cs="宋体" w:eastAsia="宋体" w:hint="default"/>
                <w:sz w:val="21"/>
                <w:szCs w:val="21"/>
              </w:rPr>
            </w:pPr>
            <w:r>
              <w:rPr>
                <w:rFonts w:ascii="宋体" w:hAnsi="宋体" w:cs="宋体" w:eastAsia="宋体" w:hint="default"/>
                <w:sz w:val="21"/>
                <w:szCs w:val="21"/>
              </w:rPr>
              <w:t>递延所得税资产减少</w:t>
            </w:r>
          </w:p>
        </w:tc>
        <w:tc>
          <w:tcPr>
            <w:tcW w:w="2110"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(115,475.73)</w:t>
            </w:r>
          </w:p>
        </w:tc>
        <w:tc>
          <w:tcPr>
            <w:tcW w:w="2206"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5"/>
              <w:jc w:val="right"/>
              <w:rPr>
                <w:rFonts w:ascii="Times New Roman" w:hAnsi="Times New Roman" w:cs="Times New Roman" w:eastAsia="Times New Roman" w:hint="default"/>
                <w:sz w:val="21"/>
                <w:szCs w:val="21"/>
              </w:rPr>
            </w:pPr>
            <w:r>
              <w:rPr>
                <w:rFonts w:ascii="Times New Roman"/>
                <w:spacing w:val="-1"/>
                <w:sz w:val="21"/>
              </w:rPr>
              <w:t>183,385.52</w:t>
            </w:r>
          </w:p>
        </w:tc>
      </w:tr>
      <w:tr>
        <w:trPr>
          <w:trHeight w:val="314" w:hRule="exact"/>
        </w:trPr>
        <w:tc>
          <w:tcPr>
            <w:tcW w:w="4630"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364" w:right="0"/>
              <w:jc w:val="left"/>
              <w:rPr>
                <w:rFonts w:ascii="宋体" w:hAnsi="宋体" w:cs="宋体" w:eastAsia="宋体" w:hint="default"/>
                <w:sz w:val="21"/>
                <w:szCs w:val="21"/>
              </w:rPr>
            </w:pPr>
            <w:r>
              <w:rPr>
                <w:rFonts w:ascii="宋体" w:hAnsi="宋体" w:cs="宋体" w:eastAsia="宋体" w:hint="default"/>
                <w:sz w:val="21"/>
                <w:szCs w:val="21"/>
              </w:rPr>
              <w:t>递延所得税负债增加</w:t>
            </w:r>
          </w:p>
        </w:tc>
        <w:tc>
          <w:tcPr>
            <w:tcW w:w="2110"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0"/>
              <w:jc w:val="right"/>
              <w:rPr>
                <w:rFonts w:ascii="Times New Roman" w:hAnsi="Times New Roman" w:cs="Times New Roman" w:eastAsia="Times New Roman" w:hint="default"/>
                <w:sz w:val="21"/>
                <w:szCs w:val="21"/>
              </w:rPr>
            </w:pPr>
            <w:r>
              <w:rPr>
                <w:rFonts w:ascii="Times New Roman"/>
                <w:spacing w:val="-1"/>
                <w:sz w:val="21"/>
              </w:rPr>
              <w:t>196,234.42</w:t>
            </w:r>
          </w:p>
        </w:tc>
        <w:tc>
          <w:tcPr>
            <w:tcW w:w="2206"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6"/>
              <w:jc w:val="right"/>
              <w:rPr>
                <w:rFonts w:ascii="Times New Roman" w:hAnsi="Times New Roman" w:cs="Times New Roman" w:eastAsia="Times New Roman" w:hint="default"/>
                <w:sz w:val="21"/>
                <w:szCs w:val="21"/>
              </w:rPr>
            </w:pPr>
            <w:r>
              <w:rPr>
                <w:rFonts w:ascii="Times New Roman"/>
                <w:spacing w:val="-1"/>
                <w:sz w:val="21"/>
              </w:rPr>
              <w:t>---</w:t>
            </w:r>
          </w:p>
        </w:tc>
      </w:tr>
      <w:tr>
        <w:trPr>
          <w:trHeight w:val="312" w:hRule="exact"/>
        </w:trPr>
        <w:tc>
          <w:tcPr>
            <w:tcW w:w="4630"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364" w:right="0"/>
              <w:jc w:val="left"/>
              <w:rPr>
                <w:rFonts w:ascii="宋体" w:hAnsi="宋体" w:cs="宋体" w:eastAsia="宋体" w:hint="default"/>
                <w:sz w:val="21"/>
                <w:szCs w:val="21"/>
              </w:rPr>
            </w:pPr>
            <w:r>
              <w:rPr>
                <w:rFonts w:ascii="宋体" w:hAnsi="宋体" w:cs="宋体" w:eastAsia="宋体" w:hint="default"/>
                <w:sz w:val="21"/>
                <w:szCs w:val="21"/>
              </w:rPr>
              <w:t>存货的减少</w:t>
            </w:r>
          </w:p>
        </w:tc>
        <w:tc>
          <w:tcPr>
            <w:tcW w:w="2110"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342,036.99</w:t>
            </w:r>
          </w:p>
        </w:tc>
        <w:tc>
          <w:tcPr>
            <w:tcW w:w="2206"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4"/>
              <w:jc w:val="right"/>
              <w:rPr>
                <w:rFonts w:ascii="Times New Roman" w:hAnsi="Times New Roman" w:cs="Times New Roman" w:eastAsia="Times New Roman" w:hint="default"/>
                <w:sz w:val="21"/>
                <w:szCs w:val="21"/>
              </w:rPr>
            </w:pPr>
            <w:r>
              <w:rPr>
                <w:rFonts w:ascii="Times New Roman"/>
                <w:spacing w:val="-1"/>
                <w:sz w:val="21"/>
              </w:rPr>
              <w:t>(340,795.79)</w:t>
            </w:r>
          </w:p>
        </w:tc>
      </w:tr>
      <w:tr>
        <w:trPr>
          <w:trHeight w:val="314" w:hRule="exact"/>
        </w:trPr>
        <w:tc>
          <w:tcPr>
            <w:tcW w:w="4630"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364" w:right="0"/>
              <w:jc w:val="left"/>
              <w:rPr>
                <w:rFonts w:ascii="宋体" w:hAnsi="宋体" w:cs="宋体" w:eastAsia="宋体" w:hint="default"/>
                <w:sz w:val="21"/>
                <w:szCs w:val="21"/>
              </w:rPr>
            </w:pPr>
            <w:r>
              <w:rPr>
                <w:rFonts w:ascii="宋体" w:hAnsi="宋体" w:cs="宋体" w:eastAsia="宋体" w:hint="default"/>
                <w:sz w:val="21"/>
                <w:szCs w:val="21"/>
              </w:rPr>
              <w:t>经营性应收项目的减少</w:t>
            </w:r>
          </w:p>
        </w:tc>
        <w:tc>
          <w:tcPr>
            <w:tcW w:w="2110"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(671,406.41)</w:t>
            </w:r>
          </w:p>
        </w:tc>
        <w:tc>
          <w:tcPr>
            <w:tcW w:w="2206"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4"/>
              <w:jc w:val="right"/>
              <w:rPr>
                <w:rFonts w:ascii="Times New Roman" w:hAnsi="Times New Roman" w:cs="Times New Roman" w:eastAsia="Times New Roman" w:hint="default"/>
                <w:sz w:val="21"/>
                <w:szCs w:val="21"/>
              </w:rPr>
            </w:pPr>
            <w:r>
              <w:rPr>
                <w:rFonts w:ascii="Times New Roman"/>
                <w:spacing w:val="-1"/>
                <w:sz w:val="21"/>
              </w:rPr>
              <w:t>(7,022,072.45)</w:t>
            </w:r>
          </w:p>
        </w:tc>
      </w:tr>
      <w:tr>
        <w:trPr>
          <w:trHeight w:val="312" w:hRule="exact"/>
        </w:trPr>
        <w:tc>
          <w:tcPr>
            <w:tcW w:w="4630"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364" w:right="0"/>
              <w:jc w:val="left"/>
              <w:rPr>
                <w:rFonts w:ascii="宋体" w:hAnsi="宋体" w:cs="宋体" w:eastAsia="宋体" w:hint="default"/>
                <w:sz w:val="21"/>
                <w:szCs w:val="21"/>
              </w:rPr>
            </w:pPr>
            <w:r>
              <w:rPr>
                <w:rFonts w:ascii="宋体" w:hAnsi="宋体" w:cs="宋体" w:eastAsia="宋体" w:hint="default"/>
                <w:sz w:val="21"/>
                <w:szCs w:val="21"/>
              </w:rPr>
              <w:t>经营性应付项目的增加</w:t>
            </w:r>
          </w:p>
        </w:tc>
        <w:tc>
          <w:tcPr>
            <w:tcW w:w="2110"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(470,403.53)</w:t>
            </w:r>
          </w:p>
        </w:tc>
        <w:tc>
          <w:tcPr>
            <w:tcW w:w="2206"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7"/>
              <w:jc w:val="right"/>
              <w:rPr>
                <w:rFonts w:ascii="Times New Roman" w:hAnsi="Times New Roman" w:cs="Times New Roman" w:eastAsia="Times New Roman" w:hint="default"/>
                <w:sz w:val="21"/>
                <w:szCs w:val="21"/>
              </w:rPr>
            </w:pPr>
            <w:r>
              <w:rPr>
                <w:rFonts w:ascii="Times New Roman"/>
                <w:spacing w:val="-1"/>
                <w:sz w:val="21"/>
              </w:rPr>
              <w:t>4,001,550.54</w:t>
            </w:r>
          </w:p>
        </w:tc>
      </w:tr>
      <w:tr>
        <w:trPr>
          <w:trHeight w:val="312" w:hRule="exact"/>
        </w:trPr>
        <w:tc>
          <w:tcPr>
            <w:tcW w:w="4630"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36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110"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2206"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6"/>
              <w:jc w:val="right"/>
              <w:rPr>
                <w:rFonts w:ascii="Times New Roman" w:hAnsi="Times New Roman" w:cs="Times New Roman" w:eastAsia="Times New Roman" w:hint="default"/>
                <w:sz w:val="21"/>
                <w:szCs w:val="21"/>
              </w:rPr>
            </w:pPr>
            <w:r>
              <w:rPr>
                <w:rFonts w:ascii="Times New Roman"/>
                <w:spacing w:val="-1"/>
                <w:sz w:val="21"/>
              </w:rPr>
              <w:t>---</w:t>
            </w:r>
          </w:p>
        </w:tc>
      </w:tr>
      <w:tr>
        <w:trPr>
          <w:trHeight w:val="314" w:hRule="exact"/>
        </w:trPr>
        <w:tc>
          <w:tcPr>
            <w:tcW w:w="4630"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364"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110"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0"/>
              <w:jc w:val="right"/>
              <w:rPr>
                <w:rFonts w:ascii="Times New Roman" w:hAnsi="Times New Roman" w:cs="Times New Roman" w:eastAsia="Times New Roman" w:hint="default"/>
                <w:sz w:val="21"/>
                <w:szCs w:val="21"/>
              </w:rPr>
            </w:pPr>
            <w:r>
              <w:rPr>
                <w:rFonts w:ascii="Times New Roman"/>
                <w:spacing w:val="-1"/>
                <w:sz w:val="21"/>
              </w:rPr>
              <w:t>20,637,845.75</w:t>
            </w:r>
          </w:p>
        </w:tc>
        <w:tc>
          <w:tcPr>
            <w:tcW w:w="2206"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5"/>
              <w:jc w:val="right"/>
              <w:rPr>
                <w:rFonts w:ascii="Times New Roman" w:hAnsi="Times New Roman" w:cs="Times New Roman" w:eastAsia="Times New Roman" w:hint="default"/>
                <w:sz w:val="21"/>
                <w:szCs w:val="21"/>
              </w:rPr>
            </w:pPr>
            <w:r>
              <w:rPr>
                <w:rFonts w:ascii="Times New Roman"/>
                <w:spacing w:val="-1"/>
                <w:sz w:val="21"/>
              </w:rPr>
              <w:t>17,797,305.45</w:t>
            </w:r>
          </w:p>
        </w:tc>
      </w:tr>
      <w:tr>
        <w:trPr>
          <w:trHeight w:val="312" w:hRule="exact"/>
        </w:trPr>
        <w:tc>
          <w:tcPr>
            <w:tcW w:w="4630" w:type="dxa"/>
            <w:tcBorders>
              <w:top w:val="single" w:sz="12" w:space="0" w:color="000000"/>
              <w:left w:val="single" w:sz="6" w:space="0" w:color="000000"/>
              <w:bottom w:val="single" w:sz="12" w:space="0" w:color="000000"/>
              <w:right w:val="single" w:sz="6" w:space="0" w:color="000000"/>
            </w:tcBorders>
          </w:tcPr>
          <w:p>
            <w:pPr>
              <w:pStyle w:val="TableParagraph"/>
              <w:spacing w:line="257"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、不涉及现金收支的重大投资和筹资活动：</w:t>
            </w:r>
          </w:p>
        </w:tc>
        <w:tc>
          <w:tcPr>
            <w:tcW w:w="2110" w:type="dxa"/>
            <w:tcBorders>
              <w:top w:val="single" w:sz="12" w:space="0" w:color="000000"/>
              <w:left w:val="single" w:sz="6" w:space="0" w:color="000000"/>
              <w:bottom w:val="single" w:sz="12" w:space="0" w:color="000000"/>
              <w:right w:val="single" w:sz="6" w:space="0" w:color="000000"/>
            </w:tcBorders>
          </w:tcPr>
          <w:p>
            <w:pPr/>
          </w:p>
        </w:tc>
        <w:tc>
          <w:tcPr>
            <w:tcW w:w="2206" w:type="dxa"/>
            <w:tcBorders>
              <w:top w:val="single" w:sz="12" w:space="0" w:color="000000"/>
              <w:left w:val="single" w:sz="6" w:space="0" w:color="000000"/>
              <w:bottom w:val="single" w:sz="12" w:space="0" w:color="000000"/>
              <w:right w:val="nil" w:sz="6" w:space="0" w:color="auto"/>
            </w:tcBorders>
          </w:tcPr>
          <w:p>
            <w:pPr/>
          </w:p>
        </w:tc>
      </w:tr>
      <w:tr>
        <w:trPr>
          <w:trHeight w:val="314" w:hRule="exact"/>
        </w:trPr>
        <w:tc>
          <w:tcPr>
            <w:tcW w:w="4630"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364"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110"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2206"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6"/>
              <w:jc w:val="right"/>
              <w:rPr>
                <w:rFonts w:ascii="Times New Roman" w:hAnsi="Times New Roman" w:cs="Times New Roman" w:eastAsia="Times New Roman" w:hint="default"/>
                <w:sz w:val="21"/>
                <w:szCs w:val="21"/>
              </w:rPr>
            </w:pPr>
            <w:r>
              <w:rPr>
                <w:rFonts w:ascii="Times New Roman"/>
                <w:spacing w:val="-1"/>
                <w:sz w:val="21"/>
              </w:rPr>
              <w:t>---</w:t>
            </w:r>
          </w:p>
        </w:tc>
      </w:tr>
      <w:tr>
        <w:trPr>
          <w:trHeight w:val="312" w:hRule="exact"/>
        </w:trPr>
        <w:tc>
          <w:tcPr>
            <w:tcW w:w="4630"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364"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110"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2206"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6"/>
              <w:jc w:val="right"/>
              <w:rPr>
                <w:rFonts w:ascii="Times New Roman" w:hAnsi="Times New Roman" w:cs="Times New Roman" w:eastAsia="Times New Roman" w:hint="default"/>
                <w:sz w:val="21"/>
                <w:szCs w:val="21"/>
              </w:rPr>
            </w:pPr>
            <w:r>
              <w:rPr>
                <w:rFonts w:ascii="Times New Roman"/>
                <w:spacing w:val="-1"/>
                <w:sz w:val="21"/>
              </w:rPr>
              <w:t>---</w:t>
            </w:r>
          </w:p>
        </w:tc>
      </w:tr>
      <w:tr>
        <w:trPr>
          <w:trHeight w:val="314" w:hRule="exact"/>
        </w:trPr>
        <w:tc>
          <w:tcPr>
            <w:tcW w:w="4630"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364"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110"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2206"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6"/>
              <w:jc w:val="right"/>
              <w:rPr>
                <w:rFonts w:ascii="Times New Roman" w:hAnsi="Times New Roman" w:cs="Times New Roman" w:eastAsia="Times New Roman" w:hint="default"/>
                <w:sz w:val="21"/>
                <w:szCs w:val="21"/>
              </w:rPr>
            </w:pPr>
            <w:r>
              <w:rPr>
                <w:rFonts w:ascii="Times New Roman"/>
                <w:spacing w:val="-1"/>
                <w:sz w:val="21"/>
              </w:rPr>
              <w:t>---</w:t>
            </w:r>
          </w:p>
        </w:tc>
      </w:tr>
      <w:tr>
        <w:trPr>
          <w:trHeight w:val="312" w:hRule="exact"/>
        </w:trPr>
        <w:tc>
          <w:tcPr>
            <w:tcW w:w="4630" w:type="dxa"/>
            <w:tcBorders>
              <w:top w:val="single" w:sz="12" w:space="0" w:color="000000"/>
              <w:left w:val="single" w:sz="6" w:space="0" w:color="000000"/>
              <w:bottom w:val="single" w:sz="12" w:space="0" w:color="000000"/>
              <w:right w:val="single" w:sz="6" w:space="0" w:color="000000"/>
            </w:tcBorders>
          </w:tcPr>
          <w:p>
            <w:pPr>
              <w:pStyle w:val="TableParagraph"/>
              <w:spacing w:line="257"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、现金及现金等价物净变动情况：</w:t>
            </w:r>
          </w:p>
        </w:tc>
        <w:tc>
          <w:tcPr>
            <w:tcW w:w="2110" w:type="dxa"/>
            <w:tcBorders>
              <w:top w:val="single" w:sz="12" w:space="0" w:color="000000"/>
              <w:left w:val="single" w:sz="6" w:space="0" w:color="000000"/>
              <w:bottom w:val="single" w:sz="12" w:space="0" w:color="000000"/>
              <w:right w:val="single" w:sz="6" w:space="0" w:color="000000"/>
            </w:tcBorders>
          </w:tcPr>
          <w:p>
            <w:pPr/>
          </w:p>
        </w:tc>
        <w:tc>
          <w:tcPr>
            <w:tcW w:w="2206" w:type="dxa"/>
            <w:tcBorders>
              <w:top w:val="single" w:sz="12" w:space="0" w:color="000000"/>
              <w:left w:val="single" w:sz="6" w:space="0" w:color="000000"/>
              <w:bottom w:val="single" w:sz="12" w:space="0" w:color="000000"/>
              <w:right w:val="nil" w:sz="6" w:space="0" w:color="auto"/>
            </w:tcBorders>
          </w:tcPr>
          <w:p>
            <w:pPr/>
          </w:p>
        </w:tc>
      </w:tr>
      <w:tr>
        <w:trPr>
          <w:trHeight w:val="312" w:hRule="exact"/>
        </w:trPr>
        <w:tc>
          <w:tcPr>
            <w:tcW w:w="4630"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364"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110"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Times New Roman" w:hAnsi="Times New Roman" w:cs="Times New Roman" w:eastAsia="Times New Roman" w:hint="default"/>
                <w:sz w:val="21"/>
                <w:szCs w:val="21"/>
              </w:rPr>
            </w:pPr>
            <w:r>
              <w:rPr>
                <w:rFonts w:ascii="Times New Roman"/>
                <w:spacing w:val="-1"/>
                <w:sz w:val="21"/>
              </w:rPr>
              <w:t>121,299,781.90</w:t>
            </w:r>
          </w:p>
        </w:tc>
        <w:tc>
          <w:tcPr>
            <w:tcW w:w="2206"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7"/>
              <w:jc w:val="right"/>
              <w:rPr>
                <w:rFonts w:ascii="Times New Roman" w:hAnsi="Times New Roman" w:cs="Times New Roman" w:eastAsia="Times New Roman" w:hint="default"/>
                <w:sz w:val="21"/>
                <w:szCs w:val="21"/>
              </w:rPr>
            </w:pPr>
            <w:r>
              <w:rPr>
                <w:rFonts w:ascii="Times New Roman"/>
                <w:spacing w:val="-1"/>
                <w:sz w:val="21"/>
              </w:rPr>
              <w:t>126,386,318.45</w:t>
            </w:r>
          </w:p>
        </w:tc>
      </w:tr>
      <w:tr>
        <w:trPr>
          <w:trHeight w:val="314" w:hRule="exact"/>
        </w:trPr>
        <w:tc>
          <w:tcPr>
            <w:tcW w:w="4630"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364"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110"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0"/>
              <w:jc w:val="right"/>
              <w:rPr>
                <w:rFonts w:ascii="Times New Roman" w:hAnsi="Times New Roman" w:cs="Times New Roman" w:eastAsia="Times New Roman" w:hint="default"/>
                <w:sz w:val="21"/>
                <w:szCs w:val="21"/>
              </w:rPr>
            </w:pPr>
            <w:r>
              <w:rPr>
                <w:rFonts w:ascii="Times New Roman"/>
                <w:spacing w:val="-1"/>
                <w:sz w:val="21"/>
              </w:rPr>
              <w:t>126,386,318.45</w:t>
            </w:r>
          </w:p>
        </w:tc>
        <w:tc>
          <w:tcPr>
            <w:tcW w:w="2206"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7"/>
              <w:jc w:val="right"/>
              <w:rPr>
                <w:rFonts w:ascii="Times New Roman" w:hAnsi="Times New Roman" w:cs="Times New Roman" w:eastAsia="Times New Roman" w:hint="default"/>
                <w:sz w:val="21"/>
                <w:szCs w:val="21"/>
              </w:rPr>
            </w:pPr>
            <w:r>
              <w:rPr>
                <w:rFonts w:ascii="Times New Roman"/>
                <w:spacing w:val="-1"/>
                <w:sz w:val="21"/>
              </w:rPr>
              <w:t>218,711,272.56</w:t>
            </w:r>
          </w:p>
        </w:tc>
      </w:tr>
      <w:tr>
        <w:trPr>
          <w:trHeight w:val="312" w:hRule="exact"/>
        </w:trPr>
        <w:tc>
          <w:tcPr>
            <w:tcW w:w="4630"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364"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110"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2206"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6"/>
              <w:jc w:val="right"/>
              <w:rPr>
                <w:rFonts w:ascii="Times New Roman" w:hAnsi="Times New Roman" w:cs="Times New Roman" w:eastAsia="Times New Roman" w:hint="default"/>
                <w:sz w:val="21"/>
                <w:szCs w:val="21"/>
              </w:rPr>
            </w:pPr>
            <w:r>
              <w:rPr>
                <w:rFonts w:ascii="Times New Roman"/>
                <w:spacing w:val="-1"/>
                <w:sz w:val="21"/>
              </w:rPr>
              <w:t>---</w:t>
            </w:r>
          </w:p>
        </w:tc>
      </w:tr>
      <w:tr>
        <w:trPr>
          <w:trHeight w:val="314" w:hRule="exact"/>
        </w:trPr>
        <w:tc>
          <w:tcPr>
            <w:tcW w:w="4630"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364"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110"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2206"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6"/>
              <w:jc w:val="right"/>
              <w:rPr>
                <w:rFonts w:ascii="Times New Roman" w:hAnsi="Times New Roman" w:cs="Times New Roman" w:eastAsia="Times New Roman" w:hint="default"/>
                <w:sz w:val="21"/>
                <w:szCs w:val="21"/>
              </w:rPr>
            </w:pPr>
            <w:r>
              <w:rPr>
                <w:rFonts w:ascii="Times New Roman"/>
                <w:spacing w:val="-1"/>
                <w:sz w:val="21"/>
              </w:rPr>
              <w:t>---</w:t>
            </w:r>
          </w:p>
        </w:tc>
      </w:tr>
      <w:tr>
        <w:trPr>
          <w:trHeight w:val="314" w:hRule="exact"/>
        </w:trPr>
        <w:tc>
          <w:tcPr>
            <w:tcW w:w="4630"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364"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110"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(5,086,536.55)</w:t>
            </w:r>
          </w:p>
        </w:tc>
        <w:tc>
          <w:tcPr>
            <w:tcW w:w="2206"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4"/>
              <w:jc w:val="right"/>
              <w:rPr>
                <w:rFonts w:ascii="Times New Roman" w:hAnsi="Times New Roman" w:cs="Times New Roman" w:eastAsia="Times New Roman" w:hint="default"/>
                <w:sz w:val="21"/>
                <w:szCs w:val="21"/>
              </w:rPr>
            </w:pPr>
            <w:r>
              <w:rPr>
                <w:rFonts w:ascii="Times New Roman"/>
                <w:spacing w:val="-1"/>
                <w:sz w:val="21"/>
              </w:rPr>
              <w:t>(92,324,954.11)</w:t>
            </w:r>
          </w:p>
        </w:tc>
      </w:tr>
    </w:tbl>
    <w:p>
      <w:pPr>
        <w:spacing w:line="240" w:lineRule="auto" w:before="3"/>
        <w:rPr>
          <w:rFonts w:ascii="宋体" w:hAnsi="宋体" w:cs="宋体" w:eastAsia="宋体" w:hint="default"/>
          <w:b/>
          <w:bCs/>
          <w:sz w:val="8"/>
          <w:szCs w:val="8"/>
        </w:rPr>
      </w:pPr>
    </w:p>
    <w:p>
      <w:pPr>
        <w:pStyle w:val="Heading5"/>
        <w:spacing w:line="240" w:lineRule="auto" w:before="36"/>
        <w:ind w:left="580" w:right="0"/>
        <w:jc w:val="left"/>
        <w:rPr>
          <w:b w:val="0"/>
          <w:bCs w:val="0"/>
        </w:rPr>
      </w:pPr>
      <w:r>
        <w:rPr>
          <w:rFonts w:ascii="Times New Roman" w:hAnsi="Times New Roman" w:cs="Times New Roman" w:eastAsia="Times New Roman" w:hint="default"/>
        </w:rPr>
        <w:t>2</w:t>
      </w:r>
      <w:r>
        <w:rPr/>
        <w:t>、现金和现金等价物的构成：</w:t>
      </w:r>
      <w:r>
        <w:rPr>
          <w:b w:val="0"/>
          <w:bCs w:val="0"/>
        </w:rPr>
      </w:r>
    </w:p>
    <w:p>
      <w:pPr>
        <w:spacing w:line="240" w:lineRule="auto" w:before="8"/>
        <w:rPr>
          <w:rFonts w:ascii="宋体" w:hAnsi="宋体" w:cs="宋体" w:eastAsia="宋体" w:hint="default"/>
          <w:b/>
          <w:bCs/>
          <w:sz w:val="2"/>
          <w:szCs w:val="2"/>
        </w:rPr>
      </w:pPr>
    </w:p>
    <w:tbl>
      <w:tblPr>
        <w:tblW w:w="0" w:type="auto"/>
        <w:jc w:val="left"/>
        <w:tblInd w:w="145" w:type="dxa"/>
        <w:tblLayout w:type="fixed"/>
        <w:tblCellMar>
          <w:top w:w="0" w:type="dxa"/>
          <w:left w:w="0" w:type="dxa"/>
          <w:bottom w:w="0" w:type="dxa"/>
          <w:right w:w="0" w:type="dxa"/>
        </w:tblCellMar>
        <w:tblLook w:val="01E0"/>
      </w:tblPr>
      <w:tblGrid>
        <w:gridCol w:w="4634"/>
        <w:gridCol w:w="2098"/>
        <w:gridCol w:w="2213"/>
      </w:tblGrid>
      <w:tr>
        <w:trPr>
          <w:trHeight w:val="314" w:hRule="exact"/>
        </w:trPr>
        <w:tc>
          <w:tcPr>
            <w:tcW w:w="4634"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98"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left="621"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213" w:type="dxa"/>
            <w:tcBorders>
              <w:top w:val="single" w:sz="6" w:space="0" w:color="000000"/>
              <w:left w:val="single" w:sz="6" w:space="0" w:color="000000"/>
              <w:bottom w:val="single" w:sz="12" w:space="0" w:color="000000"/>
              <w:right w:val="nil" w:sz="6" w:space="0" w:color="auto"/>
            </w:tcBorders>
          </w:tcPr>
          <w:p>
            <w:pPr>
              <w:pStyle w:val="TableParagraph"/>
              <w:spacing w:line="250" w:lineRule="exact"/>
              <w:ind w:left="679"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312" w:hRule="exact"/>
        </w:trPr>
        <w:tc>
          <w:tcPr>
            <w:tcW w:w="4634" w:type="dxa"/>
            <w:tcBorders>
              <w:top w:val="single" w:sz="12" w:space="0" w:color="000000"/>
              <w:left w:val="single" w:sz="6" w:space="0" w:color="000000"/>
              <w:bottom w:val="single" w:sz="12" w:space="0" w:color="000000"/>
              <w:right w:val="single" w:sz="6" w:space="0" w:color="000000"/>
            </w:tcBorders>
          </w:tcPr>
          <w:p>
            <w:pPr>
              <w:pStyle w:val="TableParagraph"/>
              <w:tabs>
                <w:tab w:pos="1056" w:val="left" w:leader="none"/>
              </w:tabs>
              <w:spacing w:line="241" w:lineRule="exact"/>
              <w:ind w:left="4" w:right="0"/>
              <w:jc w:val="left"/>
              <w:rPr>
                <w:rFonts w:ascii="宋体" w:hAnsi="宋体" w:cs="宋体" w:eastAsia="宋体" w:hint="default"/>
                <w:sz w:val="21"/>
                <w:szCs w:val="21"/>
              </w:rPr>
            </w:pPr>
            <w:r>
              <w:rPr>
                <w:rFonts w:ascii="宋体" w:hAnsi="宋体" w:cs="宋体" w:eastAsia="宋体" w:hint="default"/>
                <w:sz w:val="21"/>
                <w:szCs w:val="21"/>
              </w:rPr>
              <w:t>一、现</w:t>
              <w:tab/>
              <w:t>金</w:t>
            </w:r>
          </w:p>
        </w:tc>
        <w:tc>
          <w:tcPr>
            <w:tcW w:w="2098"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Times New Roman" w:hAnsi="Times New Roman" w:cs="Times New Roman" w:eastAsia="Times New Roman" w:hint="default"/>
                <w:sz w:val="21"/>
                <w:szCs w:val="21"/>
              </w:rPr>
            </w:pPr>
            <w:r>
              <w:rPr>
                <w:rFonts w:ascii="Times New Roman"/>
                <w:spacing w:val="-1"/>
                <w:sz w:val="21"/>
              </w:rPr>
              <w:t>121,299,781.90</w:t>
            </w:r>
          </w:p>
        </w:tc>
        <w:tc>
          <w:tcPr>
            <w:tcW w:w="2213"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7"/>
              <w:jc w:val="right"/>
              <w:rPr>
                <w:rFonts w:ascii="Times New Roman" w:hAnsi="Times New Roman" w:cs="Times New Roman" w:eastAsia="Times New Roman" w:hint="default"/>
                <w:sz w:val="21"/>
                <w:szCs w:val="21"/>
              </w:rPr>
            </w:pPr>
            <w:r>
              <w:rPr>
                <w:rFonts w:ascii="Times New Roman"/>
                <w:spacing w:val="-1"/>
                <w:sz w:val="21"/>
              </w:rPr>
              <w:t>126,386,318.45</w:t>
            </w:r>
          </w:p>
        </w:tc>
      </w:tr>
      <w:tr>
        <w:trPr>
          <w:trHeight w:val="314" w:hRule="exact"/>
        </w:trPr>
        <w:tc>
          <w:tcPr>
            <w:tcW w:w="4634"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4"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098"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0"/>
              <w:jc w:val="right"/>
              <w:rPr>
                <w:rFonts w:ascii="Times New Roman" w:hAnsi="Times New Roman" w:cs="Times New Roman" w:eastAsia="Times New Roman" w:hint="default"/>
                <w:sz w:val="21"/>
                <w:szCs w:val="21"/>
              </w:rPr>
            </w:pPr>
            <w:r>
              <w:rPr>
                <w:rFonts w:ascii="Times New Roman"/>
                <w:spacing w:val="-1"/>
                <w:sz w:val="21"/>
              </w:rPr>
              <w:t>131,510.57</w:t>
            </w:r>
          </w:p>
        </w:tc>
        <w:tc>
          <w:tcPr>
            <w:tcW w:w="2213"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7"/>
              <w:jc w:val="right"/>
              <w:rPr>
                <w:rFonts w:ascii="Times New Roman" w:hAnsi="Times New Roman" w:cs="Times New Roman" w:eastAsia="Times New Roman" w:hint="default"/>
                <w:sz w:val="21"/>
                <w:szCs w:val="21"/>
              </w:rPr>
            </w:pPr>
            <w:r>
              <w:rPr>
                <w:rFonts w:ascii="Times New Roman"/>
                <w:spacing w:val="-1"/>
                <w:sz w:val="21"/>
              </w:rPr>
              <w:t>212,253.71</w:t>
            </w:r>
          </w:p>
        </w:tc>
      </w:tr>
      <w:tr>
        <w:trPr>
          <w:trHeight w:val="312" w:hRule="exact"/>
        </w:trPr>
        <w:tc>
          <w:tcPr>
            <w:tcW w:w="4634"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427"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098"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Times New Roman" w:hAnsi="Times New Roman" w:cs="Times New Roman" w:eastAsia="Times New Roman" w:hint="default"/>
                <w:sz w:val="21"/>
                <w:szCs w:val="21"/>
              </w:rPr>
            </w:pPr>
            <w:r>
              <w:rPr>
                <w:rFonts w:ascii="Times New Roman"/>
                <w:spacing w:val="-1"/>
                <w:sz w:val="21"/>
              </w:rPr>
              <w:t>121,168,271.33</w:t>
            </w:r>
          </w:p>
        </w:tc>
        <w:tc>
          <w:tcPr>
            <w:tcW w:w="2213"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7"/>
              <w:jc w:val="right"/>
              <w:rPr>
                <w:rFonts w:ascii="Times New Roman" w:hAnsi="Times New Roman" w:cs="Times New Roman" w:eastAsia="Times New Roman" w:hint="default"/>
                <w:sz w:val="21"/>
                <w:szCs w:val="21"/>
              </w:rPr>
            </w:pPr>
            <w:r>
              <w:rPr>
                <w:rFonts w:ascii="Times New Roman"/>
                <w:spacing w:val="-1"/>
                <w:sz w:val="21"/>
              </w:rPr>
              <w:t>126,174,064.74</w:t>
            </w:r>
          </w:p>
        </w:tc>
      </w:tr>
      <w:tr>
        <w:trPr>
          <w:trHeight w:val="314" w:hRule="exact"/>
        </w:trPr>
        <w:tc>
          <w:tcPr>
            <w:tcW w:w="4634"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427" w:right="0"/>
              <w:jc w:val="left"/>
              <w:rPr>
                <w:rFonts w:ascii="宋体" w:hAnsi="宋体" w:cs="宋体" w:eastAsia="宋体" w:hint="default"/>
                <w:sz w:val="21"/>
                <w:szCs w:val="21"/>
              </w:rPr>
            </w:pPr>
            <w:r>
              <w:rPr>
                <w:rFonts w:ascii="宋体" w:hAnsi="宋体" w:cs="宋体" w:eastAsia="宋体" w:hint="default"/>
                <w:sz w:val="21"/>
                <w:szCs w:val="21"/>
              </w:rPr>
              <w:t>可随时用于支付的其他货币资金</w:t>
            </w:r>
          </w:p>
        </w:tc>
        <w:tc>
          <w:tcPr>
            <w:tcW w:w="2098"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2213"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6"/>
              <w:jc w:val="right"/>
              <w:rPr>
                <w:rFonts w:ascii="Times New Roman" w:hAnsi="Times New Roman" w:cs="Times New Roman" w:eastAsia="Times New Roman" w:hint="default"/>
                <w:sz w:val="21"/>
                <w:szCs w:val="21"/>
              </w:rPr>
            </w:pPr>
            <w:r>
              <w:rPr>
                <w:rFonts w:ascii="Times New Roman"/>
                <w:spacing w:val="-1"/>
                <w:sz w:val="21"/>
              </w:rPr>
              <w:t>---</w:t>
            </w:r>
          </w:p>
        </w:tc>
      </w:tr>
      <w:tr>
        <w:trPr>
          <w:trHeight w:val="312" w:hRule="exact"/>
        </w:trPr>
        <w:tc>
          <w:tcPr>
            <w:tcW w:w="4634"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4"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098"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2213"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6"/>
              <w:jc w:val="right"/>
              <w:rPr>
                <w:rFonts w:ascii="Times New Roman" w:hAnsi="Times New Roman" w:cs="Times New Roman" w:eastAsia="Times New Roman" w:hint="default"/>
                <w:sz w:val="21"/>
                <w:szCs w:val="21"/>
              </w:rPr>
            </w:pPr>
            <w:r>
              <w:rPr>
                <w:rFonts w:ascii="Times New Roman"/>
                <w:spacing w:val="-1"/>
                <w:sz w:val="21"/>
              </w:rPr>
              <w:t>---</w:t>
            </w:r>
          </w:p>
        </w:tc>
      </w:tr>
      <w:tr>
        <w:trPr>
          <w:trHeight w:val="312" w:hRule="exact"/>
        </w:trPr>
        <w:tc>
          <w:tcPr>
            <w:tcW w:w="4634"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4"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098"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2213"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6"/>
              <w:jc w:val="right"/>
              <w:rPr>
                <w:rFonts w:ascii="Times New Roman" w:hAnsi="Times New Roman" w:cs="Times New Roman" w:eastAsia="Times New Roman" w:hint="default"/>
                <w:sz w:val="21"/>
                <w:szCs w:val="21"/>
              </w:rPr>
            </w:pPr>
            <w:r>
              <w:rPr>
                <w:rFonts w:ascii="Times New Roman"/>
                <w:spacing w:val="-1"/>
                <w:sz w:val="21"/>
              </w:rPr>
              <w:t>---</w:t>
            </w:r>
          </w:p>
        </w:tc>
      </w:tr>
      <w:tr>
        <w:trPr>
          <w:trHeight w:val="314" w:hRule="exact"/>
        </w:trPr>
        <w:tc>
          <w:tcPr>
            <w:tcW w:w="4634"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4"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098"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0"/>
              <w:jc w:val="right"/>
              <w:rPr>
                <w:rFonts w:ascii="Times New Roman" w:hAnsi="Times New Roman" w:cs="Times New Roman" w:eastAsia="Times New Roman" w:hint="default"/>
                <w:sz w:val="21"/>
                <w:szCs w:val="21"/>
              </w:rPr>
            </w:pPr>
            <w:r>
              <w:rPr>
                <w:rFonts w:ascii="Times New Roman"/>
                <w:spacing w:val="-1"/>
                <w:sz w:val="21"/>
              </w:rPr>
              <w:t>121,299,781.90</w:t>
            </w:r>
          </w:p>
        </w:tc>
        <w:tc>
          <w:tcPr>
            <w:tcW w:w="2213"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7"/>
              <w:jc w:val="right"/>
              <w:rPr>
                <w:rFonts w:ascii="Times New Roman" w:hAnsi="Times New Roman" w:cs="Times New Roman" w:eastAsia="Times New Roman" w:hint="default"/>
                <w:sz w:val="21"/>
                <w:szCs w:val="21"/>
              </w:rPr>
            </w:pPr>
            <w:r>
              <w:rPr>
                <w:rFonts w:ascii="Times New Roman"/>
                <w:spacing w:val="-1"/>
                <w:sz w:val="21"/>
              </w:rPr>
              <w:t>126,386,318.45</w:t>
            </w:r>
          </w:p>
        </w:tc>
      </w:tr>
    </w:tbl>
    <w:p>
      <w:pPr>
        <w:spacing w:line="240" w:lineRule="auto" w:before="2"/>
        <w:rPr>
          <w:rFonts w:ascii="宋体" w:hAnsi="宋体" w:cs="宋体" w:eastAsia="宋体" w:hint="default"/>
          <w:b/>
          <w:bCs/>
          <w:sz w:val="20"/>
          <w:szCs w:val="20"/>
        </w:rPr>
      </w:pPr>
    </w:p>
    <w:p>
      <w:pPr>
        <w:pStyle w:val="Heading5"/>
        <w:spacing w:line="240" w:lineRule="auto" w:before="36"/>
        <w:ind w:left="512" w:right="0"/>
        <w:jc w:val="left"/>
        <w:rPr>
          <w:b w:val="0"/>
          <w:bCs w:val="0"/>
        </w:rPr>
      </w:pPr>
      <w:r>
        <w:rPr>
          <w:w w:val="100"/>
        </w:rPr>
      </w:r>
      <w:r>
        <w:rPr>
          <w:u w:val="single" w:color="000000"/>
        </w:rPr>
        <w:t>八、在其他主体中的权益</w:t>
      </w:r>
      <w:r>
        <w:rPr/>
      </w:r>
      <w:r>
        <w:rPr>
          <w:b w:val="0"/>
          <w:bCs w:val="0"/>
        </w:rPr>
      </w:r>
    </w:p>
    <w:p>
      <w:pPr>
        <w:pStyle w:val="Heading5"/>
        <w:spacing w:line="240" w:lineRule="auto" w:before="37"/>
        <w:ind w:right="0"/>
        <w:jc w:val="left"/>
        <w:rPr>
          <w:b w:val="0"/>
          <w:bCs w:val="0"/>
        </w:rPr>
      </w:pPr>
      <w:r>
        <w:rPr>
          <w:rFonts w:ascii="宋体" w:hAnsi="宋体" w:cs="宋体" w:eastAsia="宋体" w:hint="default"/>
        </w:rPr>
        <w:t>1.</w:t>
      </w:r>
      <w:r>
        <w:rPr>
          <w:rFonts w:ascii="宋体" w:hAnsi="宋体" w:cs="宋体" w:eastAsia="宋体" w:hint="default"/>
          <w:spacing w:val="38"/>
        </w:rPr>
        <w:t> </w:t>
      </w:r>
      <w:r>
        <w:rPr/>
        <w:t>在子公司中的权益</w:t>
      </w:r>
      <w:r>
        <w:rPr>
          <w:b w:val="0"/>
          <w:bCs w:val="0"/>
        </w:rPr>
      </w:r>
    </w:p>
    <w:p>
      <w:pPr>
        <w:pStyle w:val="Heading5"/>
        <w:spacing w:line="240" w:lineRule="auto" w:before="37"/>
        <w:ind w:right="0"/>
        <w:jc w:val="left"/>
        <w:rPr>
          <w:b w:val="0"/>
          <w:bCs w:val="0"/>
        </w:rPr>
      </w:pPr>
      <w:r>
        <w:rPr>
          <w:rFonts w:ascii="宋体" w:hAnsi="宋体" w:cs="宋体" w:eastAsia="宋体" w:hint="default"/>
        </w:rPr>
        <w:t>2.</w:t>
      </w:r>
      <w:r>
        <w:rPr>
          <w:rFonts w:ascii="宋体" w:hAnsi="宋体" w:cs="宋体" w:eastAsia="宋体" w:hint="default"/>
          <w:spacing w:val="38"/>
        </w:rPr>
        <w:t> </w:t>
      </w:r>
      <w:r>
        <w:rPr/>
        <w:t>企业集团的构成</w:t>
      </w:r>
      <w:r>
        <w:rPr>
          <w:b w:val="0"/>
          <w:bCs w:val="0"/>
        </w:rPr>
      </w:r>
    </w:p>
    <w:p>
      <w:pPr>
        <w:spacing w:line="240" w:lineRule="auto" w:before="10"/>
        <w:rPr>
          <w:rFonts w:ascii="宋体" w:hAnsi="宋体" w:cs="宋体" w:eastAsia="宋体" w:hint="default"/>
          <w:b/>
          <w:bCs/>
          <w:sz w:val="3"/>
          <w:szCs w:val="3"/>
        </w:rPr>
      </w:pPr>
    </w:p>
    <w:tbl>
      <w:tblPr>
        <w:tblW w:w="0" w:type="auto"/>
        <w:jc w:val="left"/>
        <w:tblInd w:w="145" w:type="dxa"/>
        <w:tblLayout w:type="fixed"/>
        <w:tblCellMar>
          <w:top w:w="0" w:type="dxa"/>
          <w:left w:w="0" w:type="dxa"/>
          <w:bottom w:w="0" w:type="dxa"/>
          <w:right w:w="0" w:type="dxa"/>
        </w:tblCellMar>
        <w:tblLook w:val="01E0"/>
      </w:tblPr>
      <w:tblGrid>
        <w:gridCol w:w="3012"/>
        <w:gridCol w:w="972"/>
        <w:gridCol w:w="1188"/>
        <w:gridCol w:w="1030"/>
        <w:gridCol w:w="797"/>
        <w:gridCol w:w="821"/>
        <w:gridCol w:w="1445"/>
      </w:tblGrid>
      <w:tr>
        <w:trPr>
          <w:trHeight w:val="355" w:hRule="exact"/>
        </w:trPr>
        <w:tc>
          <w:tcPr>
            <w:tcW w:w="3012" w:type="dxa"/>
            <w:vMerge w:val="restart"/>
            <w:tcBorders>
              <w:top w:val="single" w:sz="6" w:space="0" w:color="000000"/>
              <w:left w:val="single" w:sz="6" w:space="0" w:color="000000"/>
              <w:right w:val="single" w:sz="6" w:space="0" w:color="000000"/>
            </w:tcBorders>
          </w:tcPr>
          <w:p>
            <w:pPr>
              <w:pStyle w:val="TableParagraph"/>
              <w:spacing w:line="253" w:lineRule="exact"/>
              <w:ind w:left="974"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972" w:type="dxa"/>
            <w:vMerge w:val="restart"/>
            <w:tcBorders>
              <w:top w:val="single" w:sz="6" w:space="0" w:color="000000"/>
              <w:left w:val="single" w:sz="6" w:space="0" w:color="000000"/>
              <w:right w:val="single" w:sz="6" w:space="0" w:color="000000"/>
            </w:tcBorders>
          </w:tcPr>
          <w:p>
            <w:pPr>
              <w:pStyle w:val="TableParagraph"/>
              <w:spacing w:line="272" w:lineRule="exact" w:before="5"/>
              <w:ind w:left="374" w:right="53" w:hanging="315"/>
              <w:jc w:val="left"/>
              <w:rPr>
                <w:rFonts w:ascii="宋体" w:hAnsi="宋体" w:cs="宋体" w:eastAsia="宋体" w:hint="default"/>
                <w:sz w:val="21"/>
                <w:szCs w:val="21"/>
              </w:rPr>
            </w:pPr>
            <w:r>
              <w:rPr>
                <w:rFonts w:ascii="宋体" w:hAnsi="宋体" w:cs="宋体" w:eastAsia="宋体" w:hint="default"/>
                <w:sz w:val="21"/>
                <w:szCs w:val="21"/>
              </w:rPr>
              <w:t>主要经营</w:t>
            </w:r>
            <w:r>
              <w:rPr>
                <w:rFonts w:ascii="宋体" w:hAnsi="宋体" w:cs="宋体" w:eastAsia="宋体" w:hint="default"/>
                <w:w w:val="100"/>
                <w:sz w:val="21"/>
                <w:szCs w:val="21"/>
              </w:rPr>
              <w:t> </w:t>
            </w:r>
            <w:r>
              <w:rPr>
                <w:rFonts w:ascii="宋体" w:hAnsi="宋体" w:cs="宋体" w:eastAsia="宋体" w:hint="default"/>
                <w:sz w:val="21"/>
                <w:szCs w:val="21"/>
              </w:rPr>
              <w:t>地</w:t>
            </w:r>
          </w:p>
        </w:tc>
        <w:tc>
          <w:tcPr>
            <w:tcW w:w="1188" w:type="dxa"/>
            <w:vMerge w:val="restart"/>
            <w:tcBorders>
              <w:top w:val="single" w:sz="6" w:space="0" w:color="000000"/>
              <w:left w:val="single" w:sz="6" w:space="0" w:color="000000"/>
              <w:right w:val="single" w:sz="6" w:space="0" w:color="000000"/>
            </w:tcBorders>
          </w:tcPr>
          <w:p>
            <w:pPr>
              <w:pStyle w:val="TableParagraph"/>
              <w:spacing w:line="253" w:lineRule="exact"/>
              <w:ind w:left="273"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030" w:type="dxa"/>
            <w:vMerge w:val="restart"/>
            <w:tcBorders>
              <w:top w:val="single" w:sz="6" w:space="0" w:color="000000"/>
              <w:left w:val="single" w:sz="6" w:space="0" w:color="000000"/>
              <w:right w:val="single" w:sz="6" w:space="0" w:color="000000"/>
            </w:tcBorders>
          </w:tcPr>
          <w:p>
            <w:pPr>
              <w:pStyle w:val="TableParagraph"/>
              <w:spacing w:line="272" w:lineRule="exact" w:before="5"/>
              <w:ind w:left="297" w:right="293"/>
              <w:jc w:val="left"/>
              <w:rPr>
                <w:rFonts w:ascii="宋体" w:hAnsi="宋体" w:cs="宋体" w:eastAsia="宋体" w:hint="default"/>
                <w:sz w:val="21"/>
                <w:szCs w:val="21"/>
              </w:rPr>
            </w:pPr>
            <w:r>
              <w:rPr>
                <w:rFonts w:ascii="宋体" w:hAnsi="宋体" w:cs="宋体" w:eastAsia="宋体" w:hint="default"/>
                <w:sz w:val="21"/>
                <w:szCs w:val="21"/>
              </w:rPr>
              <w:t>业务</w:t>
            </w:r>
            <w:r>
              <w:rPr>
                <w:rFonts w:ascii="宋体" w:hAnsi="宋体" w:cs="宋体" w:eastAsia="宋体" w:hint="default"/>
                <w:spacing w:val="-103"/>
                <w:sz w:val="21"/>
                <w:szCs w:val="21"/>
              </w:rPr>
              <w:t> </w:t>
            </w:r>
            <w:r>
              <w:rPr>
                <w:rFonts w:ascii="宋体" w:hAnsi="宋体" w:cs="宋体" w:eastAsia="宋体" w:hint="default"/>
                <w:sz w:val="21"/>
                <w:szCs w:val="21"/>
              </w:rPr>
              <w:t>性质</w:t>
            </w:r>
          </w:p>
        </w:tc>
        <w:tc>
          <w:tcPr>
            <w:tcW w:w="1618" w:type="dxa"/>
            <w:gridSpan w:val="2"/>
            <w:tcBorders>
              <w:top w:val="single" w:sz="6" w:space="0" w:color="000000"/>
              <w:left w:val="single" w:sz="6" w:space="0" w:color="000000"/>
              <w:bottom w:val="single" w:sz="12" w:space="0" w:color="000000"/>
              <w:right w:val="single" w:sz="6" w:space="0" w:color="000000"/>
            </w:tcBorders>
          </w:tcPr>
          <w:p>
            <w:pPr>
              <w:pStyle w:val="TableParagraph"/>
              <w:spacing w:line="269" w:lineRule="exact"/>
              <w:ind w:left="2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持股比例</w:t>
            </w:r>
            <w:r>
              <w:rPr>
                <w:rFonts w:ascii="Times New Roman" w:hAnsi="Times New Roman" w:cs="Times New Roman" w:eastAsia="Times New Roman" w:hint="default"/>
                <w:sz w:val="21"/>
                <w:szCs w:val="21"/>
              </w:rPr>
              <w:t>(%)</w:t>
            </w:r>
          </w:p>
        </w:tc>
        <w:tc>
          <w:tcPr>
            <w:tcW w:w="1445" w:type="dxa"/>
            <w:vMerge w:val="restart"/>
            <w:tcBorders>
              <w:top w:val="single" w:sz="6" w:space="0" w:color="000000"/>
              <w:left w:val="single" w:sz="6" w:space="0" w:color="000000"/>
              <w:right w:val="nil" w:sz="6" w:space="0" w:color="auto"/>
            </w:tcBorders>
          </w:tcPr>
          <w:p>
            <w:pPr>
              <w:pStyle w:val="TableParagraph"/>
              <w:spacing w:line="253" w:lineRule="exact"/>
              <w:ind w:left="295" w:right="0"/>
              <w:jc w:val="left"/>
              <w:rPr>
                <w:rFonts w:ascii="宋体" w:hAnsi="宋体" w:cs="宋体" w:eastAsia="宋体" w:hint="default"/>
                <w:sz w:val="21"/>
                <w:szCs w:val="21"/>
              </w:rPr>
            </w:pPr>
            <w:r>
              <w:rPr>
                <w:rFonts w:ascii="宋体" w:hAnsi="宋体" w:cs="宋体" w:eastAsia="宋体" w:hint="default"/>
                <w:sz w:val="21"/>
                <w:szCs w:val="21"/>
              </w:rPr>
              <w:t>取得方式</w:t>
            </w:r>
          </w:p>
        </w:tc>
      </w:tr>
      <w:tr>
        <w:trPr>
          <w:trHeight w:val="353" w:hRule="exact"/>
        </w:trPr>
        <w:tc>
          <w:tcPr>
            <w:tcW w:w="3012" w:type="dxa"/>
            <w:vMerge/>
            <w:tcBorders>
              <w:left w:val="single" w:sz="6" w:space="0" w:color="000000"/>
              <w:bottom w:val="single" w:sz="12" w:space="0" w:color="000000"/>
              <w:right w:val="single" w:sz="6" w:space="0" w:color="000000"/>
            </w:tcBorders>
          </w:tcPr>
          <w:p>
            <w:pPr/>
          </w:p>
        </w:tc>
        <w:tc>
          <w:tcPr>
            <w:tcW w:w="972" w:type="dxa"/>
            <w:vMerge/>
            <w:tcBorders>
              <w:left w:val="single" w:sz="6" w:space="0" w:color="000000"/>
              <w:bottom w:val="single" w:sz="12" w:space="0" w:color="000000"/>
              <w:right w:val="single" w:sz="6" w:space="0" w:color="000000"/>
            </w:tcBorders>
          </w:tcPr>
          <w:p>
            <w:pPr/>
          </w:p>
        </w:tc>
        <w:tc>
          <w:tcPr>
            <w:tcW w:w="1188" w:type="dxa"/>
            <w:vMerge/>
            <w:tcBorders>
              <w:left w:val="single" w:sz="6" w:space="0" w:color="000000"/>
              <w:bottom w:val="single" w:sz="12" w:space="0" w:color="000000"/>
              <w:right w:val="single" w:sz="6" w:space="0" w:color="000000"/>
            </w:tcBorders>
          </w:tcPr>
          <w:p>
            <w:pPr/>
          </w:p>
        </w:tc>
        <w:tc>
          <w:tcPr>
            <w:tcW w:w="1030" w:type="dxa"/>
            <w:vMerge/>
            <w:tcBorders>
              <w:left w:val="single" w:sz="6" w:space="0" w:color="000000"/>
              <w:bottom w:val="single" w:sz="12" w:space="0" w:color="000000"/>
              <w:right w:val="single" w:sz="6" w:space="0" w:color="000000"/>
            </w:tcBorders>
          </w:tcPr>
          <w:p>
            <w:pPr/>
          </w:p>
        </w:tc>
        <w:tc>
          <w:tcPr>
            <w:tcW w:w="797"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179" w:right="0"/>
              <w:jc w:val="left"/>
              <w:rPr>
                <w:rFonts w:ascii="宋体" w:hAnsi="宋体" w:cs="宋体" w:eastAsia="宋体" w:hint="default"/>
                <w:sz w:val="21"/>
                <w:szCs w:val="21"/>
              </w:rPr>
            </w:pPr>
            <w:r>
              <w:rPr>
                <w:rFonts w:ascii="宋体" w:hAnsi="宋体" w:cs="宋体" w:eastAsia="宋体" w:hint="default"/>
                <w:sz w:val="21"/>
                <w:szCs w:val="21"/>
              </w:rPr>
              <w:t>直接</w:t>
            </w:r>
          </w:p>
        </w:tc>
        <w:tc>
          <w:tcPr>
            <w:tcW w:w="821"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191" w:right="0"/>
              <w:jc w:val="left"/>
              <w:rPr>
                <w:rFonts w:ascii="宋体" w:hAnsi="宋体" w:cs="宋体" w:eastAsia="宋体" w:hint="default"/>
                <w:sz w:val="21"/>
                <w:szCs w:val="21"/>
              </w:rPr>
            </w:pPr>
            <w:r>
              <w:rPr>
                <w:rFonts w:ascii="宋体" w:hAnsi="宋体" w:cs="宋体" w:eastAsia="宋体" w:hint="default"/>
                <w:sz w:val="21"/>
                <w:szCs w:val="21"/>
              </w:rPr>
              <w:t>间接</w:t>
            </w:r>
          </w:p>
        </w:tc>
        <w:tc>
          <w:tcPr>
            <w:tcW w:w="1445" w:type="dxa"/>
            <w:vMerge/>
            <w:tcBorders>
              <w:left w:val="single" w:sz="6" w:space="0" w:color="000000"/>
              <w:bottom w:val="single" w:sz="12" w:space="0" w:color="000000"/>
              <w:right w:val="nil" w:sz="6" w:space="0" w:color="auto"/>
            </w:tcBorders>
          </w:tcPr>
          <w:p>
            <w:pPr/>
          </w:p>
        </w:tc>
      </w:tr>
      <w:tr>
        <w:trPr>
          <w:trHeight w:val="353" w:hRule="exact"/>
        </w:trPr>
        <w:tc>
          <w:tcPr>
            <w:tcW w:w="3012"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4" w:right="0"/>
              <w:jc w:val="left"/>
              <w:rPr>
                <w:rFonts w:ascii="宋体" w:hAnsi="宋体" w:cs="宋体" w:eastAsia="宋体" w:hint="default"/>
                <w:sz w:val="21"/>
                <w:szCs w:val="21"/>
              </w:rPr>
            </w:pPr>
            <w:r>
              <w:rPr>
                <w:rFonts w:ascii="宋体" w:hAnsi="宋体" w:cs="宋体" w:eastAsia="宋体" w:hint="default"/>
                <w:sz w:val="21"/>
                <w:szCs w:val="21"/>
              </w:rPr>
              <w:t>深圳市连邦信息技术有限公司</w:t>
            </w:r>
          </w:p>
        </w:tc>
        <w:tc>
          <w:tcPr>
            <w:tcW w:w="972"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268" w:right="0"/>
              <w:jc w:val="left"/>
              <w:rPr>
                <w:rFonts w:ascii="宋体" w:hAnsi="宋体" w:cs="宋体" w:eastAsia="宋体" w:hint="default"/>
                <w:sz w:val="21"/>
                <w:szCs w:val="21"/>
              </w:rPr>
            </w:pPr>
            <w:r>
              <w:rPr>
                <w:rFonts w:ascii="宋体" w:hAnsi="宋体" w:cs="宋体" w:eastAsia="宋体" w:hint="default"/>
                <w:sz w:val="21"/>
                <w:szCs w:val="21"/>
              </w:rPr>
              <w:t>深圳</w:t>
            </w:r>
          </w:p>
        </w:tc>
        <w:tc>
          <w:tcPr>
            <w:tcW w:w="1188"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深圳</w:t>
            </w:r>
          </w:p>
        </w:tc>
        <w:tc>
          <w:tcPr>
            <w:tcW w:w="1030"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88" w:right="0"/>
              <w:jc w:val="left"/>
              <w:rPr>
                <w:rFonts w:ascii="宋体" w:hAnsi="宋体" w:cs="宋体" w:eastAsia="宋体" w:hint="default"/>
                <w:sz w:val="21"/>
                <w:szCs w:val="21"/>
              </w:rPr>
            </w:pPr>
            <w:r>
              <w:rPr>
                <w:rFonts w:ascii="宋体" w:hAnsi="宋体" w:cs="宋体" w:eastAsia="宋体" w:hint="default"/>
                <w:sz w:val="21"/>
                <w:szCs w:val="21"/>
              </w:rPr>
              <w:t>贸易服务</w:t>
            </w:r>
          </w:p>
        </w:tc>
        <w:tc>
          <w:tcPr>
            <w:tcW w:w="797"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left="201" w:right="-1"/>
              <w:jc w:val="left"/>
              <w:rPr>
                <w:rFonts w:ascii="Times New Roman" w:hAnsi="Times New Roman" w:cs="Times New Roman" w:eastAsia="Times New Roman" w:hint="default"/>
                <w:sz w:val="21"/>
                <w:szCs w:val="21"/>
              </w:rPr>
            </w:pPr>
            <w:r>
              <w:rPr>
                <w:rFonts w:ascii="Times New Roman"/>
                <w:sz w:val="21"/>
              </w:rPr>
              <w:t>100.00</w:t>
            </w:r>
          </w:p>
        </w:tc>
        <w:tc>
          <w:tcPr>
            <w:tcW w:w="821"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445" w:type="dxa"/>
            <w:tcBorders>
              <w:top w:val="single" w:sz="12" w:space="0" w:color="000000"/>
              <w:left w:val="single" w:sz="6" w:space="0" w:color="000000"/>
              <w:bottom w:val="single" w:sz="12" w:space="0" w:color="000000"/>
              <w:right w:val="nil" w:sz="6" w:space="0" w:color="auto"/>
            </w:tcBorders>
          </w:tcPr>
          <w:p>
            <w:pPr>
              <w:pStyle w:val="TableParagraph"/>
              <w:spacing w:line="241" w:lineRule="exact"/>
              <w:ind w:left="189" w:right="0"/>
              <w:jc w:val="left"/>
              <w:rPr>
                <w:rFonts w:ascii="宋体" w:hAnsi="宋体" w:cs="宋体" w:eastAsia="宋体" w:hint="default"/>
                <w:sz w:val="21"/>
                <w:szCs w:val="21"/>
              </w:rPr>
            </w:pPr>
            <w:r>
              <w:rPr>
                <w:rFonts w:ascii="宋体" w:hAnsi="宋体" w:cs="宋体" w:eastAsia="宋体" w:hint="default"/>
                <w:sz w:val="21"/>
                <w:szCs w:val="21"/>
              </w:rPr>
              <w:t>设立、收购</w:t>
            </w:r>
          </w:p>
        </w:tc>
      </w:tr>
    </w:tbl>
    <w:p>
      <w:pPr>
        <w:spacing w:line="240" w:lineRule="auto" w:before="2"/>
        <w:rPr>
          <w:rFonts w:ascii="宋体" w:hAnsi="宋体" w:cs="宋体" w:eastAsia="宋体" w:hint="default"/>
          <w:b/>
          <w:bCs/>
          <w:sz w:val="20"/>
          <w:szCs w:val="20"/>
        </w:rPr>
      </w:pPr>
    </w:p>
    <w:p>
      <w:pPr>
        <w:spacing w:line="273" w:lineRule="auto" w:before="36"/>
        <w:ind w:left="572" w:right="0" w:firstLine="2"/>
        <w:jc w:val="left"/>
        <w:rPr>
          <w:rFonts w:ascii="宋体" w:hAnsi="宋体" w:cs="宋体" w:eastAsia="宋体" w:hint="default"/>
          <w:sz w:val="21"/>
          <w:szCs w:val="21"/>
        </w:rPr>
      </w:pPr>
      <w:r>
        <w:rPr>
          <w:rFonts w:ascii="宋体" w:hAnsi="宋体" w:cs="宋体" w:eastAsia="宋体" w:hint="default"/>
          <w:b/>
          <w:bCs/>
          <w:w w:val="100"/>
          <w:sz w:val="21"/>
          <w:szCs w:val="21"/>
        </w:rPr>
      </w:r>
      <w:r>
        <w:rPr>
          <w:rFonts w:ascii="宋体" w:hAnsi="宋体" w:cs="宋体" w:eastAsia="宋体" w:hint="default"/>
          <w:b/>
          <w:bCs/>
          <w:sz w:val="21"/>
          <w:szCs w:val="21"/>
          <w:u w:val="single" w:color="000000"/>
        </w:rPr>
        <w:t>九、与金融工具相关的风险披露</w:t>
      </w:r>
      <w:r>
        <w:rPr>
          <w:rFonts w:ascii="宋体" w:hAnsi="宋体" w:cs="宋体" w:eastAsia="宋体" w:hint="default"/>
          <w:b/>
          <w:bCs/>
          <w:w w:val="100"/>
          <w:sz w:val="21"/>
          <w:szCs w:val="21"/>
        </w:rPr>
      </w:r>
      <w:r>
        <w:rPr>
          <w:rFonts w:ascii="宋体" w:hAnsi="宋体" w:cs="宋体" w:eastAsia="宋体" w:hint="default"/>
          <w:b/>
          <w:bCs/>
          <w:w w:val="100"/>
          <w:sz w:val="21"/>
          <w:szCs w:val="21"/>
        </w:rPr>
        <w:t> </w:t>
      </w:r>
      <w:r>
        <w:rPr>
          <w:rFonts w:ascii="宋体" w:hAnsi="宋体" w:cs="宋体" w:eastAsia="宋体" w:hint="default"/>
          <w:spacing w:val="-2"/>
          <w:sz w:val="21"/>
          <w:szCs w:val="21"/>
        </w:rPr>
        <w:t>本公司的经营活动会面临各种金融风险：信用风险、流动风险和市场风险。本公司整体的风险管理计</w:t>
      </w:r>
    </w:p>
    <w:p>
      <w:pPr>
        <w:pStyle w:val="BodyText"/>
        <w:spacing w:line="240" w:lineRule="auto" w:before="7"/>
        <w:ind w:right="0"/>
        <w:jc w:val="left"/>
      </w:pPr>
      <w:r>
        <w:rPr/>
        <w:t>划针对金融市场的不可预见性，力求减少对本公司财务业绩的潜在不利影响。</w:t>
      </w:r>
    </w:p>
    <w:p>
      <w:pPr>
        <w:spacing w:line="240" w:lineRule="auto" w:before="10"/>
        <w:rPr>
          <w:rFonts w:ascii="宋体" w:hAnsi="宋体" w:cs="宋体" w:eastAsia="宋体" w:hint="default"/>
          <w:sz w:val="14"/>
          <w:szCs w:val="14"/>
        </w:rPr>
      </w:pPr>
    </w:p>
    <w:p>
      <w:pPr>
        <w:pStyle w:val="Heading5"/>
        <w:spacing w:line="240" w:lineRule="auto"/>
        <w:ind w:right="0"/>
        <w:jc w:val="left"/>
        <w:rPr>
          <w:b w:val="0"/>
          <w:bCs w:val="0"/>
        </w:rPr>
      </w:pPr>
      <w:r>
        <w:rPr>
          <w:rFonts w:ascii="宋体" w:hAnsi="宋体" w:cs="宋体" w:eastAsia="宋体" w:hint="default"/>
        </w:rPr>
        <w:t>1.</w:t>
      </w:r>
      <w:r>
        <w:rPr>
          <w:rFonts w:ascii="宋体" w:hAnsi="宋体" w:cs="宋体" w:eastAsia="宋体" w:hint="default"/>
          <w:spacing w:val="40"/>
        </w:rPr>
        <w:t> </w:t>
      </w:r>
      <w:r>
        <w:rPr/>
        <w:t>信用风险</w:t>
      </w:r>
      <w:r>
        <w:rPr>
          <w:b w:val="0"/>
          <w:bCs w:val="0"/>
        </w:rPr>
      </w:r>
    </w:p>
    <w:p>
      <w:pPr>
        <w:spacing w:after="0" w:line="240" w:lineRule="auto"/>
        <w:jc w:val="left"/>
        <w:sectPr>
          <w:pgSz w:w="11910" w:h="16840"/>
          <w:pgMar w:header="880" w:footer="979" w:top="1060" w:bottom="1160" w:left="980" w:right="980"/>
        </w:sectPr>
      </w:pPr>
    </w:p>
    <w:p>
      <w:pPr>
        <w:spacing w:line="240" w:lineRule="auto" w:before="8"/>
        <w:rPr>
          <w:rFonts w:ascii="宋体" w:hAnsi="宋体" w:cs="宋体" w:eastAsia="宋体" w:hint="default"/>
          <w:b/>
          <w:bCs/>
          <w:sz w:val="24"/>
          <w:szCs w:val="24"/>
        </w:rPr>
      </w:pPr>
    </w:p>
    <w:p>
      <w:pPr>
        <w:pStyle w:val="BodyText"/>
        <w:spacing w:line="273" w:lineRule="auto" w:before="36"/>
        <w:ind w:left="512" w:right="106" w:firstLine="420"/>
        <w:jc w:val="left"/>
      </w:pPr>
      <w:r>
        <w:rPr>
          <w:spacing w:val="-3"/>
        </w:rPr>
        <w:t>本公司的信用风险主要来自货币资金、应收票据、应收账款、其他应收款和可供出售金融资产等。</w:t>
      </w:r>
      <w:r>
        <w:rPr>
          <w:w w:val="100"/>
        </w:rPr>
        <w:t> </w:t>
      </w:r>
      <w:r>
        <w:rPr/>
        <w:t>管理层已制定适当的信用政策，并且不断监察这些信用风险的敞口。</w:t>
      </w:r>
    </w:p>
    <w:p>
      <w:pPr>
        <w:pStyle w:val="BodyText"/>
        <w:spacing w:line="273" w:lineRule="auto" w:before="7"/>
        <w:ind w:left="512" w:right="208" w:firstLine="420"/>
        <w:jc w:val="both"/>
      </w:pPr>
      <w:r>
        <w:rPr>
          <w:spacing w:val="-1"/>
        </w:rPr>
        <w:t>本公司持有的货币资金，主要存放于商业银行等金融机构，管理层认为这些商业银行具备较高信</w:t>
      </w:r>
      <w:r>
        <w:rPr>
          <w:w w:val="100"/>
        </w:rPr>
        <w:t> </w:t>
      </w:r>
      <w:r>
        <w:rPr/>
        <w:t>誉和资产状况，存在较低的信用风险。本公司采取限额政策以规避对任何金融机构的信贷风险。</w:t>
      </w:r>
    </w:p>
    <w:p>
      <w:pPr>
        <w:pStyle w:val="BodyText"/>
        <w:spacing w:line="273" w:lineRule="auto" w:before="7"/>
        <w:ind w:left="512" w:right="208" w:firstLine="420"/>
        <w:jc w:val="both"/>
      </w:pPr>
      <w:r>
        <w:rPr>
          <w:spacing w:val="-1"/>
        </w:rPr>
        <w:t>对于应收账款、其他应收款和应收票据，本公司设定相关政策以控制信用风险敞口。本公司基于</w:t>
      </w:r>
      <w:r>
        <w:rPr>
          <w:w w:val="100"/>
        </w:rPr>
        <w:t> </w:t>
      </w:r>
      <w:r>
        <w:rPr>
          <w:spacing w:val="-1"/>
        </w:rPr>
        <w:t>对客户的财务状况、从第三方获取担保的可能性、信用记录及其它因素诸如目前市场状况等评估客户</w:t>
      </w:r>
      <w:r>
        <w:rPr>
          <w:spacing w:val="-21"/>
        </w:rPr>
        <w:t> </w:t>
      </w:r>
      <w:r>
        <w:rPr>
          <w:spacing w:val="-21"/>
        </w:rPr>
      </w:r>
      <w:r>
        <w:rPr>
          <w:spacing w:val="-1"/>
        </w:rPr>
        <w:t>的信用资质并设置相应信用期。本公司会定期对客户信用记录进行监控，对于信用记录不良的客户，</w:t>
      </w:r>
      <w:r>
        <w:rPr>
          <w:spacing w:val="-21"/>
        </w:rPr>
        <w:t> </w:t>
      </w:r>
      <w:r>
        <w:rPr>
          <w:spacing w:val="-21"/>
        </w:rPr>
      </w:r>
      <w:r>
        <w:rPr>
          <w:spacing w:val="-1"/>
        </w:rPr>
        <w:t>本公司会采用书面催款、缩短信用期或取消信用期等方式，以确保本公司的整体信用风险在可控的范</w:t>
      </w:r>
      <w:r>
        <w:rPr>
          <w:spacing w:val="-21"/>
        </w:rPr>
        <w:t> </w:t>
      </w:r>
      <w:r>
        <w:rPr>
          <w:spacing w:val="-21"/>
        </w:rPr>
      </w:r>
      <w:r>
        <w:rPr/>
        <w:t>围内。</w:t>
      </w:r>
    </w:p>
    <w:p>
      <w:pPr>
        <w:pStyle w:val="BodyText"/>
        <w:spacing w:line="256" w:lineRule="auto" w:before="7"/>
        <w:ind w:left="512" w:right="213" w:firstLine="420"/>
        <w:jc w:val="both"/>
      </w:pPr>
      <w:r>
        <w:rPr/>
        <w:t>截止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日，本公司的前五大客户的应收账款占本公司应收账款总额</w:t>
      </w:r>
      <w:r>
        <w:rPr>
          <w:rFonts w:ascii="Times New Roman" w:hAnsi="Times New Roman" w:cs="Times New Roman" w:eastAsia="Times New Roman" w:hint="default"/>
        </w:rPr>
        <w:t>70.25%</w:t>
      </w:r>
      <w:r>
        <w:rPr>
          <w:rFonts w:ascii="Times New Roman" w:hAnsi="Times New Roman" w:cs="Times New Roman" w:eastAsia="Times New Roman" w:hint="default"/>
          <w:spacing w:val="34"/>
        </w:rPr>
        <w:t> </w:t>
      </w:r>
      <w:r>
        <w:rPr>
          <w:rFonts w:ascii="Times New Roman" w:hAnsi="Times New Roman" w:cs="Times New Roman" w:eastAsia="Times New Roman" w:hint="default"/>
        </w:rPr>
        <w:t>(2013</w:t>
      </w:r>
      <w:r>
        <w:rPr/>
        <w:t>年：</w:t>
      </w:r>
      <w:r>
        <w:rPr>
          <w:w w:val="100"/>
        </w:rPr>
        <w:t> </w:t>
      </w:r>
      <w:r>
        <w:rPr>
          <w:rFonts w:ascii="Times New Roman" w:hAnsi="Times New Roman" w:cs="Times New Roman" w:eastAsia="Times New Roman" w:hint="default"/>
        </w:rPr>
        <w:t>61.05%)</w:t>
      </w:r>
      <w:r>
        <w:rPr>
          <w:rFonts w:ascii="Times New Roman" w:hAnsi="Times New Roman" w:cs="Times New Roman" w:eastAsia="Times New Roman" w:hint="default"/>
          <w:spacing w:val="34"/>
        </w:rPr>
        <w:t> </w:t>
      </w:r>
      <w:r>
        <w:rPr/>
        <w:t>。</w:t>
      </w:r>
    </w:p>
    <w:p>
      <w:pPr>
        <w:pStyle w:val="BodyText"/>
        <w:spacing w:line="256" w:lineRule="auto" w:before="5"/>
        <w:ind w:left="512" w:right="210" w:firstLine="419"/>
        <w:jc w:val="both"/>
      </w:pPr>
      <w:r>
        <w:rPr>
          <w:spacing w:val="2"/>
        </w:rPr>
        <w:t>本公司所承受的最大信用风险敞口为资产负债表中每项金融资产</w:t>
      </w:r>
      <w:r>
        <w:rPr>
          <w:rFonts w:ascii="Times New Roman" w:hAnsi="Times New Roman" w:cs="Times New Roman" w:eastAsia="Times New Roman" w:hint="default"/>
          <w:spacing w:val="2"/>
        </w:rPr>
        <w:t>(</w:t>
      </w:r>
      <w:r>
        <w:rPr>
          <w:spacing w:val="2"/>
        </w:rPr>
        <w:t>包括衍生金融工具</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2"/>
        </w:rPr>
        <w:t> </w:t>
      </w:r>
      <w:r>
        <w:rPr/>
        <w:t>的账面金</w:t>
      </w:r>
      <w:r>
        <w:rPr>
          <w:w w:val="100"/>
        </w:rPr>
        <w:t> </w:t>
      </w:r>
      <w:r>
        <w:rPr/>
        <w:t>额。本公司没有提供任何其他可能令本公司承受信用风险的担保。</w:t>
      </w:r>
    </w:p>
    <w:p>
      <w:pPr>
        <w:pStyle w:val="Heading5"/>
        <w:spacing w:line="240" w:lineRule="auto" w:before="179"/>
        <w:ind w:right="106"/>
        <w:jc w:val="left"/>
        <w:rPr>
          <w:b w:val="0"/>
          <w:bCs w:val="0"/>
        </w:rPr>
      </w:pPr>
      <w:r>
        <w:rPr>
          <w:rFonts w:ascii="宋体" w:hAnsi="宋体" w:cs="宋体" w:eastAsia="宋体" w:hint="default"/>
        </w:rPr>
        <w:t>1.</w:t>
      </w:r>
      <w:r>
        <w:rPr>
          <w:rFonts w:ascii="宋体" w:hAnsi="宋体" w:cs="宋体" w:eastAsia="宋体" w:hint="default"/>
          <w:spacing w:val="40"/>
        </w:rPr>
        <w:t> </w:t>
      </w:r>
      <w:r>
        <w:rPr/>
        <w:t>流动性风险</w:t>
      </w:r>
      <w:r>
        <w:rPr>
          <w:b w:val="0"/>
          <w:bCs w:val="0"/>
        </w:rPr>
      </w:r>
    </w:p>
    <w:p>
      <w:pPr>
        <w:pStyle w:val="BodyText"/>
        <w:spacing w:line="256" w:lineRule="auto" w:before="37"/>
        <w:ind w:left="512" w:right="213" w:firstLine="419"/>
        <w:jc w:val="both"/>
      </w:pPr>
      <w:r>
        <w:rPr>
          <w:spacing w:val="2"/>
        </w:rPr>
        <w:t>流动性风险是指本公司无法及时获得充足资金</w:t>
      </w:r>
      <w:r>
        <w:rPr>
          <w:rFonts w:ascii="Times New Roman" w:hAnsi="Times New Roman" w:cs="Times New Roman" w:eastAsia="Times New Roman" w:hint="default"/>
          <w:spacing w:val="2"/>
        </w:rPr>
        <w:t>,</w:t>
      </w:r>
      <w:r>
        <w:rPr>
          <w:spacing w:val="2"/>
        </w:rPr>
        <w:t>满足业务发展需要或偿付到期债务以及其他支付</w:t>
      </w:r>
      <w:r>
        <w:rPr>
          <w:w w:val="100"/>
        </w:rPr>
        <w:t> </w:t>
      </w:r>
      <w:r>
        <w:rPr/>
        <w:t>义务的风险。</w:t>
      </w:r>
    </w:p>
    <w:p>
      <w:pPr>
        <w:pStyle w:val="BodyText"/>
        <w:spacing w:line="273" w:lineRule="auto" w:before="22"/>
        <w:ind w:left="512" w:right="207" w:firstLine="420"/>
        <w:jc w:val="both"/>
      </w:pPr>
      <w:r>
        <w:rPr>
          <w:spacing w:val="-1"/>
        </w:rPr>
        <w:t>本公司财务部门持续监控公司短期和长期的资金需求，以确保维持充裕的现金储备；同时持续监</w:t>
      </w:r>
      <w:r>
        <w:rPr>
          <w:w w:val="100"/>
        </w:rPr>
        <w:t> </w:t>
      </w:r>
      <w:r>
        <w:rPr/>
        <w:t>控是否符合借款协议的规定，现阶段主要依靠自有资金满足资金需求。</w:t>
      </w:r>
    </w:p>
    <w:p>
      <w:pPr>
        <w:pStyle w:val="Heading5"/>
        <w:spacing w:line="240" w:lineRule="auto" w:before="8"/>
        <w:ind w:left="637" w:right="106"/>
        <w:jc w:val="left"/>
        <w:rPr>
          <w:b w:val="0"/>
          <w:bCs w:val="0"/>
        </w:rPr>
      </w:pPr>
      <w:r>
        <w:rPr>
          <w:rFonts w:ascii="宋体" w:hAnsi="宋体" w:cs="宋体" w:eastAsia="宋体" w:hint="default"/>
        </w:rPr>
        <w:t>1.</w:t>
      </w:r>
      <w:r>
        <w:rPr>
          <w:rFonts w:ascii="宋体" w:hAnsi="宋体" w:cs="宋体" w:eastAsia="宋体" w:hint="default"/>
          <w:spacing w:val="40"/>
        </w:rPr>
        <w:t> </w:t>
      </w:r>
      <w:r>
        <w:rPr/>
        <w:t>市场风险</w:t>
      </w:r>
      <w:r>
        <w:rPr>
          <w:b w:val="0"/>
          <w:bCs w:val="0"/>
        </w:rPr>
      </w:r>
    </w:p>
    <w:p>
      <w:pPr>
        <w:pStyle w:val="Heading5"/>
        <w:spacing w:line="240" w:lineRule="auto" w:before="37"/>
        <w:ind w:right="106"/>
        <w:jc w:val="left"/>
        <w:rPr>
          <w:b w:val="0"/>
          <w:bCs w:val="0"/>
        </w:rPr>
      </w:pPr>
      <w:r>
        <w:rPr>
          <w:rFonts w:ascii="宋体" w:hAnsi="宋体" w:cs="宋体" w:eastAsia="宋体" w:hint="default"/>
        </w:rPr>
        <w:t>2.</w:t>
      </w:r>
      <w:r>
        <w:rPr>
          <w:rFonts w:ascii="宋体" w:hAnsi="宋体" w:cs="宋体" w:eastAsia="宋体" w:hint="default"/>
          <w:spacing w:val="40"/>
        </w:rPr>
        <w:t> </w:t>
      </w:r>
      <w:r>
        <w:rPr/>
        <w:t>外汇风险</w:t>
      </w:r>
      <w:r>
        <w:rPr>
          <w:b w:val="0"/>
          <w:bCs w:val="0"/>
        </w:rPr>
      </w:r>
    </w:p>
    <w:p>
      <w:pPr>
        <w:pStyle w:val="BodyText"/>
        <w:spacing w:line="273" w:lineRule="auto" w:before="37"/>
        <w:ind w:left="512" w:right="208" w:firstLine="420"/>
        <w:jc w:val="both"/>
      </w:pPr>
      <w:r>
        <w:rPr>
          <w:spacing w:val="-1"/>
        </w:rPr>
        <w:t>本公司产品全部内销，并且没有持有外币性金融资产和金融负债，因此汇率变动对本公司的经营</w:t>
      </w:r>
      <w:r>
        <w:rPr>
          <w:w w:val="100"/>
        </w:rPr>
        <w:t> </w:t>
      </w:r>
      <w:r>
        <w:rPr/>
        <w:t>业绩产生的影响较小。</w:t>
      </w:r>
    </w:p>
    <w:p>
      <w:pPr>
        <w:pStyle w:val="Heading5"/>
        <w:spacing w:line="240" w:lineRule="auto" w:before="8"/>
        <w:ind w:right="106"/>
        <w:jc w:val="left"/>
        <w:rPr>
          <w:b w:val="0"/>
          <w:bCs w:val="0"/>
        </w:rPr>
      </w:pPr>
      <w:r>
        <w:rPr>
          <w:rFonts w:ascii="宋体" w:hAnsi="宋体" w:cs="宋体" w:eastAsia="宋体" w:hint="default"/>
        </w:rPr>
        <w:t>1.</w:t>
      </w:r>
      <w:r>
        <w:rPr>
          <w:rFonts w:ascii="宋体" w:hAnsi="宋体" w:cs="宋体" w:eastAsia="宋体" w:hint="default"/>
          <w:spacing w:val="40"/>
        </w:rPr>
        <w:t> </w:t>
      </w:r>
      <w:r>
        <w:rPr/>
        <w:t>利率风险</w:t>
      </w:r>
      <w:r>
        <w:rPr>
          <w:b w:val="0"/>
          <w:bCs w:val="0"/>
        </w:rPr>
      </w:r>
    </w:p>
    <w:p>
      <w:pPr>
        <w:pStyle w:val="BodyText"/>
        <w:spacing w:line="273" w:lineRule="auto" w:before="37"/>
        <w:ind w:left="512" w:right="208" w:firstLine="420"/>
        <w:jc w:val="both"/>
      </w:pPr>
      <w:r>
        <w:rPr>
          <w:spacing w:val="-1"/>
        </w:rPr>
        <w:t>本公司的主要依靠自用资金满足生产经营的需要，近期未向银行借款，因此利率变动对本公司的</w:t>
      </w:r>
      <w:r>
        <w:rPr>
          <w:w w:val="100"/>
        </w:rPr>
        <w:t> </w:t>
      </w:r>
      <w:r>
        <w:rPr/>
        <w:t>经营业绩产生的影响较小。</w:t>
      </w:r>
    </w:p>
    <w:p>
      <w:pPr>
        <w:pStyle w:val="Heading5"/>
        <w:spacing w:line="240" w:lineRule="auto" w:before="8"/>
        <w:ind w:right="106"/>
        <w:jc w:val="left"/>
        <w:rPr>
          <w:b w:val="0"/>
          <w:bCs w:val="0"/>
        </w:rPr>
      </w:pPr>
      <w:r>
        <w:rPr>
          <w:rFonts w:ascii="宋体" w:hAnsi="宋体" w:cs="宋体" w:eastAsia="宋体" w:hint="default"/>
        </w:rPr>
        <w:t>1.</w:t>
      </w:r>
      <w:r>
        <w:rPr>
          <w:rFonts w:ascii="宋体" w:hAnsi="宋体" w:cs="宋体" w:eastAsia="宋体" w:hint="default"/>
          <w:spacing w:val="40"/>
        </w:rPr>
        <w:t> </w:t>
      </w:r>
      <w:r>
        <w:rPr/>
        <w:t>价格风险</w:t>
      </w:r>
      <w:r>
        <w:rPr>
          <w:b w:val="0"/>
          <w:bCs w:val="0"/>
        </w:rPr>
      </w:r>
    </w:p>
    <w:p>
      <w:pPr>
        <w:pStyle w:val="BodyText"/>
        <w:spacing w:line="273" w:lineRule="auto" w:before="37"/>
        <w:ind w:right="106" w:firstLine="364"/>
        <w:jc w:val="left"/>
      </w:pPr>
      <w:r>
        <w:rPr>
          <w:w w:val="100"/>
        </w:rPr>
      </w:r>
      <w:r>
        <w:rPr>
          <w:spacing w:val="-1"/>
          <w:u w:val="single" w:color="000000"/>
        </w:rPr>
        <w:t>本公司以市场价格销售方直金太阳教育软件及其他产品并提供技术开发服务，因此受到此等产品价格</w:t>
      </w:r>
      <w:r>
        <w:rPr>
          <w:w w:val="100"/>
        </w:rPr>
      </w:r>
      <w:r>
        <w:rPr>
          <w:w w:val="100"/>
        </w:rPr>
        <w:t> </w:t>
      </w:r>
      <w:r>
        <w:rPr>
          <w:u w:val="single" w:color="000000"/>
        </w:rPr>
        <w:t>波动的影响。</w:t>
      </w:r>
      <w:r>
        <w:rPr/>
      </w:r>
    </w:p>
    <w:p>
      <w:pPr>
        <w:spacing w:line="240" w:lineRule="auto" w:before="9"/>
        <w:rPr>
          <w:rFonts w:ascii="宋体" w:hAnsi="宋体" w:cs="宋体" w:eastAsia="宋体" w:hint="default"/>
          <w:sz w:val="21"/>
          <w:szCs w:val="21"/>
        </w:rPr>
      </w:pPr>
    </w:p>
    <w:p>
      <w:pPr>
        <w:pStyle w:val="Heading5"/>
        <w:spacing w:line="273" w:lineRule="auto" w:before="36"/>
        <w:ind w:left="577" w:right="7582" w:hanging="61"/>
        <w:jc w:val="left"/>
        <w:rPr>
          <w:rFonts w:ascii="宋体" w:hAnsi="宋体" w:cs="宋体" w:eastAsia="宋体" w:hint="default"/>
          <w:b w:val="0"/>
          <w:bCs w:val="0"/>
        </w:rPr>
      </w:pPr>
      <w:r>
        <w:rPr>
          <w:w w:val="100"/>
        </w:rPr>
      </w:r>
      <w:r>
        <w:rPr>
          <w:spacing w:val="-1"/>
          <w:u w:val="single" w:color="000000"/>
        </w:rPr>
        <w:t>十、公允价值的披露</w:t>
      </w:r>
      <w:r>
        <w:rPr>
          <w:spacing w:val="-103"/>
          <w:u w:val="single" w:color="000000"/>
        </w:rPr>
        <w:t> </w:t>
      </w:r>
      <w:r>
        <w:rPr>
          <w:spacing w:val="-103"/>
        </w:rPr>
      </w:r>
      <w:r>
        <w:rPr>
          <w:spacing w:val="-103"/>
        </w:rPr>
      </w:r>
      <w:r>
        <w:rPr>
          <w:rFonts w:ascii="宋体" w:hAnsi="宋体" w:cs="宋体" w:eastAsia="宋体" w:hint="default"/>
          <w:b w:val="0"/>
          <w:bCs w:val="0"/>
        </w:rPr>
        <w:t>无。</w:t>
      </w:r>
    </w:p>
    <w:p>
      <w:pPr>
        <w:spacing w:line="240" w:lineRule="auto" w:before="6"/>
        <w:rPr>
          <w:rFonts w:ascii="宋体" w:hAnsi="宋体" w:cs="宋体" w:eastAsia="宋体" w:hint="default"/>
          <w:sz w:val="24"/>
          <w:szCs w:val="24"/>
        </w:rPr>
      </w:pPr>
    </w:p>
    <w:p>
      <w:pPr>
        <w:pStyle w:val="Heading5"/>
        <w:spacing w:line="240" w:lineRule="auto"/>
        <w:ind w:left="580" w:right="106"/>
        <w:jc w:val="left"/>
        <w:rPr>
          <w:b w:val="0"/>
          <w:bCs w:val="0"/>
        </w:rPr>
      </w:pPr>
      <w:r>
        <w:rPr/>
        <w:t>十一、关联方关系及其交易</w:t>
      </w:r>
      <w:r>
        <w:rPr>
          <w:b w:val="0"/>
          <w:bCs w:val="0"/>
        </w:rPr>
      </w:r>
    </w:p>
    <w:p>
      <w:pPr>
        <w:pStyle w:val="Heading5"/>
        <w:spacing w:line="256" w:lineRule="auto" w:before="37"/>
        <w:ind w:left="580" w:right="4036" w:hanging="1"/>
        <w:jc w:val="left"/>
        <w:rPr>
          <w:b w:val="0"/>
          <w:bCs w:val="0"/>
        </w:rPr>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t>关联方关系</w:t>
      </w:r>
      <w:r>
        <w:rPr>
          <w:w w:val="100"/>
        </w:rPr>
        <w:t> </w:t>
      </w:r>
      <w:r>
        <w:rPr>
          <w:rFonts w:ascii="Times New Roman" w:hAnsi="Times New Roman" w:cs="Times New Roman" w:eastAsia="Times New Roman" w:hint="default"/>
          <w:spacing w:val="-2"/>
        </w:rPr>
        <w:t>1</w:t>
      </w:r>
      <w:r>
        <w:rPr>
          <w:spacing w:val="-2"/>
        </w:rPr>
        <w:t>、存在控制关系的关联方及其所持股份或权益的情况</w:t>
      </w:r>
      <w:r>
        <w:rPr>
          <w:b w:val="0"/>
          <w:bCs w:val="0"/>
          <w:spacing w:val="-2"/>
        </w:rPr>
      </w:r>
    </w:p>
    <w:tbl>
      <w:tblPr>
        <w:tblW w:w="0" w:type="auto"/>
        <w:jc w:val="left"/>
        <w:tblInd w:w="145" w:type="dxa"/>
        <w:tblLayout w:type="fixed"/>
        <w:tblCellMar>
          <w:top w:w="0" w:type="dxa"/>
          <w:left w:w="0" w:type="dxa"/>
          <w:bottom w:w="0" w:type="dxa"/>
          <w:right w:w="0" w:type="dxa"/>
        </w:tblCellMar>
        <w:tblLook w:val="01E0"/>
      </w:tblPr>
      <w:tblGrid>
        <w:gridCol w:w="1558"/>
        <w:gridCol w:w="2498"/>
        <w:gridCol w:w="2335"/>
        <w:gridCol w:w="2282"/>
      </w:tblGrid>
      <w:tr>
        <w:trPr>
          <w:trHeight w:val="314" w:hRule="exact"/>
        </w:trPr>
        <w:tc>
          <w:tcPr>
            <w:tcW w:w="1558"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left="247" w:right="0"/>
              <w:jc w:val="left"/>
              <w:rPr>
                <w:rFonts w:ascii="宋体" w:hAnsi="宋体" w:cs="宋体" w:eastAsia="宋体" w:hint="default"/>
                <w:sz w:val="21"/>
                <w:szCs w:val="21"/>
              </w:rPr>
            </w:pPr>
            <w:r>
              <w:rPr>
                <w:rFonts w:ascii="宋体" w:hAnsi="宋体" w:cs="宋体" w:eastAsia="宋体" w:hint="default"/>
                <w:sz w:val="21"/>
                <w:szCs w:val="21"/>
              </w:rPr>
              <w:t>关联方名称</w:t>
            </w:r>
          </w:p>
        </w:tc>
        <w:tc>
          <w:tcPr>
            <w:tcW w:w="2498"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关联关系</w:t>
            </w:r>
          </w:p>
        </w:tc>
        <w:tc>
          <w:tcPr>
            <w:tcW w:w="2335"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left="741" w:right="0"/>
              <w:jc w:val="left"/>
              <w:rPr>
                <w:rFonts w:ascii="宋体" w:hAnsi="宋体" w:cs="宋体" w:eastAsia="宋体" w:hint="default"/>
                <w:sz w:val="21"/>
                <w:szCs w:val="21"/>
              </w:rPr>
            </w:pPr>
            <w:r>
              <w:rPr>
                <w:rFonts w:ascii="宋体" w:hAnsi="宋体" w:cs="宋体" w:eastAsia="宋体" w:hint="default"/>
                <w:sz w:val="21"/>
                <w:szCs w:val="21"/>
              </w:rPr>
              <w:t>持股比例</w:t>
            </w:r>
          </w:p>
        </w:tc>
        <w:tc>
          <w:tcPr>
            <w:tcW w:w="2282" w:type="dxa"/>
            <w:tcBorders>
              <w:top w:val="single" w:sz="6" w:space="0" w:color="000000"/>
              <w:left w:val="single" w:sz="6" w:space="0" w:color="000000"/>
              <w:bottom w:val="single" w:sz="12" w:space="0" w:color="000000"/>
              <w:right w:val="nil" w:sz="6" w:space="0" w:color="auto"/>
            </w:tcBorders>
          </w:tcPr>
          <w:p>
            <w:pPr>
              <w:pStyle w:val="TableParagraph"/>
              <w:spacing w:line="250" w:lineRule="exact"/>
              <w:ind w:right="4"/>
              <w:jc w:val="center"/>
              <w:rPr>
                <w:rFonts w:ascii="宋体" w:hAnsi="宋体" w:cs="宋体" w:eastAsia="宋体" w:hint="default"/>
                <w:sz w:val="21"/>
                <w:szCs w:val="21"/>
              </w:rPr>
            </w:pPr>
            <w:r>
              <w:rPr>
                <w:rFonts w:ascii="宋体" w:hAnsi="宋体" w:cs="宋体" w:eastAsia="宋体" w:hint="default"/>
                <w:sz w:val="21"/>
                <w:szCs w:val="21"/>
              </w:rPr>
              <w:t>本公司最终控制方</w:t>
            </w:r>
          </w:p>
        </w:tc>
      </w:tr>
      <w:tr>
        <w:trPr>
          <w:trHeight w:val="314" w:hRule="exact"/>
        </w:trPr>
        <w:tc>
          <w:tcPr>
            <w:tcW w:w="1558"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4" w:right="0"/>
              <w:jc w:val="left"/>
              <w:rPr>
                <w:rFonts w:ascii="宋体" w:hAnsi="宋体" w:cs="宋体" w:eastAsia="宋体" w:hint="default"/>
                <w:sz w:val="21"/>
                <w:szCs w:val="21"/>
              </w:rPr>
            </w:pPr>
            <w:r>
              <w:rPr>
                <w:rFonts w:ascii="宋体" w:hAnsi="宋体" w:cs="宋体" w:eastAsia="宋体" w:hint="default"/>
                <w:sz w:val="21"/>
                <w:szCs w:val="21"/>
              </w:rPr>
              <w:t>黄元忠</w:t>
            </w:r>
          </w:p>
        </w:tc>
        <w:tc>
          <w:tcPr>
            <w:tcW w:w="2498"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本公司实际控制人</w:t>
            </w:r>
          </w:p>
        </w:tc>
        <w:tc>
          <w:tcPr>
            <w:tcW w:w="2335"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z w:val="21"/>
              </w:rPr>
              <w:t>22.65%</w:t>
            </w:r>
          </w:p>
        </w:tc>
        <w:tc>
          <w:tcPr>
            <w:tcW w:w="2282" w:type="dxa"/>
            <w:tcBorders>
              <w:top w:val="single" w:sz="12" w:space="0" w:color="000000"/>
              <w:left w:val="single" w:sz="6" w:space="0" w:color="000000"/>
              <w:bottom w:val="single" w:sz="12" w:space="0" w:color="000000"/>
              <w:right w:val="nil" w:sz="6" w:space="0" w:color="auto"/>
            </w:tcBorders>
          </w:tcPr>
          <w:p>
            <w:pPr>
              <w:pStyle w:val="TableParagraph"/>
              <w:spacing w:line="243" w:lineRule="exact"/>
              <w:ind w:right="7"/>
              <w:jc w:val="center"/>
              <w:rPr>
                <w:rFonts w:ascii="宋体" w:hAnsi="宋体" w:cs="宋体" w:eastAsia="宋体" w:hint="default"/>
                <w:sz w:val="21"/>
                <w:szCs w:val="21"/>
              </w:rPr>
            </w:pPr>
            <w:r>
              <w:rPr>
                <w:rFonts w:ascii="宋体" w:hAnsi="宋体" w:cs="宋体" w:eastAsia="宋体" w:hint="default"/>
                <w:w w:val="100"/>
                <w:sz w:val="21"/>
                <w:szCs w:val="21"/>
              </w:rPr>
              <w:t>是</w:t>
            </w:r>
          </w:p>
        </w:tc>
      </w:tr>
    </w:tbl>
    <w:p>
      <w:pPr>
        <w:spacing w:line="240" w:lineRule="auto" w:before="6"/>
        <w:rPr>
          <w:rFonts w:ascii="宋体" w:hAnsi="宋体" w:cs="宋体" w:eastAsia="宋体" w:hint="default"/>
          <w:b/>
          <w:bCs/>
          <w:sz w:val="21"/>
          <w:szCs w:val="21"/>
        </w:rPr>
      </w:pPr>
    </w:p>
    <w:p>
      <w:pPr>
        <w:pStyle w:val="Heading5"/>
        <w:spacing w:line="240" w:lineRule="auto" w:before="36"/>
        <w:ind w:left="580" w:right="106"/>
        <w:jc w:val="left"/>
        <w:rPr>
          <w:b w:val="0"/>
          <w:bCs w:val="0"/>
        </w:rPr>
      </w:pPr>
      <w:r>
        <w:rPr>
          <w:rFonts w:ascii="Times New Roman" w:hAnsi="Times New Roman" w:cs="Times New Roman" w:eastAsia="Times New Roman" w:hint="default"/>
        </w:rPr>
        <w:t>2</w:t>
      </w:r>
      <w:r>
        <w:rPr/>
        <w:t>、其他关联方</w:t>
      </w:r>
      <w:r>
        <w:rPr>
          <w:b w:val="0"/>
          <w:bCs w:val="0"/>
        </w:rPr>
      </w:r>
    </w:p>
    <w:p>
      <w:pPr>
        <w:spacing w:line="240" w:lineRule="auto" w:before="8"/>
        <w:rPr>
          <w:rFonts w:ascii="宋体" w:hAnsi="宋体" w:cs="宋体" w:eastAsia="宋体" w:hint="default"/>
          <w:b/>
          <w:bCs/>
          <w:sz w:val="2"/>
          <w:szCs w:val="2"/>
        </w:rPr>
      </w:pPr>
    </w:p>
    <w:tbl>
      <w:tblPr>
        <w:tblW w:w="0" w:type="auto"/>
        <w:jc w:val="left"/>
        <w:tblInd w:w="145" w:type="dxa"/>
        <w:tblLayout w:type="fixed"/>
        <w:tblCellMar>
          <w:top w:w="0" w:type="dxa"/>
          <w:left w:w="0" w:type="dxa"/>
          <w:bottom w:w="0" w:type="dxa"/>
          <w:right w:w="0" w:type="dxa"/>
        </w:tblCellMar>
        <w:tblLook w:val="01E0"/>
      </w:tblPr>
      <w:tblGrid>
        <w:gridCol w:w="4102"/>
        <w:gridCol w:w="4270"/>
      </w:tblGrid>
      <w:tr>
        <w:trPr>
          <w:trHeight w:val="317" w:hRule="exact"/>
        </w:trPr>
        <w:tc>
          <w:tcPr>
            <w:tcW w:w="4102" w:type="dxa"/>
            <w:tcBorders>
              <w:top w:val="single" w:sz="6" w:space="0" w:color="000000"/>
              <w:left w:val="single" w:sz="6" w:space="0" w:color="000000"/>
              <w:bottom w:val="single" w:sz="12" w:space="0" w:color="000000"/>
              <w:right w:val="single" w:sz="6" w:space="0" w:color="000000"/>
            </w:tcBorders>
          </w:tcPr>
          <w:p>
            <w:pPr>
              <w:pStyle w:val="TableParagraph"/>
              <w:spacing w:line="253" w:lineRule="exact"/>
              <w:ind w:left="1310"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4270" w:type="dxa"/>
            <w:tcBorders>
              <w:top w:val="single" w:sz="6" w:space="0" w:color="000000"/>
              <w:left w:val="single" w:sz="6" w:space="0" w:color="000000"/>
              <w:bottom w:val="single" w:sz="12" w:space="0" w:color="000000"/>
              <w:right w:val="nil" w:sz="6" w:space="0" w:color="auto"/>
            </w:tcBorders>
          </w:tcPr>
          <w:p>
            <w:pPr>
              <w:pStyle w:val="TableParagraph"/>
              <w:spacing w:line="253" w:lineRule="exact"/>
              <w:ind w:right="4"/>
              <w:jc w:val="center"/>
              <w:rPr>
                <w:rFonts w:ascii="宋体" w:hAnsi="宋体" w:cs="宋体" w:eastAsia="宋体" w:hint="default"/>
                <w:sz w:val="21"/>
                <w:szCs w:val="21"/>
              </w:rPr>
            </w:pPr>
            <w:r>
              <w:rPr>
                <w:rFonts w:ascii="宋体" w:hAnsi="宋体" w:cs="宋体" w:eastAsia="宋体" w:hint="default"/>
                <w:sz w:val="21"/>
                <w:szCs w:val="21"/>
              </w:rPr>
              <w:t>其他关联方与本公司的关系</w:t>
            </w:r>
          </w:p>
        </w:tc>
      </w:tr>
      <w:tr>
        <w:trPr>
          <w:trHeight w:val="312" w:hRule="exact"/>
        </w:trPr>
        <w:tc>
          <w:tcPr>
            <w:tcW w:w="4102"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4" w:right="0"/>
              <w:jc w:val="left"/>
              <w:rPr>
                <w:rFonts w:ascii="宋体" w:hAnsi="宋体" w:cs="宋体" w:eastAsia="宋体" w:hint="default"/>
                <w:sz w:val="21"/>
                <w:szCs w:val="21"/>
              </w:rPr>
            </w:pPr>
            <w:r>
              <w:rPr>
                <w:rFonts w:ascii="宋体" w:hAnsi="宋体" w:cs="宋体" w:eastAsia="宋体" w:hint="default"/>
                <w:sz w:val="21"/>
                <w:szCs w:val="21"/>
              </w:rPr>
              <w:t>杨颖</w:t>
            </w:r>
          </w:p>
        </w:tc>
        <w:tc>
          <w:tcPr>
            <w:tcW w:w="4270" w:type="dxa"/>
            <w:tcBorders>
              <w:top w:val="single" w:sz="12" w:space="0" w:color="000000"/>
              <w:left w:val="single" w:sz="6" w:space="0" w:color="000000"/>
              <w:bottom w:val="single" w:sz="12" w:space="0" w:color="000000"/>
              <w:right w:val="nil" w:sz="6" w:space="0" w:color="auto"/>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本公司股东</w:t>
            </w:r>
          </w:p>
        </w:tc>
      </w:tr>
      <w:tr>
        <w:trPr>
          <w:trHeight w:val="312" w:hRule="exact"/>
        </w:trPr>
        <w:tc>
          <w:tcPr>
            <w:tcW w:w="4102"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4" w:right="0"/>
              <w:jc w:val="left"/>
              <w:rPr>
                <w:rFonts w:ascii="宋体" w:hAnsi="宋体" w:cs="宋体" w:eastAsia="宋体" w:hint="default"/>
                <w:sz w:val="21"/>
                <w:szCs w:val="21"/>
              </w:rPr>
            </w:pPr>
            <w:r>
              <w:rPr>
                <w:rFonts w:ascii="宋体" w:hAnsi="宋体" w:cs="宋体" w:eastAsia="宋体" w:hint="default"/>
                <w:sz w:val="21"/>
                <w:szCs w:val="21"/>
              </w:rPr>
              <w:t>孙晓玲</w:t>
            </w:r>
          </w:p>
        </w:tc>
        <w:tc>
          <w:tcPr>
            <w:tcW w:w="4270" w:type="dxa"/>
            <w:tcBorders>
              <w:top w:val="single" w:sz="12" w:space="0" w:color="000000"/>
              <w:left w:val="single" w:sz="6" w:space="0" w:color="000000"/>
              <w:bottom w:val="single" w:sz="12" w:space="0" w:color="000000"/>
              <w:right w:val="nil" w:sz="6" w:space="0" w:color="auto"/>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本公司股东</w:t>
            </w:r>
          </w:p>
        </w:tc>
      </w:tr>
      <w:tr>
        <w:trPr>
          <w:trHeight w:val="314" w:hRule="exact"/>
        </w:trPr>
        <w:tc>
          <w:tcPr>
            <w:tcW w:w="4102"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4" w:right="0"/>
              <w:jc w:val="left"/>
              <w:rPr>
                <w:rFonts w:ascii="宋体" w:hAnsi="宋体" w:cs="宋体" w:eastAsia="宋体" w:hint="default"/>
                <w:sz w:val="21"/>
                <w:szCs w:val="21"/>
              </w:rPr>
            </w:pPr>
            <w:r>
              <w:rPr>
                <w:rFonts w:ascii="宋体" w:hAnsi="宋体" w:cs="宋体" w:eastAsia="宋体" w:hint="default"/>
                <w:sz w:val="21"/>
                <w:szCs w:val="21"/>
              </w:rPr>
              <w:t>黄晓峰</w:t>
            </w:r>
          </w:p>
        </w:tc>
        <w:tc>
          <w:tcPr>
            <w:tcW w:w="4270" w:type="dxa"/>
            <w:tcBorders>
              <w:top w:val="single" w:sz="12" w:space="0" w:color="000000"/>
              <w:left w:val="single" w:sz="6" w:space="0" w:color="000000"/>
              <w:bottom w:val="single" w:sz="12" w:space="0" w:color="000000"/>
              <w:right w:val="nil" w:sz="6" w:space="0" w:color="auto"/>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本公司股东</w:t>
            </w:r>
          </w:p>
        </w:tc>
      </w:tr>
      <w:tr>
        <w:trPr>
          <w:trHeight w:val="314" w:hRule="exact"/>
        </w:trPr>
        <w:tc>
          <w:tcPr>
            <w:tcW w:w="4102"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4" w:right="0"/>
              <w:jc w:val="left"/>
              <w:rPr>
                <w:rFonts w:ascii="宋体" w:hAnsi="宋体" w:cs="宋体" w:eastAsia="宋体" w:hint="default"/>
                <w:sz w:val="21"/>
                <w:szCs w:val="21"/>
              </w:rPr>
            </w:pPr>
            <w:r>
              <w:rPr>
                <w:rFonts w:ascii="宋体" w:hAnsi="宋体" w:cs="宋体" w:eastAsia="宋体" w:hint="default"/>
                <w:sz w:val="21"/>
                <w:szCs w:val="21"/>
              </w:rPr>
              <w:t>陈克让</w:t>
            </w:r>
          </w:p>
        </w:tc>
        <w:tc>
          <w:tcPr>
            <w:tcW w:w="4270" w:type="dxa"/>
            <w:tcBorders>
              <w:top w:val="single" w:sz="12" w:space="0" w:color="000000"/>
              <w:left w:val="single" w:sz="6" w:space="0" w:color="000000"/>
              <w:bottom w:val="single" w:sz="12" w:space="0" w:color="000000"/>
              <w:right w:val="nil" w:sz="6" w:space="0" w:color="auto"/>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本公司股东</w:t>
            </w:r>
          </w:p>
        </w:tc>
      </w:tr>
    </w:tbl>
    <w:p>
      <w:pPr>
        <w:spacing w:after="0" w:line="241" w:lineRule="exact"/>
        <w:jc w:val="center"/>
        <w:rPr>
          <w:rFonts w:ascii="宋体" w:hAnsi="宋体" w:cs="宋体" w:eastAsia="宋体" w:hint="default"/>
          <w:sz w:val="21"/>
          <w:szCs w:val="21"/>
        </w:rPr>
        <w:sectPr>
          <w:pgSz w:w="11910" w:h="16840"/>
          <w:pgMar w:header="880" w:footer="979" w:top="1060" w:bottom="1160" w:left="980" w:right="92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8"/>
          <w:szCs w:val="28"/>
        </w:rPr>
      </w:pPr>
    </w:p>
    <w:p>
      <w:pPr>
        <w:pStyle w:val="Heading5"/>
        <w:spacing w:line="240" w:lineRule="auto" w:before="36"/>
        <w:ind w:left="575" w:right="0"/>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t>本公司的子公司情况详见附注八（一）在子公司中的权益。</w:t>
      </w:r>
      <w:r>
        <w:rPr>
          <w:b w:val="0"/>
          <w:bCs w:val="0"/>
        </w:rPr>
      </w:r>
    </w:p>
    <w:p>
      <w:pPr>
        <w:spacing w:line="240" w:lineRule="auto" w:before="6"/>
        <w:rPr>
          <w:rFonts w:ascii="宋体" w:hAnsi="宋体" w:cs="宋体" w:eastAsia="宋体" w:hint="default"/>
          <w:b/>
          <w:bCs/>
          <w:sz w:val="25"/>
          <w:szCs w:val="25"/>
        </w:rPr>
      </w:pPr>
    </w:p>
    <w:p>
      <w:pPr>
        <w:pStyle w:val="Heading5"/>
        <w:spacing w:line="273" w:lineRule="auto"/>
        <w:ind w:left="580" w:right="6618" w:hanging="5"/>
        <w:jc w:val="left"/>
        <w:rPr>
          <w:b w:val="0"/>
          <w:bCs w:val="0"/>
        </w:rPr>
      </w:pPr>
      <w:r>
        <w:rPr/>
        <w:t>（三）关联方交易</w:t>
      </w:r>
      <w:r>
        <w:rPr>
          <w:w w:val="100"/>
        </w:rPr>
        <w:t> </w:t>
      </w:r>
      <w:r>
        <w:rPr>
          <w:spacing w:val="-1"/>
        </w:rPr>
        <w:t>报告期内不存在关联方交易。</w:t>
      </w:r>
      <w:r>
        <w:rPr>
          <w:b w:val="0"/>
          <w:bCs w:val="0"/>
          <w:spacing w:val="-1"/>
        </w:rPr>
      </w:r>
    </w:p>
    <w:p>
      <w:pPr>
        <w:spacing w:line="240" w:lineRule="auto" w:before="6"/>
        <w:rPr>
          <w:rFonts w:ascii="宋体" w:hAnsi="宋体" w:cs="宋体" w:eastAsia="宋体" w:hint="default"/>
          <w:b/>
          <w:bCs/>
          <w:sz w:val="24"/>
          <w:szCs w:val="24"/>
        </w:rPr>
      </w:pPr>
    </w:p>
    <w:p>
      <w:pPr>
        <w:pStyle w:val="Heading5"/>
        <w:spacing w:line="273" w:lineRule="auto"/>
        <w:ind w:left="580" w:right="6199" w:hanging="15"/>
        <w:jc w:val="left"/>
        <w:rPr>
          <w:b w:val="0"/>
          <w:bCs w:val="0"/>
        </w:rPr>
      </w:pPr>
      <w:r>
        <w:rPr/>
        <w:t>（四）关联方往来款项余额</w:t>
      </w:r>
      <w:r>
        <w:rPr>
          <w:w w:val="100"/>
        </w:rPr>
        <w:t> </w:t>
      </w:r>
      <w:r>
        <w:rPr>
          <w:spacing w:val="-1"/>
        </w:rPr>
        <w:t>期末不存在关联方应收应付款项。</w:t>
      </w:r>
      <w:r>
        <w:rPr>
          <w:b w:val="0"/>
          <w:bCs w:val="0"/>
          <w:spacing w:val="-1"/>
        </w:rPr>
      </w:r>
    </w:p>
    <w:p>
      <w:pPr>
        <w:spacing w:line="240" w:lineRule="auto" w:before="6"/>
        <w:rPr>
          <w:rFonts w:ascii="宋体" w:hAnsi="宋体" w:cs="宋体" w:eastAsia="宋体" w:hint="default"/>
          <w:b/>
          <w:bCs/>
          <w:sz w:val="24"/>
          <w:szCs w:val="24"/>
        </w:rPr>
      </w:pPr>
    </w:p>
    <w:p>
      <w:pPr>
        <w:spacing w:line="273" w:lineRule="auto" w:before="0"/>
        <w:ind w:left="580" w:right="3068" w:firstLine="0"/>
        <w:jc w:val="left"/>
        <w:rPr>
          <w:rFonts w:ascii="宋体" w:hAnsi="宋体" w:cs="宋体" w:eastAsia="宋体" w:hint="default"/>
          <w:sz w:val="21"/>
          <w:szCs w:val="21"/>
        </w:rPr>
      </w:pPr>
      <w:r>
        <w:rPr>
          <w:rFonts w:ascii="宋体" w:hAnsi="宋体" w:cs="宋体" w:eastAsia="宋体" w:hint="default"/>
          <w:b/>
          <w:bCs/>
          <w:sz w:val="21"/>
          <w:szCs w:val="21"/>
        </w:rPr>
        <w:t>十二、承诺及或有事项</w:t>
      </w:r>
      <w:r>
        <w:rPr>
          <w:rFonts w:ascii="宋体" w:hAnsi="宋体" w:cs="宋体" w:eastAsia="宋体" w:hint="default"/>
          <w:b/>
          <w:bCs/>
          <w:w w:val="100"/>
          <w:sz w:val="21"/>
          <w:szCs w:val="21"/>
        </w:rPr>
        <w:t> </w:t>
      </w:r>
      <w:r>
        <w:rPr>
          <w:rFonts w:ascii="宋体" w:hAnsi="宋体" w:cs="宋体" w:eastAsia="宋体" w:hint="default"/>
          <w:sz w:val="21"/>
          <w:szCs w:val="21"/>
        </w:rPr>
        <w:t>截止</w:t>
      </w: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日，本公司无需要披露的重大承诺及或有事项。</w:t>
      </w:r>
    </w:p>
    <w:p>
      <w:pPr>
        <w:spacing w:line="240" w:lineRule="auto" w:before="13"/>
        <w:rPr>
          <w:rFonts w:ascii="宋体" w:hAnsi="宋体" w:cs="宋体" w:eastAsia="宋体" w:hint="default"/>
          <w:sz w:val="22"/>
          <w:szCs w:val="22"/>
        </w:rPr>
      </w:pPr>
    </w:p>
    <w:p>
      <w:pPr>
        <w:spacing w:line="273" w:lineRule="auto" w:before="0"/>
        <w:ind w:left="678" w:right="0" w:hanging="99"/>
        <w:jc w:val="left"/>
        <w:rPr>
          <w:rFonts w:ascii="宋体" w:hAnsi="宋体" w:cs="宋体" w:eastAsia="宋体" w:hint="default"/>
          <w:sz w:val="21"/>
          <w:szCs w:val="21"/>
        </w:rPr>
      </w:pPr>
      <w:r>
        <w:rPr>
          <w:rFonts w:ascii="宋体" w:hAnsi="宋体" w:cs="宋体" w:eastAsia="宋体" w:hint="default"/>
          <w:b/>
          <w:bCs/>
          <w:sz w:val="21"/>
          <w:szCs w:val="21"/>
        </w:rPr>
        <w:t>十三、资产负债表日后事项</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本公司于</w:t>
      </w:r>
      <w:r>
        <w:rPr>
          <w:rFonts w:ascii="Times New Roman" w:hAnsi="Times New Roman" w:cs="Times New Roman" w:eastAsia="Times New Roman" w:hint="default"/>
          <w:spacing w:val="-2"/>
          <w:sz w:val="21"/>
          <w:szCs w:val="21"/>
        </w:rPr>
        <w:t>2015</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4</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16</w:t>
      </w:r>
      <w:r>
        <w:rPr>
          <w:rFonts w:ascii="宋体" w:hAnsi="宋体" w:cs="宋体" w:eastAsia="宋体" w:hint="default"/>
          <w:spacing w:val="-2"/>
          <w:sz w:val="21"/>
          <w:szCs w:val="21"/>
        </w:rPr>
        <w:t>日召开第二届董事会第十六次会议，会议通过了《关于公司</w:t>
      </w:r>
      <w:r>
        <w:rPr>
          <w:rFonts w:ascii="Times New Roman" w:hAnsi="Times New Roman" w:cs="Times New Roman" w:eastAsia="Times New Roman" w:hint="default"/>
          <w:spacing w:val="-2"/>
          <w:sz w:val="21"/>
          <w:szCs w:val="21"/>
        </w:rPr>
        <w:t>2014</w:t>
      </w:r>
      <w:r>
        <w:rPr>
          <w:rFonts w:ascii="宋体" w:hAnsi="宋体" w:cs="宋体" w:eastAsia="宋体" w:hint="default"/>
          <w:spacing w:val="-2"/>
          <w:sz w:val="21"/>
          <w:szCs w:val="21"/>
        </w:rPr>
        <w:t>年度利润分配</w:t>
      </w:r>
      <w:r>
        <w:rPr>
          <w:rFonts w:ascii="宋体" w:hAnsi="宋体" w:cs="宋体" w:eastAsia="宋体" w:hint="default"/>
          <w:sz w:val="21"/>
          <w:szCs w:val="21"/>
        </w:rPr>
      </w:r>
    </w:p>
    <w:p>
      <w:pPr>
        <w:pStyle w:val="BodyText"/>
        <w:spacing w:line="256" w:lineRule="auto"/>
        <w:ind w:right="0"/>
        <w:jc w:val="left"/>
      </w:pPr>
      <w:r>
        <w:rPr>
          <w:spacing w:val="-1"/>
        </w:rPr>
        <w:t>议案》，本公司决定以</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日公司总股本</w:t>
      </w:r>
      <w:r>
        <w:rPr>
          <w:rFonts w:ascii="Times New Roman" w:hAnsi="Times New Roman" w:cs="Times New Roman" w:eastAsia="Times New Roman" w:hint="default"/>
          <w:spacing w:val="-1"/>
        </w:rPr>
        <w:t>15,840</w:t>
      </w:r>
      <w:r>
        <w:rPr>
          <w:spacing w:val="-1"/>
        </w:rPr>
        <w:t>万股为基数向全体股东每</w:t>
      </w:r>
      <w:r>
        <w:rPr>
          <w:rFonts w:ascii="Times New Roman" w:hAnsi="Times New Roman" w:cs="Times New Roman" w:eastAsia="Times New Roman" w:hint="default"/>
          <w:spacing w:val="-1"/>
        </w:rPr>
        <w:t>10</w:t>
      </w:r>
      <w:r>
        <w:rPr>
          <w:spacing w:val="-1"/>
        </w:rPr>
        <w:t>股派发现金股利人民</w:t>
      </w:r>
      <w:r>
        <w:rPr>
          <w:spacing w:val="-24"/>
        </w:rPr>
        <w:t> </w:t>
      </w:r>
      <w:r>
        <w:rPr>
          <w:spacing w:val="-24"/>
        </w:rPr>
      </w:r>
      <w:r>
        <w:rPr/>
        <w:t>币</w:t>
      </w:r>
      <w:r>
        <w:rPr>
          <w:rFonts w:ascii="Times New Roman" w:hAnsi="Times New Roman" w:cs="Times New Roman" w:eastAsia="Times New Roman" w:hint="default"/>
        </w:rPr>
        <w:t>1.00</w:t>
      </w:r>
      <w:r>
        <w:rPr/>
        <w:t>元（含税），本次分配不进行资本公积金转增股本。</w:t>
      </w:r>
    </w:p>
    <w:p>
      <w:pPr>
        <w:pStyle w:val="BodyText"/>
        <w:spacing w:line="240" w:lineRule="auto" w:before="5"/>
        <w:ind w:left="678" w:right="0"/>
        <w:jc w:val="left"/>
      </w:pPr>
      <w:r>
        <w:rPr/>
        <w:t>该议案尚需</w:t>
      </w:r>
      <w:r>
        <w:rPr>
          <w:rFonts w:ascii="Times New Roman" w:hAnsi="Times New Roman" w:cs="Times New Roman" w:eastAsia="Times New Roman" w:hint="default"/>
        </w:rPr>
        <w:t>2014</w:t>
      </w:r>
      <w:r>
        <w:rPr/>
        <w:t>年度股东大会审议。</w:t>
      </w:r>
    </w:p>
    <w:p>
      <w:pPr>
        <w:spacing w:line="240" w:lineRule="auto" w:before="6"/>
        <w:rPr>
          <w:rFonts w:ascii="宋体" w:hAnsi="宋体" w:cs="宋体" w:eastAsia="宋体" w:hint="default"/>
          <w:sz w:val="25"/>
          <w:szCs w:val="25"/>
        </w:rPr>
      </w:pPr>
    </w:p>
    <w:p>
      <w:pPr>
        <w:spacing w:line="273" w:lineRule="auto" w:before="0"/>
        <w:ind w:left="572" w:right="3068" w:firstLine="2"/>
        <w:jc w:val="left"/>
        <w:rPr>
          <w:rFonts w:ascii="宋体" w:hAnsi="宋体" w:cs="宋体" w:eastAsia="宋体" w:hint="default"/>
          <w:sz w:val="21"/>
          <w:szCs w:val="21"/>
        </w:rPr>
      </w:pPr>
      <w:r>
        <w:rPr>
          <w:rFonts w:ascii="宋体" w:hAnsi="宋体" w:cs="宋体" w:eastAsia="宋体" w:hint="default"/>
          <w:b/>
          <w:bCs/>
          <w:sz w:val="21"/>
          <w:szCs w:val="21"/>
        </w:rPr>
        <w:t>十四、其他重要事项</w:t>
      </w:r>
      <w:r>
        <w:rPr>
          <w:rFonts w:ascii="宋体" w:hAnsi="宋体" w:cs="宋体" w:eastAsia="宋体" w:hint="default"/>
          <w:b/>
          <w:bCs/>
          <w:w w:val="100"/>
          <w:sz w:val="21"/>
          <w:szCs w:val="21"/>
        </w:rPr>
        <w:t> </w:t>
      </w:r>
      <w:r>
        <w:rPr>
          <w:rFonts w:ascii="宋体" w:hAnsi="宋体" w:cs="宋体" w:eastAsia="宋体" w:hint="default"/>
          <w:spacing w:val="-2"/>
          <w:sz w:val="21"/>
          <w:szCs w:val="21"/>
        </w:rPr>
        <w:t>截止</w:t>
      </w:r>
      <w:r>
        <w:rPr>
          <w:rFonts w:ascii="Times New Roman" w:hAnsi="Times New Roman" w:cs="Times New Roman" w:eastAsia="Times New Roman" w:hint="default"/>
          <w:spacing w:val="-2"/>
          <w:sz w:val="21"/>
          <w:szCs w:val="21"/>
        </w:rPr>
        <w:t>2014</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31</w:t>
      </w:r>
      <w:r>
        <w:rPr>
          <w:rFonts w:ascii="宋体" w:hAnsi="宋体" w:cs="宋体" w:eastAsia="宋体" w:hint="default"/>
          <w:spacing w:val="-2"/>
          <w:sz w:val="21"/>
          <w:szCs w:val="21"/>
        </w:rPr>
        <w:t>日，本公司无需要披露的其他重要事项。</w:t>
      </w:r>
    </w:p>
    <w:p>
      <w:pPr>
        <w:spacing w:line="240" w:lineRule="auto" w:before="13"/>
        <w:rPr>
          <w:rFonts w:ascii="宋体" w:hAnsi="宋体" w:cs="宋体" w:eastAsia="宋体" w:hint="default"/>
          <w:sz w:val="22"/>
          <w:szCs w:val="22"/>
        </w:rPr>
      </w:pPr>
    </w:p>
    <w:p>
      <w:pPr>
        <w:pStyle w:val="Heading5"/>
        <w:spacing w:line="240" w:lineRule="auto"/>
        <w:ind w:left="580" w:right="0"/>
        <w:jc w:val="left"/>
        <w:rPr>
          <w:b w:val="0"/>
          <w:bCs w:val="0"/>
        </w:rPr>
      </w:pPr>
      <w:r>
        <w:rPr/>
        <w:t>十五、母公司财务报表主要项目注释</w:t>
      </w:r>
      <w:r>
        <w:rPr>
          <w:b w:val="0"/>
          <w:bCs w:val="0"/>
        </w:rPr>
      </w:r>
    </w:p>
    <w:p>
      <w:pPr>
        <w:pStyle w:val="Heading5"/>
        <w:spacing w:line="240" w:lineRule="auto" w:before="37"/>
        <w:ind w:left="580" w:right="0"/>
        <w:jc w:val="left"/>
        <w:rPr>
          <w:b w:val="0"/>
          <w:bCs w:val="0"/>
        </w:rPr>
      </w:pPr>
      <w:r>
        <w:rPr/>
        <w:t>（一）应收账款</w:t>
      </w:r>
      <w:r>
        <w:rPr>
          <w:b w:val="0"/>
          <w:bCs w:val="0"/>
        </w:rPr>
      </w:r>
    </w:p>
    <w:p>
      <w:pPr>
        <w:pStyle w:val="Heading5"/>
        <w:spacing w:line="240" w:lineRule="auto" w:before="37"/>
        <w:ind w:left="579" w:right="0"/>
        <w:jc w:val="left"/>
        <w:rPr>
          <w:b w:val="0"/>
          <w:bCs w:val="0"/>
        </w:rPr>
      </w:pPr>
      <w:r>
        <w:rPr>
          <w:rFonts w:ascii="Times New Roman" w:hAnsi="Times New Roman" w:cs="Times New Roman" w:eastAsia="Times New Roman" w:hint="default"/>
        </w:rPr>
        <w:t>1</w:t>
      </w:r>
      <w:r>
        <w:rPr/>
        <w:t>、应收账款按种类披露</w:t>
      </w:r>
      <w:r>
        <w:rPr>
          <w:b w:val="0"/>
          <w:bCs w:val="0"/>
        </w:rPr>
      </w:r>
    </w:p>
    <w:p>
      <w:pPr>
        <w:spacing w:line="240" w:lineRule="auto" w:before="8"/>
        <w:rPr>
          <w:rFonts w:ascii="宋体" w:hAnsi="宋体" w:cs="宋体" w:eastAsia="宋体" w:hint="default"/>
          <w:b/>
          <w:bCs/>
          <w:sz w:val="2"/>
          <w:szCs w:val="2"/>
        </w:rPr>
      </w:pPr>
    </w:p>
    <w:tbl>
      <w:tblPr>
        <w:tblW w:w="0" w:type="auto"/>
        <w:jc w:val="left"/>
        <w:tblInd w:w="145" w:type="dxa"/>
        <w:tblLayout w:type="fixed"/>
        <w:tblCellMar>
          <w:top w:w="0" w:type="dxa"/>
          <w:left w:w="0" w:type="dxa"/>
          <w:bottom w:w="0" w:type="dxa"/>
          <w:right w:w="0" w:type="dxa"/>
        </w:tblCellMar>
        <w:tblLook w:val="01E0"/>
      </w:tblPr>
      <w:tblGrid>
        <w:gridCol w:w="2647"/>
        <w:gridCol w:w="1567"/>
        <w:gridCol w:w="934"/>
        <w:gridCol w:w="1459"/>
        <w:gridCol w:w="926"/>
        <w:gridCol w:w="1644"/>
      </w:tblGrid>
      <w:tr>
        <w:trPr>
          <w:trHeight w:val="355" w:hRule="exact"/>
        </w:trPr>
        <w:tc>
          <w:tcPr>
            <w:tcW w:w="2647" w:type="dxa"/>
            <w:vMerge w:val="restart"/>
            <w:tcBorders>
              <w:top w:val="single" w:sz="6" w:space="0" w:color="000000"/>
              <w:left w:val="single" w:sz="6" w:space="0" w:color="000000"/>
              <w:right w:val="single" w:sz="6" w:space="0" w:color="000000"/>
            </w:tcBorders>
          </w:tcPr>
          <w:p>
            <w:pPr>
              <w:pStyle w:val="TableParagraph"/>
              <w:spacing w:line="250" w:lineRule="exact"/>
              <w:ind w:left="7"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6530" w:type="dxa"/>
            <w:gridSpan w:val="5"/>
            <w:tcBorders>
              <w:top w:val="single" w:sz="6" w:space="0" w:color="000000"/>
              <w:left w:val="single" w:sz="6" w:space="0" w:color="000000"/>
              <w:bottom w:val="single" w:sz="12" w:space="0" w:color="000000"/>
              <w:right w:val="nil" w:sz="6" w:space="0" w:color="auto"/>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350" w:hRule="exact"/>
        </w:trPr>
        <w:tc>
          <w:tcPr>
            <w:tcW w:w="2647" w:type="dxa"/>
            <w:vMerge/>
            <w:tcBorders>
              <w:left w:val="single" w:sz="6" w:space="0" w:color="000000"/>
              <w:right w:val="single" w:sz="6" w:space="0" w:color="000000"/>
            </w:tcBorders>
          </w:tcPr>
          <w:p>
            <w:pPr/>
          </w:p>
        </w:tc>
        <w:tc>
          <w:tcPr>
            <w:tcW w:w="2501" w:type="dxa"/>
            <w:gridSpan w:val="2"/>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82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386" w:type="dxa"/>
            <w:gridSpan w:val="2"/>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76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644" w:type="dxa"/>
            <w:vMerge w:val="restart"/>
            <w:tcBorders>
              <w:top w:val="single" w:sz="12" w:space="0" w:color="000000"/>
              <w:left w:val="single" w:sz="6" w:space="0" w:color="000000"/>
              <w:right w:val="nil" w:sz="6" w:space="0" w:color="auto"/>
            </w:tcBorders>
          </w:tcPr>
          <w:p>
            <w:pPr>
              <w:pStyle w:val="TableParagraph"/>
              <w:spacing w:line="241" w:lineRule="exact"/>
              <w:ind w:left="396"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586" w:hRule="exact"/>
        </w:trPr>
        <w:tc>
          <w:tcPr>
            <w:tcW w:w="2647" w:type="dxa"/>
            <w:vMerge/>
            <w:tcBorders>
              <w:left w:val="single" w:sz="6" w:space="0" w:color="000000"/>
              <w:bottom w:val="single" w:sz="12" w:space="0" w:color="000000"/>
              <w:right w:val="single" w:sz="6" w:space="0" w:color="000000"/>
            </w:tcBorders>
          </w:tcPr>
          <w:p>
            <w:pPr/>
          </w:p>
        </w:tc>
        <w:tc>
          <w:tcPr>
            <w:tcW w:w="1567"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7"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34" w:type="dxa"/>
            <w:tcBorders>
              <w:top w:val="single" w:sz="12" w:space="0" w:color="000000"/>
              <w:left w:val="single" w:sz="6" w:space="0" w:color="000000"/>
              <w:bottom w:val="single" w:sz="12" w:space="0" w:color="000000"/>
              <w:right w:val="single" w:sz="6" w:space="0" w:color="000000"/>
            </w:tcBorders>
          </w:tcPr>
          <w:p>
            <w:pPr>
              <w:pStyle w:val="TableParagraph"/>
              <w:spacing w:line="259" w:lineRule="exact"/>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459" w:type="dxa"/>
            <w:tcBorders>
              <w:top w:val="single" w:sz="12" w:space="0" w:color="000000"/>
              <w:left w:val="single" w:sz="6" w:space="0" w:color="000000"/>
              <w:bottom w:val="single" w:sz="12" w:space="0" w:color="000000"/>
              <w:right w:val="single" w:sz="6" w:space="0" w:color="000000"/>
            </w:tcBorders>
          </w:tcPr>
          <w:p>
            <w:pPr>
              <w:pStyle w:val="TableParagraph"/>
              <w:tabs>
                <w:tab w:pos="513" w:val="left" w:leader="none"/>
              </w:tabs>
              <w:spacing w:line="243" w:lineRule="exact"/>
              <w:ind w:left="-125" w:right="0"/>
              <w:jc w:val="left"/>
              <w:rPr>
                <w:rFonts w:ascii="宋体" w:hAnsi="宋体" w:cs="宋体" w:eastAsia="宋体" w:hint="default"/>
                <w:sz w:val="21"/>
                <w:szCs w:val="21"/>
              </w:rPr>
            </w:pPr>
            <w:r>
              <w:rPr>
                <w:rFonts w:ascii="宋体" w:hAnsi="宋体" w:cs="宋体" w:eastAsia="宋体" w:hint="default"/>
                <w:sz w:val="21"/>
                <w:szCs w:val="21"/>
              </w:rPr>
              <w:t>）</w:t>
              <w:tab/>
              <w:t>金额</w:t>
            </w:r>
          </w:p>
        </w:tc>
        <w:tc>
          <w:tcPr>
            <w:tcW w:w="926"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89"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644" w:type="dxa"/>
            <w:vMerge/>
            <w:tcBorders>
              <w:left w:val="single" w:sz="6" w:space="0" w:color="000000"/>
              <w:bottom w:val="single" w:sz="12" w:space="0" w:color="000000"/>
              <w:right w:val="nil" w:sz="6" w:space="0" w:color="auto"/>
            </w:tcBorders>
          </w:tcPr>
          <w:p>
            <w:pPr/>
          </w:p>
        </w:tc>
      </w:tr>
      <w:tr>
        <w:trPr>
          <w:trHeight w:val="588" w:hRule="exact"/>
        </w:trPr>
        <w:tc>
          <w:tcPr>
            <w:tcW w:w="2647"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4" w:right="-2"/>
              <w:jc w:val="left"/>
              <w:rPr>
                <w:rFonts w:ascii="宋体" w:hAnsi="宋体" w:cs="宋体" w:eastAsia="宋体" w:hint="default"/>
                <w:sz w:val="21"/>
                <w:szCs w:val="21"/>
              </w:rPr>
            </w:pPr>
            <w:r>
              <w:rPr>
                <w:rFonts w:ascii="宋体" w:hAnsi="宋体" w:cs="宋体" w:eastAsia="宋体" w:hint="default"/>
                <w:spacing w:val="6"/>
                <w:sz w:val="21"/>
                <w:szCs w:val="21"/>
              </w:rPr>
              <w:t>单项金额重大并单独计提坏</w:t>
            </w:r>
          </w:p>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账准备的应收账款</w:t>
            </w:r>
          </w:p>
        </w:tc>
        <w:tc>
          <w:tcPr>
            <w:tcW w:w="1567"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934"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459"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926"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644"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6"/>
              <w:jc w:val="right"/>
              <w:rPr>
                <w:rFonts w:ascii="Times New Roman" w:hAnsi="Times New Roman" w:cs="Times New Roman" w:eastAsia="Times New Roman" w:hint="default"/>
                <w:sz w:val="21"/>
                <w:szCs w:val="21"/>
              </w:rPr>
            </w:pPr>
            <w:r>
              <w:rPr>
                <w:rFonts w:ascii="Times New Roman"/>
                <w:spacing w:val="-1"/>
                <w:sz w:val="21"/>
              </w:rPr>
              <w:t>---</w:t>
            </w:r>
          </w:p>
        </w:tc>
      </w:tr>
      <w:tr>
        <w:trPr>
          <w:trHeight w:val="586" w:hRule="exact"/>
        </w:trPr>
        <w:tc>
          <w:tcPr>
            <w:tcW w:w="2647" w:type="dxa"/>
            <w:tcBorders>
              <w:top w:val="single" w:sz="12" w:space="0" w:color="000000"/>
              <w:left w:val="single" w:sz="6" w:space="0" w:color="000000"/>
              <w:bottom w:val="single" w:sz="12" w:space="0" w:color="000000"/>
              <w:right w:val="single" w:sz="6" w:space="0" w:color="000000"/>
            </w:tcBorders>
          </w:tcPr>
          <w:p>
            <w:pPr>
              <w:pStyle w:val="TableParagraph"/>
              <w:spacing w:line="240" w:lineRule="exact"/>
              <w:ind w:left="4" w:right="-2"/>
              <w:jc w:val="left"/>
              <w:rPr>
                <w:rFonts w:ascii="宋体" w:hAnsi="宋体" w:cs="宋体" w:eastAsia="宋体" w:hint="default"/>
                <w:sz w:val="21"/>
                <w:szCs w:val="21"/>
              </w:rPr>
            </w:pPr>
            <w:r>
              <w:rPr>
                <w:rFonts w:ascii="宋体" w:hAnsi="宋体" w:cs="宋体" w:eastAsia="宋体" w:hint="default"/>
                <w:spacing w:val="6"/>
                <w:sz w:val="21"/>
                <w:szCs w:val="21"/>
              </w:rPr>
              <w:t>按信用风险特征组合计提坏</w:t>
            </w:r>
          </w:p>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账准备的应收账款</w:t>
            </w:r>
          </w:p>
        </w:tc>
        <w:tc>
          <w:tcPr>
            <w:tcW w:w="1567"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16,645,064.28</w:t>
            </w:r>
          </w:p>
        </w:tc>
        <w:tc>
          <w:tcPr>
            <w:tcW w:w="934"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z w:val="21"/>
              </w:rPr>
              <w:t>99.92</w:t>
            </w:r>
          </w:p>
        </w:tc>
        <w:tc>
          <w:tcPr>
            <w:tcW w:w="1459"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Times New Roman" w:hAnsi="Times New Roman" w:cs="Times New Roman" w:eastAsia="Times New Roman" w:hint="default"/>
                <w:sz w:val="21"/>
                <w:szCs w:val="21"/>
              </w:rPr>
            </w:pPr>
            <w:r>
              <w:rPr>
                <w:rFonts w:ascii="Times New Roman"/>
                <w:spacing w:val="-1"/>
                <w:sz w:val="21"/>
              </w:rPr>
              <w:t>248,474.31</w:t>
            </w:r>
          </w:p>
        </w:tc>
        <w:tc>
          <w:tcPr>
            <w:tcW w:w="926"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z w:val="21"/>
              </w:rPr>
              <w:t>1.49</w:t>
            </w:r>
          </w:p>
        </w:tc>
        <w:tc>
          <w:tcPr>
            <w:tcW w:w="1644"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7"/>
              <w:jc w:val="right"/>
              <w:rPr>
                <w:rFonts w:ascii="Times New Roman" w:hAnsi="Times New Roman" w:cs="Times New Roman" w:eastAsia="Times New Roman" w:hint="default"/>
                <w:sz w:val="21"/>
                <w:szCs w:val="21"/>
              </w:rPr>
            </w:pPr>
            <w:r>
              <w:rPr>
                <w:rFonts w:ascii="Times New Roman"/>
                <w:spacing w:val="-1"/>
                <w:sz w:val="21"/>
              </w:rPr>
              <w:t>16,396,589.97</w:t>
            </w:r>
          </w:p>
        </w:tc>
      </w:tr>
      <w:tr>
        <w:trPr>
          <w:trHeight w:val="586" w:hRule="exact"/>
        </w:trPr>
        <w:tc>
          <w:tcPr>
            <w:tcW w:w="2647" w:type="dxa"/>
            <w:tcBorders>
              <w:top w:val="single" w:sz="12" w:space="0" w:color="000000"/>
              <w:left w:val="single" w:sz="6" w:space="0" w:color="000000"/>
              <w:bottom w:val="single" w:sz="12" w:space="0" w:color="000000"/>
              <w:right w:val="single" w:sz="6" w:space="0" w:color="000000"/>
            </w:tcBorders>
          </w:tcPr>
          <w:p>
            <w:pPr>
              <w:pStyle w:val="TableParagraph"/>
              <w:spacing w:line="240" w:lineRule="exact"/>
              <w:ind w:left="4" w:right="-2"/>
              <w:jc w:val="left"/>
              <w:rPr>
                <w:rFonts w:ascii="宋体" w:hAnsi="宋体" w:cs="宋体" w:eastAsia="宋体" w:hint="default"/>
                <w:sz w:val="21"/>
                <w:szCs w:val="21"/>
              </w:rPr>
            </w:pPr>
            <w:r>
              <w:rPr>
                <w:rFonts w:ascii="宋体" w:hAnsi="宋体" w:cs="宋体" w:eastAsia="宋体" w:hint="default"/>
                <w:spacing w:val="6"/>
                <w:sz w:val="21"/>
                <w:szCs w:val="21"/>
              </w:rPr>
              <w:t>单项金额虽不重大但单独计</w:t>
            </w:r>
          </w:p>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提坏账准备的应收账款</w:t>
            </w:r>
          </w:p>
        </w:tc>
        <w:tc>
          <w:tcPr>
            <w:tcW w:w="1567"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12,756.00</w:t>
            </w:r>
          </w:p>
        </w:tc>
        <w:tc>
          <w:tcPr>
            <w:tcW w:w="934"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z w:val="21"/>
              </w:rPr>
              <w:t>0.08</w:t>
            </w:r>
          </w:p>
        </w:tc>
        <w:tc>
          <w:tcPr>
            <w:tcW w:w="1459"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Times New Roman" w:hAnsi="Times New Roman" w:cs="Times New Roman" w:eastAsia="Times New Roman" w:hint="default"/>
                <w:sz w:val="21"/>
                <w:szCs w:val="21"/>
              </w:rPr>
            </w:pPr>
            <w:r>
              <w:rPr>
                <w:rFonts w:ascii="Times New Roman"/>
                <w:spacing w:val="-1"/>
                <w:sz w:val="21"/>
              </w:rPr>
              <w:t>12,756.00</w:t>
            </w:r>
          </w:p>
        </w:tc>
        <w:tc>
          <w:tcPr>
            <w:tcW w:w="926"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z w:val="21"/>
              </w:rPr>
              <w:t>100.00</w:t>
            </w:r>
          </w:p>
        </w:tc>
        <w:tc>
          <w:tcPr>
            <w:tcW w:w="1644"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4"/>
              <w:jc w:val="right"/>
              <w:rPr>
                <w:rFonts w:ascii="Times New Roman" w:hAnsi="Times New Roman" w:cs="Times New Roman" w:eastAsia="Times New Roman" w:hint="default"/>
                <w:sz w:val="21"/>
                <w:szCs w:val="21"/>
              </w:rPr>
            </w:pPr>
            <w:r>
              <w:rPr>
                <w:rFonts w:ascii="Times New Roman"/>
                <w:spacing w:val="-1"/>
                <w:sz w:val="21"/>
              </w:rPr>
              <w:t>---</w:t>
            </w:r>
          </w:p>
        </w:tc>
      </w:tr>
      <w:tr>
        <w:trPr>
          <w:trHeight w:val="353" w:hRule="exact"/>
        </w:trPr>
        <w:tc>
          <w:tcPr>
            <w:tcW w:w="2647"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67"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16,657,820.28</w:t>
            </w:r>
          </w:p>
        </w:tc>
        <w:tc>
          <w:tcPr>
            <w:tcW w:w="934"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z w:val="21"/>
              </w:rPr>
              <w:t>100.00</w:t>
            </w:r>
          </w:p>
        </w:tc>
        <w:tc>
          <w:tcPr>
            <w:tcW w:w="1459"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Times New Roman" w:hAnsi="Times New Roman" w:cs="Times New Roman" w:eastAsia="Times New Roman" w:hint="default"/>
                <w:sz w:val="21"/>
                <w:szCs w:val="21"/>
              </w:rPr>
            </w:pPr>
            <w:r>
              <w:rPr>
                <w:rFonts w:ascii="Times New Roman"/>
                <w:spacing w:val="-1"/>
                <w:sz w:val="21"/>
              </w:rPr>
              <w:t>261,230.31</w:t>
            </w:r>
          </w:p>
        </w:tc>
        <w:tc>
          <w:tcPr>
            <w:tcW w:w="926"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z w:val="21"/>
              </w:rPr>
              <w:t>1.57</w:t>
            </w:r>
          </w:p>
        </w:tc>
        <w:tc>
          <w:tcPr>
            <w:tcW w:w="1644"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7"/>
              <w:jc w:val="right"/>
              <w:rPr>
                <w:rFonts w:ascii="Times New Roman" w:hAnsi="Times New Roman" w:cs="Times New Roman" w:eastAsia="Times New Roman" w:hint="default"/>
                <w:sz w:val="21"/>
                <w:szCs w:val="21"/>
              </w:rPr>
            </w:pPr>
            <w:r>
              <w:rPr>
                <w:rFonts w:ascii="Times New Roman"/>
                <w:spacing w:val="-1"/>
                <w:sz w:val="21"/>
              </w:rPr>
              <w:t>16,396,589.97</w:t>
            </w:r>
          </w:p>
        </w:tc>
      </w:tr>
    </w:tbl>
    <w:p>
      <w:pPr>
        <w:spacing w:line="240" w:lineRule="auto" w:before="3"/>
        <w:rPr>
          <w:rFonts w:ascii="宋体" w:hAnsi="宋体" w:cs="宋体" w:eastAsia="宋体" w:hint="default"/>
          <w:b/>
          <w:bCs/>
          <w:sz w:val="8"/>
          <w:szCs w:val="8"/>
        </w:rPr>
      </w:pPr>
    </w:p>
    <w:p>
      <w:pPr>
        <w:pStyle w:val="BodyText"/>
        <w:spacing w:line="240" w:lineRule="auto" w:before="36"/>
        <w:ind w:left="572" w:right="0"/>
        <w:jc w:val="left"/>
      </w:pPr>
      <w:r>
        <w:rPr/>
        <w:t>（续）</w:t>
      </w:r>
    </w:p>
    <w:p>
      <w:pPr>
        <w:spacing w:line="240" w:lineRule="auto" w:before="10"/>
        <w:rPr>
          <w:rFonts w:ascii="宋体" w:hAnsi="宋体" w:cs="宋体" w:eastAsia="宋体" w:hint="default"/>
          <w:sz w:val="3"/>
          <w:szCs w:val="3"/>
        </w:rPr>
      </w:pPr>
    </w:p>
    <w:tbl>
      <w:tblPr>
        <w:tblW w:w="0" w:type="auto"/>
        <w:jc w:val="left"/>
        <w:tblInd w:w="145" w:type="dxa"/>
        <w:tblLayout w:type="fixed"/>
        <w:tblCellMar>
          <w:top w:w="0" w:type="dxa"/>
          <w:left w:w="0" w:type="dxa"/>
          <w:bottom w:w="0" w:type="dxa"/>
          <w:right w:w="0" w:type="dxa"/>
        </w:tblCellMar>
        <w:tblLook w:val="01E0"/>
      </w:tblPr>
      <w:tblGrid>
        <w:gridCol w:w="2647"/>
        <w:gridCol w:w="1567"/>
        <w:gridCol w:w="934"/>
        <w:gridCol w:w="1459"/>
        <w:gridCol w:w="926"/>
        <w:gridCol w:w="1644"/>
      </w:tblGrid>
      <w:tr>
        <w:trPr>
          <w:trHeight w:val="355" w:hRule="exact"/>
        </w:trPr>
        <w:tc>
          <w:tcPr>
            <w:tcW w:w="2647" w:type="dxa"/>
            <w:vMerge w:val="restart"/>
            <w:tcBorders>
              <w:top w:val="single" w:sz="6" w:space="0" w:color="000000"/>
              <w:left w:val="single" w:sz="6" w:space="0" w:color="000000"/>
              <w:right w:val="single" w:sz="6" w:space="0" w:color="000000"/>
            </w:tcBorders>
          </w:tcPr>
          <w:p>
            <w:pPr>
              <w:pStyle w:val="TableParagraph"/>
              <w:spacing w:line="250" w:lineRule="exact"/>
              <w:ind w:left="7"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6530" w:type="dxa"/>
            <w:gridSpan w:val="5"/>
            <w:tcBorders>
              <w:top w:val="single" w:sz="6" w:space="0" w:color="000000"/>
              <w:left w:val="single" w:sz="6" w:space="0" w:color="000000"/>
              <w:bottom w:val="single" w:sz="12" w:space="0" w:color="000000"/>
              <w:right w:val="nil" w:sz="6" w:space="0" w:color="auto"/>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50" w:hRule="exact"/>
        </w:trPr>
        <w:tc>
          <w:tcPr>
            <w:tcW w:w="2647" w:type="dxa"/>
            <w:vMerge/>
            <w:tcBorders>
              <w:left w:val="single" w:sz="6" w:space="0" w:color="000000"/>
              <w:right w:val="single" w:sz="6" w:space="0" w:color="000000"/>
            </w:tcBorders>
          </w:tcPr>
          <w:p>
            <w:pPr/>
          </w:p>
        </w:tc>
        <w:tc>
          <w:tcPr>
            <w:tcW w:w="2501" w:type="dxa"/>
            <w:gridSpan w:val="2"/>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82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386" w:type="dxa"/>
            <w:gridSpan w:val="2"/>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76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644" w:type="dxa"/>
            <w:vMerge w:val="restart"/>
            <w:tcBorders>
              <w:top w:val="single" w:sz="12" w:space="0" w:color="000000"/>
              <w:left w:val="single" w:sz="6" w:space="0" w:color="000000"/>
              <w:right w:val="nil" w:sz="6" w:space="0" w:color="auto"/>
            </w:tcBorders>
          </w:tcPr>
          <w:p>
            <w:pPr>
              <w:pStyle w:val="TableParagraph"/>
              <w:spacing w:line="241" w:lineRule="exact"/>
              <w:ind w:left="396"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586" w:hRule="exact"/>
        </w:trPr>
        <w:tc>
          <w:tcPr>
            <w:tcW w:w="2647" w:type="dxa"/>
            <w:vMerge/>
            <w:tcBorders>
              <w:left w:val="single" w:sz="6" w:space="0" w:color="000000"/>
              <w:bottom w:val="single" w:sz="12" w:space="0" w:color="000000"/>
              <w:right w:val="single" w:sz="6" w:space="0" w:color="000000"/>
            </w:tcBorders>
          </w:tcPr>
          <w:p>
            <w:pPr/>
          </w:p>
        </w:tc>
        <w:tc>
          <w:tcPr>
            <w:tcW w:w="1567"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7"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34" w:type="dxa"/>
            <w:tcBorders>
              <w:top w:val="single" w:sz="12" w:space="0" w:color="000000"/>
              <w:left w:val="single" w:sz="6" w:space="0" w:color="000000"/>
              <w:bottom w:val="single" w:sz="12" w:space="0" w:color="000000"/>
              <w:right w:val="single" w:sz="6" w:space="0" w:color="000000"/>
            </w:tcBorders>
          </w:tcPr>
          <w:p>
            <w:pPr>
              <w:pStyle w:val="TableParagraph"/>
              <w:spacing w:line="259" w:lineRule="exact"/>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459" w:type="dxa"/>
            <w:tcBorders>
              <w:top w:val="single" w:sz="12" w:space="0" w:color="000000"/>
              <w:left w:val="single" w:sz="6" w:space="0" w:color="000000"/>
              <w:bottom w:val="single" w:sz="12" w:space="0" w:color="000000"/>
              <w:right w:val="single" w:sz="6" w:space="0" w:color="000000"/>
            </w:tcBorders>
          </w:tcPr>
          <w:p>
            <w:pPr>
              <w:pStyle w:val="TableParagraph"/>
              <w:tabs>
                <w:tab w:pos="513" w:val="left" w:leader="none"/>
              </w:tabs>
              <w:spacing w:line="243" w:lineRule="exact"/>
              <w:ind w:left="-125" w:right="0"/>
              <w:jc w:val="left"/>
              <w:rPr>
                <w:rFonts w:ascii="宋体" w:hAnsi="宋体" w:cs="宋体" w:eastAsia="宋体" w:hint="default"/>
                <w:sz w:val="21"/>
                <w:szCs w:val="21"/>
              </w:rPr>
            </w:pPr>
            <w:r>
              <w:rPr>
                <w:rFonts w:ascii="宋体" w:hAnsi="宋体" w:cs="宋体" w:eastAsia="宋体" w:hint="default"/>
                <w:sz w:val="21"/>
                <w:szCs w:val="21"/>
              </w:rPr>
              <w:t>）</w:t>
              <w:tab/>
              <w:t>金额</w:t>
            </w:r>
          </w:p>
        </w:tc>
        <w:tc>
          <w:tcPr>
            <w:tcW w:w="926" w:type="dxa"/>
            <w:tcBorders>
              <w:top w:val="single" w:sz="12" w:space="0" w:color="000000"/>
              <w:left w:val="single" w:sz="6" w:space="0" w:color="000000"/>
              <w:bottom w:val="single" w:sz="12" w:space="0" w:color="000000"/>
              <w:right w:val="single" w:sz="6"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90"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644" w:type="dxa"/>
            <w:vMerge/>
            <w:tcBorders>
              <w:left w:val="single" w:sz="6" w:space="0" w:color="000000"/>
              <w:bottom w:val="single" w:sz="12" w:space="0" w:color="000000"/>
              <w:right w:val="nil" w:sz="6" w:space="0" w:color="auto"/>
            </w:tcBorders>
          </w:tcPr>
          <w:p>
            <w:pPr/>
          </w:p>
        </w:tc>
      </w:tr>
      <w:tr>
        <w:trPr>
          <w:trHeight w:val="588" w:hRule="exact"/>
        </w:trPr>
        <w:tc>
          <w:tcPr>
            <w:tcW w:w="2647"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4" w:right="-2"/>
              <w:jc w:val="left"/>
              <w:rPr>
                <w:rFonts w:ascii="宋体" w:hAnsi="宋体" w:cs="宋体" w:eastAsia="宋体" w:hint="default"/>
                <w:sz w:val="21"/>
                <w:szCs w:val="21"/>
              </w:rPr>
            </w:pPr>
            <w:r>
              <w:rPr>
                <w:rFonts w:ascii="宋体" w:hAnsi="宋体" w:cs="宋体" w:eastAsia="宋体" w:hint="default"/>
                <w:spacing w:val="6"/>
                <w:sz w:val="21"/>
                <w:szCs w:val="21"/>
              </w:rPr>
              <w:t>单项金额重大并单独计提坏</w:t>
            </w:r>
          </w:p>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账准备的应收账款</w:t>
            </w:r>
          </w:p>
        </w:tc>
        <w:tc>
          <w:tcPr>
            <w:tcW w:w="1567"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934"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459"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926"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644"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6"/>
              <w:jc w:val="right"/>
              <w:rPr>
                <w:rFonts w:ascii="Times New Roman" w:hAnsi="Times New Roman" w:cs="Times New Roman" w:eastAsia="Times New Roman" w:hint="default"/>
                <w:sz w:val="21"/>
                <w:szCs w:val="21"/>
              </w:rPr>
            </w:pPr>
            <w:r>
              <w:rPr>
                <w:rFonts w:ascii="Times New Roman"/>
                <w:spacing w:val="-1"/>
                <w:sz w:val="21"/>
              </w:rPr>
              <w:t>---</w:t>
            </w:r>
          </w:p>
        </w:tc>
      </w:tr>
      <w:tr>
        <w:trPr>
          <w:trHeight w:val="586" w:hRule="exact"/>
        </w:trPr>
        <w:tc>
          <w:tcPr>
            <w:tcW w:w="2647" w:type="dxa"/>
            <w:tcBorders>
              <w:top w:val="single" w:sz="12" w:space="0" w:color="000000"/>
              <w:left w:val="single" w:sz="6" w:space="0" w:color="000000"/>
              <w:bottom w:val="single" w:sz="12" w:space="0" w:color="000000"/>
              <w:right w:val="single" w:sz="6" w:space="0" w:color="000000"/>
            </w:tcBorders>
          </w:tcPr>
          <w:p>
            <w:pPr>
              <w:pStyle w:val="TableParagraph"/>
              <w:spacing w:line="240" w:lineRule="exact"/>
              <w:ind w:left="4" w:right="-2"/>
              <w:jc w:val="left"/>
              <w:rPr>
                <w:rFonts w:ascii="宋体" w:hAnsi="宋体" w:cs="宋体" w:eastAsia="宋体" w:hint="default"/>
                <w:sz w:val="21"/>
                <w:szCs w:val="21"/>
              </w:rPr>
            </w:pPr>
            <w:r>
              <w:rPr>
                <w:rFonts w:ascii="宋体" w:hAnsi="宋体" w:cs="宋体" w:eastAsia="宋体" w:hint="default"/>
                <w:spacing w:val="6"/>
                <w:sz w:val="21"/>
                <w:szCs w:val="21"/>
              </w:rPr>
              <w:t>按信用风险特征组合计提坏</w:t>
            </w:r>
          </w:p>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账准备的应收账款</w:t>
            </w:r>
          </w:p>
        </w:tc>
        <w:tc>
          <w:tcPr>
            <w:tcW w:w="1567"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3"/>
              <w:jc w:val="right"/>
              <w:rPr>
                <w:rFonts w:ascii="Times New Roman" w:hAnsi="Times New Roman" w:cs="Times New Roman" w:eastAsia="Times New Roman" w:hint="default"/>
                <w:sz w:val="21"/>
                <w:szCs w:val="21"/>
              </w:rPr>
            </w:pPr>
            <w:r>
              <w:rPr>
                <w:rFonts w:ascii="Times New Roman"/>
                <w:spacing w:val="-1"/>
                <w:sz w:val="21"/>
              </w:rPr>
              <w:t>18,332,934.56</w:t>
            </w:r>
          </w:p>
        </w:tc>
        <w:tc>
          <w:tcPr>
            <w:tcW w:w="934"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z w:val="21"/>
              </w:rPr>
              <w:t>100.00</w:t>
            </w:r>
          </w:p>
        </w:tc>
        <w:tc>
          <w:tcPr>
            <w:tcW w:w="1459"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184,920.21</w:t>
            </w:r>
          </w:p>
        </w:tc>
        <w:tc>
          <w:tcPr>
            <w:tcW w:w="926"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z w:val="21"/>
              </w:rPr>
              <w:t>1.01</w:t>
            </w:r>
          </w:p>
        </w:tc>
        <w:tc>
          <w:tcPr>
            <w:tcW w:w="1644"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5"/>
              <w:jc w:val="right"/>
              <w:rPr>
                <w:rFonts w:ascii="Times New Roman" w:hAnsi="Times New Roman" w:cs="Times New Roman" w:eastAsia="Times New Roman" w:hint="default"/>
                <w:sz w:val="21"/>
                <w:szCs w:val="21"/>
              </w:rPr>
            </w:pPr>
            <w:r>
              <w:rPr>
                <w:rFonts w:ascii="Times New Roman"/>
                <w:spacing w:val="-1"/>
                <w:sz w:val="21"/>
              </w:rPr>
              <w:t>18,148,014.35</w:t>
            </w:r>
          </w:p>
        </w:tc>
      </w:tr>
    </w:tbl>
    <w:p>
      <w:pPr>
        <w:spacing w:after="0" w:line="235" w:lineRule="exact"/>
        <w:jc w:val="right"/>
        <w:rPr>
          <w:rFonts w:ascii="Times New Roman" w:hAnsi="Times New Roman" w:cs="Times New Roman" w:eastAsia="Times New Roman" w:hint="default"/>
          <w:sz w:val="21"/>
          <w:szCs w:val="21"/>
        </w:rPr>
        <w:sectPr>
          <w:footerReference w:type="default" r:id="rId78"/>
          <w:pgSz w:w="11910" w:h="16840"/>
          <w:pgMar w:footer="979" w:header="880" w:top="1060" w:bottom="1160" w:left="980" w:right="980"/>
          <w:pgNumType w:start="110"/>
        </w:sectPr>
      </w:pPr>
    </w:p>
    <w:p>
      <w:pPr>
        <w:spacing w:line="240" w:lineRule="auto" w:before="4"/>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2647"/>
        <w:gridCol w:w="1567"/>
        <w:gridCol w:w="934"/>
        <w:gridCol w:w="1459"/>
        <w:gridCol w:w="926"/>
        <w:gridCol w:w="1644"/>
      </w:tblGrid>
      <w:tr>
        <w:trPr>
          <w:trHeight w:val="588" w:hRule="exact"/>
        </w:trPr>
        <w:tc>
          <w:tcPr>
            <w:tcW w:w="2647" w:type="dxa"/>
            <w:tcBorders>
              <w:top w:val="single" w:sz="6" w:space="0" w:color="000000"/>
              <w:left w:val="single" w:sz="6" w:space="0" w:color="000000"/>
              <w:bottom w:val="single" w:sz="12" w:space="0" w:color="000000"/>
              <w:right w:val="single" w:sz="6" w:space="0" w:color="000000"/>
            </w:tcBorders>
          </w:tcPr>
          <w:p>
            <w:pPr>
              <w:pStyle w:val="TableParagraph"/>
              <w:spacing w:line="274" w:lineRule="exact" w:before="1"/>
              <w:ind w:left="4" w:right="-2"/>
              <w:jc w:val="left"/>
              <w:rPr>
                <w:rFonts w:ascii="宋体" w:hAnsi="宋体" w:cs="宋体" w:eastAsia="宋体" w:hint="default"/>
                <w:sz w:val="21"/>
                <w:szCs w:val="21"/>
              </w:rPr>
            </w:pPr>
            <w:r>
              <w:rPr>
                <w:rFonts w:ascii="宋体" w:hAnsi="宋体" w:cs="宋体" w:eastAsia="宋体" w:hint="default"/>
                <w:spacing w:val="6"/>
                <w:sz w:val="21"/>
                <w:szCs w:val="21"/>
              </w:rPr>
              <w:t>单项金额虽不重大但单独计</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提坏账准备的应收账款</w:t>
            </w:r>
          </w:p>
        </w:tc>
        <w:tc>
          <w:tcPr>
            <w:tcW w:w="15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
              <w:ind w:right="-1"/>
              <w:jc w:val="right"/>
              <w:rPr>
                <w:rFonts w:ascii="Times New Roman" w:hAnsi="Times New Roman" w:cs="Times New Roman" w:eastAsia="Times New Roman" w:hint="default"/>
                <w:sz w:val="21"/>
                <w:szCs w:val="21"/>
              </w:rPr>
            </w:pPr>
            <w:r>
              <w:rPr>
                <w:rFonts w:ascii="Times New Roman"/>
                <w:spacing w:val="-1"/>
                <w:sz w:val="21"/>
              </w:rPr>
              <w:t>---</w:t>
            </w:r>
          </w:p>
        </w:tc>
        <w:tc>
          <w:tcPr>
            <w:tcW w:w="9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
              <w:ind w:right="1"/>
              <w:jc w:val="right"/>
              <w:rPr>
                <w:rFonts w:ascii="Times New Roman" w:hAnsi="Times New Roman" w:cs="Times New Roman" w:eastAsia="Times New Roman" w:hint="default"/>
                <w:sz w:val="21"/>
                <w:szCs w:val="21"/>
              </w:rPr>
            </w:pPr>
            <w:r>
              <w:rPr>
                <w:rFonts w:ascii="Times New Roman"/>
                <w:spacing w:val="-1"/>
                <w:sz w:val="21"/>
              </w:rPr>
              <w:t>---</w:t>
            </w:r>
          </w:p>
        </w:tc>
        <w:tc>
          <w:tcPr>
            <w:tcW w:w="14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
              <w:ind w:right="1"/>
              <w:jc w:val="right"/>
              <w:rPr>
                <w:rFonts w:ascii="Times New Roman" w:hAnsi="Times New Roman" w:cs="Times New Roman" w:eastAsia="Times New Roman" w:hint="default"/>
                <w:sz w:val="21"/>
                <w:szCs w:val="21"/>
              </w:rPr>
            </w:pPr>
            <w:r>
              <w:rPr>
                <w:rFonts w:ascii="Times New Roman"/>
                <w:spacing w:val="-1"/>
                <w:sz w:val="21"/>
              </w:rPr>
              <w:t>---</w:t>
            </w:r>
          </w:p>
        </w:tc>
        <w:tc>
          <w:tcPr>
            <w:tcW w:w="9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
              <w:ind w:right="1"/>
              <w:jc w:val="right"/>
              <w:rPr>
                <w:rFonts w:ascii="Times New Roman" w:hAnsi="Times New Roman" w:cs="Times New Roman" w:eastAsia="Times New Roman" w:hint="default"/>
                <w:sz w:val="21"/>
                <w:szCs w:val="21"/>
              </w:rPr>
            </w:pPr>
            <w:r>
              <w:rPr>
                <w:rFonts w:ascii="Times New Roman"/>
                <w:spacing w:val="-1"/>
                <w:sz w:val="21"/>
              </w:rPr>
              <w:t>---</w:t>
            </w:r>
          </w:p>
        </w:tc>
        <w:tc>
          <w:tcPr>
            <w:tcW w:w="164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
              <w:ind w:right="7"/>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r>
      <w:tr>
        <w:trPr>
          <w:trHeight w:val="353" w:hRule="exact"/>
        </w:trPr>
        <w:tc>
          <w:tcPr>
            <w:tcW w:w="2647"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7"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67"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3"/>
              <w:jc w:val="right"/>
              <w:rPr>
                <w:rFonts w:ascii="Times New Roman" w:hAnsi="Times New Roman" w:cs="Times New Roman" w:eastAsia="Times New Roman" w:hint="default"/>
                <w:sz w:val="21"/>
                <w:szCs w:val="21"/>
              </w:rPr>
            </w:pPr>
            <w:r>
              <w:rPr>
                <w:rFonts w:ascii="Times New Roman"/>
                <w:spacing w:val="-1"/>
                <w:sz w:val="21"/>
              </w:rPr>
              <w:t>18,332,934.56</w:t>
            </w:r>
          </w:p>
        </w:tc>
        <w:tc>
          <w:tcPr>
            <w:tcW w:w="934"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z w:val="21"/>
              </w:rPr>
              <w:t>100.00</w:t>
            </w:r>
          </w:p>
        </w:tc>
        <w:tc>
          <w:tcPr>
            <w:tcW w:w="1459"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184,920.21</w:t>
            </w:r>
          </w:p>
        </w:tc>
        <w:tc>
          <w:tcPr>
            <w:tcW w:w="926"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z w:val="21"/>
              </w:rPr>
              <w:t>1.01</w:t>
            </w:r>
          </w:p>
        </w:tc>
        <w:tc>
          <w:tcPr>
            <w:tcW w:w="1644"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5"/>
              <w:jc w:val="right"/>
              <w:rPr>
                <w:rFonts w:ascii="Times New Roman" w:hAnsi="Times New Roman" w:cs="Times New Roman" w:eastAsia="Times New Roman" w:hint="default"/>
                <w:sz w:val="21"/>
                <w:szCs w:val="21"/>
              </w:rPr>
            </w:pPr>
            <w:r>
              <w:rPr>
                <w:rFonts w:ascii="Times New Roman"/>
                <w:spacing w:val="-1"/>
                <w:sz w:val="21"/>
              </w:rPr>
              <w:t>18,148,014.35</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BodyText"/>
        <w:spacing w:line="240" w:lineRule="auto" w:before="36"/>
        <w:ind w:left="572" w:right="0"/>
        <w:jc w:val="left"/>
      </w:pPr>
      <w:r>
        <w:rPr/>
        <w:t>应收账款种类的说明：</w:t>
      </w:r>
    </w:p>
    <w:p>
      <w:pPr>
        <w:pStyle w:val="BodyText"/>
        <w:spacing w:line="240" w:lineRule="auto" w:before="37"/>
        <w:ind w:left="572" w:right="0"/>
        <w:jc w:val="left"/>
      </w:pPr>
      <w:r>
        <w:rPr/>
        <w:t>（</w:t>
      </w:r>
      <w:r>
        <w:rPr>
          <w:rFonts w:ascii="Times New Roman" w:hAnsi="Times New Roman" w:cs="Times New Roman" w:eastAsia="Times New Roman" w:hint="default"/>
        </w:rPr>
        <w:t>1</w:t>
      </w:r>
      <w:r>
        <w:rPr/>
        <w:t>）组合中，按账龄分析法计提坏账准备的应收账款</w:t>
      </w:r>
    </w:p>
    <w:p>
      <w:pPr>
        <w:spacing w:line="240" w:lineRule="auto" w:before="8"/>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2645"/>
        <w:gridCol w:w="2424"/>
        <w:gridCol w:w="2062"/>
        <w:gridCol w:w="2057"/>
      </w:tblGrid>
      <w:tr>
        <w:trPr>
          <w:trHeight w:val="355" w:hRule="exact"/>
        </w:trPr>
        <w:tc>
          <w:tcPr>
            <w:tcW w:w="2645" w:type="dxa"/>
            <w:vMerge w:val="restart"/>
            <w:tcBorders>
              <w:top w:val="single" w:sz="6" w:space="0" w:color="000000"/>
              <w:left w:val="single" w:sz="6" w:space="0" w:color="000000"/>
              <w:right w:val="single" w:sz="6" w:space="0" w:color="000000"/>
            </w:tcBorders>
          </w:tcPr>
          <w:p>
            <w:pPr>
              <w:pStyle w:val="TableParagraph"/>
              <w:spacing w:line="253" w:lineRule="exact"/>
              <w:ind w:left="4"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542" w:type="dxa"/>
            <w:gridSpan w:val="3"/>
            <w:tcBorders>
              <w:top w:val="single" w:sz="6" w:space="0" w:color="000000"/>
              <w:left w:val="single" w:sz="6" w:space="0" w:color="000000"/>
              <w:bottom w:val="single" w:sz="12" w:space="0" w:color="000000"/>
              <w:right w:val="nil" w:sz="6" w:space="0" w:color="auto"/>
            </w:tcBorders>
          </w:tcPr>
          <w:p>
            <w:pPr>
              <w:pStyle w:val="TableParagraph"/>
              <w:spacing w:line="253" w:lineRule="exact"/>
              <w:ind w:right="2"/>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350" w:hRule="exact"/>
        </w:trPr>
        <w:tc>
          <w:tcPr>
            <w:tcW w:w="2645" w:type="dxa"/>
            <w:vMerge/>
            <w:tcBorders>
              <w:left w:val="single" w:sz="6" w:space="0" w:color="000000"/>
              <w:bottom w:val="single" w:sz="12" w:space="0" w:color="000000"/>
              <w:right w:val="single" w:sz="6" w:space="0" w:color="000000"/>
            </w:tcBorders>
          </w:tcPr>
          <w:p>
            <w:pPr/>
          </w:p>
        </w:tc>
        <w:tc>
          <w:tcPr>
            <w:tcW w:w="2424"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78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062"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60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057" w:type="dxa"/>
            <w:tcBorders>
              <w:top w:val="single" w:sz="12" w:space="0" w:color="000000"/>
              <w:left w:val="single" w:sz="6" w:space="0" w:color="000000"/>
              <w:bottom w:val="single" w:sz="12" w:space="0" w:color="000000"/>
              <w:right w:val="nil" w:sz="6" w:space="0" w:color="auto"/>
            </w:tcBorders>
          </w:tcPr>
          <w:p>
            <w:pPr>
              <w:pStyle w:val="TableParagraph"/>
              <w:spacing w:line="257" w:lineRule="exact"/>
              <w:ind w:left="304"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53" w:hRule="exact"/>
        </w:trPr>
        <w:tc>
          <w:tcPr>
            <w:tcW w:w="2645" w:type="dxa"/>
            <w:tcBorders>
              <w:top w:val="single" w:sz="12" w:space="0" w:color="000000"/>
              <w:left w:val="single" w:sz="6" w:space="0" w:color="000000"/>
              <w:bottom w:val="single" w:sz="12" w:space="0" w:color="000000"/>
              <w:right w:val="single" w:sz="6" w:space="0" w:color="000000"/>
            </w:tcBorders>
          </w:tcPr>
          <w:p>
            <w:pPr>
              <w:pStyle w:val="TableParagraph"/>
              <w:spacing w:line="259"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2424"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0"/>
              <w:jc w:val="right"/>
              <w:rPr>
                <w:rFonts w:ascii="Times New Roman" w:hAnsi="Times New Roman" w:cs="Times New Roman" w:eastAsia="Times New Roman" w:hint="default"/>
                <w:sz w:val="21"/>
                <w:szCs w:val="21"/>
              </w:rPr>
            </w:pPr>
            <w:r>
              <w:rPr>
                <w:rFonts w:ascii="Times New Roman"/>
                <w:spacing w:val="-1"/>
                <w:sz w:val="21"/>
              </w:rPr>
              <w:t>15,743,778.88</w:t>
            </w:r>
          </w:p>
        </w:tc>
        <w:tc>
          <w:tcPr>
            <w:tcW w:w="2062"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0"/>
              <w:jc w:val="right"/>
              <w:rPr>
                <w:rFonts w:ascii="Times New Roman" w:hAnsi="Times New Roman" w:cs="Times New Roman" w:eastAsia="Times New Roman" w:hint="default"/>
                <w:sz w:val="21"/>
                <w:szCs w:val="21"/>
              </w:rPr>
            </w:pPr>
            <w:r>
              <w:rPr>
                <w:rFonts w:ascii="Times New Roman"/>
                <w:spacing w:val="-1"/>
                <w:sz w:val="21"/>
              </w:rPr>
              <w:t>157,437.79</w:t>
            </w:r>
          </w:p>
        </w:tc>
        <w:tc>
          <w:tcPr>
            <w:tcW w:w="2057"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2"/>
              <w:jc w:val="right"/>
              <w:rPr>
                <w:rFonts w:ascii="Times New Roman" w:hAnsi="Times New Roman" w:cs="Times New Roman" w:eastAsia="Times New Roman" w:hint="default"/>
                <w:sz w:val="21"/>
                <w:szCs w:val="21"/>
              </w:rPr>
            </w:pPr>
            <w:r>
              <w:rPr>
                <w:rFonts w:ascii="Times New Roman"/>
                <w:sz w:val="21"/>
              </w:rPr>
              <w:t>1.00</w:t>
            </w:r>
          </w:p>
        </w:tc>
      </w:tr>
      <w:tr>
        <w:trPr>
          <w:trHeight w:val="353" w:hRule="exact"/>
        </w:trPr>
        <w:tc>
          <w:tcPr>
            <w:tcW w:w="2645" w:type="dxa"/>
            <w:tcBorders>
              <w:top w:val="single" w:sz="12" w:space="0" w:color="000000"/>
              <w:left w:val="single" w:sz="6" w:space="0" w:color="000000"/>
              <w:bottom w:val="single" w:sz="12" w:space="0" w:color="000000"/>
              <w:right w:val="single" w:sz="6" w:space="0" w:color="000000"/>
            </w:tcBorders>
          </w:tcPr>
          <w:p>
            <w:pPr>
              <w:pStyle w:val="TableParagraph"/>
              <w:spacing w:line="259"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年</w:t>
            </w:r>
          </w:p>
        </w:tc>
        <w:tc>
          <w:tcPr>
            <w:tcW w:w="2424"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0"/>
              <w:jc w:val="right"/>
              <w:rPr>
                <w:rFonts w:ascii="Times New Roman" w:hAnsi="Times New Roman" w:cs="Times New Roman" w:eastAsia="Times New Roman" w:hint="default"/>
                <w:sz w:val="21"/>
                <w:szCs w:val="21"/>
              </w:rPr>
            </w:pPr>
            <w:r>
              <w:rPr>
                <w:rFonts w:ascii="Times New Roman"/>
                <w:spacing w:val="-1"/>
                <w:sz w:val="21"/>
              </w:rPr>
              <w:t>900,095.00</w:t>
            </w:r>
          </w:p>
        </w:tc>
        <w:tc>
          <w:tcPr>
            <w:tcW w:w="2062"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0"/>
              <w:jc w:val="right"/>
              <w:rPr>
                <w:rFonts w:ascii="Times New Roman" w:hAnsi="Times New Roman" w:cs="Times New Roman" w:eastAsia="Times New Roman" w:hint="default"/>
                <w:sz w:val="21"/>
                <w:szCs w:val="21"/>
              </w:rPr>
            </w:pPr>
            <w:r>
              <w:rPr>
                <w:rFonts w:ascii="Times New Roman"/>
                <w:spacing w:val="-1"/>
                <w:sz w:val="21"/>
              </w:rPr>
              <w:t>90,009.50</w:t>
            </w:r>
          </w:p>
        </w:tc>
        <w:tc>
          <w:tcPr>
            <w:tcW w:w="2057"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2"/>
              <w:jc w:val="right"/>
              <w:rPr>
                <w:rFonts w:ascii="Times New Roman" w:hAnsi="Times New Roman" w:cs="Times New Roman" w:eastAsia="Times New Roman" w:hint="default"/>
                <w:sz w:val="21"/>
                <w:szCs w:val="21"/>
              </w:rPr>
            </w:pPr>
            <w:r>
              <w:rPr>
                <w:rFonts w:ascii="Times New Roman"/>
                <w:sz w:val="21"/>
              </w:rPr>
              <w:t>10.00</w:t>
            </w:r>
          </w:p>
        </w:tc>
      </w:tr>
      <w:tr>
        <w:trPr>
          <w:trHeight w:val="353" w:hRule="exact"/>
        </w:trPr>
        <w:tc>
          <w:tcPr>
            <w:tcW w:w="2645" w:type="dxa"/>
            <w:tcBorders>
              <w:top w:val="single" w:sz="12" w:space="0" w:color="000000"/>
              <w:left w:val="single" w:sz="6" w:space="0" w:color="000000"/>
              <w:bottom w:val="single" w:sz="12" w:space="0" w:color="000000"/>
              <w:right w:val="single" w:sz="6" w:space="0" w:color="000000"/>
            </w:tcBorders>
          </w:tcPr>
          <w:p>
            <w:pPr>
              <w:pStyle w:val="TableParagraph"/>
              <w:spacing w:line="257"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年</w:t>
            </w:r>
          </w:p>
        </w:tc>
        <w:tc>
          <w:tcPr>
            <w:tcW w:w="2424"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Times New Roman" w:hAnsi="Times New Roman" w:cs="Times New Roman" w:eastAsia="Times New Roman" w:hint="default"/>
                <w:sz w:val="21"/>
                <w:szCs w:val="21"/>
              </w:rPr>
            </w:pPr>
            <w:r>
              <w:rPr>
                <w:rFonts w:ascii="Times New Roman"/>
                <w:sz w:val="21"/>
              </w:rPr>
              <w:t>233.40</w:t>
            </w:r>
          </w:p>
        </w:tc>
        <w:tc>
          <w:tcPr>
            <w:tcW w:w="2062"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Times New Roman" w:hAnsi="Times New Roman" w:cs="Times New Roman" w:eastAsia="Times New Roman" w:hint="default"/>
                <w:sz w:val="21"/>
                <w:szCs w:val="21"/>
              </w:rPr>
            </w:pPr>
            <w:r>
              <w:rPr>
                <w:rFonts w:ascii="Times New Roman"/>
                <w:sz w:val="21"/>
              </w:rPr>
              <w:t>70.02</w:t>
            </w:r>
          </w:p>
        </w:tc>
        <w:tc>
          <w:tcPr>
            <w:tcW w:w="2057"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2"/>
              <w:jc w:val="right"/>
              <w:rPr>
                <w:rFonts w:ascii="Times New Roman" w:hAnsi="Times New Roman" w:cs="Times New Roman" w:eastAsia="Times New Roman" w:hint="default"/>
                <w:sz w:val="21"/>
                <w:szCs w:val="21"/>
              </w:rPr>
            </w:pPr>
            <w:r>
              <w:rPr>
                <w:rFonts w:ascii="Times New Roman"/>
                <w:sz w:val="21"/>
              </w:rPr>
              <w:t>30.00</w:t>
            </w:r>
          </w:p>
        </w:tc>
      </w:tr>
      <w:tr>
        <w:trPr>
          <w:trHeight w:val="350" w:hRule="exact"/>
        </w:trPr>
        <w:tc>
          <w:tcPr>
            <w:tcW w:w="2645" w:type="dxa"/>
            <w:tcBorders>
              <w:top w:val="single" w:sz="12" w:space="0" w:color="000000"/>
              <w:left w:val="single" w:sz="6" w:space="0" w:color="000000"/>
              <w:bottom w:val="single" w:sz="12" w:space="0" w:color="000000"/>
              <w:right w:val="single" w:sz="6" w:space="0" w:color="000000"/>
            </w:tcBorders>
          </w:tcPr>
          <w:p>
            <w:pPr>
              <w:pStyle w:val="TableParagraph"/>
              <w:spacing w:line="257"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年以上</w:t>
            </w:r>
          </w:p>
        </w:tc>
        <w:tc>
          <w:tcPr>
            <w:tcW w:w="2424"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Times New Roman" w:hAnsi="Times New Roman" w:cs="Times New Roman" w:eastAsia="Times New Roman" w:hint="default"/>
                <w:sz w:val="21"/>
                <w:szCs w:val="21"/>
              </w:rPr>
            </w:pPr>
            <w:r>
              <w:rPr>
                <w:rFonts w:ascii="Times New Roman"/>
                <w:sz w:val="21"/>
              </w:rPr>
              <w:t>957.00</w:t>
            </w:r>
          </w:p>
        </w:tc>
        <w:tc>
          <w:tcPr>
            <w:tcW w:w="2062"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Times New Roman" w:hAnsi="Times New Roman" w:cs="Times New Roman" w:eastAsia="Times New Roman" w:hint="default"/>
                <w:sz w:val="21"/>
                <w:szCs w:val="21"/>
              </w:rPr>
            </w:pPr>
            <w:r>
              <w:rPr>
                <w:rFonts w:ascii="Times New Roman"/>
                <w:sz w:val="21"/>
              </w:rPr>
              <w:t>957.00</w:t>
            </w:r>
          </w:p>
        </w:tc>
        <w:tc>
          <w:tcPr>
            <w:tcW w:w="2057"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2"/>
              <w:jc w:val="right"/>
              <w:rPr>
                <w:rFonts w:ascii="Times New Roman" w:hAnsi="Times New Roman" w:cs="Times New Roman" w:eastAsia="Times New Roman" w:hint="default"/>
                <w:sz w:val="21"/>
                <w:szCs w:val="21"/>
              </w:rPr>
            </w:pPr>
            <w:r>
              <w:rPr>
                <w:rFonts w:ascii="Times New Roman"/>
                <w:sz w:val="21"/>
              </w:rPr>
              <w:t>100.00</w:t>
            </w:r>
          </w:p>
        </w:tc>
      </w:tr>
      <w:tr>
        <w:trPr>
          <w:trHeight w:val="353" w:hRule="exact"/>
        </w:trPr>
        <w:tc>
          <w:tcPr>
            <w:tcW w:w="2645"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24"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0"/>
              <w:jc w:val="right"/>
              <w:rPr>
                <w:rFonts w:ascii="Times New Roman" w:hAnsi="Times New Roman" w:cs="Times New Roman" w:eastAsia="Times New Roman" w:hint="default"/>
                <w:sz w:val="21"/>
                <w:szCs w:val="21"/>
              </w:rPr>
            </w:pPr>
            <w:r>
              <w:rPr>
                <w:rFonts w:ascii="Times New Roman"/>
                <w:spacing w:val="-1"/>
                <w:sz w:val="21"/>
              </w:rPr>
              <w:t>16,645,064.28</w:t>
            </w:r>
          </w:p>
        </w:tc>
        <w:tc>
          <w:tcPr>
            <w:tcW w:w="2062"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0"/>
              <w:jc w:val="right"/>
              <w:rPr>
                <w:rFonts w:ascii="Times New Roman" w:hAnsi="Times New Roman" w:cs="Times New Roman" w:eastAsia="Times New Roman" w:hint="default"/>
                <w:sz w:val="21"/>
                <w:szCs w:val="21"/>
              </w:rPr>
            </w:pPr>
            <w:r>
              <w:rPr>
                <w:rFonts w:ascii="Times New Roman"/>
                <w:spacing w:val="-1"/>
                <w:sz w:val="21"/>
              </w:rPr>
              <w:t>248,474.31</w:t>
            </w:r>
          </w:p>
        </w:tc>
        <w:tc>
          <w:tcPr>
            <w:tcW w:w="2057"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2"/>
              <w:jc w:val="right"/>
              <w:rPr>
                <w:rFonts w:ascii="Times New Roman" w:hAnsi="Times New Roman" w:cs="Times New Roman" w:eastAsia="Times New Roman" w:hint="default"/>
                <w:sz w:val="21"/>
                <w:szCs w:val="21"/>
              </w:rPr>
            </w:pPr>
            <w:r>
              <w:rPr>
                <w:rFonts w:ascii="Times New Roman"/>
                <w:sz w:val="21"/>
              </w:rPr>
              <w:t>1.49</w:t>
            </w:r>
          </w:p>
        </w:tc>
      </w:tr>
    </w:tbl>
    <w:p>
      <w:pPr>
        <w:pStyle w:val="BodyText"/>
        <w:spacing w:line="262" w:lineRule="exact"/>
        <w:ind w:left="932" w:right="0"/>
        <w:jc w:val="left"/>
      </w:pPr>
      <w:r>
        <w:rPr>
          <w:rFonts w:ascii="宋体" w:hAnsi="宋体" w:cs="宋体" w:eastAsia="宋体" w:hint="default"/>
        </w:rPr>
        <w:t>2.</w:t>
      </w:r>
      <w:r>
        <w:rPr>
          <w:rFonts w:ascii="宋体" w:hAnsi="宋体" w:cs="宋体" w:eastAsia="宋体" w:hint="default"/>
          <w:spacing w:val="41"/>
        </w:rPr>
        <w:t> </w:t>
      </w:r>
      <w:r>
        <w:rPr/>
        <w:t>期末单项金额不重大但单独计提坏账准备的应收账款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pStyle w:val="BodyText"/>
        <w:spacing w:line="240" w:lineRule="auto" w:before="36"/>
        <w:ind w:left="0" w:right="503"/>
        <w:jc w:val="right"/>
      </w:pPr>
      <w:r>
        <w:rPr/>
        <w:pict>
          <v:shape style="position:absolute;margin-left:56.279999pt;margin-top:-87.576324pt;width:459.75pt;height:124.35pt;mso-position-horizontal-relative:page;mso-position-vertical-relative:paragraph;z-index:31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07"/>
                    <w:gridCol w:w="1277"/>
                    <w:gridCol w:w="1277"/>
                    <w:gridCol w:w="1435"/>
                    <w:gridCol w:w="3391"/>
                  </w:tblGrid>
                  <w:tr>
                    <w:trPr>
                      <w:trHeight w:val="355" w:hRule="exact"/>
                    </w:trPr>
                    <w:tc>
                      <w:tcPr>
                        <w:tcW w:w="1807" w:type="dxa"/>
                        <w:vMerge w:val="restart"/>
                        <w:tcBorders>
                          <w:top w:val="single" w:sz="6" w:space="0" w:color="000000"/>
                          <w:left w:val="single" w:sz="6" w:space="0" w:color="000000"/>
                          <w:right w:val="single" w:sz="6" w:space="0" w:color="000000"/>
                        </w:tcBorders>
                      </w:tcPr>
                      <w:p>
                        <w:pPr>
                          <w:pStyle w:val="TableParagraph"/>
                          <w:spacing w:line="253" w:lineRule="exact"/>
                          <w:ind w:left="477"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7380" w:type="dxa"/>
                        <w:gridSpan w:val="4"/>
                        <w:tcBorders>
                          <w:top w:val="single" w:sz="6" w:space="0" w:color="000000"/>
                          <w:left w:val="single" w:sz="6" w:space="0" w:color="000000"/>
                          <w:bottom w:val="single" w:sz="12" w:space="0" w:color="000000"/>
                          <w:right w:val="nil" w:sz="6" w:space="0" w:color="auto"/>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353" w:hRule="exact"/>
                    </w:trPr>
                    <w:tc>
                      <w:tcPr>
                        <w:tcW w:w="1807" w:type="dxa"/>
                        <w:vMerge/>
                        <w:tcBorders>
                          <w:left w:val="single" w:sz="6" w:space="0" w:color="000000"/>
                          <w:bottom w:val="single" w:sz="12" w:space="0" w:color="000000"/>
                          <w:right w:val="single" w:sz="6" w:space="0" w:color="000000"/>
                        </w:tcBorders>
                      </w:tcPr>
                      <w:p>
                        <w:pP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21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21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35" w:type="dxa"/>
                        <w:tcBorders>
                          <w:top w:val="single" w:sz="12" w:space="0" w:color="000000"/>
                          <w:left w:val="single" w:sz="6" w:space="0" w:color="000000"/>
                          <w:bottom w:val="single" w:sz="12" w:space="0" w:color="000000"/>
                          <w:right w:val="single" w:sz="6" w:space="0" w:color="000000"/>
                        </w:tcBorders>
                      </w:tcPr>
                      <w:p>
                        <w:pPr>
                          <w:pStyle w:val="TableParagraph"/>
                          <w:spacing w:line="257" w:lineRule="exact"/>
                          <w:ind w:left="2" w:right="-20"/>
                          <w:jc w:val="center"/>
                          <w:rPr>
                            <w:rFonts w:ascii="宋体" w:hAnsi="宋体" w:cs="宋体" w:eastAsia="宋体" w:hint="default"/>
                            <w:sz w:val="21"/>
                            <w:szCs w:val="21"/>
                          </w:rPr>
                        </w:pPr>
                        <w:r>
                          <w:rPr>
                            <w:rFonts w:ascii="宋体" w:hAnsi="宋体" w:cs="宋体" w:eastAsia="宋体" w:hint="default"/>
                            <w:spacing w:val="-1"/>
                            <w:sz w:val="21"/>
                            <w:szCs w:val="21"/>
                          </w:rPr>
                          <w:t>计提比例（</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w:t>
                        </w:r>
                      </w:p>
                    </w:tc>
                    <w:tc>
                      <w:tcPr>
                        <w:tcW w:w="3391" w:type="dxa"/>
                        <w:tcBorders>
                          <w:top w:val="single" w:sz="12" w:space="0" w:color="000000"/>
                          <w:left w:val="single" w:sz="6" w:space="0" w:color="000000"/>
                          <w:bottom w:val="single" w:sz="12" w:space="0" w:color="000000"/>
                          <w:right w:val="nil" w:sz="6" w:space="0" w:color="auto"/>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计提理由</w:t>
                        </w:r>
                      </w:p>
                    </w:tc>
                  </w:tr>
                  <w:tr>
                    <w:trPr>
                      <w:trHeight w:val="1404" w:hRule="exact"/>
                    </w:trPr>
                    <w:tc>
                      <w:tcPr>
                        <w:tcW w:w="1807"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4" w:right="0"/>
                          <w:jc w:val="left"/>
                          <w:rPr>
                            <w:rFonts w:ascii="宋体" w:hAnsi="宋体" w:cs="宋体" w:eastAsia="宋体" w:hint="default"/>
                            <w:sz w:val="21"/>
                            <w:szCs w:val="21"/>
                          </w:rPr>
                        </w:pPr>
                        <w:r>
                          <w:rPr>
                            <w:rFonts w:ascii="宋体" w:hAnsi="宋体" w:cs="宋体" w:eastAsia="宋体" w:hint="default"/>
                            <w:sz w:val="21"/>
                            <w:szCs w:val="21"/>
                          </w:rPr>
                          <w:t>甘肃省外文书店</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Times New Roman" w:hAnsi="Times New Roman" w:cs="Times New Roman" w:eastAsia="Times New Roman" w:hint="default"/>
                            <w:sz w:val="21"/>
                            <w:szCs w:val="21"/>
                          </w:rPr>
                        </w:pPr>
                        <w:r>
                          <w:rPr>
                            <w:rFonts w:ascii="Times New Roman"/>
                            <w:spacing w:val="-1"/>
                            <w:sz w:val="21"/>
                          </w:rPr>
                          <w:t>12,756.00</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Times New Roman" w:hAnsi="Times New Roman" w:cs="Times New Roman" w:eastAsia="Times New Roman" w:hint="default"/>
                            <w:sz w:val="21"/>
                            <w:szCs w:val="21"/>
                          </w:rPr>
                        </w:pPr>
                        <w:r>
                          <w:rPr>
                            <w:rFonts w:ascii="Times New Roman"/>
                            <w:spacing w:val="-1"/>
                            <w:sz w:val="21"/>
                          </w:rPr>
                          <w:t>12,756.00</w:t>
                        </w:r>
                      </w:p>
                    </w:tc>
                    <w:tc>
                      <w:tcPr>
                        <w:tcW w:w="1435"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100</w:t>
                        </w:r>
                      </w:p>
                    </w:tc>
                    <w:tc>
                      <w:tcPr>
                        <w:tcW w:w="3391" w:type="dxa"/>
                        <w:tcBorders>
                          <w:top w:val="single" w:sz="12" w:space="0" w:color="000000"/>
                          <w:left w:val="single" w:sz="6" w:space="0" w:color="000000"/>
                          <w:bottom w:val="single" w:sz="12" w:space="0" w:color="000000"/>
                          <w:right w:val="nil" w:sz="6" w:space="0" w:color="auto"/>
                        </w:tcBorders>
                      </w:tcPr>
                      <w:p>
                        <w:pPr>
                          <w:pStyle w:val="TableParagraph"/>
                          <w:spacing w:line="240" w:lineRule="exact"/>
                          <w:ind w:left="4" w:right="0"/>
                          <w:jc w:val="both"/>
                          <w:rPr>
                            <w:rFonts w:ascii="宋体" w:hAnsi="宋体" w:cs="宋体" w:eastAsia="宋体" w:hint="default"/>
                            <w:sz w:val="21"/>
                            <w:szCs w:val="21"/>
                          </w:rPr>
                        </w:pPr>
                        <w:r>
                          <w:rPr>
                            <w:rFonts w:ascii="宋体" w:hAnsi="宋体" w:cs="宋体" w:eastAsia="宋体" w:hint="default"/>
                            <w:sz w:val="21"/>
                            <w:szCs w:val="21"/>
                          </w:rPr>
                          <w:t>根据业务持续跟踪反馈，该客户已被</w:t>
                        </w:r>
                      </w:p>
                      <w:p>
                        <w:pPr>
                          <w:pStyle w:val="TableParagraph"/>
                          <w:spacing w:line="237" w:lineRule="auto" w:before="2"/>
                          <w:ind w:left="4" w:right="2"/>
                          <w:jc w:val="both"/>
                          <w:rPr>
                            <w:rFonts w:ascii="宋体" w:hAnsi="宋体" w:cs="宋体" w:eastAsia="宋体" w:hint="default"/>
                            <w:sz w:val="21"/>
                            <w:szCs w:val="21"/>
                          </w:rPr>
                        </w:pPr>
                        <w:r>
                          <w:rPr>
                            <w:rFonts w:ascii="宋体" w:hAnsi="宋体" w:cs="宋体" w:eastAsia="宋体" w:hint="default"/>
                            <w:sz w:val="21"/>
                            <w:szCs w:val="21"/>
                          </w:rPr>
                          <w:t>甘肃省省店兼并，但截至目前省店仍</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无具体人员负责清理外文书店旧账，</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只能等待时机。虽然年限未满三年，</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8"/>
                            <w:w w:val="100"/>
                            <w:sz w:val="21"/>
                            <w:szCs w:val="21"/>
                          </w:rPr>
                          <w:t>但可收回性不大，全额计提坏账准备</w:t>
                        </w:r>
                      </w:p>
                    </w:tc>
                  </w:tr>
                  <w:tr>
                    <w:trPr>
                      <w:trHeight w:val="353" w:hRule="exact"/>
                    </w:trPr>
                    <w:tc>
                      <w:tcPr>
                        <w:tcW w:w="1807"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Times New Roman" w:hAnsi="Times New Roman" w:cs="Times New Roman" w:eastAsia="Times New Roman" w:hint="default"/>
                            <w:sz w:val="21"/>
                            <w:szCs w:val="21"/>
                          </w:rPr>
                        </w:pPr>
                        <w:r>
                          <w:rPr>
                            <w:rFonts w:ascii="Times New Roman"/>
                            <w:spacing w:val="-1"/>
                            <w:sz w:val="21"/>
                          </w:rPr>
                          <w:t>12,756.00</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Times New Roman" w:hAnsi="Times New Roman" w:cs="Times New Roman" w:eastAsia="Times New Roman" w:hint="default"/>
                            <w:sz w:val="21"/>
                            <w:szCs w:val="21"/>
                          </w:rPr>
                        </w:pPr>
                        <w:r>
                          <w:rPr>
                            <w:rFonts w:ascii="Times New Roman"/>
                            <w:spacing w:val="-1"/>
                            <w:sz w:val="21"/>
                          </w:rPr>
                          <w:t>12,756.00</w:t>
                        </w:r>
                      </w:p>
                    </w:tc>
                    <w:tc>
                      <w:tcPr>
                        <w:tcW w:w="1435"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100</w:t>
                        </w:r>
                      </w:p>
                    </w:tc>
                    <w:tc>
                      <w:tcPr>
                        <w:tcW w:w="3391" w:type="dxa"/>
                        <w:tcBorders>
                          <w:top w:val="single" w:sz="12" w:space="0" w:color="000000"/>
                          <w:left w:val="single" w:sz="6" w:space="0" w:color="000000"/>
                          <w:bottom w:val="single" w:sz="12" w:space="0" w:color="000000"/>
                          <w:right w:val="nil" w:sz="6" w:space="0" w:color="auto"/>
                        </w:tcBorders>
                      </w:tcPr>
                      <w:p>
                        <w:pPr/>
                      </w:p>
                    </w:tc>
                  </w:tr>
                </w:tbl>
                <w:p>
                  <w:pPr/>
                </w:p>
              </w:txbxContent>
            </v:textbox>
            <w10:wrap type="none"/>
          </v:shape>
        </w:pict>
      </w:r>
      <w:r>
        <w:rPr>
          <w:w w:val="100"/>
        </w:rPr>
        <w:t>。</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spacing w:line="386" w:lineRule="auto" w:before="36"/>
        <w:ind w:left="572" w:right="6310" w:firstLine="2"/>
        <w:jc w:val="left"/>
        <w:rPr>
          <w:rFonts w:ascii="宋体" w:hAnsi="宋体" w:cs="宋体" w:eastAsia="宋体" w:hint="default"/>
          <w:sz w:val="21"/>
          <w:szCs w:val="21"/>
        </w:rPr>
      </w:pPr>
      <w:r>
        <w:rPr/>
        <w:pict>
          <v:shape style="position:absolute;margin-left:56.279999pt;margin-top:41.423679pt;width:461.2pt;height:59.9pt;mso-position-horizontal-relative:page;mso-position-vertical-relative:paragraph;z-index:32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088"/>
                    <w:gridCol w:w="1373"/>
                    <w:gridCol w:w="1159"/>
                    <w:gridCol w:w="1450"/>
                    <w:gridCol w:w="1824"/>
                    <w:gridCol w:w="1294"/>
                  </w:tblGrid>
                  <w:tr>
                    <w:trPr>
                      <w:trHeight w:val="588" w:hRule="exact"/>
                    </w:trPr>
                    <w:tc>
                      <w:tcPr>
                        <w:tcW w:w="2088" w:type="dxa"/>
                        <w:tcBorders>
                          <w:top w:val="single" w:sz="6" w:space="0" w:color="000000"/>
                          <w:left w:val="single" w:sz="6" w:space="0" w:color="000000"/>
                          <w:bottom w:val="single" w:sz="12" w:space="0" w:color="000000"/>
                          <w:right w:val="single" w:sz="6" w:space="0" w:color="000000"/>
                        </w:tcBorders>
                      </w:tcPr>
                      <w:p>
                        <w:pPr>
                          <w:pStyle w:val="TableParagraph"/>
                          <w:spacing w:line="253" w:lineRule="exact"/>
                          <w:ind w:left="619"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373" w:type="dxa"/>
                        <w:tcBorders>
                          <w:top w:val="single" w:sz="6" w:space="0" w:color="000000"/>
                          <w:left w:val="single" w:sz="6" w:space="0" w:color="000000"/>
                          <w:bottom w:val="single" w:sz="12" w:space="0" w:color="000000"/>
                          <w:right w:val="single" w:sz="6" w:space="0" w:color="000000"/>
                        </w:tcBorders>
                      </w:tcPr>
                      <w:p>
                        <w:pPr>
                          <w:pStyle w:val="TableParagraph"/>
                          <w:spacing w:line="253" w:lineRule="exact"/>
                          <w:ind w:left="4" w:right="0"/>
                          <w:jc w:val="center"/>
                          <w:rPr>
                            <w:rFonts w:ascii="宋体" w:hAnsi="宋体" w:cs="宋体" w:eastAsia="宋体" w:hint="default"/>
                            <w:sz w:val="21"/>
                            <w:szCs w:val="21"/>
                          </w:rPr>
                        </w:pPr>
                        <w:r>
                          <w:rPr>
                            <w:rFonts w:ascii="宋体" w:hAnsi="宋体" w:cs="宋体" w:eastAsia="宋体" w:hint="default"/>
                            <w:sz w:val="21"/>
                            <w:szCs w:val="21"/>
                          </w:rPr>
                          <w:t>应收账款性质</w:t>
                        </w:r>
                      </w:p>
                    </w:tc>
                    <w:tc>
                      <w:tcPr>
                        <w:tcW w:w="1159" w:type="dxa"/>
                        <w:tcBorders>
                          <w:top w:val="single" w:sz="6" w:space="0" w:color="000000"/>
                          <w:left w:val="single" w:sz="6" w:space="0" w:color="000000"/>
                          <w:bottom w:val="single" w:sz="12" w:space="0" w:color="000000"/>
                          <w:right w:val="single" w:sz="6" w:space="0" w:color="000000"/>
                        </w:tcBorders>
                      </w:tcPr>
                      <w:p>
                        <w:pPr>
                          <w:pStyle w:val="TableParagraph"/>
                          <w:spacing w:line="253" w:lineRule="exact"/>
                          <w:ind w:left="153" w:right="0"/>
                          <w:jc w:val="left"/>
                          <w:rPr>
                            <w:rFonts w:ascii="宋体" w:hAnsi="宋体" w:cs="宋体" w:eastAsia="宋体" w:hint="default"/>
                            <w:sz w:val="21"/>
                            <w:szCs w:val="21"/>
                          </w:rPr>
                        </w:pPr>
                        <w:r>
                          <w:rPr>
                            <w:rFonts w:ascii="宋体" w:hAnsi="宋体" w:cs="宋体" w:eastAsia="宋体" w:hint="default"/>
                            <w:sz w:val="21"/>
                            <w:szCs w:val="21"/>
                          </w:rPr>
                          <w:t>核销金额</w:t>
                        </w:r>
                      </w:p>
                    </w:tc>
                    <w:tc>
                      <w:tcPr>
                        <w:tcW w:w="1450" w:type="dxa"/>
                        <w:tcBorders>
                          <w:top w:val="single" w:sz="6" w:space="0" w:color="000000"/>
                          <w:left w:val="single" w:sz="6" w:space="0" w:color="000000"/>
                          <w:bottom w:val="single" w:sz="12" w:space="0" w:color="000000"/>
                          <w:right w:val="single" w:sz="6" w:space="0" w:color="000000"/>
                        </w:tcBorders>
                      </w:tcPr>
                      <w:p>
                        <w:pPr>
                          <w:pStyle w:val="TableParagraph"/>
                          <w:spacing w:line="253" w:lineRule="exact"/>
                          <w:ind w:left="297" w:right="0"/>
                          <w:jc w:val="left"/>
                          <w:rPr>
                            <w:rFonts w:ascii="宋体" w:hAnsi="宋体" w:cs="宋体" w:eastAsia="宋体" w:hint="default"/>
                            <w:sz w:val="21"/>
                            <w:szCs w:val="21"/>
                          </w:rPr>
                        </w:pPr>
                        <w:r>
                          <w:rPr>
                            <w:rFonts w:ascii="宋体" w:hAnsi="宋体" w:cs="宋体" w:eastAsia="宋体" w:hint="default"/>
                            <w:sz w:val="21"/>
                            <w:szCs w:val="21"/>
                          </w:rPr>
                          <w:t>核销原因</w:t>
                        </w:r>
                      </w:p>
                    </w:tc>
                    <w:tc>
                      <w:tcPr>
                        <w:tcW w:w="1824" w:type="dxa"/>
                        <w:tcBorders>
                          <w:top w:val="single" w:sz="6" w:space="0" w:color="000000"/>
                          <w:left w:val="single" w:sz="6" w:space="0" w:color="000000"/>
                          <w:bottom w:val="single" w:sz="12" w:space="0" w:color="000000"/>
                          <w:right w:val="single" w:sz="6" w:space="0" w:color="000000"/>
                        </w:tcBorders>
                      </w:tcPr>
                      <w:p>
                        <w:pPr>
                          <w:pStyle w:val="TableParagraph"/>
                          <w:spacing w:line="253" w:lineRule="exact"/>
                          <w:ind w:left="170" w:right="0"/>
                          <w:jc w:val="left"/>
                          <w:rPr>
                            <w:rFonts w:ascii="宋体" w:hAnsi="宋体" w:cs="宋体" w:eastAsia="宋体" w:hint="default"/>
                            <w:sz w:val="21"/>
                            <w:szCs w:val="21"/>
                          </w:rPr>
                        </w:pPr>
                        <w:r>
                          <w:rPr>
                            <w:rFonts w:ascii="宋体" w:hAnsi="宋体" w:cs="宋体" w:eastAsia="宋体" w:hint="default"/>
                            <w:sz w:val="21"/>
                            <w:szCs w:val="21"/>
                          </w:rPr>
                          <w:t>履行的核销程序</w:t>
                        </w:r>
                      </w:p>
                    </w:tc>
                    <w:tc>
                      <w:tcPr>
                        <w:tcW w:w="1294" w:type="dxa"/>
                        <w:tcBorders>
                          <w:top w:val="single" w:sz="6" w:space="0" w:color="000000"/>
                          <w:left w:val="single" w:sz="6" w:space="0" w:color="000000"/>
                          <w:bottom w:val="single" w:sz="12" w:space="0" w:color="000000"/>
                          <w:right w:val="nil" w:sz="6" w:space="0" w:color="auto"/>
                        </w:tcBorders>
                      </w:tcPr>
                      <w:p>
                        <w:pPr>
                          <w:pStyle w:val="TableParagraph"/>
                          <w:spacing w:line="272" w:lineRule="exact" w:before="5"/>
                          <w:ind w:left="324" w:right="12" w:hanging="315"/>
                          <w:jc w:val="left"/>
                          <w:rPr>
                            <w:rFonts w:ascii="宋体" w:hAnsi="宋体" w:cs="宋体" w:eastAsia="宋体" w:hint="default"/>
                            <w:sz w:val="21"/>
                            <w:szCs w:val="21"/>
                          </w:rPr>
                        </w:pPr>
                        <w:r>
                          <w:rPr>
                            <w:rFonts w:ascii="宋体" w:hAnsi="宋体" w:cs="宋体" w:eastAsia="宋体" w:hint="default"/>
                            <w:sz w:val="21"/>
                            <w:szCs w:val="21"/>
                          </w:rPr>
                          <w:t>是否由关联交</w:t>
                        </w:r>
                        <w:r>
                          <w:rPr>
                            <w:rFonts w:ascii="宋体" w:hAnsi="宋体" w:cs="宋体" w:eastAsia="宋体" w:hint="default"/>
                            <w:w w:val="100"/>
                            <w:sz w:val="21"/>
                            <w:szCs w:val="21"/>
                          </w:rPr>
                          <w:t> </w:t>
                        </w:r>
                        <w:r>
                          <w:rPr>
                            <w:rFonts w:ascii="宋体" w:hAnsi="宋体" w:cs="宋体" w:eastAsia="宋体" w:hint="default"/>
                            <w:sz w:val="21"/>
                            <w:szCs w:val="21"/>
                          </w:rPr>
                          <w:t>易产生</w:t>
                        </w:r>
                      </w:p>
                    </w:tc>
                  </w:tr>
                  <w:tr>
                    <w:trPr>
                      <w:trHeight w:val="588" w:hRule="exact"/>
                    </w:trPr>
                    <w:tc>
                      <w:tcPr>
                        <w:tcW w:w="2088"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88" w:right="0"/>
                          <w:jc w:val="left"/>
                          <w:rPr>
                            <w:rFonts w:ascii="宋体" w:hAnsi="宋体" w:cs="宋体" w:eastAsia="宋体" w:hint="default"/>
                            <w:sz w:val="21"/>
                            <w:szCs w:val="21"/>
                          </w:rPr>
                        </w:pPr>
                        <w:r>
                          <w:rPr>
                            <w:rFonts w:ascii="宋体" w:hAnsi="宋体" w:cs="宋体" w:eastAsia="宋体" w:hint="default"/>
                            <w:sz w:val="21"/>
                            <w:szCs w:val="21"/>
                          </w:rPr>
                          <w:t>芜湖市外文书店</w:t>
                        </w:r>
                      </w:p>
                    </w:tc>
                    <w:tc>
                      <w:tcPr>
                        <w:tcW w:w="1373"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货款</w:t>
                        </w:r>
                      </w:p>
                    </w:tc>
                    <w:tc>
                      <w:tcPr>
                        <w:tcW w:w="1159"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left="407" w:right="-1"/>
                          <w:jc w:val="left"/>
                          <w:rPr>
                            <w:rFonts w:ascii="Times New Roman" w:hAnsi="Times New Roman" w:cs="Times New Roman" w:eastAsia="Times New Roman" w:hint="default"/>
                            <w:sz w:val="21"/>
                            <w:szCs w:val="21"/>
                          </w:rPr>
                        </w:pPr>
                        <w:r>
                          <w:rPr>
                            <w:rFonts w:ascii="Times New Roman"/>
                            <w:sz w:val="21"/>
                          </w:rPr>
                          <w:t>2,146.30</w:t>
                        </w:r>
                      </w:p>
                    </w:tc>
                    <w:tc>
                      <w:tcPr>
                        <w:tcW w:w="1450"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4" w:right="-1"/>
                          <w:jc w:val="center"/>
                          <w:rPr>
                            <w:rFonts w:ascii="宋体" w:hAnsi="宋体" w:cs="宋体" w:eastAsia="宋体" w:hint="default"/>
                            <w:sz w:val="21"/>
                            <w:szCs w:val="21"/>
                          </w:rPr>
                        </w:pPr>
                        <w:r>
                          <w:rPr>
                            <w:rFonts w:ascii="宋体" w:hAnsi="宋体" w:cs="宋体" w:eastAsia="宋体" w:hint="default"/>
                            <w:spacing w:val="-8"/>
                            <w:sz w:val="21"/>
                            <w:szCs w:val="21"/>
                          </w:rPr>
                          <w:t>书店已吊销，余</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款无法收回</w:t>
                        </w:r>
                      </w:p>
                    </w:tc>
                    <w:tc>
                      <w:tcPr>
                        <w:tcW w:w="1824"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第二董事会第十四</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次会议批准</w:t>
                        </w:r>
                      </w:p>
                    </w:tc>
                    <w:tc>
                      <w:tcPr>
                        <w:tcW w:w="1294" w:type="dxa"/>
                        <w:tcBorders>
                          <w:top w:val="single" w:sz="12" w:space="0" w:color="000000"/>
                          <w:left w:val="single" w:sz="6" w:space="0" w:color="000000"/>
                          <w:bottom w:val="single" w:sz="12" w:space="0" w:color="000000"/>
                          <w:right w:val="nil" w:sz="6" w:space="0" w:color="auto"/>
                        </w:tcBorders>
                      </w:tcPr>
                      <w:p>
                        <w:pPr>
                          <w:pStyle w:val="TableParagraph"/>
                          <w:spacing w:line="243" w:lineRule="exact"/>
                          <w:ind w:right="7"/>
                          <w:jc w:val="center"/>
                          <w:rPr>
                            <w:rFonts w:ascii="宋体" w:hAnsi="宋体" w:cs="宋体" w:eastAsia="宋体" w:hint="default"/>
                            <w:sz w:val="21"/>
                            <w:szCs w:val="21"/>
                          </w:rPr>
                        </w:pPr>
                        <w:r>
                          <w:rPr>
                            <w:rFonts w:ascii="宋体" w:hAnsi="宋体" w:cs="宋体" w:eastAsia="宋体" w:hint="default"/>
                            <w:w w:val="100"/>
                            <w:sz w:val="21"/>
                            <w:szCs w:val="21"/>
                          </w:rPr>
                          <w:t>否</w:t>
                        </w:r>
                      </w:p>
                    </w:tc>
                  </w:tr>
                </w:tbl>
                <w:p>
                  <w:pPr/>
                </w:p>
              </w:txbxContent>
            </v:textbox>
            <w10:wrap type="none"/>
          </v:shape>
        </w:pict>
      </w:r>
      <w:r>
        <w:rPr>
          <w:rFonts w:ascii="Times New Roman" w:hAnsi="Times New Roman" w:cs="Times New Roman" w:eastAsia="Times New Roman" w:hint="default"/>
          <w:b/>
          <w:bCs/>
          <w:spacing w:val="-1"/>
          <w:sz w:val="21"/>
          <w:szCs w:val="21"/>
        </w:rPr>
        <w:t>2</w:t>
      </w:r>
      <w:r>
        <w:rPr>
          <w:rFonts w:ascii="宋体" w:hAnsi="宋体" w:cs="宋体" w:eastAsia="宋体" w:hint="default"/>
          <w:b/>
          <w:bCs/>
          <w:spacing w:val="-1"/>
          <w:sz w:val="21"/>
          <w:szCs w:val="21"/>
        </w:rPr>
        <w:t>、本报告期实际核销的应收账款</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sz w:val="21"/>
          <w:szCs w:val="21"/>
        </w:rPr>
        <w:t>应收账款核销情况如下：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Heading5"/>
        <w:spacing w:line="240" w:lineRule="auto"/>
        <w:ind w:left="575" w:right="0"/>
        <w:jc w:val="left"/>
        <w:rPr>
          <w:b w:val="0"/>
          <w:bCs w:val="0"/>
        </w:rPr>
      </w:pPr>
      <w:r>
        <w:rPr>
          <w:rFonts w:ascii="Times New Roman" w:hAnsi="Times New Roman" w:cs="Times New Roman" w:eastAsia="Times New Roman" w:hint="default"/>
        </w:rPr>
        <w:t>3</w:t>
      </w:r>
      <w:r>
        <w:rPr/>
        <w:t>、按欠款方归集的期末余额前五名应收账款</w:t>
      </w:r>
      <w:r>
        <w:rPr>
          <w:b w:val="0"/>
          <w:bCs w:val="0"/>
        </w:rPr>
      </w:r>
    </w:p>
    <w:p>
      <w:pPr>
        <w:spacing w:line="240" w:lineRule="auto" w:before="8"/>
        <w:rPr>
          <w:rFonts w:ascii="宋体" w:hAnsi="宋体" w:cs="宋体" w:eastAsia="宋体" w:hint="default"/>
          <w:b/>
          <w:bCs/>
          <w:sz w:val="2"/>
          <w:szCs w:val="2"/>
        </w:rPr>
      </w:pPr>
    </w:p>
    <w:tbl>
      <w:tblPr>
        <w:tblW w:w="0" w:type="auto"/>
        <w:jc w:val="left"/>
        <w:tblInd w:w="145" w:type="dxa"/>
        <w:tblLayout w:type="fixed"/>
        <w:tblCellMar>
          <w:top w:w="0" w:type="dxa"/>
          <w:left w:w="0" w:type="dxa"/>
          <w:bottom w:w="0" w:type="dxa"/>
          <w:right w:w="0" w:type="dxa"/>
        </w:tblCellMar>
        <w:tblLook w:val="01E0"/>
      </w:tblPr>
      <w:tblGrid>
        <w:gridCol w:w="3053"/>
        <w:gridCol w:w="1512"/>
        <w:gridCol w:w="2714"/>
        <w:gridCol w:w="1610"/>
      </w:tblGrid>
      <w:tr>
        <w:trPr>
          <w:trHeight w:val="557" w:hRule="exact"/>
        </w:trPr>
        <w:tc>
          <w:tcPr>
            <w:tcW w:w="3053"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left="2"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512"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left="328"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714"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占应收账款期末余额的比例</w:t>
            </w:r>
          </w:p>
          <w:p>
            <w:pPr>
              <w:pStyle w:val="TableParagraph"/>
              <w:spacing w:line="240" w:lineRule="auto" w:before="26"/>
              <w:ind w:right="0"/>
              <w:jc w:val="center"/>
              <w:rPr>
                <w:rFonts w:ascii="Times New Roman" w:hAnsi="Times New Roman" w:cs="Times New Roman" w:eastAsia="Times New Roman" w:hint="default"/>
                <w:sz w:val="21"/>
                <w:szCs w:val="21"/>
              </w:rPr>
            </w:pPr>
            <w:r>
              <w:rPr>
                <w:rFonts w:ascii="Times New Roman"/>
                <w:sz w:val="21"/>
              </w:rPr>
              <w:t>(%)</w:t>
            </w:r>
          </w:p>
        </w:tc>
        <w:tc>
          <w:tcPr>
            <w:tcW w:w="1610" w:type="dxa"/>
            <w:tcBorders>
              <w:top w:val="single" w:sz="6" w:space="0" w:color="000000"/>
              <w:left w:val="single" w:sz="6" w:space="0" w:color="000000"/>
              <w:bottom w:val="single" w:sz="12" w:space="0" w:color="000000"/>
              <w:right w:val="nil" w:sz="6" w:space="0" w:color="auto"/>
            </w:tcBorders>
          </w:tcPr>
          <w:p>
            <w:pPr>
              <w:pStyle w:val="TableParagraph"/>
              <w:spacing w:line="250" w:lineRule="exact"/>
              <w:ind w:left="64" w:right="0"/>
              <w:jc w:val="left"/>
              <w:rPr>
                <w:rFonts w:ascii="宋体" w:hAnsi="宋体" w:cs="宋体" w:eastAsia="宋体" w:hint="default"/>
                <w:sz w:val="21"/>
                <w:szCs w:val="21"/>
              </w:rPr>
            </w:pPr>
            <w:r>
              <w:rPr>
                <w:rFonts w:ascii="宋体" w:hAnsi="宋体" w:cs="宋体" w:eastAsia="宋体" w:hint="default"/>
                <w:sz w:val="21"/>
                <w:szCs w:val="21"/>
              </w:rPr>
              <w:t>已计提坏账准备</w:t>
            </w:r>
          </w:p>
        </w:tc>
      </w:tr>
      <w:tr>
        <w:trPr>
          <w:trHeight w:val="312" w:hRule="exact"/>
        </w:trPr>
        <w:tc>
          <w:tcPr>
            <w:tcW w:w="3053"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4" w:right="0"/>
              <w:jc w:val="left"/>
              <w:rPr>
                <w:rFonts w:ascii="宋体" w:hAnsi="宋体" w:cs="宋体" w:eastAsia="宋体" w:hint="default"/>
                <w:sz w:val="21"/>
                <w:szCs w:val="21"/>
              </w:rPr>
            </w:pPr>
            <w:r>
              <w:rPr>
                <w:rFonts w:ascii="宋体" w:hAnsi="宋体" w:cs="宋体" w:eastAsia="宋体" w:hint="default"/>
                <w:sz w:val="21"/>
                <w:szCs w:val="21"/>
              </w:rPr>
              <w:t>广东教育出版社有限公司</w:t>
            </w:r>
          </w:p>
        </w:tc>
        <w:tc>
          <w:tcPr>
            <w:tcW w:w="1512"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4,858,686.38</w:t>
            </w:r>
          </w:p>
        </w:tc>
        <w:tc>
          <w:tcPr>
            <w:tcW w:w="2714"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z w:val="21"/>
              </w:rPr>
              <w:t>29.17</w:t>
            </w:r>
          </w:p>
        </w:tc>
        <w:tc>
          <w:tcPr>
            <w:tcW w:w="1610"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7"/>
              <w:jc w:val="right"/>
              <w:rPr>
                <w:rFonts w:ascii="Times New Roman" w:hAnsi="Times New Roman" w:cs="Times New Roman" w:eastAsia="Times New Roman" w:hint="default"/>
                <w:sz w:val="21"/>
                <w:szCs w:val="21"/>
              </w:rPr>
            </w:pPr>
            <w:r>
              <w:rPr>
                <w:rFonts w:ascii="Times New Roman"/>
                <w:spacing w:val="-1"/>
                <w:sz w:val="21"/>
              </w:rPr>
              <w:t>48,586.86</w:t>
            </w:r>
            <w:r>
              <w:rPr>
                <w:rFonts w:ascii="Times New Roman"/>
                <w:sz w:val="21"/>
              </w:rPr>
            </w:r>
          </w:p>
        </w:tc>
      </w:tr>
      <w:tr>
        <w:trPr>
          <w:trHeight w:val="314" w:hRule="exact"/>
        </w:trPr>
        <w:tc>
          <w:tcPr>
            <w:tcW w:w="3053"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4" w:right="0"/>
              <w:jc w:val="left"/>
              <w:rPr>
                <w:rFonts w:ascii="宋体" w:hAnsi="宋体" w:cs="宋体" w:eastAsia="宋体" w:hint="default"/>
                <w:sz w:val="21"/>
                <w:szCs w:val="21"/>
              </w:rPr>
            </w:pPr>
            <w:r>
              <w:rPr>
                <w:rFonts w:ascii="宋体" w:hAnsi="宋体" w:cs="宋体" w:eastAsia="宋体" w:hint="default"/>
                <w:sz w:val="21"/>
                <w:szCs w:val="21"/>
              </w:rPr>
              <w:t>广东新华发行集团股份有限公司</w:t>
            </w:r>
          </w:p>
        </w:tc>
        <w:tc>
          <w:tcPr>
            <w:tcW w:w="1512"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2,324,340.00</w:t>
            </w:r>
          </w:p>
        </w:tc>
        <w:tc>
          <w:tcPr>
            <w:tcW w:w="2714"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z w:val="21"/>
              </w:rPr>
              <w:t>13.95</w:t>
            </w:r>
          </w:p>
        </w:tc>
        <w:tc>
          <w:tcPr>
            <w:tcW w:w="1610"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5"/>
              <w:jc w:val="right"/>
              <w:rPr>
                <w:rFonts w:ascii="Times New Roman" w:hAnsi="Times New Roman" w:cs="Times New Roman" w:eastAsia="Times New Roman" w:hint="default"/>
                <w:sz w:val="21"/>
                <w:szCs w:val="21"/>
              </w:rPr>
            </w:pPr>
            <w:r>
              <w:rPr>
                <w:rFonts w:ascii="Times New Roman"/>
                <w:spacing w:val="-1"/>
                <w:sz w:val="21"/>
              </w:rPr>
              <w:t>23,243.40</w:t>
            </w:r>
          </w:p>
        </w:tc>
      </w:tr>
      <w:tr>
        <w:trPr>
          <w:trHeight w:val="586" w:hRule="exact"/>
        </w:trPr>
        <w:tc>
          <w:tcPr>
            <w:tcW w:w="3053" w:type="dxa"/>
            <w:tcBorders>
              <w:top w:val="single" w:sz="12" w:space="0" w:color="000000"/>
              <w:left w:val="single" w:sz="6" w:space="0" w:color="000000"/>
              <w:bottom w:val="single" w:sz="12" w:space="0" w:color="000000"/>
              <w:right w:val="single" w:sz="6" w:space="0" w:color="000000"/>
            </w:tcBorders>
          </w:tcPr>
          <w:p>
            <w:pPr>
              <w:pStyle w:val="TableParagraph"/>
              <w:spacing w:line="240" w:lineRule="exact"/>
              <w:ind w:left="4" w:right="-6"/>
              <w:jc w:val="left"/>
              <w:rPr>
                <w:rFonts w:ascii="宋体" w:hAnsi="宋体" w:cs="宋体" w:eastAsia="宋体" w:hint="default"/>
                <w:sz w:val="21"/>
                <w:szCs w:val="21"/>
              </w:rPr>
            </w:pPr>
            <w:r>
              <w:rPr>
                <w:rFonts w:ascii="宋体" w:hAnsi="宋体" w:cs="宋体" w:eastAsia="宋体" w:hint="default"/>
                <w:spacing w:val="4"/>
                <w:sz w:val="21"/>
                <w:szCs w:val="21"/>
              </w:rPr>
              <w:t>江苏凤凰电子音像出版社有限公</w:t>
            </w:r>
            <w:r>
              <w:rPr>
                <w:rFonts w:ascii="宋体" w:hAnsi="宋体" w:cs="宋体" w:eastAsia="宋体" w:hint="default"/>
                <w:sz w:val="21"/>
                <w:szCs w:val="21"/>
              </w:rPr>
            </w:r>
          </w:p>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512"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2,200,000.00</w:t>
            </w:r>
          </w:p>
        </w:tc>
        <w:tc>
          <w:tcPr>
            <w:tcW w:w="2714"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z w:val="21"/>
              </w:rPr>
              <w:t>13.21</w:t>
            </w:r>
          </w:p>
        </w:tc>
        <w:tc>
          <w:tcPr>
            <w:tcW w:w="1610"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5"/>
              <w:jc w:val="right"/>
              <w:rPr>
                <w:rFonts w:ascii="Times New Roman" w:hAnsi="Times New Roman" w:cs="Times New Roman" w:eastAsia="Times New Roman" w:hint="default"/>
                <w:sz w:val="21"/>
                <w:szCs w:val="21"/>
              </w:rPr>
            </w:pPr>
            <w:r>
              <w:rPr>
                <w:rFonts w:ascii="Times New Roman"/>
                <w:spacing w:val="-1"/>
                <w:sz w:val="21"/>
              </w:rPr>
              <w:t>103,000.00</w:t>
            </w:r>
          </w:p>
        </w:tc>
      </w:tr>
      <w:tr>
        <w:trPr>
          <w:trHeight w:val="312" w:hRule="exact"/>
        </w:trPr>
        <w:tc>
          <w:tcPr>
            <w:tcW w:w="3053"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4" w:right="0"/>
              <w:jc w:val="left"/>
              <w:rPr>
                <w:rFonts w:ascii="宋体" w:hAnsi="宋体" w:cs="宋体" w:eastAsia="宋体" w:hint="default"/>
                <w:sz w:val="21"/>
                <w:szCs w:val="21"/>
              </w:rPr>
            </w:pPr>
            <w:r>
              <w:rPr>
                <w:rFonts w:ascii="宋体" w:hAnsi="宋体" w:cs="宋体" w:eastAsia="宋体" w:hint="default"/>
                <w:sz w:val="21"/>
                <w:szCs w:val="21"/>
              </w:rPr>
              <w:t>山东友谊出版社</w:t>
            </w:r>
          </w:p>
        </w:tc>
        <w:tc>
          <w:tcPr>
            <w:tcW w:w="1512"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1,391,189.50</w:t>
            </w:r>
          </w:p>
        </w:tc>
        <w:tc>
          <w:tcPr>
            <w:tcW w:w="2714"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z w:val="21"/>
              </w:rPr>
              <w:t>8.35</w:t>
            </w:r>
          </w:p>
        </w:tc>
        <w:tc>
          <w:tcPr>
            <w:tcW w:w="1610"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5"/>
              <w:jc w:val="right"/>
              <w:rPr>
                <w:rFonts w:ascii="Times New Roman" w:hAnsi="Times New Roman" w:cs="Times New Roman" w:eastAsia="Times New Roman" w:hint="default"/>
                <w:sz w:val="21"/>
                <w:szCs w:val="21"/>
              </w:rPr>
            </w:pPr>
            <w:r>
              <w:rPr>
                <w:rFonts w:ascii="Times New Roman"/>
                <w:spacing w:val="-1"/>
                <w:sz w:val="21"/>
              </w:rPr>
              <w:t>13,911.90</w:t>
            </w:r>
          </w:p>
        </w:tc>
      </w:tr>
      <w:tr>
        <w:trPr>
          <w:trHeight w:val="314" w:hRule="exact"/>
        </w:trPr>
        <w:tc>
          <w:tcPr>
            <w:tcW w:w="3053"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4" w:right="0"/>
              <w:jc w:val="left"/>
              <w:rPr>
                <w:rFonts w:ascii="宋体" w:hAnsi="宋体" w:cs="宋体" w:eastAsia="宋体" w:hint="default"/>
                <w:sz w:val="21"/>
                <w:szCs w:val="21"/>
              </w:rPr>
            </w:pPr>
            <w:r>
              <w:rPr>
                <w:rFonts w:ascii="宋体" w:hAnsi="宋体" w:cs="宋体" w:eastAsia="宋体" w:hint="default"/>
                <w:sz w:val="21"/>
                <w:szCs w:val="21"/>
              </w:rPr>
              <w:t>神州数码（中国）有限公司</w:t>
            </w:r>
          </w:p>
        </w:tc>
        <w:tc>
          <w:tcPr>
            <w:tcW w:w="1512"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1,349,000.00</w:t>
            </w:r>
          </w:p>
        </w:tc>
        <w:tc>
          <w:tcPr>
            <w:tcW w:w="2714"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z w:val="21"/>
              </w:rPr>
              <w:t>8.10</w:t>
            </w:r>
          </w:p>
        </w:tc>
        <w:tc>
          <w:tcPr>
            <w:tcW w:w="1610"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5"/>
              <w:jc w:val="right"/>
              <w:rPr>
                <w:rFonts w:ascii="Times New Roman" w:hAnsi="Times New Roman" w:cs="Times New Roman" w:eastAsia="Times New Roman" w:hint="default"/>
                <w:sz w:val="21"/>
                <w:szCs w:val="21"/>
              </w:rPr>
            </w:pPr>
            <w:r>
              <w:rPr>
                <w:rFonts w:ascii="Times New Roman"/>
                <w:spacing w:val="-1"/>
                <w:sz w:val="21"/>
              </w:rPr>
              <w:t>13,490.00</w:t>
            </w:r>
          </w:p>
        </w:tc>
      </w:tr>
      <w:tr>
        <w:trPr>
          <w:trHeight w:val="314" w:hRule="exact"/>
        </w:trPr>
        <w:tc>
          <w:tcPr>
            <w:tcW w:w="3053"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12"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Times New Roman" w:hAnsi="Times New Roman" w:cs="Times New Roman" w:eastAsia="Times New Roman" w:hint="default"/>
                <w:sz w:val="21"/>
                <w:szCs w:val="21"/>
              </w:rPr>
            </w:pPr>
            <w:r>
              <w:rPr>
                <w:rFonts w:ascii="Times New Roman"/>
                <w:spacing w:val="-1"/>
                <w:sz w:val="21"/>
              </w:rPr>
              <w:t>12,123,215.88</w:t>
            </w:r>
          </w:p>
        </w:tc>
        <w:tc>
          <w:tcPr>
            <w:tcW w:w="2714"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z w:val="21"/>
              </w:rPr>
              <w:t>72.78</w:t>
            </w:r>
          </w:p>
        </w:tc>
        <w:tc>
          <w:tcPr>
            <w:tcW w:w="1610"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5"/>
              <w:jc w:val="right"/>
              <w:rPr>
                <w:rFonts w:ascii="Times New Roman" w:hAnsi="Times New Roman" w:cs="Times New Roman" w:eastAsia="Times New Roman" w:hint="default"/>
                <w:sz w:val="21"/>
                <w:szCs w:val="21"/>
              </w:rPr>
            </w:pPr>
            <w:r>
              <w:rPr>
                <w:rFonts w:ascii="Times New Roman"/>
                <w:spacing w:val="-1"/>
                <w:sz w:val="21"/>
              </w:rPr>
              <w:t>202,232.16</w:t>
            </w:r>
          </w:p>
        </w:tc>
      </w:tr>
    </w:tbl>
    <w:p>
      <w:pPr>
        <w:spacing w:line="240" w:lineRule="auto" w:before="3"/>
        <w:rPr>
          <w:rFonts w:ascii="宋体" w:hAnsi="宋体" w:cs="宋体" w:eastAsia="宋体" w:hint="default"/>
          <w:b/>
          <w:bCs/>
          <w:sz w:val="8"/>
          <w:szCs w:val="8"/>
        </w:rPr>
      </w:pPr>
    </w:p>
    <w:p>
      <w:pPr>
        <w:pStyle w:val="Heading5"/>
        <w:spacing w:line="240" w:lineRule="auto" w:before="36"/>
        <w:ind w:left="575" w:right="0"/>
        <w:jc w:val="left"/>
        <w:rPr>
          <w:b w:val="0"/>
          <w:bCs w:val="0"/>
        </w:rPr>
      </w:pPr>
      <w:r>
        <w:rPr>
          <w:rFonts w:ascii="Times New Roman" w:hAnsi="Times New Roman" w:cs="Times New Roman" w:eastAsia="Times New Roman" w:hint="default"/>
        </w:rPr>
        <w:t>4</w:t>
      </w:r>
      <w:r>
        <w:rPr/>
        <w:t>、期末应收账款中无应收持本公司</w:t>
      </w:r>
      <w:r>
        <w:rPr>
          <w:rFonts w:ascii="Times New Roman" w:hAnsi="Times New Roman" w:cs="Times New Roman" w:eastAsia="Times New Roman" w:hint="default"/>
        </w:rPr>
        <w:t>5%</w:t>
      </w:r>
      <w:r>
        <w:rPr/>
        <w:t>以上（含</w:t>
      </w:r>
      <w:r>
        <w:rPr>
          <w:rFonts w:ascii="Times New Roman" w:hAnsi="Times New Roman" w:cs="Times New Roman" w:eastAsia="Times New Roman" w:hint="default"/>
        </w:rPr>
        <w:t>5%</w:t>
      </w:r>
      <w:r>
        <w:rPr/>
        <w:t>）表决权股份的股东单位及其他关联方的款项。</w:t>
      </w:r>
      <w:r>
        <w:rPr>
          <w:b w:val="0"/>
          <w:bCs w:val="0"/>
        </w:rPr>
      </w:r>
    </w:p>
    <w:p>
      <w:pPr>
        <w:spacing w:after="0" w:line="240" w:lineRule="auto"/>
        <w:jc w:val="left"/>
        <w:sectPr>
          <w:pgSz w:w="11910" w:h="16840"/>
          <w:pgMar w:header="880" w:footer="979" w:top="1060" w:bottom="1160" w:left="980" w:right="980"/>
        </w:sectPr>
      </w:pPr>
    </w:p>
    <w:p>
      <w:pPr>
        <w:spacing w:line="240" w:lineRule="auto" w:before="8"/>
        <w:rPr>
          <w:rFonts w:ascii="宋体" w:hAnsi="宋体" w:cs="宋体" w:eastAsia="宋体" w:hint="default"/>
          <w:b/>
          <w:bCs/>
          <w:sz w:val="24"/>
          <w:szCs w:val="24"/>
        </w:rPr>
      </w:pPr>
    </w:p>
    <w:p>
      <w:pPr>
        <w:pStyle w:val="Heading5"/>
        <w:spacing w:line="240" w:lineRule="auto" w:before="36"/>
        <w:ind w:left="580" w:right="0"/>
        <w:jc w:val="left"/>
        <w:rPr>
          <w:b w:val="0"/>
          <w:bCs w:val="0"/>
        </w:rPr>
      </w:pPr>
      <w:r>
        <w:rPr/>
        <w:t>（二）其他应收账款</w:t>
      </w:r>
      <w:r>
        <w:rPr>
          <w:b w:val="0"/>
          <w:bCs w:val="0"/>
        </w:rPr>
      </w:r>
    </w:p>
    <w:p>
      <w:pPr>
        <w:spacing w:line="240" w:lineRule="auto" w:before="10"/>
        <w:rPr>
          <w:rFonts w:ascii="宋体" w:hAnsi="宋体" w:cs="宋体" w:eastAsia="宋体" w:hint="default"/>
          <w:b/>
          <w:bCs/>
          <w:sz w:val="14"/>
          <w:szCs w:val="14"/>
        </w:rPr>
      </w:pPr>
    </w:p>
    <w:p>
      <w:pPr>
        <w:pStyle w:val="Heading5"/>
        <w:spacing w:line="240" w:lineRule="auto"/>
        <w:ind w:left="575" w:right="0"/>
        <w:jc w:val="left"/>
        <w:rPr>
          <w:b w:val="0"/>
          <w:bCs w:val="0"/>
        </w:rPr>
      </w:pPr>
      <w:r>
        <w:rPr>
          <w:rFonts w:ascii="Times New Roman" w:hAnsi="Times New Roman" w:cs="Times New Roman" w:eastAsia="Times New Roman" w:hint="default"/>
        </w:rPr>
        <w:t>1</w:t>
      </w:r>
      <w:r>
        <w:rPr/>
        <w:t>、其他应收款按种类披露：</w:t>
      </w:r>
      <w:r>
        <w:rPr>
          <w:b w:val="0"/>
          <w:bCs w:val="0"/>
        </w:rPr>
      </w:r>
    </w:p>
    <w:p>
      <w:pPr>
        <w:spacing w:line="240" w:lineRule="auto" w:before="8"/>
        <w:rPr>
          <w:rFonts w:ascii="宋体" w:hAnsi="宋体" w:cs="宋体" w:eastAsia="宋体" w:hint="default"/>
          <w:b/>
          <w:bCs/>
          <w:sz w:val="2"/>
          <w:szCs w:val="2"/>
        </w:rPr>
      </w:pPr>
    </w:p>
    <w:tbl>
      <w:tblPr>
        <w:tblW w:w="0" w:type="auto"/>
        <w:jc w:val="left"/>
        <w:tblInd w:w="145" w:type="dxa"/>
        <w:tblLayout w:type="fixed"/>
        <w:tblCellMar>
          <w:top w:w="0" w:type="dxa"/>
          <w:left w:w="0" w:type="dxa"/>
          <w:bottom w:w="0" w:type="dxa"/>
          <w:right w:w="0" w:type="dxa"/>
        </w:tblCellMar>
        <w:tblLook w:val="01E0"/>
      </w:tblPr>
      <w:tblGrid>
        <w:gridCol w:w="2486"/>
        <w:gridCol w:w="1615"/>
        <w:gridCol w:w="946"/>
        <w:gridCol w:w="1346"/>
        <w:gridCol w:w="1306"/>
        <w:gridCol w:w="1510"/>
      </w:tblGrid>
      <w:tr>
        <w:trPr>
          <w:trHeight w:val="355" w:hRule="exact"/>
        </w:trPr>
        <w:tc>
          <w:tcPr>
            <w:tcW w:w="2486" w:type="dxa"/>
            <w:vMerge w:val="restart"/>
            <w:tcBorders>
              <w:top w:val="single" w:sz="6" w:space="0" w:color="000000"/>
              <w:left w:val="single" w:sz="6" w:space="0" w:color="000000"/>
              <w:right w:val="single" w:sz="6" w:space="0" w:color="000000"/>
            </w:tcBorders>
          </w:tcPr>
          <w:p>
            <w:pPr>
              <w:pStyle w:val="TableParagraph"/>
              <w:spacing w:line="250" w:lineRule="exact"/>
              <w:ind w:left="4"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6722" w:type="dxa"/>
            <w:gridSpan w:val="5"/>
            <w:tcBorders>
              <w:top w:val="single" w:sz="6" w:space="0" w:color="000000"/>
              <w:left w:val="single" w:sz="6" w:space="0" w:color="000000"/>
              <w:bottom w:val="single" w:sz="12" w:space="0" w:color="000000"/>
              <w:right w:val="nil" w:sz="6" w:space="0" w:color="auto"/>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350" w:hRule="exact"/>
        </w:trPr>
        <w:tc>
          <w:tcPr>
            <w:tcW w:w="2486" w:type="dxa"/>
            <w:vMerge/>
            <w:tcBorders>
              <w:left w:val="single" w:sz="6" w:space="0" w:color="000000"/>
              <w:right w:val="single" w:sz="6" w:space="0" w:color="000000"/>
            </w:tcBorders>
          </w:tcPr>
          <w:p>
            <w:pPr/>
          </w:p>
        </w:tc>
        <w:tc>
          <w:tcPr>
            <w:tcW w:w="2561" w:type="dxa"/>
            <w:gridSpan w:val="2"/>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652" w:type="dxa"/>
            <w:gridSpan w:val="2"/>
            <w:tcBorders>
              <w:top w:val="single" w:sz="12" w:space="0" w:color="000000"/>
              <w:left w:val="single" w:sz="6" w:space="0" w:color="000000"/>
              <w:bottom w:val="single" w:sz="12"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坏账准备</w:t>
            </w:r>
          </w:p>
        </w:tc>
        <w:tc>
          <w:tcPr>
            <w:tcW w:w="1510" w:type="dxa"/>
            <w:vMerge w:val="restart"/>
            <w:tcBorders>
              <w:top w:val="single" w:sz="12" w:space="0" w:color="000000"/>
              <w:left w:val="single" w:sz="6" w:space="0" w:color="000000"/>
              <w:right w:val="nil" w:sz="6" w:space="0" w:color="auto"/>
            </w:tcBorders>
          </w:tcPr>
          <w:p>
            <w:pPr>
              <w:pStyle w:val="TableParagraph"/>
              <w:spacing w:line="241" w:lineRule="exact"/>
              <w:ind w:left="328" w:right="0"/>
              <w:jc w:val="left"/>
              <w:rPr>
                <w:rFonts w:ascii="宋体" w:hAnsi="宋体" w:cs="宋体" w:eastAsia="宋体" w:hint="default"/>
                <w:sz w:val="21"/>
                <w:szCs w:val="21"/>
              </w:rPr>
            </w:pPr>
            <w:r>
              <w:rPr>
                <w:rFonts w:ascii="宋体" w:hAnsi="宋体" w:cs="宋体" w:eastAsia="宋体" w:hint="default"/>
                <w:sz w:val="21"/>
                <w:szCs w:val="21"/>
              </w:rPr>
              <w:t>账面价值</w:t>
            </w:r>
          </w:p>
          <w:p>
            <w:pPr>
              <w:pStyle w:val="TableParagraph"/>
              <w:spacing w:line="240" w:lineRule="auto" w:before="78"/>
              <w:ind w:left="-121" w:right="0"/>
              <w:jc w:val="left"/>
              <w:rPr>
                <w:rFonts w:ascii="宋体" w:hAnsi="宋体" w:cs="宋体" w:eastAsia="宋体" w:hint="default"/>
                <w:sz w:val="21"/>
                <w:szCs w:val="21"/>
              </w:rPr>
            </w:pPr>
            <w:r>
              <w:rPr>
                <w:rFonts w:ascii="宋体" w:hAnsi="宋体" w:cs="宋体" w:eastAsia="宋体" w:hint="default"/>
                <w:w w:val="100"/>
                <w:sz w:val="21"/>
                <w:szCs w:val="21"/>
              </w:rPr>
              <w:t>）</w:t>
            </w:r>
          </w:p>
        </w:tc>
      </w:tr>
      <w:tr>
        <w:trPr>
          <w:trHeight w:val="353" w:hRule="exact"/>
        </w:trPr>
        <w:tc>
          <w:tcPr>
            <w:tcW w:w="2486" w:type="dxa"/>
            <w:vMerge/>
            <w:tcBorders>
              <w:left w:val="single" w:sz="6" w:space="0" w:color="000000"/>
              <w:bottom w:val="single" w:sz="12" w:space="0" w:color="000000"/>
              <w:right w:val="single" w:sz="6" w:space="0" w:color="000000"/>
            </w:tcBorders>
          </w:tcPr>
          <w:p>
            <w:pPr/>
          </w:p>
        </w:tc>
        <w:tc>
          <w:tcPr>
            <w:tcW w:w="1615"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46" w:type="dxa"/>
            <w:tcBorders>
              <w:top w:val="single" w:sz="12" w:space="0" w:color="000000"/>
              <w:left w:val="single" w:sz="6" w:space="0" w:color="000000"/>
              <w:bottom w:val="single" w:sz="12" w:space="0" w:color="000000"/>
              <w:right w:val="single" w:sz="6" w:space="0" w:color="000000"/>
            </w:tcBorders>
          </w:tcPr>
          <w:p>
            <w:pPr>
              <w:pStyle w:val="TableParagraph"/>
              <w:spacing w:line="259" w:lineRule="exact"/>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346" w:type="dxa"/>
            <w:tcBorders>
              <w:top w:val="single" w:sz="12" w:space="0" w:color="000000"/>
              <w:left w:val="single" w:sz="6" w:space="0" w:color="000000"/>
              <w:bottom w:val="single" w:sz="12" w:space="0" w:color="000000"/>
              <w:right w:val="single" w:sz="6" w:space="0" w:color="000000"/>
            </w:tcBorders>
          </w:tcPr>
          <w:p>
            <w:pPr>
              <w:pStyle w:val="TableParagraph"/>
              <w:tabs>
                <w:tab w:pos="455" w:val="left" w:leader="none"/>
              </w:tabs>
              <w:spacing w:line="243" w:lineRule="exact"/>
              <w:ind w:left="-140" w:right="0"/>
              <w:jc w:val="left"/>
              <w:rPr>
                <w:rFonts w:ascii="宋体" w:hAnsi="宋体" w:cs="宋体" w:eastAsia="宋体" w:hint="default"/>
                <w:sz w:val="21"/>
                <w:szCs w:val="21"/>
              </w:rPr>
            </w:pPr>
            <w:r>
              <w:rPr>
                <w:rFonts w:ascii="宋体" w:hAnsi="宋体" w:cs="宋体" w:eastAsia="宋体" w:hint="default"/>
                <w:sz w:val="21"/>
                <w:szCs w:val="21"/>
              </w:rPr>
              <w:t>）</w:t>
              <w:tab/>
              <w:t>金额</w:t>
            </w:r>
          </w:p>
        </w:tc>
        <w:tc>
          <w:tcPr>
            <w:tcW w:w="1306" w:type="dxa"/>
            <w:tcBorders>
              <w:top w:val="single" w:sz="12" w:space="0" w:color="000000"/>
              <w:left w:val="single" w:sz="6" w:space="0" w:color="000000"/>
              <w:bottom w:val="single" w:sz="12" w:space="0" w:color="000000"/>
              <w:right w:val="single" w:sz="6" w:space="0" w:color="000000"/>
            </w:tcBorders>
          </w:tcPr>
          <w:p>
            <w:pPr>
              <w:pStyle w:val="TableParagraph"/>
              <w:spacing w:line="259" w:lineRule="exact"/>
              <w:ind w:left="4" w:right="0"/>
              <w:jc w:val="left"/>
              <w:rPr>
                <w:rFonts w:ascii="Times New Roman" w:hAnsi="Times New Roman" w:cs="Times New Roman" w:eastAsia="Times New Roman" w:hint="default"/>
                <w:sz w:val="21"/>
                <w:szCs w:val="21"/>
              </w:rPr>
            </w:pPr>
            <w:r>
              <w:rPr>
                <w:rFonts w:ascii="宋体" w:hAnsi="宋体" w:cs="宋体" w:eastAsia="宋体" w:hint="default"/>
                <w:spacing w:val="-9"/>
                <w:sz w:val="21"/>
                <w:szCs w:val="21"/>
              </w:rPr>
              <w:t>计提比例（</w:t>
            </w:r>
            <w:r>
              <w:rPr>
                <w:rFonts w:ascii="Times New Roman" w:hAnsi="Times New Roman" w:cs="Times New Roman" w:eastAsia="Times New Roman" w:hint="default"/>
                <w:spacing w:val="-9"/>
                <w:sz w:val="21"/>
                <w:szCs w:val="21"/>
              </w:rPr>
              <w:t>%</w:t>
            </w:r>
          </w:p>
        </w:tc>
        <w:tc>
          <w:tcPr>
            <w:tcW w:w="1510" w:type="dxa"/>
            <w:vMerge/>
            <w:tcBorders>
              <w:left w:val="single" w:sz="6" w:space="0" w:color="000000"/>
              <w:bottom w:val="single" w:sz="12" w:space="0" w:color="000000"/>
              <w:right w:val="nil" w:sz="6" w:space="0" w:color="auto"/>
            </w:tcBorders>
          </w:tcPr>
          <w:p>
            <w:pPr/>
          </w:p>
        </w:tc>
      </w:tr>
      <w:tr>
        <w:trPr>
          <w:trHeight w:val="586" w:hRule="exact"/>
        </w:trPr>
        <w:tc>
          <w:tcPr>
            <w:tcW w:w="2486" w:type="dxa"/>
            <w:tcBorders>
              <w:top w:val="single" w:sz="12" w:space="0" w:color="000000"/>
              <w:left w:val="single" w:sz="6" w:space="0" w:color="000000"/>
              <w:bottom w:val="single" w:sz="12" w:space="0" w:color="000000"/>
              <w:right w:val="single" w:sz="6" w:space="0" w:color="000000"/>
            </w:tcBorders>
          </w:tcPr>
          <w:p>
            <w:pPr>
              <w:pStyle w:val="TableParagraph"/>
              <w:spacing w:line="240" w:lineRule="exact"/>
              <w:ind w:left="4" w:right="-14"/>
              <w:jc w:val="left"/>
              <w:rPr>
                <w:rFonts w:ascii="宋体" w:hAnsi="宋体" w:cs="宋体" w:eastAsia="宋体" w:hint="default"/>
                <w:sz w:val="21"/>
                <w:szCs w:val="21"/>
              </w:rPr>
            </w:pPr>
            <w:r>
              <w:rPr>
                <w:rFonts w:ascii="宋体" w:hAnsi="宋体" w:cs="宋体" w:eastAsia="宋体" w:hint="default"/>
                <w:spacing w:val="13"/>
                <w:sz w:val="21"/>
                <w:szCs w:val="21"/>
              </w:rPr>
              <w:t>单项金额重大并单独计提</w:t>
            </w:r>
            <w:r>
              <w:rPr>
                <w:rFonts w:ascii="宋体" w:hAnsi="宋体" w:cs="宋体" w:eastAsia="宋体" w:hint="default"/>
                <w:sz w:val="21"/>
                <w:szCs w:val="21"/>
              </w:rPr>
            </w:r>
          </w:p>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坏账准备的其他应收款</w:t>
            </w:r>
          </w:p>
        </w:tc>
        <w:tc>
          <w:tcPr>
            <w:tcW w:w="1615"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946"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2"/>
              <w:jc w:val="right"/>
              <w:rPr>
                <w:rFonts w:ascii="Times New Roman" w:hAnsi="Times New Roman" w:cs="Times New Roman" w:eastAsia="Times New Roman" w:hint="default"/>
                <w:sz w:val="21"/>
                <w:szCs w:val="21"/>
              </w:rPr>
            </w:pPr>
            <w:r>
              <w:rPr>
                <w:rFonts w:ascii="Times New Roman"/>
                <w:spacing w:val="-1"/>
                <w:sz w:val="21"/>
              </w:rPr>
              <w:t>---</w:t>
            </w:r>
          </w:p>
        </w:tc>
        <w:tc>
          <w:tcPr>
            <w:tcW w:w="1346"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306"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510"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6"/>
              <w:jc w:val="right"/>
              <w:rPr>
                <w:rFonts w:ascii="Times New Roman" w:hAnsi="Times New Roman" w:cs="Times New Roman" w:eastAsia="Times New Roman" w:hint="default"/>
                <w:sz w:val="21"/>
                <w:szCs w:val="21"/>
              </w:rPr>
            </w:pPr>
            <w:r>
              <w:rPr>
                <w:rFonts w:ascii="Times New Roman"/>
                <w:spacing w:val="-1"/>
                <w:sz w:val="21"/>
              </w:rPr>
              <w:t>---</w:t>
            </w:r>
          </w:p>
        </w:tc>
      </w:tr>
      <w:tr>
        <w:trPr>
          <w:trHeight w:val="586" w:hRule="exact"/>
        </w:trPr>
        <w:tc>
          <w:tcPr>
            <w:tcW w:w="2486"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4" w:right="-14"/>
              <w:jc w:val="left"/>
              <w:rPr>
                <w:rFonts w:ascii="宋体" w:hAnsi="宋体" w:cs="宋体" w:eastAsia="宋体" w:hint="default"/>
                <w:sz w:val="21"/>
                <w:szCs w:val="21"/>
              </w:rPr>
            </w:pPr>
            <w:r>
              <w:rPr>
                <w:rFonts w:ascii="宋体" w:hAnsi="宋体" w:cs="宋体" w:eastAsia="宋体" w:hint="default"/>
                <w:spacing w:val="13"/>
                <w:sz w:val="21"/>
                <w:szCs w:val="21"/>
              </w:rPr>
              <w:t>按信用风险特征组合计提</w:t>
            </w:r>
            <w:r>
              <w:rPr>
                <w:rFonts w:ascii="宋体" w:hAnsi="宋体" w:cs="宋体" w:eastAsia="宋体" w:hint="default"/>
                <w:sz w:val="21"/>
                <w:szCs w:val="21"/>
              </w:rPr>
            </w:r>
          </w:p>
          <w:p>
            <w:pPr>
              <w:pStyle w:val="TableParagraph"/>
              <w:spacing w:line="273" w:lineRule="exact"/>
              <w:ind w:left="4" w:right="0"/>
              <w:jc w:val="left"/>
              <w:rPr>
                <w:rFonts w:ascii="宋体" w:hAnsi="宋体" w:cs="宋体" w:eastAsia="宋体" w:hint="default"/>
                <w:sz w:val="21"/>
                <w:szCs w:val="21"/>
              </w:rPr>
            </w:pPr>
            <w:r>
              <w:rPr>
                <w:rFonts w:ascii="宋体" w:hAnsi="宋体" w:cs="宋体" w:eastAsia="宋体" w:hint="default"/>
                <w:sz w:val="21"/>
                <w:szCs w:val="21"/>
              </w:rPr>
              <w:t>坏账准备的其他应收款</w:t>
            </w:r>
          </w:p>
        </w:tc>
        <w:tc>
          <w:tcPr>
            <w:tcW w:w="1615"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1,156,784.36</w:t>
            </w:r>
          </w:p>
        </w:tc>
        <w:tc>
          <w:tcPr>
            <w:tcW w:w="946"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0"/>
              <w:jc w:val="right"/>
              <w:rPr>
                <w:rFonts w:ascii="Times New Roman" w:hAnsi="Times New Roman" w:cs="Times New Roman" w:eastAsia="Times New Roman" w:hint="default"/>
                <w:sz w:val="21"/>
                <w:szCs w:val="21"/>
              </w:rPr>
            </w:pPr>
            <w:r>
              <w:rPr>
                <w:rFonts w:ascii="Times New Roman"/>
                <w:sz w:val="21"/>
              </w:rPr>
              <w:t>100.00</w:t>
            </w:r>
          </w:p>
        </w:tc>
        <w:tc>
          <w:tcPr>
            <w:tcW w:w="1346"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305,694.27</w:t>
            </w:r>
          </w:p>
        </w:tc>
        <w:tc>
          <w:tcPr>
            <w:tcW w:w="1306"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z w:val="21"/>
              </w:rPr>
              <w:t>26.43</w:t>
            </w:r>
          </w:p>
        </w:tc>
        <w:tc>
          <w:tcPr>
            <w:tcW w:w="1510"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5"/>
              <w:jc w:val="right"/>
              <w:rPr>
                <w:rFonts w:ascii="Times New Roman" w:hAnsi="Times New Roman" w:cs="Times New Roman" w:eastAsia="Times New Roman" w:hint="default"/>
                <w:sz w:val="21"/>
                <w:szCs w:val="21"/>
              </w:rPr>
            </w:pPr>
            <w:r>
              <w:rPr>
                <w:rFonts w:ascii="Times New Roman"/>
                <w:spacing w:val="-1"/>
                <w:sz w:val="21"/>
              </w:rPr>
              <w:t>851,090.09</w:t>
            </w:r>
          </w:p>
        </w:tc>
      </w:tr>
      <w:tr>
        <w:trPr>
          <w:trHeight w:val="859" w:hRule="exact"/>
        </w:trPr>
        <w:tc>
          <w:tcPr>
            <w:tcW w:w="2486"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4" w:right="-14"/>
              <w:jc w:val="left"/>
              <w:rPr>
                <w:rFonts w:ascii="宋体" w:hAnsi="宋体" w:cs="宋体" w:eastAsia="宋体" w:hint="default"/>
                <w:sz w:val="21"/>
                <w:szCs w:val="21"/>
              </w:rPr>
            </w:pPr>
            <w:r>
              <w:rPr>
                <w:rFonts w:ascii="宋体" w:hAnsi="宋体" w:cs="宋体" w:eastAsia="宋体" w:hint="default"/>
                <w:spacing w:val="13"/>
                <w:sz w:val="21"/>
                <w:szCs w:val="21"/>
              </w:rPr>
              <w:t>单项金额虽不重大但单独</w:t>
            </w:r>
            <w:r>
              <w:rPr>
                <w:rFonts w:ascii="宋体" w:hAnsi="宋体" w:cs="宋体" w:eastAsia="宋体" w:hint="default"/>
                <w:sz w:val="21"/>
                <w:szCs w:val="21"/>
              </w:rPr>
            </w:r>
          </w:p>
          <w:p>
            <w:pPr>
              <w:pStyle w:val="TableParagraph"/>
              <w:spacing w:line="240" w:lineRule="auto"/>
              <w:ind w:left="4" w:right="-14"/>
              <w:jc w:val="left"/>
              <w:rPr>
                <w:rFonts w:ascii="宋体" w:hAnsi="宋体" w:cs="宋体" w:eastAsia="宋体" w:hint="default"/>
                <w:sz w:val="21"/>
                <w:szCs w:val="21"/>
              </w:rPr>
            </w:pPr>
            <w:r>
              <w:rPr>
                <w:rFonts w:ascii="宋体" w:hAnsi="宋体" w:cs="宋体" w:eastAsia="宋体" w:hint="default"/>
                <w:spacing w:val="13"/>
                <w:sz w:val="21"/>
                <w:szCs w:val="21"/>
              </w:rPr>
              <w:t>计提坏账准备的其他应收</w:t>
            </w:r>
            <w:r>
              <w:rPr>
                <w:rFonts w:ascii="宋体" w:hAnsi="宋体" w:cs="宋体" w:eastAsia="宋体" w:hint="default"/>
                <w:spacing w:val="-81"/>
                <w:sz w:val="21"/>
                <w:szCs w:val="21"/>
              </w:rPr>
              <w:t> </w:t>
            </w:r>
            <w:r>
              <w:rPr>
                <w:rFonts w:ascii="宋体" w:hAnsi="宋体" w:cs="宋体" w:eastAsia="宋体" w:hint="default"/>
                <w:sz w:val="21"/>
                <w:szCs w:val="21"/>
              </w:rPr>
              <w:t>款</w:t>
            </w:r>
          </w:p>
        </w:tc>
        <w:tc>
          <w:tcPr>
            <w:tcW w:w="1615"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946"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2"/>
              <w:jc w:val="right"/>
              <w:rPr>
                <w:rFonts w:ascii="Times New Roman" w:hAnsi="Times New Roman" w:cs="Times New Roman" w:eastAsia="Times New Roman" w:hint="default"/>
                <w:sz w:val="21"/>
                <w:szCs w:val="21"/>
              </w:rPr>
            </w:pPr>
            <w:r>
              <w:rPr>
                <w:rFonts w:ascii="Times New Roman"/>
                <w:spacing w:val="-1"/>
                <w:sz w:val="21"/>
              </w:rPr>
              <w:t>---</w:t>
            </w:r>
          </w:p>
        </w:tc>
        <w:tc>
          <w:tcPr>
            <w:tcW w:w="1346"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306"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510"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6"/>
              <w:jc w:val="right"/>
              <w:rPr>
                <w:rFonts w:ascii="Times New Roman" w:hAnsi="Times New Roman" w:cs="Times New Roman" w:eastAsia="Times New Roman" w:hint="default"/>
                <w:sz w:val="21"/>
                <w:szCs w:val="21"/>
              </w:rPr>
            </w:pPr>
            <w:r>
              <w:rPr>
                <w:rFonts w:ascii="Times New Roman"/>
                <w:spacing w:val="-1"/>
                <w:sz w:val="21"/>
              </w:rPr>
              <w:t>---</w:t>
            </w:r>
          </w:p>
        </w:tc>
      </w:tr>
      <w:tr>
        <w:trPr>
          <w:trHeight w:val="353" w:hRule="exact"/>
        </w:trPr>
        <w:tc>
          <w:tcPr>
            <w:tcW w:w="2486"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15"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1,156,784.36</w:t>
            </w:r>
          </w:p>
        </w:tc>
        <w:tc>
          <w:tcPr>
            <w:tcW w:w="946"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0"/>
              <w:jc w:val="right"/>
              <w:rPr>
                <w:rFonts w:ascii="Times New Roman" w:hAnsi="Times New Roman" w:cs="Times New Roman" w:eastAsia="Times New Roman" w:hint="default"/>
                <w:sz w:val="21"/>
                <w:szCs w:val="21"/>
              </w:rPr>
            </w:pPr>
            <w:r>
              <w:rPr>
                <w:rFonts w:ascii="Times New Roman"/>
                <w:sz w:val="21"/>
              </w:rPr>
              <w:t>100.00</w:t>
            </w:r>
          </w:p>
        </w:tc>
        <w:tc>
          <w:tcPr>
            <w:tcW w:w="1346"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305,694.27</w:t>
            </w:r>
          </w:p>
        </w:tc>
        <w:tc>
          <w:tcPr>
            <w:tcW w:w="1306"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z w:val="21"/>
              </w:rPr>
              <w:t>26.43</w:t>
            </w:r>
          </w:p>
        </w:tc>
        <w:tc>
          <w:tcPr>
            <w:tcW w:w="1510"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5"/>
              <w:jc w:val="right"/>
              <w:rPr>
                <w:rFonts w:ascii="Times New Roman" w:hAnsi="Times New Roman" w:cs="Times New Roman" w:eastAsia="Times New Roman" w:hint="default"/>
                <w:sz w:val="21"/>
                <w:szCs w:val="21"/>
              </w:rPr>
            </w:pPr>
            <w:r>
              <w:rPr>
                <w:rFonts w:ascii="Times New Roman"/>
                <w:spacing w:val="-1"/>
                <w:sz w:val="21"/>
              </w:rPr>
              <w:t>851,090.09</w:t>
            </w:r>
          </w:p>
        </w:tc>
      </w:tr>
    </w:tbl>
    <w:p>
      <w:pPr>
        <w:spacing w:line="240" w:lineRule="auto" w:before="3"/>
        <w:rPr>
          <w:rFonts w:ascii="宋体" w:hAnsi="宋体" w:cs="宋体" w:eastAsia="宋体" w:hint="default"/>
          <w:b/>
          <w:bCs/>
          <w:sz w:val="8"/>
          <w:szCs w:val="8"/>
        </w:rPr>
      </w:pPr>
    </w:p>
    <w:p>
      <w:pPr>
        <w:pStyle w:val="BodyText"/>
        <w:spacing w:line="240" w:lineRule="auto" w:before="36"/>
        <w:ind w:left="572" w:right="0"/>
        <w:jc w:val="left"/>
      </w:pPr>
      <w:r>
        <w:rPr/>
        <w:t>（续）</w:t>
      </w:r>
    </w:p>
    <w:p>
      <w:pPr>
        <w:spacing w:line="240" w:lineRule="auto" w:before="10"/>
        <w:rPr>
          <w:rFonts w:ascii="宋体" w:hAnsi="宋体" w:cs="宋体" w:eastAsia="宋体" w:hint="default"/>
          <w:sz w:val="3"/>
          <w:szCs w:val="3"/>
        </w:rPr>
      </w:pPr>
    </w:p>
    <w:tbl>
      <w:tblPr>
        <w:tblW w:w="0" w:type="auto"/>
        <w:jc w:val="left"/>
        <w:tblInd w:w="145" w:type="dxa"/>
        <w:tblLayout w:type="fixed"/>
        <w:tblCellMar>
          <w:top w:w="0" w:type="dxa"/>
          <w:left w:w="0" w:type="dxa"/>
          <w:bottom w:w="0" w:type="dxa"/>
          <w:right w:w="0" w:type="dxa"/>
        </w:tblCellMar>
        <w:tblLook w:val="01E0"/>
      </w:tblPr>
      <w:tblGrid>
        <w:gridCol w:w="2491"/>
        <w:gridCol w:w="1598"/>
        <w:gridCol w:w="958"/>
        <w:gridCol w:w="1349"/>
        <w:gridCol w:w="1303"/>
        <w:gridCol w:w="1510"/>
      </w:tblGrid>
      <w:tr>
        <w:trPr>
          <w:trHeight w:val="355" w:hRule="exact"/>
        </w:trPr>
        <w:tc>
          <w:tcPr>
            <w:tcW w:w="2491" w:type="dxa"/>
            <w:vMerge w:val="restart"/>
            <w:tcBorders>
              <w:top w:val="single" w:sz="6" w:space="0" w:color="000000"/>
              <w:left w:val="single" w:sz="6" w:space="0" w:color="000000"/>
              <w:right w:val="single" w:sz="6" w:space="0" w:color="000000"/>
            </w:tcBorders>
          </w:tcPr>
          <w:p>
            <w:pPr>
              <w:pStyle w:val="TableParagraph"/>
              <w:spacing w:line="253" w:lineRule="exact"/>
              <w:ind w:left="4"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6718" w:type="dxa"/>
            <w:gridSpan w:val="5"/>
            <w:tcBorders>
              <w:top w:val="single" w:sz="6" w:space="0" w:color="000000"/>
              <w:left w:val="single" w:sz="6" w:space="0" w:color="000000"/>
              <w:bottom w:val="single" w:sz="12" w:space="0" w:color="000000"/>
              <w:right w:val="nil" w:sz="6" w:space="0" w:color="auto"/>
            </w:tcBorders>
          </w:tcPr>
          <w:p>
            <w:pPr>
              <w:pStyle w:val="TableParagraph"/>
              <w:spacing w:line="253" w:lineRule="exact"/>
              <w:ind w:right="5"/>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53" w:hRule="exact"/>
        </w:trPr>
        <w:tc>
          <w:tcPr>
            <w:tcW w:w="2491" w:type="dxa"/>
            <w:vMerge/>
            <w:tcBorders>
              <w:left w:val="single" w:sz="6" w:space="0" w:color="000000"/>
              <w:right w:val="single" w:sz="6" w:space="0" w:color="000000"/>
            </w:tcBorders>
          </w:tcPr>
          <w:p>
            <w:pPr/>
          </w:p>
        </w:tc>
        <w:tc>
          <w:tcPr>
            <w:tcW w:w="2556" w:type="dxa"/>
            <w:gridSpan w:val="2"/>
            <w:tcBorders>
              <w:top w:val="single" w:sz="12" w:space="0" w:color="000000"/>
              <w:left w:val="single" w:sz="6" w:space="0" w:color="000000"/>
              <w:bottom w:val="single" w:sz="12"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652" w:type="dxa"/>
            <w:gridSpan w:val="2"/>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坏账准备</w:t>
            </w:r>
          </w:p>
        </w:tc>
        <w:tc>
          <w:tcPr>
            <w:tcW w:w="1510" w:type="dxa"/>
            <w:vMerge w:val="restart"/>
            <w:tcBorders>
              <w:top w:val="single" w:sz="12" w:space="0" w:color="000000"/>
              <w:left w:val="single" w:sz="6" w:space="0" w:color="000000"/>
              <w:right w:val="nil" w:sz="6" w:space="0" w:color="auto"/>
            </w:tcBorders>
          </w:tcPr>
          <w:p>
            <w:pPr>
              <w:pStyle w:val="TableParagraph"/>
              <w:spacing w:line="241" w:lineRule="exact"/>
              <w:ind w:left="328" w:right="0"/>
              <w:jc w:val="left"/>
              <w:rPr>
                <w:rFonts w:ascii="宋体" w:hAnsi="宋体" w:cs="宋体" w:eastAsia="宋体" w:hint="default"/>
                <w:sz w:val="21"/>
                <w:szCs w:val="21"/>
              </w:rPr>
            </w:pPr>
            <w:r>
              <w:rPr>
                <w:rFonts w:ascii="宋体" w:hAnsi="宋体" w:cs="宋体" w:eastAsia="宋体" w:hint="default"/>
                <w:sz w:val="21"/>
                <w:szCs w:val="21"/>
              </w:rPr>
              <w:t>账面价值</w:t>
            </w:r>
          </w:p>
          <w:p>
            <w:pPr>
              <w:pStyle w:val="TableParagraph"/>
              <w:spacing w:line="240" w:lineRule="auto" w:before="78"/>
              <w:ind w:left="-121" w:right="0"/>
              <w:jc w:val="left"/>
              <w:rPr>
                <w:rFonts w:ascii="宋体" w:hAnsi="宋体" w:cs="宋体" w:eastAsia="宋体" w:hint="default"/>
                <w:sz w:val="21"/>
                <w:szCs w:val="21"/>
              </w:rPr>
            </w:pPr>
            <w:r>
              <w:rPr>
                <w:rFonts w:ascii="宋体" w:hAnsi="宋体" w:cs="宋体" w:eastAsia="宋体" w:hint="default"/>
                <w:w w:val="100"/>
                <w:sz w:val="21"/>
                <w:szCs w:val="21"/>
              </w:rPr>
              <w:t>）</w:t>
            </w:r>
          </w:p>
        </w:tc>
      </w:tr>
      <w:tr>
        <w:trPr>
          <w:trHeight w:val="350" w:hRule="exact"/>
        </w:trPr>
        <w:tc>
          <w:tcPr>
            <w:tcW w:w="2491" w:type="dxa"/>
            <w:vMerge/>
            <w:tcBorders>
              <w:left w:val="single" w:sz="6" w:space="0" w:color="000000"/>
              <w:bottom w:val="single" w:sz="12" w:space="0" w:color="000000"/>
              <w:right w:val="single" w:sz="6" w:space="0" w:color="000000"/>
            </w:tcBorders>
          </w:tcPr>
          <w:p>
            <w:pPr/>
          </w:p>
        </w:tc>
        <w:tc>
          <w:tcPr>
            <w:tcW w:w="1598"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58" w:type="dxa"/>
            <w:tcBorders>
              <w:top w:val="single" w:sz="12" w:space="0" w:color="000000"/>
              <w:left w:val="single" w:sz="6" w:space="0" w:color="000000"/>
              <w:bottom w:val="single" w:sz="12" w:space="0" w:color="000000"/>
              <w:right w:val="single" w:sz="6" w:space="0" w:color="000000"/>
            </w:tcBorders>
          </w:tcPr>
          <w:p>
            <w:pPr>
              <w:pStyle w:val="TableParagraph"/>
              <w:spacing w:line="257" w:lineRule="exact"/>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349" w:type="dxa"/>
            <w:tcBorders>
              <w:top w:val="single" w:sz="12" w:space="0" w:color="000000"/>
              <w:left w:val="single" w:sz="6" w:space="0" w:color="000000"/>
              <w:bottom w:val="single" w:sz="12" w:space="0" w:color="000000"/>
              <w:right w:val="single" w:sz="6" w:space="0" w:color="000000"/>
            </w:tcBorders>
          </w:tcPr>
          <w:p>
            <w:pPr>
              <w:pStyle w:val="TableParagraph"/>
              <w:tabs>
                <w:tab w:pos="458" w:val="left" w:leader="none"/>
              </w:tabs>
              <w:spacing w:line="241" w:lineRule="exact"/>
              <w:ind w:left="-149" w:right="0"/>
              <w:jc w:val="left"/>
              <w:rPr>
                <w:rFonts w:ascii="宋体" w:hAnsi="宋体" w:cs="宋体" w:eastAsia="宋体" w:hint="default"/>
                <w:sz w:val="21"/>
                <w:szCs w:val="21"/>
              </w:rPr>
            </w:pPr>
            <w:r>
              <w:rPr>
                <w:rFonts w:ascii="宋体" w:hAnsi="宋体" w:cs="宋体" w:eastAsia="宋体" w:hint="default"/>
                <w:sz w:val="21"/>
                <w:szCs w:val="21"/>
              </w:rPr>
              <w:t>）</w:t>
              <w:tab/>
              <w:t>金额</w:t>
            </w:r>
          </w:p>
        </w:tc>
        <w:tc>
          <w:tcPr>
            <w:tcW w:w="1303" w:type="dxa"/>
            <w:tcBorders>
              <w:top w:val="single" w:sz="12" w:space="0" w:color="000000"/>
              <w:left w:val="single" w:sz="6" w:space="0" w:color="000000"/>
              <w:bottom w:val="single" w:sz="12" w:space="0" w:color="000000"/>
              <w:right w:val="single" w:sz="6" w:space="0" w:color="000000"/>
            </w:tcBorders>
          </w:tcPr>
          <w:p>
            <w:pPr>
              <w:pStyle w:val="TableParagraph"/>
              <w:spacing w:line="257" w:lineRule="exact"/>
              <w:ind w:left="2" w:right="0"/>
              <w:jc w:val="left"/>
              <w:rPr>
                <w:rFonts w:ascii="Times New Roman" w:hAnsi="Times New Roman" w:cs="Times New Roman" w:eastAsia="Times New Roman" w:hint="default"/>
                <w:sz w:val="21"/>
                <w:szCs w:val="21"/>
              </w:rPr>
            </w:pPr>
            <w:r>
              <w:rPr>
                <w:rFonts w:ascii="宋体" w:hAnsi="宋体" w:cs="宋体" w:eastAsia="宋体" w:hint="default"/>
                <w:spacing w:val="-9"/>
                <w:sz w:val="21"/>
                <w:szCs w:val="21"/>
              </w:rPr>
              <w:t>计提比例（</w:t>
            </w:r>
            <w:r>
              <w:rPr>
                <w:rFonts w:ascii="Times New Roman" w:hAnsi="Times New Roman" w:cs="Times New Roman" w:eastAsia="Times New Roman" w:hint="default"/>
                <w:spacing w:val="-9"/>
                <w:sz w:val="21"/>
                <w:szCs w:val="21"/>
              </w:rPr>
              <w:t>%</w:t>
            </w:r>
          </w:p>
        </w:tc>
        <w:tc>
          <w:tcPr>
            <w:tcW w:w="1510" w:type="dxa"/>
            <w:vMerge/>
            <w:tcBorders>
              <w:left w:val="single" w:sz="6" w:space="0" w:color="000000"/>
              <w:bottom w:val="single" w:sz="12" w:space="0" w:color="000000"/>
              <w:right w:val="nil" w:sz="6" w:space="0" w:color="auto"/>
            </w:tcBorders>
          </w:tcPr>
          <w:p>
            <w:pPr/>
          </w:p>
        </w:tc>
      </w:tr>
      <w:tr>
        <w:trPr>
          <w:trHeight w:val="586" w:hRule="exact"/>
        </w:trPr>
        <w:tc>
          <w:tcPr>
            <w:tcW w:w="2491"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4" w:right="-14"/>
              <w:jc w:val="left"/>
              <w:rPr>
                <w:rFonts w:ascii="宋体" w:hAnsi="宋体" w:cs="宋体" w:eastAsia="宋体" w:hint="default"/>
                <w:sz w:val="21"/>
                <w:szCs w:val="21"/>
              </w:rPr>
            </w:pPr>
            <w:r>
              <w:rPr>
                <w:rFonts w:ascii="宋体" w:hAnsi="宋体" w:cs="宋体" w:eastAsia="宋体" w:hint="default"/>
                <w:spacing w:val="13"/>
                <w:sz w:val="21"/>
                <w:szCs w:val="21"/>
              </w:rPr>
              <w:t>单项金额重大并单独计提</w:t>
            </w:r>
            <w:r>
              <w:rPr>
                <w:rFonts w:ascii="宋体" w:hAnsi="宋体" w:cs="宋体" w:eastAsia="宋体" w:hint="default"/>
                <w:sz w:val="21"/>
                <w:szCs w:val="21"/>
              </w:rPr>
            </w:r>
          </w:p>
          <w:p>
            <w:pPr>
              <w:pStyle w:val="TableParagraph"/>
              <w:spacing w:line="273" w:lineRule="exact"/>
              <w:ind w:left="4" w:right="0"/>
              <w:jc w:val="left"/>
              <w:rPr>
                <w:rFonts w:ascii="宋体" w:hAnsi="宋体" w:cs="宋体" w:eastAsia="宋体" w:hint="default"/>
                <w:sz w:val="21"/>
                <w:szCs w:val="21"/>
              </w:rPr>
            </w:pPr>
            <w:r>
              <w:rPr>
                <w:rFonts w:ascii="宋体" w:hAnsi="宋体" w:cs="宋体" w:eastAsia="宋体" w:hint="default"/>
                <w:sz w:val="21"/>
                <w:szCs w:val="21"/>
              </w:rPr>
              <w:t>坏账准备的其他应收款</w:t>
            </w:r>
          </w:p>
        </w:tc>
        <w:tc>
          <w:tcPr>
            <w:tcW w:w="1598"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958"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349"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303"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510"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6"/>
              <w:jc w:val="right"/>
              <w:rPr>
                <w:rFonts w:ascii="Times New Roman" w:hAnsi="Times New Roman" w:cs="Times New Roman" w:eastAsia="Times New Roman" w:hint="default"/>
                <w:sz w:val="21"/>
                <w:szCs w:val="21"/>
              </w:rPr>
            </w:pPr>
            <w:r>
              <w:rPr>
                <w:rFonts w:ascii="Times New Roman"/>
                <w:spacing w:val="-1"/>
                <w:sz w:val="21"/>
              </w:rPr>
              <w:t>---</w:t>
            </w:r>
          </w:p>
        </w:tc>
      </w:tr>
      <w:tr>
        <w:trPr>
          <w:trHeight w:val="588" w:hRule="exact"/>
        </w:trPr>
        <w:tc>
          <w:tcPr>
            <w:tcW w:w="2491"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4" w:right="-14"/>
              <w:jc w:val="left"/>
              <w:rPr>
                <w:rFonts w:ascii="宋体" w:hAnsi="宋体" w:cs="宋体" w:eastAsia="宋体" w:hint="default"/>
                <w:sz w:val="21"/>
                <w:szCs w:val="21"/>
              </w:rPr>
            </w:pPr>
            <w:r>
              <w:rPr>
                <w:rFonts w:ascii="宋体" w:hAnsi="宋体" w:cs="宋体" w:eastAsia="宋体" w:hint="default"/>
                <w:spacing w:val="13"/>
                <w:sz w:val="21"/>
                <w:szCs w:val="21"/>
              </w:rPr>
              <w:t>按信用风险特征组合计提</w:t>
            </w:r>
            <w:r>
              <w:rPr>
                <w:rFonts w:ascii="宋体" w:hAnsi="宋体" w:cs="宋体" w:eastAsia="宋体" w:hint="default"/>
                <w:sz w:val="21"/>
                <w:szCs w:val="21"/>
              </w:rPr>
            </w:r>
          </w:p>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坏账准备的其他应收款</w:t>
            </w:r>
          </w:p>
        </w:tc>
        <w:tc>
          <w:tcPr>
            <w:tcW w:w="1598"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590,427.23</w:t>
            </w:r>
          </w:p>
        </w:tc>
        <w:tc>
          <w:tcPr>
            <w:tcW w:w="958"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z w:val="21"/>
              </w:rPr>
              <w:t>100.00</w:t>
            </w:r>
          </w:p>
        </w:tc>
        <w:tc>
          <w:tcPr>
            <w:tcW w:w="1349"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169,124.99</w:t>
            </w:r>
          </w:p>
        </w:tc>
        <w:tc>
          <w:tcPr>
            <w:tcW w:w="1303"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z w:val="21"/>
              </w:rPr>
              <w:t>28.65</w:t>
            </w:r>
          </w:p>
        </w:tc>
        <w:tc>
          <w:tcPr>
            <w:tcW w:w="1510"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5"/>
              <w:jc w:val="right"/>
              <w:rPr>
                <w:rFonts w:ascii="Times New Roman" w:hAnsi="Times New Roman" w:cs="Times New Roman" w:eastAsia="Times New Roman" w:hint="default"/>
                <w:sz w:val="21"/>
                <w:szCs w:val="21"/>
              </w:rPr>
            </w:pPr>
            <w:r>
              <w:rPr>
                <w:rFonts w:ascii="Times New Roman"/>
                <w:spacing w:val="-1"/>
                <w:sz w:val="21"/>
              </w:rPr>
              <w:t>421,302.24</w:t>
            </w:r>
          </w:p>
        </w:tc>
      </w:tr>
      <w:tr>
        <w:trPr>
          <w:trHeight w:val="857" w:hRule="exact"/>
        </w:trPr>
        <w:tc>
          <w:tcPr>
            <w:tcW w:w="2491" w:type="dxa"/>
            <w:tcBorders>
              <w:top w:val="single" w:sz="12" w:space="0" w:color="000000"/>
              <w:left w:val="single" w:sz="6" w:space="0" w:color="000000"/>
              <w:bottom w:val="single" w:sz="12" w:space="0" w:color="000000"/>
              <w:right w:val="single" w:sz="6" w:space="0" w:color="000000"/>
            </w:tcBorders>
          </w:tcPr>
          <w:p>
            <w:pPr>
              <w:pStyle w:val="TableParagraph"/>
              <w:spacing w:line="240" w:lineRule="exact"/>
              <w:ind w:left="4" w:right="-14"/>
              <w:jc w:val="left"/>
              <w:rPr>
                <w:rFonts w:ascii="宋体" w:hAnsi="宋体" w:cs="宋体" w:eastAsia="宋体" w:hint="default"/>
                <w:sz w:val="21"/>
                <w:szCs w:val="21"/>
              </w:rPr>
            </w:pPr>
            <w:r>
              <w:rPr>
                <w:rFonts w:ascii="宋体" w:hAnsi="宋体" w:cs="宋体" w:eastAsia="宋体" w:hint="default"/>
                <w:spacing w:val="13"/>
                <w:sz w:val="21"/>
                <w:szCs w:val="21"/>
              </w:rPr>
              <w:t>单项金额虽不重大但单独</w:t>
            </w:r>
            <w:r>
              <w:rPr>
                <w:rFonts w:ascii="宋体" w:hAnsi="宋体" w:cs="宋体" w:eastAsia="宋体" w:hint="default"/>
                <w:sz w:val="21"/>
                <w:szCs w:val="21"/>
              </w:rPr>
            </w:r>
          </w:p>
          <w:p>
            <w:pPr>
              <w:pStyle w:val="TableParagraph"/>
              <w:spacing w:line="240" w:lineRule="auto"/>
              <w:ind w:left="4" w:right="-14"/>
              <w:jc w:val="left"/>
              <w:rPr>
                <w:rFonts w:ascii="宋体" w:hAnsi="宋体" w:cs="宋体" w:eastAsia="宋体" w:hint="default"/>
                <w:sz w:val="21"/>
                <w:szCs w:val="21"/>
              </w:rPr>
            </w:pPr>
            <w:r>
              <w:rPr>
                <w:rFonts w:ascii="宋体" w:hAnsi="宋体" w:cs="宋体" w:eastAsia="宋体" w:hint="default"/>
                <w:spacing w:val="13"/>
                <w:sz w:val="21"/>
                <w:szCs w:val="21"/>
              </w:rPr>
              <w:t>计提坏账准备的其他应收</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款</w:t>
            </w:r>
          </w:p>
        </w:tc>
        <w:tc>
          <w:tcPr>
            <w:tcW w:w="1598"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958"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349"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303"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510"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6"/>
              <w:jc w:val="right"/>
              <w:rPr>
                <w:rFonts w:ascii="Times New Roman" w:hAnsi="Times New Roman" w:cs="Times New Roman" w:eastAsia="Times New Roman" w:hint="default"/>
                <w:sz w:val="21"/>
                <w:szCs w:val="21"/>
              </w:rPr>
            </w:pPr>
            <w:r>
              <w:rPr>
                <w:rFonts w:ascii="Times New Roman"/>
                <w:spacing w:val="-1"/>
                <w:sz w:val="21"/>
              </w:rPr>
              <w:t>---</w:t>
            </w:r>
          </w:p>
        </w:tc>
      </w:tr>
      <w:tr>
        <w:trPr>
          <w:trHeight w:val="355" w:hRule="exact"/>
        </w:trPr>
        <w:tc>
          <w:tcPr>
            <w:tcW w:w="2491"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98"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590,427.23</w:t>
            </w:r>
          </w:p>
        </w:tc>
        <w:tc>
          <w:tcPr>
            <w:tcW w:w="958"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z w:val="21"/>
              </w:rPr>
              <w:t>100.00</w:t>
            </w:r>
          </w:p>
        </w:tc>
        <w:tc>
          <w:tcPr>
            <w:tcW w:w="1349"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169,124.99</w:t>
            </w:r>
          </w:p>
        </w:tc>
        <w:tc>
          <w:tcPr>
            <w:tcW w:w="1303"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z w:val="21"/>
              </w:rPr>
              <w:t>28.65</w:t>
            </w:r>
          </w:p>
        </w:tc>
        <w:tc>
          <w:tcPr>
            <w:tcW w:w="1510"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5"/>
              <w:jc w:val="right"/>
              <w:rPr>
                <w:rFonts w:ascii="Times New Roman" w:hAnsi="Times New Roman" w:cs="Times New Roman" w:eastAsia="Times New Roman" w:hint="default"/>
                <w:sz w:val="21"/>
                <w:szCs w:val="21"/>
              </w:rPr>
            </w:pPr>
            <w:r>
              <w:rPr>
                <w:rFonts w:ascii="Times New Roman"/>
                <w:spacing w:val="-1"/>
                <w:sz w:val="21"/>
              </w:rPr>
              <w:t>421,302.24</w:t>
            </w:r>
          </w:p>
        </w:tc>
      </w:tr>
    </w:tbl>
    <w:p>
      <w:pPr>
        <w:spacing w:line="240" w:lineRule="auto" w:before="3"/>
        <w:rPr>
          <w:rFonts w:ascii="宋体" w:hAnsi="宋体" w:cs="宋体" w:eastAsia="宋体" w:hint="default"/>
          <w:sz w:val="8"/>
          <w:szCs w:val="8"/>
        </w:rPr>
      </w:pPr>
    </w:p>
    <w:p>
      <w:pPr>
        <w:pStyle w:val="Heading5"/>
        <w:spacing w:line="240" w:lineRule="auto" w:before="36"/>
        <w:ind w:left="575" w:right="0"/>
        <w:jc w:val="left"/>
        <w:rPr>
          <w:b w:val="0"/>
          <w:bCs w:val="0"/>
        </w:rPr>
      </w:pPr>
      <w:r>
        <w:rPr>
          <w:rFonts w:ascii="Times New Roman" w:hAnsi="Times New Roman" w:cs="Times New Roman" w:eastAsia="Times New Roman" w:hint="default"/>
        </w:rPr>
        <w:t>2</w:t>
      </w:r>
      <w:r>
        <w:rPr/>
        <w:t>、组合中，按账龄分析法计提坏账准备的其他应收款</w:t>
      </w:r>
      <w:r>
        <w:rPr>
          <w:b w:val="0"/>
          <w:bCs w:val="0"/>
        </w:rPr>
      </w:r>
    </w:p>
    <w:p>
      <w:pPr>
        <w:spacing w:line="240" w:lineRule="auto" w:before="8"/>
        <w:rPr>
          <w:rFonts w:ascii="宋体" w:hAnsi="宋体" w:cs="宋体" w:eastAsia="宋体" w:hint="default"/>
          <w:b/>
          <w:bCs/>
          <w:sz w:val="2"/>
          <w:szCs w:val="2"/>
        </w:rPr>
      </w:pPr>
    </w:p>
    <w:tbl>
      <w:tblPr>
        <w:tblW w:w="0" w:type="auto"/>
        <w:jc w:val="left"/>
        <w:tblInd w:w="145" w:type="dxa"/>
        <w:tblLayout w:type="fixed"/>
        <w:tblCellMar>
          <w:top w:w="0" w:type="dxa"/>
          <w:left w:w="0" w:type="dxa"/>
          <w:bottom w:w="0" w:type="dxa"/>
          <w:right w:w="0" w:type="dxa"/>
        </w:tblCellMar>
        <w:tblLook w:val="01E0"/>
      </w:tblPr>
      <w:tblGrid>
        <w:gridCol w:w="2422"/>
        <w:gridCol w:w="2306"/>
        <w:gridCol w:w="2275"/>
        <w:gridCol w:w="2189"/>
      </w:tblGrid>
      <w:tr>
        <w:trPr>
          <w:trHeight w:val="353" w:hRule="exact"/>
        </w:trPr>
        <w:tc>
          <w:tcPr>
            <w:tcW w:w="2422" w:type="dxa"/>
            <w:vMerge w:val="restart"/>
            <w:tcBorders>
              <w:top w:val="single" w:sz="6" w:space="0" w:color="000000"/>
              <w:left w:val="single" w:sz="6" w:space="0" w:color="000000"/>
              <w:right w:val="single" w:sz="6" w:space="0" w:color="000000"/>
            </w:tcBorders>
          </w:tcPr>
          <w:p>
            <w:pPr>
              <w:pStyle w:val="TableParagraph"/>
              <w:spacing w:line="250" w:lineRule="exact"/>
              <w:ind w:left="2"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770" w:type="dxa"/>
            <w:gridSpan w:val="3"/>
            <w:tcBorders>
              <w:top w:val="single" w:sz="6" w:space="0" w:color="000000"/>
              <w:left w:val="single" w:sz="6" w:space="0" w:color="000000"/>
              <w:bottom w:val="single" w:sz="12" w:space="0" w:color="000000"/>
              <w:right w:val="nil" w:sz="6" w:space="0" w:color="auto"/>
            </w:tcBorders>
          </w:tcPr>
          <w:p>
            <w:pPr>
              <w:pStyle w:val="TableParagraph"/>
              <w:spacing w:line="250" w:lineRule="exact"/>
              <w:ind w:right="5"/>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353" w:hRule="exact"/>
        </w:trPr>
        <w:tc>
          <w:tcPr>
            <w:tcW w:w="2422" w:type="dxa"/>
            <w:vMerge/>
            <w:tcBorders>
              <w:left w:val="single" w:sz="6" w:space="0" w:color="000000"/>
              <w:bottom w:val="single" w:sz="12" w:space="0" w:color="000000"/>
              <w:right w:val="single" w:sz="6" w:space="0" w:color="000000"/>
            </w:tcBorders>
          </w:tcPr>
          <w:p>
            <w:pPr/>
          </w:p>
        </w:tc>
        <w:tc>
          <w:tcPr>
            <w:tcW w:w="2306"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619"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275"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71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189" w:type="dxa"/>
            <w:tcBorders>
              <w:top w:val="single" w:sz="12" w:space="0" w:color="000000"/>
              <w:left w:val="single" w:sz="6" w:space="0" w:color="000000"/>
              <w:bottom w:val="single" w:sz="12" w:space="0" w:color="000000"/>
              <w:right w:val="nil" w:sz="6" w:space="0" w:color="auto"/>
            </w:tcBorders>
          </w:tcPr>
          <w:p>
            <w:pPr>
              <w:pStyle w:val="TableParagraph"/>
              <w:spacing w:line="259" w:lineRule="exact"/>
              <w:ind w:left="369"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53" w:hRule="exact"/>
        </w:trPr>
        <w:tc>
          <w:tcPr>
            <w:tcW w:w="2422" w:type="dxa"/>
            <w:tcBorders>
              <w:top w:val="single" w:sz="12" w:space="0" w:color="000000"/>
              <w:left w:val="single" w:sz="6" w:space="0" w:color="000000"/>
              <w:bottom w:val="single" w:sz="12" w:space="0" w:color="000000"/>
              <w:right w:val="single" w:sz="6" w:space="0" w:color="000000"/>
            </w:tcBorders>
          </w:tcPr>
          <w:p>
            <w:pPr>
              <w:pStyle w:val="TableParagraph"/>
              <w:spacing w:line="257"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2306"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Times New Roman" w:hAnsi="Times New Roman" w:cs="Times New Roman" w:eastAsia="Times New Roman" w:hint="default"/>
                <w:sz w:val="21"/>
                <w:szCs w:val="21"/>
              </w:rPr>
            </w:pPr>
            <w:r>
              <w:rPr>
                <w:rFonts w:ascii="Times New Roman"/>
                <w:spacing w:val="-1"/>
                <w:sz w:val="21"/>
              </w:rPr>
              <w:t>670,296.12</w:t>
            </w:r>
          </w:p>
        </w:tc>
        <w:tc>
          <w:tcPr>
            <w:tcW w:w="2275"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Times New Roman" w:hAnsi="Times New Roman" w:cs="Times New Roman" w:eastAsia="Times New Roman" w:hint="default"/>
                <w:sz w:val="21"/>
                <w:szCs w:val="21"/>
              </w:rPr>
            </w:pPr>
            <w:r>
              <w:rPr>
                <w:rFonts w:ascii="Times New Roman"/>
                <w:sz w:val="21"/>
              </w:rPr>
              <w:t>6,702.96</w:t>
            </w:r>
          </w:p>
        </w:tc>
        <w:tc>
          <w:tcPr>
            <w:tcW w:w="2189"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5"/>
              <w:jc w:val="right"/>
              <w:rPr>
                <w:rFonts w:ascii="Times New Roman" w:hAnsi="Times New Roman" w:cs="Times New Roman" w:eastAsia="Times New Roman" w:hint="default"/>
                <w:sz w:val="21"/>
                <w:szCs w:val="21"/>
              </w:rPr>
            </w:pPr>
            <w:r>
              <w:rPr>
                <w:rFonts w:ascii="Times New Roman"/>
                <w:sz w:val="21"/>
              </w:rPr>
              <w:t>1.00</w:t>
            </w:r>
          </w:p>
        </w:tc>
      </w:tr>
      <w:tr>
        <w:trPr>
          <w:trHeight w:val="350" w:hRule="exact"/>
        </w:trPr>
        <w:tc>
          <w:tcPr>
            <w:tcW w:w="2422" w:type="dxa"/>
            <w:tcBorders>
              <w:top w:val="single" w:sz="12" w:space="0" w:color="000000"/>
              <w:left w:val="single" w:sz="6" w:space="0" w:color="000000"/>
              <w:bottom w:val="single" w:sz="12" w:space="0" w:color="000000"/>
              <w:right w:val="single" w:sz="6" w:space="0" w:color="000000"/>
            </w:tcBorders>
          </w:tcPr>
          <w:p>
            <w:pPr>
              <w:pStyle w:val="TableParagraph"/>
              <w:spacing w:line="257"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年</w:t>
            </w:r>
          </w:p>
        </w:tc>
        <w:tc>
          <w:tcPr>
            <w:tcW w:w="2306"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Times New Roman" w:hAnsi="Times New Roman" w:cs="Times New Roman" w:eastAsia="Times New Roman" w:hint="default"/>
                <w:sz w:val="21"/>
                <w:szCs w:val="21"/>
              </w:rPr>
            </w:pPr>
            <w:r>
              <w:rPr>
                <w:rFonts w:ascii="Times New Roman"/>
                <w:spacing w:val="-1"/>
                <w:sz w:val="21"/>
              </w:rPr>
              <w:t>134,350.00</w:t>
            </w:r>
          </w:p>
        </w:tc>
        <w:tc>
          <w:tcPr>
            <w:tcW w:w="2275"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Times New Roman" w:hAnsi="Times New Roman" w:cs="Times New Roman" w:eastAsia="Times New Roman" w:hint="default"/>
                <w:sz w:val="21"/>
                <w:szCs w:val="21"/>
              </w:rPr>
            </w:pPr>
            <w:r>
              <w:rPr>
                <w:rFonts w:ascii="Times New Roman"/>
                <w:spacing w:val="-1"/>
                <w:sz w:val="21"/>
              </w:rPr>
              <w:t>13,435.00</w:t>
            </w:r>
          </w:p>
        </w:tc>
        <w:tc>
          <w:tcPr>
            <w:tcW w:w="2189"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5"/>
              <w:jc w:val="right"/>
              <w:rPr>
                <w:rFonts w:ascii="Times New Roman" w:hAnsi="Times New Roman" w:cs="Times New Roman" w:eastAsia="Times New Roman" w:hint="default"/>
                <w:sz w:val="21"/>
                <w:szCs w:val="21"/>
              </w:rPr>
            </w:pPr>
            <w:r>
              <w:rPr>
                <w:rFonts w:ascii="Times New Roman"/>
                <w:sz w:val="21"/>
              </w:rPr>
              <w:t>10.00</w:t>
            </w:r>
          </w:p>
        </w:tc>
      </w:tr>
      <w:tr>
        <w:trPr>
          <w:trHeight w:val="353" w:hRule="exact"/>
        </w:trPr>
        <w:tc>
          <w:tcPr>
            <w:tcW w:w="2422" w:type="dxa"/>
            <w:tcBorders>
              <w:top w:val="single" w:sz="12" w:space="0" w:color="000000"/>
              <w:left w:val="single" w:sz="6" w:space="0" w:color="000000"/>
              <w:bottom w:val="single" w:sz="12" w:space="0" w:color="000000"/>
              <w:right w:val="single" w:sz="6" w:space="0" w:color="000000"/>
            </w:tcBorders>
          </w:tcPr>
          <w:p>
            <w:pPr>
              <w:pStyle w:val="TableParagraph"/>
              <w:spacing w:line="259"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年</w:t>
            </w:r>
          </w:p>
        </w:tc>
        <w:tc>
          <w:tcPr>
            <w:tcW w:w="2306"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0"/>
              <w:jc w:val="right"/>
              <w:rPr>
                <w:rFonts w:ascii="Times New Roman" w:hAnsi="Times New Roman" w:cs="Times New Roman" w:eastAsia="Times New Roman" w:hint="default"/>
                <w:sz w:val="21"/>
                <w:szCs w:val="21"/>
              </w:rPr>
            </w:pPr>
            <w:r>
              <w:rPr>
                <w:rFonts w:ascii="Times New Roman"/>
                <w:sz w:val="21"/>
              </w:rPr>
              <w:t>95,117.04</w:t>
            </w:r>
          </w:p>
        </w:tc>
        <w:tc>
          <w:tcPr>
            <w:tcW w:w="2275"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0"/>
              <w:jc w:val="right"/>
              <w:rPr>
                <w:rFonts w:ascii="Times New Roman" w:hAnsi="Times New Roman" w:cs="Times New Roman" w:eastAsia="Times New Roman" w:hint="default"/>
                <w:sz w:val="21"/>
                <w:szCs w:val="21"/>
              </w:rPr>
            </w:pPr>
            <w:r>
              <w:rPr>
                <w:rFonts w:ascii="Times New Roman"/>
                <w:spacing w:val="-1"/>
                <w:sz w:val="21"/>
              </w:rPr>
              <w:t>28,535.11</w:t>
            </w:r>
          </w:p>
        </w:tc>
        <w:tc>
          <w:tcPr>
            <w:tcW w:w="2189"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5"/>
              <w:jc w:val="right"/>
              <w:rPr>
                <w:rFonts w:ascii="Times New Roman" w:hAnsi="Times New Roman" w:cs="Times New Roman" w:eastAsia="Times New Roman" w:hint="default"/>
                <w:sz w:val="21"/>
                <w:szCs w:val="21"/>
              </w:rPr>
            </w:pPr>
            <w:r>
              <w:rPr>
                <w:rFonts w:ascii="Times New Roman"/>
                <w:sz w:val="21"/>
              </w:rPr>
              <w:t>30.00</w:t>
            </w:r>
          </w:p>
        </w:tc>
      </w:tr>
      <w:tr>
        <w:trPr>
          <w:trHeight w:val="353" w:hRule="exact"/>
        </w:trPr>
        <w:tc>
          <w:tcPr>
            <w:tcW w:w="2422" w:type="dxa"/>
            <w:tcBorders>
              <w:top w:val="single" w:sz="12" w:space="0" w:color="000000"/>
              <w:left w:val="single" w:sz="6" w:space="0" w:color="000000"/>
              <w:bottom w:val="single" w:sz="12" w:space="0" w:color="000000"/>
              <w:right w:val="single" w:sz="6" w:space="0" w:color="000000"/>
            </w:tcBorders>
          </w:tcPr>
          <w:p>
            <w:pPr>
              <w:pStyle w:val="TableParagraph"/>
              <w:spacing w:line="257"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年以上</w:t>
            </w:r>
          </w:p>
        </w:tc>
        <w:tc>
          <w:tcPr>
            <w:tcW w:w="2306"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Times New Roman" w:hAnsi="Times New Roman" w:cs="Times New Roman" w:eastAsia="Times New Roman" w:hint="default"/>
                <w:sz w:val="21"/>
                <w:szCs w:val="21"/>
              </w:rPr>
            </w:pPr>
            <w:r>
              <w:rPr>
                <w:rFonts w:ascii="Times New Roman"/>
                <w:spacing w:val="-1"/>
                <w:sz w:val="21"/>
              </w:rPr>
              <w:t>257,021.20</w:t>
            </w:r>
          </w:p>
        </w:tc>
        <w:tc>
          <w:tcPr>
            <w:tcW w:w="2275"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Times New Roman" w:hAnsi="Times New Roman" w:cs="Times New Roman" w:eastAsia="Times New Roman" w:hint="default"/>
                <w:sz w:val="21"/>
                <w:szCs w:val="21"/>
              </w:rPr>
            </w:pPr>
            <w:r>
              <w:rPr>
                <w:rFonts w:ascii="Times New Roman"/>
                <w:spacing w:val="-1"/>
                <w:sz w:val="21"/>
              </w:rPr>
              <w:t>257,021.20</w:t>
            </w:r>
          </w:p>
        </w:tc>
        <w:tc>
          <w:tcPr>
            <w:tcW w:w="2189"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5"/>
              <w:jc w:val="right"/>
              <w:rPr>
                <w:rFonts w:ascii="Times New Roman" w:hAnsi="Times New Roman" w:cs="Times New Roman" w:eastAsia="Times New Roman" w:hint="default"/>
                <w:sz w:val="21"/>
                <w:szCs w:val="21"/>
              </w:rPr>
            </w:pPr>
            <w:r>
              <w:rPr>
                <w:rFonts w:ascii="Times New Roman"/>
                <w:sz w:val="21"/>
              </w:rPr>
              <w:t>100.00</w:t>
            </w:r>
          </w:p>
        </w:tc>
      </w:tr>
      <w:tr>
        <w:trPr>
          <w:trHeight w:val="353" w:hRule="exact"/>
        </w:trPr>
        <w:tc>
          <w:tcPr>
            <w:tcW w:w="2422"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06"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Times New Roman" w:hAnsi="Times New Roman" w:cs="Times New Roman" w:eastAsia="Times New Roman" w:hint="default"/>
                <w:sz w:val="21"/>
                <w:szCs w:val="21"/>
              </w:rPr>
            </w:pPr>
            <w:r>
              <w:rPr>
                <w:rFonts w:ascii="Times New Roman"/>
                <w:spacing w:val="-1"/>
                <w:sz w:val="21"/>
              </w:rPr>
              <w:t>1,156,784.36</w:t>
            </w:r>
          </w:p>
        </w:tc>
        <w:tc>
          <w:tcPr>
            <w:tcW w:w="2275"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Times New Roman" w:hAnsi="Times New Roman" w:cs="Times New Roman" w:eastAsia="Times New Roman" w:hint="default"/>
                <w:sz w:val="21"/>
                <w:szCs w:val="21"/>
              </w:rPr>
            </w:pPr>
            <w:r>
              <w:rPr>
                <w:rFonts w:ascii="Times New Roman"/>
                <w:spacing w:val="-1"/>
                <w:sz w:val="21"/>
              </w:rPr>
              <w:t>305,694.27</w:t>
            </w:r>
          </w:p>
        </w:tc>
        <w:tc>
          <w:tcPr>
            <w:tcW w:w="2189"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5"/>
              <w:jc w:val="right"/>
              <w:rPr>
                <w:rFonts w:ascii="Times New Roman" w:hAnsi="Times New Roman" w:cs="Times New Roman" w:eastAsia="Times New Roman" w:hint="default"/>
                <w:sz w:val="21"/>
                <w:szCs w:val="21"/>
              </w:rPr>
            </w:pPr>
            <w:r>
              <w:rPr>
                <w:rFonts w:ascii="Times New Roman"/>
                <w:sz w:val="21"/>
              </w:rPr>
              <w:t>26.43</w:t>
            </w:r>
          </w:p>
        </w:tc>
      </w:tr>
    </w:tbl>
    <w:p>
      <w:pPr>
        <w:spacing w:line="240" w:lineRule="auto" w:before="2"/>
        <w:rPr>
          <w:rFonts w:ascii="宋体" w:hAnsi="宋体" w:cs="宋体" w:eastAsia="宋体" w:hint="default"/>
          <w:b/>
          <w:bCs/>
          <w:sz w:val="20"/>
          <w:szCs w:val="20"/>
        </w:rPr>
      </w:pPr>
    </w:p>
    <w:p>
      <w:pPr>
        <w:pStyle w:val="Heading5"/>
        <w:spacing w:line="240" w:lineRule="auto" w:before="36"/>
        <w:ind w:left="575" w:right="0"/>
        <w:jc w:val="left"/>
        <w:rPr>
          <w:b w:val="0"/>
          <w:bCs w:val="0"/>
        </w:rPr>
      </w:pPr>
      <w:r>
        <w:rPr>
          <w:rFonts w:ascii="Times New Roman" w:hAnsi="Times New Roman" w:cs="Times New Roman" w:eastAsia="Times New Roman" w:hint="default"/>
        </w:rPr>
        <w:t>3</w:t>
      </w:r>
      <w:r>
        <w:rPr/>
        <w:t>、期末其他应收款中无应收持本公司</w:t>
      </w:r>
      <w:r>
        <w:rPr>
          <w:rFonts w:ascii="Times New Roman" w:hAnsi="Times New Roman" w:cs="Times New Roman" w:eastAsia="Times New Roman" w:hint="default"/>
        </w:rPr>
        <w:t>5%</w:t>
      </w:r>
      <w:r>
        <w:rPr/>
        <w:t>以上（含</w:t>
      </w:r>
      <w:r>
        <w:rPr>
          <w:rFonts w:ascii="Times New Roman" w:hAnsi="Times New Roman" w:cs="Times New Roman" w:eastAsia="Times New Roman" w:hint="default"/>
        </w:rPr>
        <w:t>5%</w:t>
      </w:r>
      <w:r>
        <w:rPr/>
        <w:t>）表决权股份的股东及其他关联方的款项。</w:t>
      </w:r>
      <w:r>
        <w:rPr>
          <w:b w:val="0"/>
          <w:bCs w:val="0"/>
        </w:rPr>
      </w:r>
    </w:p>
    <w:p>
      <w:pPr>
        <w:pStyle w:val="Heading5"/>
        <w:spacing w:line="240" w:lineRule="auto" w:before="177"/>
        <w:ind w:left="575" w:right="0"/>
        <w:jc w:val="left"/>
        <w:rPr>
          <w:b w:val="0"/>
          <w:bCs w:val="0"/>
        </w:rPr>
      </w:pPr>
      <w:r>
        <w:rPr>
          <w:rFonts w:ascii="Times New Roman" w:hAnsi="Times New Roman" w:cs="Times New Roman" w:eastAsia="Times New Roman" w:hint="default"/>
        </w:rPr>
        <w:t>4</w:t>
      </w:r>
      <w:r>
        <w:rPr/>
        <w:t>、其他应收款按款项性质分类情况</w:t>
      </w:r>
      <w:r>
        <w:rPr>
          <w:b w:val="0"/>
          <w:bCs w:val="0"/>
        </w:rPr>
      </w:r>
    </w:p>
    <w:p>
      <w:pPr>
        <w:spacing w:line="240" w:lineRule="auto" w:before="8"/>
        <w:rPr>
          <w:rFonts w:ascii="宋体" w:hAnsi="宋体" w:cs="宋体" w:eastAsia="宋体" w:hint="default"/>
          <w:b/>
          <w:bCs/>
          <w:sz w:val="2"/>
          <w:szCs w:val="2"/>
        </w:rPr>
      </w:pPr>
    </w:p>
    <w:tbl>
      <w:tblPr>
        <w:tblW w:w="0" w:type="auto"/>
        <w:jc w:val="left"/>
        <w:tblInd w:w="145" w:type="dxa"/>
        <w:tblLayout w:type="fixed"/>
        <w:tblCellMar>
          <w:top w:w="0" w:type="dxa"/>
          <w:left w:w="0" w:type="dxa"/>
          <w:bottom w:w="0" w:type="dxa"/>
          <w:right w:w="0" w:type="dxa"/>
        </w:tblCellMar>
        <w:tblLook w:val="01E0"/>
      </w:tblPr>
      <w:tblGrid>
        <w:gridCol w:w="3425"/>
        <w:gridCol w:w="2945"/>
        <w:gridCol w:w="2818"/>
      </w:tblGrid>
      <w:tr>
        <w:trPr>
          <w:trHeight w:val="314" w:hRule="exact"/>
        </w:trPr>
        <w:tc>
          <w:tcPr>
            <w:tcW w:w="3425"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right="1490"/>
              <w:jc w:val="right"/>
              <w:rPr>
                <w:rFonts w:ascii="宋体" w:hAnsi="宋体" w:cs="宋体" w:eastAsia="宋体" w:hint="default"/>
                <w:sz w:val="21"/>
                <w:szCs w:val="21"/>
              </w:rPr>
            </w:pPr>
            <w:r>
              <w:rPr>
                <w:rFonts w:ascii="宋体" w:hAnsi="宋体" w:cs="宋体" w:eastAsia="宋体" w:hint="default"/>
                <w:sz w:val="21"/>
                <w:szCs w:val="21"/>
              </w:rPr>
              <w:t>项目</w:t>
            </w:r>
          </w:p>
        </w:tc>
        <w:tc>
          <w:tcPr>
            <w:tcW w:w="2945"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18" w:type="dxa"/>
            <w:tcBorders>
              <w:top w:val="single" w:sz="6" w:space="0" w:color="000000"/>
              <w:left w:val="single" w:sz="6" w:space="0" w:color="000000"/>
              <w:bottom w:val="single" w:sz="12" w:space="0" w:color="000000"/>
              <w:right w:val="nil" w:sz="6" w:space="0" w:color="auto"/>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12" w:hRule="exact"/>
        </w:trPr>
        <w:tc>
          <w:tcPr>
            <w:tcW w:w="3425"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4" w:right="0"/>
              <w:jc w:val="left"/>
              <w:rPr>
                <w:rFonts w:ascii="宋体" w:hAnsi="宋体" w:cs="宋体" w:eastAsia="宋体" w:hint="default"/>
                <w:sz w:val="21"/>
                <w:szCs w:val="21"/>
              </w:rPr>
            </w:pPr>
            <w:r>
              <w:rPr>
                <w:rFonts w:ascii="宋体" w:hAnsi="宋体" w:cs="宋体" w:eastAsia="宋体" w:hint="default"/>
                <w:sz w:val="21"/>
                <w:szCs w:val="21"/>
              </w:rPr>
              <w:t>保证金及押金</w:t>
            </w:r>
          </w:p>
        </w:tc>
        <w:tc>
          <w:tcPr>
            <w:tcW w:w="2945"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0"/>
              <w:jc w:val="right"/>
              <w:rPr>
                <w:rFonts w:ascii="Times New Roman" w:hAnsi="Times New Roman" w:cs="Times New Roman" w:eastAsia="Times New Roman" w:hint="default"/>
                <w:sz w:val="21"/>
                <w:szCs w:val="21"/>
              </w:rPr>
            </w:pPr>
            <w:r>
              <w:rPr>
                <w:rFonts w:ascii="Times New Roman"/>
                <w:spacing w:val="-1"/>
                <w:sz w:val="21"/>
              </w:rPr>
              <w:t>817,936.18</w:t>
            </w:r>
          </w:p>
        </w:tc>
        <w:tc>
          <w:tcPr>
            <w:tcW w:w="2818"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5"/>
              <w:jc w:val="right"/>
              <w:rPr>
                <w:rFonts w:ascii="Times New Roman" w:hAnsi="Times New Roman" w:cs="Times New Roman" w:eastAsia="Times New Roman" w:hint="default"/>
                <w:sz w:val="21"/>
                <w:szCs w:val="21"/>
              </w:rPr>
            </w:pPr>
            <w:r>
              <w:rPr>
                <w:rFonts w:ascii="Times New Roman"/>
                <w:spacing w:val="-1"/>
                <w:sz w:val="21"/>
              </w:rPr>
              <w:t>516,738.24</w:t>
            </w:r>
          </w:p>
        </w:tc>
      </w:tr>
      <w:tr>
        <w:trPr>
          <w:trHeight w:val="314" w:hRule="exact"/>
        </w:trPr>
        <w:tc>
          <w:tcPr>
            <w:tcW w:w="3425"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4"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2945"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0"/>
              <w:jc w:val="right"/>
              <w:rPr>
                <w:rFonts w:ascii="Times New Roman" w:hAnsi="Times New Roman" w:cs="Times New Roman" w:eastAsia="Times New Roman" w:hint="default"/>
                <w:sz w:val="21"/>
                <w:szCs w:val="21"/>
              </w:rPr>
            </w:pPr>
            <w:r>
              <w:rPr>
                <w:rFonts w:ascii="Times New Roman"/>
                <w:spacing w:val="-1"/>
                <w:sz w:val="21"/>
              </w:rPr>
              <w:t>328,848.18</w:t>
            </w:r>
          </w:p>
        </w:tc>
        <w:tc>
          <w:tcPr>
            <w:tcW w:w="2818"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5"/>
              <w:jc w:val="right"/>
              <w:rPr>
                <w:rFonts w:ascii="Times New Roman" w:hAnsi="Times New Roman" w:cs="Times New Roman" w:eastAsia="Times New Roman" w:hint="default"/>
                <w:sz w:val="21"/>
                <w:szCs w:val="21"/>
              </w:rPr>
            </w:pPr>
            <w:r>
              <w:rPr>
                <w:rFonts w:ascii="Times New Roman"/>
                <w:spacing w:val="-1"/>
                <w:sz w:val="21"/>
              </w:rPr>
              <w:t>63,688.99</w:t>
            </w:r>
          </w:p>
        </w:tc>
      </w:tr>
      <w:tr>
        <w:trPr>
          <w:trHeight w:val="312" w:hRule="exact"/>
        </w:trPr>
        <w:tc>
          <w:tcPr>
            <w:tcW w:w="3425"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4" w:right="0"/>
              <w:jc w:val="left"/>
              <w:rPr>
                <w:rFonts w:ascii="宋体" w:hAnsi="宋体" w:cs="宋体" w:eastAsia="宋体" w:hint="default"/>
                <w:sz w:val="21"/>
                <w:szCs w:val="21"/>
              </w:rPr>
            </w:pPr>
            <w:r>
              <w:rPr>
                <w:rFonts w:ascii="宋体" w:hAnsi="宋体" w:cs="宋体" w:eastAsia="宋体" w:hint="default"/>
                <w:sz w:val="21"/>
                <w:szCs w:val="21"/>
              </w:rPr>
              <w:t>往来款项及其他</w:t>
            </w:r>
          </w:p>
        </w:tc>
        <w:tc>
          <w:tcPr>
            <w:tcW w:w="2945"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Times New Roman" w:hAnsi="Times New Roman" w:cs="Times New Roman" w:eastAsia="Times New Roman" w:hint="default"/>
                <w:sz w:val="21"/>
                <w:szCs w:val="21"/>
              </w:rPr>
            </w:pPr>
            <w:r>
              <w:rPr>
                <w:rFonts w:ascii="Times New Roman"/>
                <w:spacing w:val="-1"/>
                <w:sz w:val="21"/>
              </w:rPr>
              <w:t>10,000.00</w:t>
            </w:r>
          </w:p>
        </w:tc>
        <w:tc>
          <w:tcPr>
            <w:tcW w:w="2818"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5"/>
              <w:jc w:val="right"/>
              <w:rPr>
                <w:rFonts w:ascii="Times New Roman" w:hAnsi="Times New Roman" w:cs="Times New Roman" w:eastAsia="Times New Roman" w:hint="default"/>
                <w:sz w:val="21"/>
                <w:szCs w:val="21"/>
              </w:rPr>
            </w:pPr>
            <w:r>
              <w:rPr>
                <w:rFonts w:ascii="Times New Roman"/>
                <w:spacing w:val="-1"/>
                <w:sz w:val="21"/>
              </w:rPr>
              <w:t>10,000.00</w:t>
            </w:r>
          </w:p>
        </w:tc>
      </w:tr>
      <w:tr>
        <w:trPr>
          <w:trHeight w:val="314" w:hRule="exact"/>
        </w:trPr>
        <w:tc>
          <w:tcPr>
            <w:tcW w:w="3425"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right="1490"/>
              <w:jc w:val="right"/>
              <w:rPr>
                <w:rFonts w:ascii="宋体" w:hAnsi="宋体" w:cs="宋体" w:eastAsia="宋体" w:hint="default"/>
                <w:sz w:val="21"/>
                <w:szCs w:val="21"/>
              </w:rPr>
            </w:pPr>
            <w:r>
              <w:rPr>
                <w:rFonts w:ascii="宋体" w:hAnsi="宋体" w:cs="宋体" w:eastAsia="宋体" w:hint="default"/>
                <w:sz w:val="21"/>
                <w:szCs w:val="21"/>
              </w:rPr>
              <w:t>合计</w:t>
            </w:r>
          </w:p>
        </w:tc>
        <w:tc>
          <w:tcPr>
            <w:tcW w:w="2945"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0"/>
              <w:jc w:val="right"/>
              <w:rPr>
                <w:rFonts w:ascii="Times New Roman" w:hAnsi="Times New Roman" w:cs="Times New Roman" w:eastAsia="Times New Roman" w:hint="default"/>
                <w:sz w:val="21"/>
                <w:szCs w:val="21"/>
              </w:rPr>
            </w:pPr>
            <w:r>
              <w:rPr>
                <w:rFonts w:ascii="Times New Roman"/>
                <w:spacing w:val="-1"/>
                <w:sz w:val="21"/>
              </w:rPr>
              <w:t>1,156,784.36</w:t>
            </w:r>
          </w:p>
        </w:tc>
        <w:tc>
          <w:tcPr>
            <w:tcW w:w="2818"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5"/>
              <w:jc w:val="right"/>
              <w:rPr>
                <w:rFonts w:ascii="Times New Roman" w:hAnsi="Times New Roman" w:cs="Times New Roman" w:eastAsia="Times New Roman" w:hint="default"/>
                <w:sz w:val="21"/>
                <w:szCs w:val="21"/>
              </w:rPr>
            </w:pPr>
            <w:r>
              <w:rPr>
                <w:rFonts w:ascii="Times New Roman"/>
                <w:spacing w:val="-1"/>
                <w:sz w:val="21"/>
              </w:rPr>
              <w:t>590,427.23</w:t>
            </w:r>
          </w:p>
        </w:tc>
      </w:tr>
    </w:tbl>
    <w:p>
      <w:pPr>
        <w:spacing w:after="0" w:line="237" w:lineRule="exact"/>
        <w:jc w:val="right"/>
        <w:rPr>
          <w:rFonts w:ascii="Times New Roman" w:hAnsi="Times New Roman" w:cs="Times New Roman" w:eastAsia="Times New Roman" w:hint="default"/>
          <w:sz w:val="21"/>
          <w:szCs w:val="21"/>
        </w:rPr>
        <w:sectPr>
          <w:pgSz w:w="11910" w:h="16840"/>
          <w:pgMar w:header="880" w:footer="979" w:top="1060" w:bottom="1160" w:left="980" w:right="980"/>
        </w:sectPr>
      </w:pPr>
    </w:p>
    <w:p>
      <w:pPr>
        <w:spacing w:line="240" w:lineRule="auto" w:before="8"/>
        <w:rPr>
          <w:rFonts w:ascii="宋体" w:hAnsi="宋体" w:cs="宋体" w:eastAsia="宋体" w:hint="default"/>
          <w:b/>
          <w:bCs/>
          <w:sz w:val="24"/>
          <w:szCs w:val="24"/>
        </w:rPr>
      </w:pPr>
    </w:p>
    <w:p>
      <w:pPr>
        <w:pStyle w:val="Heading5"/>
        <w:spacing w:line="240" w:lineRule="auto" w:before="36"/>
        <w:ind w:left="580" w:right="0"/>
        <w:jc w:val="left"/>
        <w:rPr>
          <w:b w:val="0"/>
          <w:bCs w:val="0"/>
        </w:rPr>
      </w:pPr>
      <w:r>
        <w:rPr/>
        <w:pict>
          <v:group style="position:absolute;margin-left:56.279999pt;margin-top:17.663702pt;width:469.2pt;height:178.35pt;mso-position-horizontal-relative:page;mso-position-vertical-relative:paragraph;z-index:-1158328" coordorigin="1126,353" coordsize="9384,3567">
            <v:group style="position:absolute;left:8016;top:360;width:2;height:855" coordorigin="8016,360" coordsize="2,855">
              <v:shape style="position:absolute;left:8016;top:360;width:2;height:855" coordorigin="8016,360" coordsize="0,855" path="m8016,360l8016,1215e" filled="false" stroked="true" strokeweight=".72pt" strokecolor="#000000">
                <v:path arrowok="t"/>
              </v:shape>
            </v:group>
            <v:group style="position:absolute;left:1140;top:1229;width:2460;height:2" coordorigin="1140,1229" coordsize="2460,2">
              <v:shape style="position:absolute;left:1140;top:1229;width:2460;height:2" coordorigin="1140,1229" coordsize="2460,0" path="m1140,1229l3600,1229e" filled="false" stroked="true" strokeweight="1.44pt" strokecolor="#000000">
                <v:path arrowok="t"/>
              </v:shape>
            </v:group>
            <v:group style="position:absolute;left:3600;top:1229;width:29;height:2" coordorigin="3600,1229" coordsize="29,2">
              <v:shape style="position:absolute;left:3600;top:1229;width:29;height:2" coordorigin="3600,1229" coordsize="29,0" path="m3600,1229l3629,1229e" filled="false" stroked="true" strokeweight="1.44pt" strokecolor="#000000">
                <v:path arrowok="t"/>
              </v:shape>
            </v:group>
            <v:group style="position:absolute;left:3629;top:1229;width:1016;height:2" coordorigin="3629,1229" coordsize="1016,2">
              <v:shape style="position:absolute;left:3629;top:1229;width:1016;height:2" coordorigin="3629,1229" coordsize="1016,0" path="m3629,1229l4644,1229e" filled="false" stroked="true" strokeweight="1.44pt" strokecolor="#000000">
                <v:path arrowok="t"/>
              </v:shape>
            </v:group>
            <v:group style="position:absolute;left:4644;top:1229;width:29;height:2" coordorigin="4644,1229" coordsize="29,2">
              <v:shape style="position:absolute;left:4644;top:1229;width:29;height:2" coordorigin="4644,1229" coordsize="29,0" path="m4644,1229l4673,1229e" filled="false" stroked="true" strokeweight="1.44pt" strokecolor="#000000">
                <v:path arrowok="t"/>
              </v:shape>
            </v:group>
            <v:group style="position:absolute;left:4673;top:1229;width:1392;height:2" coordorigin="4673,1229" coordsize="1392,2">
              <v:shape style="position:absolute;left:4673;top:1229;width:1392;height:2" coordorigin="4673,1229" coordsize="1392,0" path="m4673,1229l6065,1229e" filled="false" stroked="true" strokeweight="1.44pt" strokecolor="#000000">
                <v:path arrowok="t"/>
              </v:shape>
            </v:group>
            <v:group style="position:absolute;left:6065;top:1229;width:29;height:2" coordorigin="6065,1229" coordsize="29,2">
              <v:shape style="position:absolute;left:6065;top:1229;width:29;height:2" coordorigin="6065,1229" coordsize="29,0" path="m6065,1229l6094,1229e" filled="false" stroked="true" strokeweight="1.44pt" strokecolor="#000000">
                <v:path arrowok="t"/>
              </v:shape>
            </v:group>
            <v:group style="position:absolute;left:6094;top:1229;width:1916;height:2" coordorigin="6094,1229" coordsize="1916,2">
              <v:shape style="position:absolute;left:6094;top:1229;width:1916;height:2" coordorigin="6094,1229" coordsize="1916,0" path="m6094,1229l8009,1229e" filled="false" stroked="true" strokeweight="1.44pt" strokecolor="#000000">
                <v:path arrowok="t"/>
              </v:shape>
            </v:group>
            <v:group style="position:absolute;left:8009;top:1229;width:29;height:2" coordorigin="8009,1229" coordsize="29,2">
              <v:shape style="position:absolute;left:8009;top:1229;width:29;height:2" coordorigin="8009,1229" coordsize="29,0" path="m8009,1229l8038,1229e" filled="false" stroked="true" strokeweight="1.44pt" strokecolor="#000000">
                <v:path arrowok="t"/>
              </v:shape>
            </v:group>
            <v:group style="position:absolute;left:8038;top:1229;width:1148;height:2" coordorigin="8038,1229" coordsize="1148,2">
              <v:shape style="position:absolute;left:8038;top:1229;width:1148;height:2" coordorigin="8038,1229" coordsize="1148,0" path="m8038,1229l9185,1229e" filled="false" stroked="true" strokeweight="1.44pt" strokecolor="#000000">
                <v:path arrowok="t"/>
              </v:shape>
            </v:group>
            <v:group style="position:absolute;left:9185;top:1229;width:29;height:2" coordorigin="9185,1229" coordsize="29,2">
              <v:shape style="position:absolute;left:9185;top:1229;width:29;height:2" coordorigin="9185,1229" coordsize="29,0" path="m9185,1229l9214,1229e" filled="false" stroked="true" strokeweight="1.44pt" strokecolor="#000000">
                <v:path arrowok="t"/>
              </v:shape>
            </v:group>
            <v:group style="position:absolute;left:9214;top:1229;width:1282;height:2" coordorigin="9214,1229" coordsize="1282,2">
              <v:shape style="position:absolute;left:9214;top:1229;width:1282;height:2" coordorigin="9214,1229" coordsize="1282,0" path="m9214,1229l10495,1229e" filled="false" stroked="true" strokeweight="1.44pt" strokecolor="#000000">
                <v:path arrowok="t"/>
              </v:shape>
            </v:group>
            <v:group style="position:absolute;left:8016;top:1244;width:2;height:557" coordorigin="8016,1244" coordsize="2,557">
              <v:shape style="position:absolute;left:8016;top:1244;width:2;height:557" coordorigin="8016,1244" coordsize="0,557" path="m8016,1244l8016,1800e" filled="false" stroked="true" strokeweight=".72pt" strokecolor="#000000">
                <v:path arrowok="t"/>
              </v:shape>
            </v:group>
            <v:group style="position:absolute;left:8016;top:1829;width:2;height:557" coordorigin="8016,1829" coordsize="2,557">
              <v:shape style="position:absolute;left:8016;top:1829;width:2;height:557" coordorigin="8016,1829" coordsize="0,557" path="m8016,1829l8016,2386e" filled="false" stroked="true" strokeweight=".72pt" strokecolor="#000000">
                <v:path arrowok="t"/>
              </v:shape>
            </v:group>
            <v:group style="position:absolute;left:8016;top:2415;width:2;height:286" coordorigin="8016,2415" coordsize="2,286">
              <v:shape style="position:absolute;left:8016;top:2415;width:2;height:286" coordorigin="8016,2415" coordsize="0,286" path="m8016,2415l8016,2700e" filled="false" stroked="true" strokeweight=".72pt" strokecolor="#000000">
                <v:path arrowok="t"/>
              </v:shape>
            </v:group>
            <v:group style="position:absolute;left:8016;top:2729;width:2;height:557" coordorigin="8016,2729" coordsize="2,557">
              <v:shape style="position:absolute;left:8016;top:2729;width:2;height:557" coordorigin="8016,2729" coordsize="0,557" path="m8016,2729l8016,3286e" filled="false" stroked="true" strokeweight=".72pt" strokecolor="#000000">
                <v:path arrowok="t"/>
              </v:shape>
            </v:group>
            <v:group style="position:absolute;left:8016;top:3315;width:2;height:284" coordorigin="8016,3315" coordsize="2,284">
              <v:shape style="position:absolute;left:8016;top:3315;width:2;height:284" coordorigin="8016,3315" coordsize="0,284" path="m8016,3315l8016,3598e" filled="false" stroked="true" strokeweight=".72pt" strokecolor="#000000">
                <v:path arrowok="t"/>
              </v:shape>
            </v:group>
            <v:group style="position:absolute;left:8016;top:3627;width:2;height:286" coordorigin="8016,3627" coordsize="2,286">
              <v:shape style="position:absolute;left:8016;top:3627;width:2;height:286" coordorigin="8016,3627" coordsize="0,286" path="m8016,3627l8016,3912e" filled="false" stroked="true" strokeweight=".72pt" strokecolor="#000000">
                <v:path arrowok="t"/>
              </v:shape>
            </v:group>
            <w10:wrap type="none"/>
          </v:group>
        </w:pic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2"/>
        <w:rPr>
          <w:rFonts w:ascii="宋体" w:hAnsi="宋体" w:cs="宋体" w:eastAsia="宋体" w:hint="default"/>
          <w:b/>
          <w:bCs/>
          <w:sz w:val="3"/>
          <w:szCs w:val="3"/>
        </w:rPr>
      </w:pPr>
    </w:p>
    <w:tbl>
      <w:tblPr>
        <w:tblW w:w="0" w:type="auto"/>
        <w:jc w:val="left"/>
        <w:tblInd w:w="145" w:type="dxa"/>
        <w:tblLayout w:type="fixed"/>
        <w:tblCellMar>
          <w:top w:w="0" w:type="dxa"/>
          <w:left w:w="0" w:type="dxa"/>
          <w:bottom w:w="0" w:type="dxa"/>
          <w:right w:w="0" w:type="dxa"/>
        </w:tblCellMar>
        <w:tblLook w:val="01E0"/>
      </w:tblPr>
      <w:tblGrid>
        <w:gridCol w:w="2484"/>
        <w:gridCol w:w="1035"/>
        <w:gridCol w:w="1421"/>
        <w:gridCol w:w="2323"/>
        <w:gridCol w:w="797"/>
        <w:gridCol w:w="1303"/>
      </w:tblGrid>
      <w:tr>
        <w:trPr>
          <w:trHeight w:val="1481" w:hRule="exact"/>
        </w:trPr>
        <w:tc>
          <w:tcPr>
            <w:tcW w:w="2484"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left="811" w:right="0"/>
              <w:jc w:val="left"/>
              <w:rPr>
                <w:rFonts w:ascii="宋体" w:hAnsi="宋体" w:cs="宋体" w:eastAsia="宋体" w:hint="default"/>
                <w:sz w:val="21"/>
                <w:szCs w:val="21"/>
              </w:rPr>
            </w:pPr>
            <w:r>
              <w:rPr>
                <w:rFonts w:ascii="宋体" w:hAnsi="宋体" w:cs="宋体" w:eastAsia="宋体" w:hint="default"/>
                <w:sz w:val="21"/>
                <w:szCs w:val="21"/>
              </w:rPr>
              <w:t>单位名称</w:t>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深圳市昱为科技有限公司</w:t>
            </w:r>
          </w:p>
        </w:tc>
        <w:tc>
          <w:tcPr>
            <w:tcW w:w="1035"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left="14" w:right="0"/>
              <w:jc w:val="center"/>
              <w:rPr>
                <w:rFonts w:ascii="宋体" w:hAnsi="宋体" w:cs="宋体" w:eastAsia="宋体" w:hint="default"/>
                <w:sz w:val="21"/>
                <w:szCs w:val="21"/>
              </w:rPr>
            </w:pPr>
            <w:r>
              <w:rPr>
                <w:rFonts w:ascii="宋体" w:hAnsi="宋体" w:cs="宋体" w:eastAsia="宋体" w:hint="default"/>
                <w:sz w:val="21"/>
                <w:szCs w:val="21"/>
              </w:rPr>
              <w:t>款项性质</w:t>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16" w:right="0"/>
              <w:jc w:val="center"/>
              <w:rPr>
                <w:rFonts w:ascii="宋体" w:hAnsi="宋体" w:cs="宋体" w:eastAsia="宋体" w:hint="default"/>
                <w:sz w:val="21"/>
                <w:szCs w:val="21"/>
              </w:rPr>
            </w:pPr>
            <w:r>
              <w:rPr>
                <w:rFonts w:ascii="宋体" w:hAnsi="宋体" w:cs="宋体" w:eastAsia="宋体" w:hint="default"/>
                <w:sz w:val="21"/>
                <w:szCs w:val="21"/>
              </w:rPr>
              <w:t>押金</w:t>
            </w:r>
          </w:p>
        </w:tc>
        <w:tc>
          <w:tcPr>
            <w:tcW w:w="1421"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left="285" w:right="-3"/>
              <w:jc w:val="left"/>
              <w:rPr>
                <w:rFonts w:ascii="宋体" w:hAnsi="宋体" w:cs="宋体" w:eastAsia="宋体" w:hint="default"/>
                <w:sz w:val="21"/>
                <w:szCs w:val="21"/>
              </w:rPr>
            </w:pPr>
            <w:r>
              <w:rPr>
                <w:rFonts w:ascii="宋体" w:hAnsi="宋体" w:cs="宋体" w:eastAsia="宋体" w:hint="default"/>
                <w:sz w:val="21"/>
                <w:szCs w:val="21"/>
              </w:rPr>
              <w:t>期末余额</w:t>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26"/>
                <w:szCs w:val="26"/>
              </w:rPr>
            </w:pPr>
          </w:p>
          <w:p>
            <w:pPr>
              <w:pStyle w:val="TableParagraph"/>
              <w:spacing w:line="240" w:lineRule="auto"/>
              <w:ind w:left="460" w:right="-3"/>
              <w:jc w:val="left"/>
              <w:rPr>
                <w:rFonts w:ascii="Times New Roman" w:hAnsi="Times New Roman" w:cs="Times New Roman" w:eastAsia="Times New Roman" w:hint="default"/>
                <w:sz w:val="21"/>
                <w:szCs w:val="21"/>
              </w:rPr>
            </w:pPr>
            <w:r>
              <w:rPr>
                <w:rFonts w:ascii="Times New Roman"/>
                <w:sz w:val="21"/>
              </w:rPr>
              <w:t>194,988.00</w:t>
            </w:r>
          </w:p>
        </w:tc>
        <w:tc>
          <w:tcPr>
            <w:tcW w:w="3120" w:type="dxa"/>
            <w:gridSpan w:val="2"/>
            <w:tcBorders>
              <w:top w:val="single" w:sz="6" w:space="0" w:color="000000"/>
              <w:left w:val="single" w:sz="6" w:space="0" w:color="000000"/>
              <w:bottom w:val="single" w:sz="12" w:space="0" w:color="000000"/>
              <w:right w:val="single" w:sz="6" w:space="0" w:color="000000"/>
            </w:tcBorders>
          </w:tcPr>
          <w:p>
            <w:pPr>
              <w:pStyle w:val="TableParagraph"/>
              <w:spacing w:line="274" w:lineRule="exact" w:before="1"/>
              <w:ind w:left="1999" w:right="50" w:hanging="1244"/>
              <w:jc w:val="both"/>
              <w:rPr>
                <w:rFonts w:ascii="Times New Roman" w:hAnsi="Times New Roman" w:cs="Times New Roman" w:eastAsia="Times New Roman" w:hint="default"/>
                <w:sz w:val="21"/>
                <w:szCs w:val="21"/>
              </w:rPr>
            </w:pPr>
            <w:r>
              <w:rPr>
                <w:rFonts w:ascii="宋体" w:hAnsi="宋体" w:cs="宋体" w:eastAsia="宋体" w:hint="default"/>
                <w:sz w:val="21"/>
                <w:szCs w:val="21"/>
              </w:rPr>
              <w:t>账龄</w:t>
            </w:r>
            <w:r>
              <w:rPr>
                <w:rFonts w:ascii="宋体" w:hAnsi="宋体" w:cs="宋体" w:eastAsia="宋体" w:hint="default"/>
                <w:spacing w:val="90"/>
                <w:sz w:val="21"/>
                <w:szCs w:val="21"/>
              </w:rPr>
              <w:t> </w:t>
            </w:r>
            <w:r>
              <w:rPr>
                <w:rFonts w:ascii="宋体" w:hAnsi="宋体" w:cs="宋体" w:eastAsia="宋体" w:hint="default"/>
                <w:sz w:val="21"/>
                <w:szCs w:val="21"/>
              </w:rPr>
              <w:t>占其他应收</w:t>
            </w:r>
            <w:r>
              <w:rPr>
                <w:rFonts w:ascii="宋体" w:hAnsi="宋体" w:cs="宋体" w:eastAsia="宋体" w:hint="default"/>
                <w:w w:val="100"/>
                <w:sz w:val="21"/>
                <w:szCs w:val="21"/>
              </w:rPr>
              <w:t> </w:t>
            </w:r>
            <w:r>
              <w:rPr>
                <w:rFonts w:ascii="宋体" w:hAnsi="宋体" w:cs="宋体" w:eastAsia="宋体" w:hint="default"/>
                <w:sz w:val="21"/>
                <w:szCs w:val="21"/>
              </w:rPr>
              <w:t>款期末余额</w:t>
            </w:r>
            <w:r>
              <w:rPr>
                <w:rFonts w:ascii="宋体" w:hAnsi="宋体" w:cs="宋体" w:eastAsia="宋体" w:hint="default"/>
                <w:w w:val="100"/>
                <w:sz w:val="21"/>
                <w:szCs w:val="21"/>
              </w:rPr>
              <w:t> </w:t>
            </w:r>
            <w:r>
              <w:rPr>
                <w:rFonts w:ascii="宋体" w:hAnsi="宋体" w:cs="宋体" w:eastAsia="宋体" w:hint="default"/>
                <w:sz w:val="21"/>
                <w:szCs w:val="21"/>
              </w:rPr>
              <w:t>的比例</w:t>
            </w:r>
            <w:r>
              <w:rPr>
                <w:rFonts w:ascii="Times New Roman" w:hAnsi="Times New Roman" w:cs="Times New Roman" w:eastAsia="Times New Roman" w:hint="default"/>
                <w:sz w:val="21"/>
                <w:szCs w:val="21"/>
              </w:rPr>
              <w:t>(%)</w:t>
            </w:r>
          </w:p>
          <w:p>
            <w:pPr>
              <w:pStyle w:val="TableParagraph"/>
              <w:tabs>
                <w:tab w:pos="3105" w:val="right" w:leader="none"/>
              </w:tabs>
              <w:spacing w:line="282" w:lineRule="exact" w:before="12"/>
              <w:ind w:left="4" w:right="-1"/>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r>
              <w:rPr>
                <w:rFonts w:ascii="Times New Roman" w:hAnsi="Times New Roman" w:cs="Times New Roman" w:eastAsia="Times New Roman" w:hint="default"/>
                <w:sz w:val="21"/>
                <w:szCs w:val="21"/>
              </w:rPr>
              <w:t>52,988.00</w:t>
            </w:r>
            <w:r>
              <w:rPr>
                <w:rFonts w:ascii="宋体" w:hAnsi="宋体" w:cs="宋体" w:eastAsia="宋体" w:hint="default"/>
                <w:sz w:val="21"/>
                <w:szCs w:val="21"/>
              </w:rPr>
              <w:t>元；</w:t>
            </w:r>
            <w:r>
              <w:rPr>
                <w:rFonts w:ascii="Times New Roman" w:hAnsi="Times New Roman" w:cs="Times New Roman" w:eastAsia="Times New Roman" w:hint="default"/>
                <w:position w:val="2"/>
                <w:sz w:val="21"/>
                <w:szCs w:val="21"/>
              </w:rPr>
              <w:tab/>
              <w:t>16.86</w:t>
            </w:r>
            <w:r>
              <w:rPr>
                <w:rFonts w:ascii="Times New Roman" w:hAnsi="Times New Roman" w:cs="Times New Roman" w:eastAsia="Times New Roman" w:hint="default"/>
                <w:sz w:val="21"/>
                <w:szCs w:val="21"/>
              </w:rPr>
            </w:r>
          </w:p>
          <w:p>
            <w:pPr>
              <w:pStyle w:val="TableParagraph"/>
              <w:spacing w:line="282" w:lineRule="exact"/>
              <w:ind w:left="1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年以上</w:t>
            </w:r>
            <w:r>
              <w:rPr>
                <w:rFonts w:ascii="Times New Roman" w:hAnsi="Times New Roman" w:cs="Times New Roman" w:eastAsia="Times New Roman" w:hint="default"/>
                <w:sz w:val="21"/>
                <w:szCs w:val="21"/>
              </w:rPr>
              <w:t>142,000.00</w:t>
            </w:r>
            <w:r>
              <w:rPr>
                <w:rFonts w:ascii="宋体" w:hAnsi="宋体" w:cs="宋体" w:eastAsia="宋体" w:hint="default"/>
                <w:sz w:val="21"/>
                <w:szCs w:val="21"/>
              </w:rPr>
              <w:t>元</w:t>
            </w:r>
          </w:p>
        </w:tc>
        <w:tc>
          <w:tcPr>
            <w:tcW w:w="1303" w:type="dxa"/>
            <w:tcBorders>
              <w:top w:val="single" w:sz="6" w:space="0" w:color="000000"/>
              <w:left w:val="single" w:sz="6" w:space="0" w:color="000000"/>
              <w:bottom w:val="single" w:sz="12" w:space="0" w:color="000000"/>
              <w:right w:val="nil" w:sz="6" w:space="0" w:color="auto"/>
            </w:tcBorders>
          </w:tcPr>
          <w:p>
            <w:pPr>
              <w:pStyle w:val="TableParagraph"/>
              <w:spacing w:line="274" w:lineRule="exact" w:before="1"/>
              <w:ind w:left="223" w:right="5"/>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p>
          <w:p>
            <w:pPr>
              <w:pStyle w:val="TableParagraph"/>
              <w:spacing w:line="240" w:lineRule="auto" w:before="12"/>
              <w:ind w:right="0"/>
              <w:jc w:val="left"/>
              <w:rPr>
                <w:rFonts w:ascii="宋体" w:hAnsi="宋体" w:cs="宋体" w:eastAsia="宋体" w:hint="default"/>
                <w:b/>
                <w:bCs/>
                <w:sz w:val="23"/>
                <w:szCs w:val="23"/>
              </w:rPr>
            </w:pPr>
          </w:p>
          <w:p>
            <w:pPr>
              <w:pStyle w:val="TableParagraph"/>
              <w:spacing w:line="240" w:lineRule="auto"/>
              <w:ind w:left="340" w:right="0"/>
              <w:jc w:val="left"/>
              <w:rPr>
                <w:rFonts w:ascii="Times New Roman" w:hAnsi="Times New Roman" w:cs="Times New Roman" w:eastAsia="Times New Roman" w:hint="default"/>
                <w:sz w:val="21"/>
                <w:szCs w:val="21"/>
              </w:rPr>
            </w:pPr>
            <w:r>
              <w:rPr>
                <w:rFonts w:ascii="Times New Roman"/>
                <w:sz w:val="21"/>
              </w:rPr>
              <w:t>142,529.88</w:t>
            </w:r>
          </w:p>
        </w:tc>
      </w:tr>
      <w:tr>
        <w:trPr>
          <w:trHeight w:val="552" w:hRule="exact"/>
        </w:trPr>
        <w:tc>
          <w:tcPr>
            <w:tcW w:w="2484"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4" w:right="0"/>
              <w:jc w:val="left"/>
              <w:rPr>
                <w:rFonts w:ascii="宋体" w:hAnsi="宋体" w:cs="宋体" w:eastAsia="宋体" w:hint="default"/>
                <w:sz w:val="21"/>
                <w:szCs w:val="21"/>
              </w:rPr>
            </w:pPr>
            <w:r>
              <w:rPr>
                <w:rFonts w:ascii="宋体" w:hAnsi="宋体" w:cs="宋体" w:eastAsia="宋体" w:hint="default"/>
                <w:sz w:val="21"/>
                <w:szCs w:val="21"/>
              </w:rPr>
              <w:t>浙江天猫技术有限公司</w:t>
            </w:r>
          </w:p>
        </w:tc>
        <w:tc>
          <w:tcPr>
            <w:tcW w:w="1035"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16" w:right="0"/>
              <w:jc w:val="center"/>
              <w:rPr>
                <w:rFonts w:ascii="宋体" w:hAnsi="宋体" w:cs="宋体" w:eastAsia="宋体" w:hint="default"/>
                <w:sz w:val="21"/>
                <w:szCs w:val="21"/>
              </w:rPr>
            </w:pPr>
            <w:r>
              <w:rPr>
                <w:rFonts w:ascii="宋体" w:hAnsi="宋体" w:cs="宋体" w:eastAsia="宋体" w:hint="default"/>
                <w:sz w:val="21"/>
                <w:szCs w:val="21"/>
              </w:rPr>
              <w:t>保证金</w:t>
            </w:r>
          </w:p>
        </w:tc>
        <w:tc>
          <w:tcPr>
            <w:tcW w:w="1421"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3"/>
              <w:jc w:val="right"/>
              <w:rPr>
                <w:rFonts w:ascii="Times New Roman" w:hAnsi="Times New Roman" w:cs="Times New Roman" w:eastAsia="Times New Roman" w:hint="default"/>
                <w:sz w:val="21"/>
                <w:szCs w:val="21"/>
              </w:rPr>
            </w:pPr>
            <w:r>
              <w:rPr>
                <w:rFonts w:ascii="Times New Roman"/>
                <w:spacing w:val="-1"/>
                <w:sz w:val="21"/>
              </w:rPr>
              <w:t>170,000.00</w:t>
            </w:r>
          </w:p>
        </w:tc>
        <w:tc>
          <w:tcPr>
            <w:tcW w:w="2323" w:type="dxa"/>
            <w:tcBorders>
              <w:top w:val="single" w:sz="12" w:space="0" w:color="000000"/>
              <w:left w:val="single" w:sz="6" w:space="0" w:color="000000"/>
              <w:bottom w:val="single" w:sz="12" w:space="0" w:color="000000"/>
              <w:right w:val="nil" w:sz="6" w:space="0" w:color="auto"/>
            </w:tcBorders>
          </w:tcPr>
          <w:p>
            <w:pPr>
              <w:pStyle w:val="TableParagraph"/>
              <w:spacing w:line="248" w:lineRule="exact"/>
              <w:ind w:right="307"/>
              <w:jc w:val="center"/>
              <w:rPr>
                <w:rFonts w:ascii="宋体" w:hAnsi="宋体" w:cs="宋体" w:eastAsia="宋体" w:hint="default"/>
                <w:sz w:val="21"/>
                <w:szCs w:val="21"/>
              </w:rPr>
            </w:pP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年以内</w:t>
            </w:r>
            <w:r>
              <w:rPr>
                <w:rFonts w:ascii="Times New Roman" w:hAnsi="Times New Roman" w:cs="Times New Roman" w:eastAsia="Times New Roman" w:hint="default"/>
                <w:spacing w:val="-1"/>
                <w:sz w:val="21"/>
                <w:szCs w:val="21"/>
              </w:rPr>
              <w:t>40,000.00</w:t>
            </w:r>
            <w:r>
              <w:rPr>
                <w:rFonts w:ascii="宋体" w:hAnsi="宋体" w:cs="宋体" w:eastAsia="宋体" w:hint="default"/>
                <w:spacing w:val="-1"/>
                <w:sz w:val="21"/>
                <w:szCs w:val="21"/>
              </w:rPr>
              <w:t>元；</w:t>
            </w:r>
          </w:p>
          <w:p>
            <w:pPr>
              <w:pStyle w:val="TableParagraph"/>
              <w:spacing w:line="282" w:lineRule="exact"/>
              <w:ind w:right="379"/>
              <w:jc w:val="center"/>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宋体" w:hAnsi="宋体" w:cs="宋体" w:eastAsia="宋体" w:hint="default"/>
                <w:sz w:val="21"/>
                <w:szCs w:val="21"/>
              </w:rPr>
              <w:t>年</w:t>
            </w:r>
            <w:r>
              <w:rPr>
                <w:rFonts w:ascii="Times New Roman" w:hAnsi="Times New Roman" w:cs="Times New Roman" w:eastAsia="Times New Roman" w:hint="default"/>
                <w:sz w:val="21"/>
                <w:szCs w:val="21"/>
              </w:rPr>
              <w:t>130,000.00</w:t>
            </w:r>
            <w:r>
              <w:rPr>
                <w:rFonts w:ascii="宋体" w:hAnsi="宋体" w:cs="宋体" w:eastAsia="宋体" w:hint="default"/>
                <w:sz w:val="21"/>
                <w:szCs w:val="21"/>
              </w:rPr>
              <w:t>元</w:t>
            </w:r>
          </w:p>
        </w:tc>
        <w:tc>
          <w:tcPr>
            <w:tcW w:w="797" w:type="dxa"/>
            <w:tcBorders>
              <w:top w:val="single" w:sz="12" w:space="0" w:color="000000"/>
              <w:left w:val="nil" w:sz="6" w:space="0" w:color="auto"/>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z w:val="21"/>
              </w:rPr>
              <w:t>14.70</w:t>
            </w:r>
          </w:p>
        </w:tc>
        <w:tc>
          <w:tcPr>
            <w:tcW w:w="1303"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5"/>
              <w:jc w:val="right"/>
              <w:rPr>
                <w:rFonts w:ascii="Times New Roman" w:hAnsi="Times New Roman" w:cs="Times New Roman" w:eastAsia="Times New Roman" w:hint="default"/>
                <w:sz w:val="21"/>
                <w:szCs w:val="21"/>
              </w:rPr>
            </w:pPr>
            <w:r>
              <w:rPr>
                <w:rFonts w:ascii="Times New Roman"/>
                <w:spacing w:val="-1"/>
                <w:sz w:val="21"/>
              </w:rPr>
              <w:t>13,400.00</w:t>
            </w:r>
          </w:p>
        </w:tc>
      </w:tr>
      <w:tr>
        <w:trPr>
          <w:trHeight w:val="314" w:hRule="exact"/>
        </w:trPr>
        <w:tc>
          <w:tcPr>
            <w:tcW w:w="2484"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4" w:right="0"/>
              <w:jc w:val="left"/>
              <w:rPr>
                <w:rFonts w:ascii="宋体" w:hAnsi="宋体" w:cs="宋体" w:eastAsia="宋体" w:hint="default"/>
                <w:sz w:val="21"/>
                <w:szCs w:val="21"/>
              </w:rPr>
            </w:pPr>
            <w:r>
              <w:rPr>
                <w:rFonts w:ascii="宋体" w:hAnsi="宋体" w:cs="宋体" w:eastAsia="宋体" w:hint="default"/>
                <w:sz w:val="21"/>
                <w:szCs w:val="21"/>
              </w:rPr>
              <w:t>北京教育科学研究院</w:t>
            </w:r>
          </w:p>
        </w:tc>
        <w:tc>
          <w:tcPr>
            <w:tcW w:w="1035"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16" w:right="0"/>
              <w:jc w:val="center"/>
              <w:rPr>
                <w:rFonts w:ascii="宋体" w:hAnsi="宋体" w:cs="宋体" w:eastAsia="宋体" w:hint="default"/>
                <w:sz w:val="21"/>
                <w:szCs w:val="21"/>
              </w:rPr>
            </w:pPr>
            <w:r>
              <w:rPr>
                <w:rFonts w:ascii="宋体" w:hAnsi="宋体" w:cs="宋体" w:eastAsia="宋体" w:hint="default"/>
                <w:sz w:val="21"/>
                <w:szCs w:val="21"/>
              </w:rPr>
              <w:t>保证金</w:t>
            </w:r>
          </w:p>
        </w:tc>
        <w:tc>
          <w:tcPr>
            <w:tcW w:w="1421"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3"/>
              <w:jc w:val="right"/>
              <w:rPr>
                <w:rFonts w:ascii="Times New Roman" w:hAnsi="Times New Roman" w:cs="Times New Roman" w:eastAsia="Times New Roman" w:hint="default"/>
                <w:sz w:val="21"/>
                <w:szCs w:val="21"/>
              </w:rPr>
            </w:pPr>
            <w:r>
              <w:rPr>
                <w:rFonts w:ascii="Times New Roman"/>
                <w:spacing w:val="-1"/>
                <w:sz w:val="21"/>
              </w:rPr>
              <w:t>160,000.00</w:t>
            </w:r>
          </w:p>
        </w:tc>
        <w:tc>
          <w:tcPr>
            <w:tcW w:w="2323" w:type="dxa"/>
            <w:tcBorders>
              <w:top w:val="single" w:sz="12" w:space="0" w:color="000000"/>
              <w:left w:val="single" w:sz="6" w:space="0" w:color="000000"/>
              <w:bottom w:val="single" w:sz="12" w:space="0" w:color="000000"/>
              <w:right w:val="nil" w:sz="6" w:space="0" w:color="auto"/>
            </w:tcBorders>
          </w:tcPr>
          <w:p>
            <w:pPr>
              <w:pStyle w:val="TableParagraph"/>
              <w:spacing w:line="259" w:lineRule="exact"/>
              <w:ind w:left="59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797" w:type="dxa"/>
            <w:tcBorders>
              <w:top w:val="single" w:sz="12" w:space="0" w:color="000000"/>
              <w:left w:val="nil" w:sz="6" w:space="0" w:color="auto"/>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z w:val="21"/>
              </w:rPr>
              <w:t>13.83</w:t>
            </w:r>
          </w:p>
        </w:tc>
        <w:tc>
          <w:tcPr>
            <w:tcW w:w="1303"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5"/>
              <w:jc w:val="right"/>
              <w:rPr>
                <w:rFonts w:ascii="Times New Roman" w:hAnsi="Times New Roman" w:cs="Times New Roman" w:eastAsia="Times New Roman" w:hint="default"/>
                <w:sz w:val="21"/>
                <w:szCs w:val="21"/>
              </w:rPr>
            </w:pPr>
            <w:r>
              <w:rPr>
                <w:rFonts w:ascii="Times New Roman"/>
                <w:spacing w:val="-1"/>
                <w:sz w:val="21"/>
              </w:rPr>
              <w:t>1,600.00</w:t>
            </w:r>
          </w:p>
        </w:tc>
      </w:tr>
      <w:tr>
        <w:trPr>
          <w:trHeight w:val="586" w:hRule="exact"/>
        </w:trPr>
        <w:tc>
          <w:tcPr>
            <w:tcW w:w="2484" w:type="dxa"/>
            <w:tcBorders>
              <w:top w:val="single" w:sz="12" w:space="0" w:color="000000"/>
              <w:left w:val="single" w:sz="6" w:space="0" w:color="000000"/>
              <w:bottom w:val="single" w:sz="12" w:space="0" w:color="000000"/>
              <w:right w:val="single" w:sz="6" w:space="0" w:color="000000"/>
            </w:tcBorders>
          </w:tcPr>
          <w:p>
            <w:pPr>
              <w:pStyle w:val="TableParagraph"/>
              <w:spacing w:line="240" w:lineRule="exact"/>
              <w:ind w:left="4" w:right="-8"/>
              <w:jc w:val="left"/>
              <w:rPr>
                <w:rFonts w:ascii="宋体" w:hAnsi="宋体" w:cs="宋体" w:eastAsia="宋体" w:hint="default"/>
                <w:sz w:val="21"/>
                <w:szCs w:val="21"/>
              </w:rPr>
            </w:pPr>
            <w:r>
              <w:rPr>
                <w:rFonts w:ascii="宋体" w:hAnsi="宋体" w:cs="宋体" w:eastAsia="宋体" w:hint="default"/>
                <w:spacing w:val="12"/>
                <w:sz w:val="21"/>
                <w:szCs w:val="21"/>
              </w:rPr>
              <w:t>深圳市高新区开发建设公</w:t>
            </w:r>
            <w:r>
              <w:rPr>
                <w:rFonts w:ascii="宋体" w:hAnsi="宋体" w:cs="宋体" w:eastAsia="宋体" w:hint="default"/>
                <w:sz w:val="21"/>
                <w:szCs w:val="21"/>
              </w:rPr>
            </w:r>
          </w:p>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035"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16" w:right="0"/>
              <w:jc w:val="center"/>
              <w:rPr>
                <w:rFonts w:ascii="宋体" w:hAnsi="宋体" w:cs="宋体" w:eastAsia="宋体" w:hint="default"/>
                <w:sz w:val="21"/>
                <w:szCs w:val="21"/>
              </w:rPr>
            </w:pPr>
            <w:r>
              <w:rPr>
                <w:rFonts w:ascii="宋体" w:hAnsi="宋体" w:cs="宋体" w:eastAsia="宋体" w:hint="default"/>
                <w:sz w:val="21"/>
                <w:szCs w:val="21"/>
              </w:rPr>
              <w:t>押金</w:t>
            </w:r>
          </w:p>
        </w:tc>
        <w:tc>
          <w:tcPr>
            <w:tcW w:w="1421"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3"/>
              <w:jc w:val="right"/>
              <w:rPr>
                <w:rFonts w:ascii="Times New Roman" w:hAnsi="Times New Roman" w:cs="Times New Roman" w:eastAsia="Times New Roman" w:hint="default"/>
                <w:sz w:val="21"/>
                <w:szCs w:val="21"/>
              </w:rPr>
            </w:pPr>
            <w:r>
              <w:rPr>
                <w:rFonts w:ascii="Times New Roman"/>
                <w:spacing w:val="-1"/>
                <w:sz w:val="21"/>
              </w:rPr>
              <w:t>121,072.14</w:t>
            </w:r>
          </w:p>
        </w:tc>
        <w:tc>
          <w:tcPr>
            <w:tcW w:w="2323" w:type="dxa"/>
            <w:tcBorders>
              <w:top w:val="single" w:sz="12" w:space="0" w:color="000000"/>
              <w:left w:val="single" w:sz="6" w:space="0" w:color="000000"/>
              <w:bottom w:val="single" w:sz="12" w:space="0" w:color="000000"/>
              <w:right w:val="nil" w:sz="6" w:space="0" w:color="auto"/>
            </w:tcBorders>
          </w:tcPr>
          <w:p>
            <w:pPr>
              <w:pStyle w:val="TableParagraph"/>
              <w:spacing w:line="248"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r>
              <w:rPr>
                <w:rFonts w:ascii="Times New Roman" w:hAnsi="Times New Roman" w:cs="Times New Roman" w:eastAsia="Times New Roman" w:hint="default"/>
                <w:sz w:val="21"/>
                <w:szCs w:val="21"/>
              </w:rPr>
              <w:t>44,200.94</w:t>
            </w:r>
            <w:r>
              <w:rPr>
                <w:rFonts w:ascii="宋体" w:hAnsi="宋体" w:cs="宋体" w:eastAsia="宋体" w:hint="default"/>
                <w:sz w:val="21"/>
                <w:szCs w:val="21"/>
              </w:rPr>
              <w:t>元；</w:t>
            </w:r>
          </w:p>
          <w:p>
            <w:pPr>
              <w:pStyle w:val="TableParagraph"/>
              <w:spacing w:line="282" w:lineRule="exact"/>
              <w:ind w:left="7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年以上</w:t>
            </w:r>
            <w:r>
              <w:rPr>
                <w:rFonts w:ascii="Times New Roman" w:hAnsi="Times New Roman" w:cs="Times New Roman" w:eastAsia="Times New Roman" w:hint="default"/>
                <w:sz w:val="21"/>
                <w:szCs w:val="21"/>
              </w:rPr>
              <w:t>76,871.20</w:t>
            </w:r>
            <w:r>
              <w:rPr>
                <w:rFonts w:ascii="宋体" w:hAnsi="宋体" w:cs="宋体" w:eastAsia="宋体" w:hint="default"/>
                <w:sz w:val="21"/>
                <w:szCs w:val="21"/>
              </w:rPr>
              <w:t>元</w:t>
            </w:r>
          </w:p>
        </w:tc>
        <w:tc>
          <w:tcPr>
            <w:tcW w:w="797" w:type="dxa"/>
            <w:tcBorders>
              <w:top w:val="single" w:sz="12" w:space="0" w:color="000000"/>
              <w:left w:val="nil" w:sz="6" w:space="0" w:color="auto"/>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z w:val="21"/>
              </w:rPr>
              <w:t>10.47</w:t>
            </w:r>
          </w:p>
        </w:tc>
        <w:tc>
          <w:tcPr>
            <w:tcW w:w="1303"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5"/>
              <w:jc w:val="right"/>
              <w:rPr>
                <w:rFonts w:ascii="Times New Roman" w:hAnsi="Times New Roman" w:cs="Times New Roman" w:eastAsia="Times New Roman" w:hint="default"/>
                <w:sz w:val="21"/>
                <w:szCs w:val="21"/>
              </w:rPr>
            </w:pPr>
            <w:r>
              <w:rPr>
                <w:rFonts w:ascii="Times New Roman"/>
                <w:spacing w:val="-1"/>
                <w:sz w:val="21"/>
              </w:rPr>
              <w:t>77,313.21</w:t>
            </w:r>
          </w:p>
        </w:tc>
      </w:tr>
      <w:tr>
        <w:trPr>
          <w:trHeight w:val="312" w:hRule="exact"/>
        </w:trPr>
        <w:tc>
          <w:tcPr>
            <w:tcW w:w="2484"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4" w:right="0"/>
              <w:jc w:val="left"/>
              <w:rPr>
                <w:rFonts w:ascii="宋体" w:hAnsi="宋体" w:cs="宋体" w:eastAsia="宋体" w:hint="default"/>
                <w:sz w:val="21"/>
                <w:szCs w:val="21"/>
              </w:rPr>
            </w:pPr>
            <w:r>
              <w:rPr>
                <w:rFonts w:ascii="宋体" w:hAnsi="宋体" w:cs="宋体" w:eastAsia="宋体" w:hint="default"/>
                <w:sz w:val="21"/>
                <w:szCs w:val="21"/>
              </w:rPr>
              <w:t>陈荣强</w:t>
            </w:r>
          </w:p>
        </w:tc>
        <w:tc>
          <w:tcPr>
            <w:tcW w:w="1035"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16" w:right="0"/>
              <w:jc w:val="center"/>
              <w:rPr>
                <w:rFonts w:ascii="宋体" w:hAnsi="宋体" w:cs="宋体" w:eastAsia="宋体" w:hint="default"/>
                <w:sz w:val="21"/>
                <w:szCs w:val="21"/>
              </w:rPr>
            </w:pPr>
            <w:r>
              <w:rPr>
                <w:rFonts w:ascii="宋体" w:hAnsi="宋体" w:cs="宋体" w:eastAsia="宋体" w:hint="default"/>
                <w:sz w:val="21"/>
                <w:szCs w:val="21"/>
              </w:rPr>
              <w:t>备用金</w:t>
            </w:r>
          </w:p>
        </w:tc>
        <w:tc>
          <w:tcPr>
            <w:tcW w:w="1421"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3"/>
              <w:jc w:val="right"/>
              <w:rPr>
                <w:rFonts w:ascii="Times New Roman" w:hAnsi="Times New Roman" w:cs="Times New Roman" w:eastAsia="Times New Roman" w:hint="default"/>
                <w:sz w:val="21"/>
                <w:szCs w:val="21"/>
              </w:rPr>
            </w:pPr>
            <w:r>
              <w:rPr>
                <w:rFonts w:ascii="Times New Roman"/>
                <w:spacing w:val="-1"/>
                <w:sz w:val="21"/>
              </w:rPr>
              <w:t>89,969.00</w:t>
            </w:r>
          </w:p>
        </w:tc>
        <w:tc>
          <w:tcPr>
            <w:tcW w:w="2323" w:type="dxa"/>
            <w:tcBorders>
              <w:top w:val="single" w:sz="12" w:space="0" w:color="000000"/>
              <w:left w:val="single" w:sz="6" w:space="0" w:color="000000"/>
              <w:bottom w:val="single" w:sz="12" w:space="0" w:color="000000"/>
              <w:right w:val="nil" w:sz="6" w:space="0" w:color="auto"/>
            </w:tcBorders>
          </w:tcPr>
          <w:p>
            <w:pPr>
              <w:pStyle w:val="TableParagraph"/>
              <w:spacing w:line="257" w:lineRule="exact"/>
              <w:ind w:left="59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797" w:type="dxa"/>
            <w:tcBorders>
              <w:top w:val="single" w:sz="12" w:space="0" w:color="000000"/>
              <w:left w:val="nil" w:sz="6" w:space="0" w:color="auto"/>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z w:val="21"/>
              </w:rPr>
              <w:t>7.78</w:t>
            </w:r>
          </w:p>
        </w:tc>
        <w:tc>
          <w:tcPr>
            <w:tcW w:w="1303"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5"/>
              <w:jc w:val="right"/>
              <w:rPr>
                <w:rFonts w:ascii="Times New Roman" w:hAnsi="Times New Roman" w:cs="Times New Roman" w:eastAsia="Times New Roman" w:hint="default"/>
                <w:sz w:val="21"/>
                <w:szCs w:val="21"/>
              </w:rPr>
            </w:pPr>
            <w:r>
              <w:rPr>
                <w:rFonts w:ascii="Times New Roman"/>
                <w:sz w:val="21"/>
              </w:rPr>
              <w:t>899.69</w:t>
            </w:r>
          </w:p>
        </w:tc>
      </w:tr>
      <w:tr>
        <w:trPr>
          <w:trHeight w:val="314" w:hRule="exact"/>
        </w:trPr>
        <w:tc>
          <w:tcPr>
            <w:tcW w:w="2484"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035" w:type="dxa"/>
            <w:tcBorders>
              <w:top w:val="single" w:sz="12" w:space="0" w:color="000000"/>
              <w:left w:val="single" w:sz="6" w:space="0" w:color="000000"/>
              <w:bottom w:val="single" w:sz="12" w:space="0" w:color="000000"/>
              <w:right w:val="single" w:sz="6" w:space="0" w:color="000000"/>
            </w:tcBorders>
          </w:tcPr>
          <w:p>
            <w:pPr/>
          </w:p>
        </w:tc>
        <w:tc>
          <w:tcPr>
            <w:tcW w:w="1421"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3"/>
              <w:jc w:val="right"/>
              <w:rPr>
                <w:rFonts w:ascii="Times New Roman" w:hAnsi="Times New Roman" w:cs="Times New Roman" w:eastAsia="Times New Roman" w:hint="default"/>
                <w:sz w:val="21"/>
                <w:szCs w:val="21"/>
              </w:rPr>
            </w:pPr>
            <w:r>
              <w:rPr>
                <w:rFonts w:ascii="Times New Roman"/>
                <w:spacing w:val="-1"/>
                <w:sz w:val="21"/>
              </w:rPr>
              <w:t>736,029.14</w:t>
            </w:r>
          </w:p>
        </w:tc>
        <w:tc>
          <w:tcPr>
            <w:tcW w:w="2323" w:type="dxa"/>
            <w:tcBorders>
              <w:top w:val="single" w:sz="12" w:space="0" w:color="000000"/>
              <w:left w:val="single" w:sz="6" w:space="0" w:color="000000"/>
              <w:bottom w:val="single" w:sz="12" w:space="0" w:color="000000"/>
              <w:right w:val="nil" w:sz="6" w:space="0" w:color="auto"/>
            </w:tcBorders>
          </w:tcPr>
          <w:p>
            <w:pPr/>
          </w:p>
        </w:tc>
        <w:tc>
          <w:tcPr>
            <w:tcW w:w="797" w:type="dxa"/>
            <w:tcBorders>
              <w:top w:val="single" w:sz="12" w:space="0" w:color="000000"/>
              <w:left w:val="nil" w:sz="6" w:space="0" w:color="auto"/>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z w:val="21"/>
              </w:rPr>
              <w:t>63.64</w:t>
            </w:r>
          </w:p>
        </w:tc>
        <w:tc>
          <w:tcPr>
            <w:tcW w:w="1303"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5"/>
              <w:jc w:val="right"/>
              <w:rPr>
                <w:rFonts w:ascii="Times New Roman" w:hAnsi="Times New Roman" w:cs="Times New Roman" w:eastAsia="Times New Roman" w:hint="default"/>
                <w:sz w:val="21"/>
                <w:szCs w:val="21"/>
              </w:rPr>
            </w:pPr>
            <w:r>
              <w:rPr>
                <w:rFonts w:ascii="Times New Roman"/>
                <w:spacing w:val="-1"/>
                <w:sz w:val="21"/>
              </w:rPr>
              <w:t>235,742.78</w:t>
            </w:r>
          </w:p>
        </w:tc>
      </w:tr>
    </w:tbl>
    <w:p>
      <w:pPr>
        <w:spacing w:line="240" w:lineRule="auto" w:before="0"/>
        <w:rPr>
          <w:rFonts w:ascii="宋体" w:hAnsi="宋体" w:cs="宋体" w:eastAsia="宋体" w:hint="default"/>
          <w:b/>
          <w:bCs/>
          <w:sz w:val="19"/>
          <w:szCs w:val="19"/>
        </w:rPr>
      </w:pPr>
    </w:p>
    <w:p>
      <w:pPr>
        <w:pStyle w:val="Heading5"/>
        <w:spacing w:line="240" w:lineRule="auto" w:before="36"/>
        <w:ind w:left="580" w:right="0"/>
        <w:jc w:val="left"/>
        <w:rPr>
          <w:b w:val="0"/>
          <w:bCs w:val="0"/>
        </w:rPr>
      </w:pPr>
      <w:r>
        <w:rPr/>
        <w:t>（三）长期股权投资</w:t>
      </w:r>
      <w:r>
        <w:rPr>
          <w:b w:val="0"/>
          <w:bCs w:val="0"/>
        </w:rPr>
      </w:r>
    </w:p>
    <w:p>
      <w:pPr>
        <w:spacing w:line="240" w:lineRule="auto" w:before="10"/>
        <w:rPr>
          <w:rFonts w:ascii="宋体" w:hAnsi="宋体" w:cs="宋体" w:eastAsia="宋体" w:hint="default"/>
          <w:b/>
          <w:bCs/>
          <w:sz w:val="3"/>
          <w:szCs w:val="3"/>
        </w:rPr>
      </w:pPr>
    </w:p>
    <w:tbl>
      <w:tblPr>
        <w:tblW w:w="0" w:type="auto"/>
        <w:jc w:val="left"/>
        <w:tblInd w:w="145" w:type="dxa"/>
        <w:tblLayout w:type="fixed"/>
        <w:tblCellMar>
          <w:top w:w="0" w:type="dxa"/>
          <w:left w:w="0" w:type="dxa"/>
          <w:bottom w:w="0" w:type="dxa"/>
          <w:right w:w="0" w:type="dxa"/>
        </w:tblCellMar>
        <w:tblLook w:val="01E0"/>
      </w:tblPr>
      <w:tblGrid>
        <w:gridCol w:w="1639"/>
        <w:gridCol w:w="1198"/>
        <w:gridCol w:w="1042"/>
        <w:gridCol w:w="1195"/>
        <w:gridCol w:w="1423"/>
        <w:gridCol w:w="1147"/>
        <w:gridCol w:w="1745"/>
      </w:tblGrid>
      <w:tr>
        <w:trPr>
          <w:trHeight w:val="355" w:hRule="exact"/>
        </w:trPr>
        <w:tc>
          <w:tcPr>
            <w:tcW w:w="1639" w:type="dxa"/>
            <w:vMerge w:val="restart"/>
            <w:tcBorders>
              <w:top w:val="single" w:sz="6" w:space="0" w:color="000000"/>
              <w:left w:val="single" w:sz="6" w:space="0" w:color="000000"/>
              <w:right w:val="single" w:sz="6" w:space="0" w:color="000000"/>
            </w:tcBorders>
          </w:tcPr>
          <w:p>
            <w:pPr>
              <w:pStyle w:val="TableParagraph"/>
              <w:spacing w:line="250" w:lineRule="exact"/>
              <w:ind w:left="393" w:right="0"/>
              <w:jc w:val="left"/>
              <w:rPr>
                <w:rFonts w:ascii="宋体" w:hAnsi="宋体" w:cs="宋体" w:eastAsia="宋体" w:hint="default"/>
                <w:sz w:val="21"/>
                <w:szCs w:val="21"/>
              </w:rPr>
            </w:pPr>
            <w:r>
              <w:rPr>
                <w:rFonts w:ascii="宋体" w:hAnsi="宋体" w:cs="宋体" w:eastAsia="宋体" w:hint="default"/>
                <w:sz w:val="21"/>
                <w:szCs w:val="21"/>
              </w:rPr>
              <w:t>款项性质</w:t>
            </w:r>
          </w:p>
        </w:tc>
        <w:tc>
          <w:tcPr>
            <w:tcW w:w="3434" w:type="dxa"/>
            <w:gridSpan w:val="3"/>
            <w:tcBorders>
              <w:top w:val="single" w:sz="6" w:space="0" w:color="000000"/>
              <w:left w:val="single" w:sz="6" w:space="0" w:color="000000"/>
              <w:bottom w:val="single" w:sz="12" w:space="0" w:color="000000"/>
              <w:right w:val="single" w:sz="6" w:space="0" w:color="000000"/>
            </w:tcBorders>
          </w:tcPr>
          <w:p>
            <w:pPr>
              <w:pStyle w:val="TableParagraph"/>
              <w:spacing w:line="250"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315" w:type="dxa"/>
            <w:gridSpan w:val="3"/>
            <w:tcBorders>
              <w:top w:val="single" w:sz="6" w:space="0" w:color="000000"/>
              <w:left w:val="single" w:sz="6" w:space="0" w:color="000000"/>
              <w:bottom w:val="single" w:sz="12" w:space="0" w:color="000000"/>
              <w:right w:val="nil" w:sz="6" w:space="0" w:color="auto"/>
            </w:tcBorders>
          </w:tcPr>
          <w:p>
            <w:pPr>
              <w:pStyle w:val="TableParagraph"/>
              <w:spacing w:line="250" w:lineRule="exact"/>
              <w:ind w:right="2"/>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50" w:hRule="exact"/>
        </w:trPr>
        <w:tc>
          <w:tcPr>
            <w:tcW w:w="1639" w:type="dxa"/>
            <w:vMerge/>
            <w:tcBorders>
              <w:left w:val="single" w:sz="6" w:space="0" w:color="000000"/>
              <w:bottom w:val="single" w:sz="12" w:space="0" w:color="000000"/>
              <w:right w:val="single" w:sz="6" w:space="0" w:color="000000"/>
            </w:tcBorders>
          </w:tcPr>
          <w:p>
            <w:pPr/>
          </w:p>
        </w:tc>
        <w:tc>
          <w:tcPr>
            <w:tcW w:w="1198"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17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042"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95"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195"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172"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423"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28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47"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146"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745" w:type="dxa"/>
            <w:tcBorders>
              <w:top w:val="single" w:sz="12" w:space="0" w:color="000000"/>
              <w:left w:val="single" w:sz="6" w:space="0" w:color="000000"/>
              <w:bottom w:val="single" w:sz="12" w:space="0" w:color="000000"/>
              <w:right w:val="nil" w:sz="6" w:space="0" w:color="auto"/>
            </w:tcBorders>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353" w:hRule="exact"/>
        </w:trPr>
        <w:tc>
          <w:tcPr>
            <w:tcW w:w="1639"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4" w:right="0"/>
              <w:jc w:val="left"/>
              <w:rPr>
                <w:rFonts w:ascii="宋体" w:hAnsi="宋体" w:cs="宋体" w:eastAsia="宋体" w:hint="default"/>
                <w:sz w:val="21"/>
                <w:szCs w:val="21"/>
              </w:rPr>
            </w:pPr>
            <w:r>
              <w:rPr>
                <w:rFonts w:ascii="宋体" w:hAnsi="宋体" w:cs="宋体" w:eastAsia="宋体" w:hint="default"/>
                <w:sz w:val="21"/>
                <w:szCs w:val="21"/>
              </w:rPr>
              <w:t>对子公司投资</w:t>
            </w:r>
          </w:p>
        </w:tc>
        <w:tc>
          <w:tcPr>
            <w:tcW w:w="1198"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2,000,000.00</w:t>
            </w:r>
          </w:p>
        </w:tc>
        <w:tc>
          <w:tcPr>
            <w:tcW w:w="1042"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195"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3"/>
              <w:jc w:val="right"/>
              <w:rPr>
                <w:rFonts w:ascii="Times New Roman" w:hAnsi="Times New Roman" w:cs="Times New Roman" w:eastAsia="Times New Roman" w:hint="default"/>
                <w:sz w:val="21"/>
                <w:szCs w:val="21"/>
              </w:rPr>
            </w:pPr>
            <w:r>
              <w:rPr>
                <w:rFonts w:ascii="Times New Roman"/>
                <w:spacing w:val="-1"/>
                <w:sz w:val="21"/>
              </w:rPr>
              <w:t>2,000,000.00</w:t>
            </w:r>
          </w:p>
        </w:tc>
        <w:tc>
          <w:tcPr>
            <w:tcW w:w="1423"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2,000,000.00</w:t>
            </w:r>
          </w:p>
        </w:tc>
        <w:tc>
          <w:tcPr>
            <w:tcW w:w="1147"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745"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5"/>
              <w:jc w:val="right"/>
              <w:rPr>
                <w:rFonts w:ascii="Times New Roman" w:hAnsi="Times New Roman" w:cs="Times New Roman" w:eastAsia="Times New Roman" w:hint="default"/>
                <w:sz w:val="21"/>
                <w:szCs w:val="21"/>
              </w:rPr>
            </w:pPr>
            <w:r>
              <w:rPr>
                <w:rFonts w:ascii="Times New Roman"/>
                <w:spacing w:val="-1"/>
                <w:sz w:val="21"/>
              </w:rPr>
              <w:t>2,000,000.00</w:t>
            </w:r>
          </w:p>
        </w:tc>
      </w:tr>
      <w:tr>
        <w:trPr>
          <w:trHeight w:val="353" w:hRule="exact"/>
        </w:trPr>
        <w:tc>
          <w:tcPr>
            <w:tcW w:w="1639"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4" w:right="0"/>
              <w:jc w:val="left"/>
              <w:rPr>
                <w:rFonts w:ascii="宋体" w:hAnsi="宋体" w:cs="宋体" w:eastAsia="宋体" w:hint="default"/>
                <w:sz w:val="21"/>
                <w:szCs w:val="21"/>
              </w:rPr>
            </w:pPr>
            <w:r>
              <w:rPr>
                <w:rFonts w:ascii="宋体" w:hAnsi="宋体" w:cs="宋体" w:eastAsia="宋体" w:hint="default"/>
                <w:sz w:val="21"/>
                <w:szCs w:val="21"/>
              </w:rPr>
              <w:t>对联营企业投资</w:t>
            </w:r>
          </w:p>
        </w:tc>
        <w:tc>
          <w:tcPr>
            <w:tcW w:w="1198"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042"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195"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423"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147"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745"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7"/>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r>
      <w:tr>
        <w:trPr>
          <w:trHeight w:val="353" w:hRule="exact"/>
        </w:trPr>
        <w:tc>
          <w:tcPr>
            <w:tcW w:w="1639"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198"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2,000,000.00</w:t>
            </w:r>
          </w:p>
        </w:tc>
        <w:tc>
          <w:tcPr>
            <w:tcW w:w="1042"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195"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3"/>
              <w:jc w:val="right"/>
              <w:rPr>
                <w:rFonts w:ascii="Times New Roman" w:hAnsi="Times New Roman" w:cs="Times New Roman" w:eastAsia="Times New Roman" w:hint="default"/>
                <w:sz w:val="21"/>
                <w:szCs w:val="21"/>
              </w:rPr>
            </w:pPr>
            <w:r>
              <w:rPr>
                <w:rFonts w:ascii="Times New Roman"/>
                <w:spacing w:val="-1"/>
                <w:sz w:val="21"/>
              </w:rPr>
              <w:t>2,000,000.00</w:t>
            </w:r>
          </w:p>
        </w:tc>
        <w:tc>
          <w:tcPr>
            <w:tcW w:w="1423"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2,000,000.00</w:t>
            </w:r>
          </w:p>
        </w:tc>
        <w:tc>
          <w:tcPr>
            <w:tcW w:w="1147"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745"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5"/>
              <w:jc w:val="right"/>
              <w:rPr>
                <w:rFonts w:ascii="Times New Roman" w:hAnsi="Times New Roman" w:cs="Times New Roman" w:eastAsia="Times New Roman" w:hint="default"/>
                <w:sz w:val="21"/>
                <w:szCs w:val="21"/>
              </w:rPr>
            </w:pPr>
            <w:r>
              <w:rPr>
                <w:rFonts w:ascii="Times New Roman"/>
                <w:spacing w:val="-1"/>
                <w:sz w:val="21"/>
              </w:rPr>
              <w:t>2,000,000.00</w:t>
            </w:r>
          </w:p>
        </w:tc>
      </w:tr>
    </w:tbl>
    <w:p>
      <w:pPr>
        <w:spacing w:line="240" w:lineRule="auto" w:before="3"/>
        <w:rPr>
          <w:rFonts w:ascii="宋体" w:hAnsi="宋体" w:cs="宋体" w:eastAsia="宋体" w:hint="default"/>
          <w:b/>
          <w:bCs/>
          <w:sz w:val="8"/>
          <w:szCs w:val="8"/>
        </w:rPr>
      </w:pPr>
    </w:p>
    <w:p>
      <w:pPr>
        <w:pStyle w:val="Heading5"/>
        <w:spacing w:line="240" w:lineRule="auto" w:before="36"/>
        <w:ind w:left="580" w:right="0"/>
        <w:jc w:val="left"/>
        <w:rPr>
          <w:b w:val="0"/>
          <w:bCs w:val="0"/>
        </w:rPr>
      </w:pPr>
      <w:r>
        <w:rPr>
          <w:rFonts w:ascii="Times New Roman" w:hAnsi="Times New Roman" w:cs="Times New Roman" w:eastAsia="Times New Roman" w:hint="default"/>
        </w:rPr>
        <w:t>1</w:t>
      </w:r>
      <w:r>
        <w:rPr/>
        <w:t>、对子公司投资</w:t>
      </w:r>
      <w:r>
        <w:rPr>
          <w:b w:val="0"/>
          <w:bCs w:val="0"/>
        </w:rPr>
      </w:r>
    </w:p>
    <w:p>
      <w:pPr>
        <w:spacing w:line="240" w:lineRule="auto" w:before="8"/>
        <w:rPr>
          <w:rFonts w:ascii="宋体" w:hAnsi="宋体" w:cs="宋体" w:eastAsia="宋体" w:hint="default"/>
          <w:b/>
          <w:bCs/>
          <w:sz w:val="2"/>
          <w:szCs w:val="2"/>
        </w:rPr>
      </w:pPr>
    </w:p>
    <w:tbl>
      <w:tblPr>
        <w:tblW w:w="0" w:type="auto"/>
        <w:jc w:val="left"/>
        <w:tblInd w:w="145" w:type="dxa"/>
        <w:tblLayout w:type="fixed"/>
        <w:tblCellMar>
          <w:top w:w="0" w:type="dxa"/>
          <w:left w:w="0" w:type="dxa"/>
          <w:bottom w:w="0" w:type="dxa"/>
          <w:right w:w="0" w:type="dxa"/>
        </w:tblCellMar>
        <w:tblLook w:val="01E0"/>
      </w:tblPr>
      <w:tblGrid>
        <w:gridCol w:w="1202"/>
        <w:gridCol w:w="1423"/>
        <w:gridCol w:w="1469"/>
        <w:gridCol w:w="982"/>
        <w:gridCol w:w="986"/>
        <w:gridCol w:w="1385"/>
        <w:gridCol w:w="982"/>
        <w:gridCol w:w="953"/>
      </w:tblGrid>
      <w:tr>
        <w:trPr>
          <w:trHeight w:val="588" w:hRule="exact"/>
        </w:trPr>
        <w:tc>
          <w:tcPr>
            <w:tcW w:w="1202"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left="4" w:right="0"/>
              <w:jc w:val="center"/>
              <w:rPr>
                <w:rFonts w:ascii="宋体" w:hAnsi="宋体" w:cs="宋体" w:eastAsia="宋体" w:hint="default"/>
                <w:sz w:val="21"/>
                <w:szCs w:val="21"/>
              </w:rPr>
            </w:pPr>
            <w:r>
              <w:rPr>
                <w:rFonts w:ascii="宋体" w:hAnsi="宋体" w:cs="宋体" w:eastAsia="宋体" w:hint="default"/>
                <w:sz w:val="21"/>
                <w:szCs w:val="21"/>
              </w:rPr>
              <w:t>被投资单位</w:t>
            </w:r>
          </w:p>
        </w:tc>
        <w:tc>
          <w:tcPr>
            <w:tcW w:w="1423"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left="74" w:right="0"/>
              <w:jc w:val="left"/>
              <w:rPr>
                <w:rFonts w:ascii="宋体" w:hAnsi="宋体" w:cs="宋体" w:eastAsia="宋体" w:hint="default"/>
                <w:sz w:val="21"/>
                <w:szCs w:val="21"/>
              </w:rPr>
            </w:pPr>
            <w:r>
              <w:rPr>
                <w:rFonts w:ascii="宋体" w:hAnsi="宋体" w:cs="宋体" w:eastAsia="宋体" w:hint="default"/>
                <w:sz w:val="21"/>
                <w:szCs w:val="21"/>
              </w:rPr>
              <w:t>初始投资成本</w:t>
            </w:r>
          </w:p>
        </w:tc>
        <w:tc>
          <w:tcPr>
            <w:tcW w:w="1469"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left="307"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982"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right="60"/>
              <w:jc w:val="right"/>
              <w:rPr>
                <w:rFonts w:ascii="宋体" w:hAnsi="宋体" w:cs="宋体" w:eastAsia="宋体" w:hint="default"/>
                <w:sz w:val="21"/>
                <w:szCs w:val="21"/>
              </w:rPr>
            </w:pPr>
            <w:r>
              <w:rPr>
                <w:rFonts w:ascii="宋体" w:hAnsi="宋体" w:cs="宋体" w:eastAsia="宋体" w:hint="default"/>
                <w:spacing w:val="-1"/>
                <w:sz w:val="21"/>
                <w:szCs w:val="21"/>
              </w:rPr>
              <w:t>本期增加</w:t>
            </w:r>
          </w:p>
        </w:tc>
        <w:tc>
          <w:tcPr>
            <w:tcW w:w="986"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right="62"/>
              <w:jc w:val="right"/>
              <w:rPr>
                <w:rFonts w:ascii="宋体" w:hAnsi="宋体" w:cs="宋体" w:eastAsia="宋体" w:hint="default"/>
                <w:sz w:val="21"/>
                <w:szCs w:val="21"/>
              </w:rPr>
            </w:pPr>
            <w:r>
              <w:rPr>
                <w:rFonts w:ascii="宋体" w:hAnsi="宋体" w:cs="宋体" w:eastAsia="宋体" w:hint="default"/>
                <w:spacing w:val="-1"/>
                <w:sz w:val="21"/>
                <w:szCs w:val="21"/>
              </w:rPr>
              <w:t>本期减少</w:t>
            </w:r>
          </w:p>
        </w:tc>
        <w:tc>
          <w:tcPr>
            <w:tcW w:w="1385"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left="26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982" w:type="dxa"/>
            <w:tcBorders>
              <w:top w:val="single" w:sz="6" w:space="0" w:color="000000"/>
              <w:left w:val="single" w:sz="6" w:space="0" w:color="000000"/>
              <w:bottom w:val="single" w:sz="12" w:space="0" w:color="000000"/>
              <w:right w:val="single" w:sz="6" w:space="0" w:color="000000"/>
            </w:tcBorders>
          </w:tcPr>
          <w:p>
            <w:pPr>
              <w:pStyle w:val="TableParagraph"/>
              <w:spacing w:line="274" w:lineRule="exact" w:before="1"/>
              <w:ind w:left="64" w:right="57"/>
              <w:jc w:val="left"/>
              <w:rPr>
                <w:rFonts w:ascii="宋体" w:hAnsi="宋体" w:cs="宋体" w:eastAsia="宋体" w:hint="default"/>
                <w:sz w:val="21"/>
                <w:szCs w:val="21"/>
              </w:rPr>
            </w:pPr>
            <w:r>
              <w:rPr>
                <w:rFonts w:ascii="宋体" w:hAnsi="宋体" w:cs="宋体" w:eastAsia="宋体" w:hint="default"/>
                <w:sz w:val="21"/>
                <w:szCs w:val="21"/>
              </w:rPr>
              <w:t>本期计提</w:t>
            </w:r>
            <w:r>
              <w:rPr>
                <w:rFonts w:ascii="宋体" w:hAnsi="宋体" w:cs="宋体" w:eastAsia="宋体" w:hint="default"/>
                <w:w w:val="100"/>
                <w:sz w:val="21"/>
                <w:szCs w:val="21"/>
              </w:rPr>
              <w:t> </w:t>
            </w:r>
            <w:r>
              <w:rPr>
                <w:rFonts w:ascii="宋体" w:hAnsi="宋体" w:cs="宋体" w:eastAsia="宋体" w:hint="default"/>
                <w:sz w:val="21"/>
                <w:szCs w:val="21"/>
              </w:rPr>
              <w:t>减值准备</w:t>
            </w:r>
          </w:p>
        </w:tc>
        <w:tc>
          <w:tcPr>
            <w:tcW w:w="953" w:type="dxa"/>
            <w:tcBorders>
              <w:top w:val="single" w:sz="6" w:space="0" w:color="000000"/>
              <w:left w:val="single" w:sz="6" w:space="0" w:color="000000"/>
              <w:bottom w:val="single" w:sz="12" w:space="0" w:color="000000"/>
              <w:right w:val="nil" w:sz="6" w:space="0" w:color="auto"/>
            </w:tcBorders>
          </w:tcPr>
          <w:p>
            <w:pPr>
              <w:pStyle w:val="TableParagraph"/>
              <w:spacing w:line="274" w:lineRule="exact" w:before="1"/>
              <w:ind w:left="47" w:right="53"/>
              <w:jc w:val="left"/>
              <w:rPr>
                <w:rFonts w:ascii="宋体" w:hAnsi="宋体" w:cs="宋体" w:eastAsia="宋体" w:hint="default"/>
                <w:sz w:val="21"/>
                <w:szCs w:val="21"/>
              </w:rPr>
            </w:pPr>
            <w:r>
              <w:rPr>
                <w:rFonts w:ascii="宋体" w:hAnsi="宋体" w:cs="宋体" w:eastAsia="宋体" w:hint="default"/>
                <w:sz w:val="21"/>
                <w:szCs w:val="21"/>
              </w:rPr>
              <w:t>减值准备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r>
        <w:trPr>
          <w:trHeight w:val="859" w:hRule="exact"/>
        </w:trPr>
        <w:tc>
          <w:tcPr>
            <w:tcW w:w="1202" w:type="dxa"/>
            <w:tcBorders>
              <w:top w:val="single" w:sz="12" w:space="0" w:color="000000"/>
              <w:left w:val="single" w:sz="6" w:space="0" w:color="000000"/>
              <w:bottom w:val="single" w:sz="12" w:space="0" w:color="000000"/>
              <w:right w:val="single" w:sz="6" w:space="0" w:color="000000"/>
            </w:tcBorders>
          </w:tcPr>
          <w:p>
            <w:pPr>
              <w:pStyle w:val="TableParagraph"/>
              <w:spacing w:line="240" w:lineRule="exact"/>
              <w:ind w:left="4" w:right="-3"/>
              <w:jc w:val="left"/>
              <w:rPr>
                <w:rFonts w:ascii="宋体" w:hAnsi="宋体" w:cs="宋体" w:eastAsia="宋体" w:hint="default"/>
                <w:sz w:val="21"/>
                <w:szCs w:val="21"/>
              </w:rPr>
            </w:pPr>
            <w:r>
              <w:rPr>
                <w:rFonts w:ascii="宋体" w:hAnsi="宋体" w:cs="宋体" w:eastAsia="宋体" w:hint="default"/>
                <w:sz w:val="21"/>
                <w:szCs w:val="21"/>
              </w:rPr>
              <w:t>深</w:t>
            </w:r>
            <w:r>
              <w:rPr>
                <w:rFonts w:ascii="宋体" w:hAnsi="宋体" w:cs="宋体" w:eastAsia="宋体" w:hint="default"/>
                <w:spacing w:val="-68"/>
                <w:sz w:val="21"/>
                <w:szCs w:val="21"/>
              </w:rPr>
              <w:t> </w:t>
            </w:r>
            <w:r>
              <w:rPr>
                <w:rFonts w:ascii="宋体" w:hAnsi="宋体" w:cs="宋体" w:eastAsia="宋体" w:hint="default"/>
                <w:spacing w:val="20"/>
                <w:sz w:val="21"/>
                <w:szCs w:val="21"/>
              </w:rPr>
              <w:t>圳市连</w:t>
            </w:r>
            <w:r>
              <w:rPr>
                <w:rFonts w:ascii="宋体" w:hAnsi="宋体" w:cs="宋体" w:eastAsia="宋体" w:hint="default"/>
                <w:spacing w:val="-68"/>
                <w:sz w:val="21"/>
                <w:szCs w:val="21"/>
              </w:rPr>
              <w:t> </w:t>
            </w:r>
            <w:r>
              <w:rPr>
                <w:rFonts w:ascii="宋体" w:hAnsi="宋体" w:cs="宋体" w:eastAsia="宋体" w:hint="default"/>
                <w:sz w:val="21"/>
                <w:szCs w:val="21"/>
              </w:rPr>
              <w:t>邦</w:t>
            </w:r>
          </w:p>
          <w:p>
            <w:pPr>
              <w:pStyle w:val="TableParagraph"/>
              <w:spacing w:line="240" w:lineRule="auto"/>
              <w:ind w:left="4" w:right="-3"/>
              <w:jc w:val="left"/>
              <w:rPr>
                <w:rFonts w:ascii="宋体" w:hAnsi="宋体" w:cs="宋体" w:eastAsia="宋体" w:hint="default"/>
                <w:sz w:val="21"/>
                <w:szCs w:val="21"/>
              </w:rPr>
            </w:pPr>
            <w:r>
              <w:rPr>
                <w:rFonts w:ascii="宋体" w:hAnsi="宋体" w:cs="宋体" w:eastAsia="宋体" w:hint="default"/>
                <w:sz w:val="21"/>
                <w:szCs w:val="21"/>
              </w:rPr>
              <w:t>信</w:t>
            </w:r>
            <w:r>
              <w:rPr>
                <w:rFonts w:ascii="宋体" w:hAnsi="宋体" w:cs="宋体" w:eastAsia="宋体" w:hint="default"/>
                <w:spacing w:val="-69"/>
                <w:sz w:val="21"/>
                <w:szCs w:val="21"/>
              </w:rPr>
              <w:t> </w:t>
            </w:r>
            <w:r>
              <w:rPr>
                <w:rFonts w:ascii="宋体" w:hAnsi="宋体" w:cs="宋体" w:eastAsia="宋体" w:hint="default"/>
                <w:spacing w:val="20"/>
                <w:sz w:val="21"/>
                <w:szCs w:val="21"/>
              </w:rPr>
              <w:t>息技术</w:t>
            </w:r>
            <w:r>
              <w:rPr>
                <w:rFonts w:ascii="宋体" w:hAnsi="宋体" w:cs="宋体" w:eastAsia="宋体" w:hint="default"/>
                <w:spacing w:val="-69"/>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423"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2,000,000.00</w:t>
            </w:r>
          </w:p>
        </w:tc>
        <w:tc>
          <w:tcPr>
            <w:tcW w:w="1469"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left="350" w:right="-1"/>
              <w:jc w:val="left"/>
              <w:rPr>
                <w:rFonts w:ascii="Times New Roman" w:hAnsi="Times New Roman" w:cs="Times New Roman" w:eastAsia="Times New Roman" w:hint="default"/>
                <w:sz w:val="21"/>
                <w:szCs w:val="21"/>
              </w:rPr>
            </w:pPr>
            <w:r>
              <w:rPr>
                <w:rFonts w:ascii="Times New Roman"/>
                <w:sz w:val="21"/>
              </w:rPr>
              <w:t>2,000,000.00</w:t>
            </w:r>
          </w:p>
        </w:tc>
        <w:tc>
          <w:tcPr>
            <w:tcW w:w="982"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2"/>
              <w:jc w:val="right"/>
              <w:rPr>
                <w:rFonts w:ascii="Times New Roman" w:hAnsi="Times New Roman" w:cs="Times New Roman" w:eastAsia="Times New Roman" w:hint="default"/>
                <w:sz w:val="21"/>
                <w:szCs w:val="21"/>
              </w:rPr>
            </w:pPr>
            <w:r>
              <w:rPr>
                <w:rFonts w:ascii="Times New Roman"/>
                <w:spacing w:val="-1"/>
                <w:sz w:val="21"/>
              </w:rPr>
              <w:t>---</w:t>
            </w:r>
          </w:p>
        </w:tc>
        <w:tc>
          <w:tcPr>
            <w:tcW w:w="986"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385"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left="268" w:right="-3"/>
              <w:jc w:val="left"/>
              <w:rPr>
                <w:rFonts w:ascii="Times New Roman" w:hAnsi="Times New Roman" w:cs="Times New Roman" w:eastAsia="Times New Roman" w:hint="default"/>
                <w:sz w:val="21"/>
                <w:szCs w:val="21"/>
              </w:rPr>
            </w:pPr>
            <w:r>
              <w:rPr>
                <w:rFonts w:ascii="Times New Roman"/>
                <w:sz w:val="21"/>
              </w:rPr>
              <w:t>2,000,000.00</w:t>
            </w:r>
          </w:p>
        </w:tc>
        <w:tc>
          <w:tcPr>
            <w:tcW w:w="982"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953"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7"/>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r>
      <w:tr>
        <w:trPr>
          <w:trHeight w:val="314" w:hRule="exact"/>
        </w:trPr>
        <w:tc>
          <w:tcPr>
            <w:tcW w:w="1202"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23"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2,000,000.00</w:t>
            </w:r>
          </w:p>
        </w:tc>
        <w:tc>
          <w:tcPr>
            <w:tcW w:w="1469"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left="350" w:right="-1"/>
              <w:jc w:val="left"/>
              <w:rPr>
                <w:rFonts w:ascii="Times New Roman" w:hAnsi="Times New Roman" w:cs="Times New Roman" w:eastAsia="Times New Roman" w:hint="default"/>
                <w:sz w:val="21"/>
                <w:szCs w:val="21"/>
              </w:rPr>
            </w:pPr>
            <w:r>
              <w:rPr>
                <w:rFonts w:ascii="Times New Roman"/>
                <w:sz w:val="21"/>
              </w:rPr>
              <w:t>2,000,000.00</w:t>
            </w:r>
          </w:p>
        </w:tc>
        <w:tc>
          <w:tcPr>
            <w:tcW w:w="982"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2"/>
              <w:jc w:val="right"/>
              <w:rPr>
                <w:rFonts w:ascii="Times New Roman" w:hAnsi="Times New Roman" w:cs="Times New Roman" w:eastAsia="Times New Roman" w:hint="default"/>
                <w:sz w:val="21"/>
                <w:szCs w:val="21"/>
              </w:rPr>
            </w:pPr>
            <w:r>
              <w:rPr>
                <w:rFonts w:ascii="Times New Roman"/>
                <w:spacing w:val="-1"/>
                <w:sz w:val="21"/>
              </w:rPr>
              <w:t>---</w:t>
            </w:r>
          </w:p>
        </w:tc>
        <w:tc>
          <w:tcPr>
            <w:tcW w:w="986"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385"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left="268" w:right="-3"/>
              <w:jc w:val="left"/>
              <w:rPr>
                <w:rFonts w:ascii="Times New Roman" w:hAnsi="Times New Roman" w:cs="Times New Roman" w:eastAsia="Times New Roman" w:hint="default"/>
                <w:sz w:val="21"/>
                <w:szCs w:val="21"/>
              </w:rPr>
            </w:pPr>
            <w:r>
              <w:rPr>
                <w:rFonts w:ascii="Times New Roman"/>
                <w:sz w:val="21"/>
              </w:rPr>
              <w:t>2,000,000.00</w:t>
            </w:r>
          </w:p>
        </w:tc>
        <w:tc>
          <w:tcPr>
            <w:tcW w:w="982"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953"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7"/>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r>
    </w:tbl>
    <w:p>
      <w:pPr>
        <w:spacing w:line="240" w:lineRule="auto" w:before="2"/>
        <w:rPr>
          <w:rFonts w:ascii="宋体" w:hAnsi="宋体" w:cs="宋体" w:eastAsia="宋体" w:hint="default"/>
          <w:b/>
          <w:bCs/>
          <w:sz w:val="20"/>
          <w:szCs w:val="20"/>
        </w:rPr>
      </w:pPr>
    </w:p>
    <w:p>
      <w:pPr>
        <w:pStyle w:val="Heading5"/>
        <w:spacing w:line="240" w:lineRule="auto" w:before="36"/>
        <w:ind w:left="580" w:right="0"/>
        <w:jc w:val="left"/>
        <w:rPr>
          <w:b w:val="0"/>
          <w:bCs w:val="0"/>
        </w:rPr>
      </w:pPr>
      <w:r>
        <w:rPr/>
        <w:t>（四）营业收入与营业成本</w:t>
      </w:r>
      <w:r>
        <w:rPr>
          <w:b w:val="0"/>
          <w:bCs w:val="0"/>
        </w:rPr>
      </w:r>
    </w:p>
    <w:p>
      <w:pPr>
        <w:pStyle w:val="Heading5"/>
        <w:spacing w:line="240" w:lineRule="auto" w:before="37"/>
        <w:ind w:left="579" w:right="0"/>
        <w:jc w:val="left"/>
        <w:rPr>
          <w:b w:val="0"/>
          <w:bCs w:val="0"/>
        </w:rPr>
      </w:pPr>
      <w:r>
        <w:rPr>
          <w:rFonts w:ascii="Times New Roman" w:hAnsi="Times New Roman" w:cs="Times New Roman" w:eastAsia="Times New Roman" w:hint="default"/>
        </w:rPr>
        <w:t>1</w:t>
      </w:r>
      <w:r>
        <w:rPr/>
        <w:t>、营业收入与营业成本分类情况</w:t>
      </w:r>
      <w:r>
        <w:rPr>
          <w:b w:val="0"/>
          <w:bCs w:val="0"/>
        </w:rPr>
      </w:r>
    </w:p>
    <w:p>
      <w:pPr>
        <w:spacing w:line="240" w:lineRule="auto" w:before="8"/>
        <w:rPr>
          <w:rFonts w:ascii="宋体" w:hAnsi="宋体" w:cs="宋体" w:eastAsia="宋体" w:hint="default"/>
          <w:b/>
          <w:bCs/>
          <w:sz w:val="2"/>
          <w:szCs w:val="2"/>
        </w:rPr>
      </w:pPr>
    </w:p>
    <w:tbl>
      <w:tblPr>
        <w:tblW w:w="0" w:type="auto"/>
        <w:jc w:val="left"/>
        <w:tblInd w:w="145" w:type="dxa"/>
        <w:tblLayout w:type="fixed"/>
        <w:tblCellMar>
          <w:top w:w="0" w:type="dxa"/>
          <w:left w:w="0" w:type="dxa"/>
          <w:bottom w:w="0" w:type="dxa"/>
          <w:right w:w="0" w:type="dxa"/>
        </w:tblCellMar>
        <w:tblLook w:val="01E0"/>
      </w:tblPr>
      <w:tblGrid>
        <w:gridCol w:w="3137"/>
        <w:gridCol w:w="3065"/>
        <w:gridCol w:w="2856"/>
      </w:tblGrid>
      <w:tr>
        <w:trPr>
          <w:trHeight w:val="314" w:hRule="exact"/>
        </w:trPr>
        <w:tc>
          <w:tcPr>
            <w:tcW w:w="3137"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65"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left="99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56" w:type="dxa"/>
            <w:tcBorders>
              <w:top w:val="single" w:sz="6" w:space="0" w:color="000000"/>
              <w:left w:val="single" w:sz="6" w:space="0" w:color="000000"/>
              <w:bottom w:val="single" w:sz="12" w:space="0" w:color="000000"/>
              <w:right w:val="nil" w:sz="6" w:space="0" w:color="auto"/>
            </w:tcBorders>
          </w:tcPr>
          <w:p>
            <w:pPr>
              <w:pStyle w:val="TableParagraph"/>
              <w:spacing w:line="250" w:lineRule="exact"/>
              <w:ind w:left="89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12" w:hRule="exact"/>
        </w:trPr>
        <w:tc>
          <w:tcPr>
            <w:tcW w:w="3137"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4"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3065"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0"/>
              <w:jc w:val="right"/>
              <w:rPr>
                <w:rFonts w:ascii="Times New Roman" w:hAnsi="Times New Roman" w:cs="Times New Roman" w:eastAsia="Times New Roman" w:hint="default"/>
                <w:sz w:val="21"/>
                <w:szCs w:val="21"/>
              </w:rPr>
            </w:pPr>
            <w:r>
              <w:rPr>
                <w:rFonts w:ascii="Times New Roman"/>
                <w:spacing w:val="-1"/>
                <w:sz w:val="21"/>
              </w:rPr>
              <w:t>79,859,719.78</w:t>
            </w:r>
          </w:p>
        </w:tc>
        <w:tc>
          <w:tcPr>
            <w:tcW w:w="2856"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5"/>
              <w:jc w:val="right"/>
              <w:rPr>
                <w:rFonts w:ascii="Times New Roman" w:hAnsi="Times New Roman" w:cs="Times New Roman" w:eastAsia="Times New Roman" w:hint="default"/>
                <w:sz w:val="21"/>
                <w:szCs w:val="21"/>
              </w:rPr>
            </w:pPr>
            <w:r>
              <w:rPr>
                <w:rFonts w:ascii="Times New Roman"/>
                <w:spacing w:val="-1"/>
                <w:sz w:val="21"/>
              </w:rPr>
              <w:t>68,152,717.25</w:t>
            </w:r>
          </w:p>
        </w:tc>
      </w:tr>
      <w:tr>
        <w:trPr>
          <w:trHeight w:val="314" w:hRule="exact"/>
        </w:trPr>
        <w:tc>
          <w:tcPr>
            <w:tcW w:w="3137"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4" w:right="0"/>
              <w:jc w:val="left"/>
              <w:rPr>
                <w:rFonts w:ascii="宋体" w:hAnsi="宋体" w:cs="宋体" w:eastAsia="宋体" w:hint="default"/>
                <w:sz w:val="21"/>
                <w:szCs w:val="21"/>
              </w:rPr>
            </w:pPr>
            <w:r>
              <w:rPr>
                <w:rFonts w:ascii="宋体" w:hAnsi="宋体" w:cs="宋体" w:eastAsia="宋体" w:hint="default"/>
                <w:sz w:val="21"/>
                <w:szCs w:val="21"/>
              </w:rPr>
              <w:t>其中：主营业务收入</w:t>
            </w:r>
          </w:p>
        </w:tc>
        <w:tc>
          <w:tcPr>
            <w:tcW w:w="3065"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79,859,719.78</w:t>
            </w:r>
          </w:p>
        </w:tc>
        <w:tc>
          <w:tcPr>
            <w:tcW w:w="2856"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5"/>
              <w:jc w:val="right"/>
              <w:rPr>
                <w:rFonts w:ascii="Times New Roman" w:hAnsi="Times New Roman" w:cs="Times New Roman" w:eastAsia="Times New Roman" w:hint="default"/>
                <w:sz w:val="21"/>
                <w:szCs w:val="21"/>
              </w:rPr>
            </w:pPr>
            <w:r>
              <w:rPr>
                <w:rFonts w:ascii="Times New Roman"/>
                <w:spacing w:val="-1"/>
                <w:sz w:val="21"/>
              </w:rPr>
              <w:t>68,152,717.25</w:t>
            </w:r>
          </w:p>
        </w:tc>
      </w:tr>
      <w:tr>
        <w:trPr>
          <w:trHeight w:val="312" w:hRule="exact"/>
        </w:trPr>
        <w:tc>
          <w:tcPr>
            <w:tcW w:w="3137"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544"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3065"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2856"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6"/>
              <w:jc w:val="right"/>
              <w:rPr>
                <w:rFonts w:ascii="Times New Roman" w:hAnsi="Times New Roman" w:cs="Times New Roman" w:eastAsia="Times New Roman" w:hint="default"/>
                <w:sz w:val="21"/>
                <w:szCs w:val="21"/>
              </w:rPr>
            </w:pPr>
            <w:r>
              <w:rPr>
                <w:rFonts w:ascii="Times New Roman"/>
                <w:spacing w:val="-1"/>
                <w:sz w:val="21"/>
              </w:rPr>
              <w:t>---</w:t>
            </w:r>
          </w:p>
        </w:tc>
      </w:tr>
      <w:tr>
        <w:trPr>
          <w:trHeight w:val="314" w:hRule="exact"/>
        </w:trPr>
        <w:tc>
          <w:tcPr>
            <w:tcW w:w="3137"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4"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3065"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0"/>
              <w:jc w:val="right"/>
              <w:rPr>
                <w:rFonts w:ascii="Times New Roman" w:hAnsi="Times New Roman" w:cs="Times New Roman" w:eastAsia="Times New Roman" w:hint="default"/>
                <w:sz w:val="21"/>
                <w:szCs w:val="21"/>
              </w:rPr>
            </w:pPr>
            <w:r>
              <w:rPr>
                <w:rFonts w:ascii="Times New Roman"/>
                <w:spacing w:val="-1"/>
                <w:sz w:val="21"/>
              </w:rPr>
              <w:t>19,309,068.71</w:t>
            </w:r>
          </w:p>
        </w:tc>
        <w:tc>
          <w:tcPr>
            <w:tcW w:w="2856"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5"/>
              <w:jc w:val="right"/>
              <w:rPr>
                <w:rFonts w:ascii="Times New Roman" w:hAnsi="Times New Roman" w:cs="Times New Roman" w:eastAsia="Times New Roman" w:hint="default"/>
                <w:sz w:val="21"/>
                <w:szCs w:val="21"/>
              </w:rPr>
            </w:pPr>
            <w:r>
              <w:rPr>
                <w:rFonts w:ascii="Times New Roman"/>
                <w:spacing w:val="-1"/>
                <w:sz w:val="21"/>
              </w:rPr>
              <w:t>16,634,086.32</w:t>
            </w:r>
          </w:p>
        </w:tc>
      </w:tr>
      <w:tr>
        <w:trPr>
          <w:trHeight w:val="312" w:hRule="exact"/>
        </w:trPr>
        <w:tc>
          <w:tcPr>
            <w:tcW w:w="3137"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4" w:right="0"/>
              <w:jc w:val="left"/>
              <w:rPr>
                <w:rFonts w:ascii="宋体" w:hAnsi="宋体" w:cs="宋体" w:eastAsia="宋体" w:hint="default"/>
                <w:sz w:val="21"/>
                <w:szCs w:val="21"/>
              </w:rPr>
            </w:pPr>
            <w:r>
              <w:rPr>
                <w:rFonts w:ascii="宋体" w:hAnsi="宋体" w:cs="宋体" w:eastAsia="宋体" w:hint="default"/>
                <w:sz w:val="21"/>
                <w:szCs w:val="21"/>
              </w:rPr>
              <w:t>其中：主营业务成本</w:t>
            </w:r>
          </w:p>
        </w:tc>
        <w:tc>
          <w:tcPr>
            <w:tcW w:w="3065"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19,309,068.71</w:t>
            </w:r>
          </w:p>
        </w:tc>
        <w:tc>
          <w:tcPr>
            <w:tcW w:w="2856"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5"/>
              <w:jc w:val="right"/>
              <w:rPr>
                <w:rFonts w:ascii="Times New Roman" w:hAnsi="Times New Roman" w:cs="Times New Roman" w:eastAsia="Times New Roman" w:hint="default"/>
                <w:sz w:val="21"/>
                <w:szCs w:val="21"/>
              </w:rPr>
            </w:pPr>
            <w:r>
              <w:rPr>
                <w:rFonts w:ascii="Times New Roman"/>
                <w:spacing w:val="-1"/>
                <w:sz w:val="21"/>
              </w:rPr>
              <w:t>16,634,086.32</w:t>
            </w:r>
          </w:p>
        </w:tc>
      </w:tr>
      <w:tr>
        <w:trPr>
          <w:trHeight w:val="314" w:hRule="exact"/>
        </w:trPr>
        <w:tc>
          <w:tcPr>
            <w:tcW w:w="3137"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508" w:right="0"/>
              <w:jc w:val="left"/>
              <w:rPr>
                <w:rFonts w:ascii="宋体" w:hAnsi="宋体" w:cs="宋体" w:eastAsia="宋体" w:hint="default"/>
                <w:sz w:val="21"/>
                <w:szCs w:val="21"/>
              </w:rPr>
            </w:pPr>
            <w:r>
              <w:rPr>
                <w:rFonts w:ascii="宋体" w:hAnsi="宋体" w:cs="宋体" w:eastAsia="宋体" w:hint="default"/>
                <w:sz w:val="21"/>
                <w:szCs w:val="21"/>
              </w:rPr>
              <w:t>其他业务成本</w:t>
            </w:r>
          </w:p>
        </w:tc>
        <w:tc>
          <w:tcPr>
            <w:tcW w:w="3065"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2856"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6"/>
              <w:jc w:val="right"/>
              <w:rPr>
                <w:rFonts w:ascii="Times New Roman" w:hAnsi="Times New Roman" w:cs="Times New Roman" w:eastAsia="Times New Roman" w:hint="default"/>
                <w:sz w:val="21"/>
                <w:szCs w:val="21"/>
              </w:rPr>
            </w:pPr>
            <w:r>
              <w:rPr>
                <w:rFonts w:ascii="Times New Roman"/>
                <w:spacing w:val="-1"/>
                <w:sz w:val="21"/>
              </w:rPr>
              <w:t>---</w:t>
            </w:r>
          </w:p>
        </w:tc>
      </w:tr>
    </w:tbl>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3"/>
          <w:szCs w:val="23"/>
        </w:rPr>
      </w:pPr>
    </w:p>
    <w:p>
      <w:pPr>
        <w:pStyle w:val="Heading5"/>
        <w:spacing w:line="240" w:lineRule="auto" w:before="36"/>
        <w:ind w:left="580" w:right="0"/>
        <w:jc w:val="left"/>
        <w:rPr>
          <w:b w:val="0"/>
          <w:bCs w:val="0"/>
        </w:rPr>
      </w:pPr>
      <w:r>
        <w:rPr>
          <w:rFonts w:ascii="Times New Roman" w:hAnsi="Times New Roman" w:cs="Times New Roman" w:eastAsia="Times New Roman" w:hint="default"/>
        </w:rPr>
        <w:t>2</w:t>
      </w:r>
      <w:r>
        <w:rPr/>
        <w:t>、本公司前五名客户的营业收入情况</w:t>
      </w:r>
      <w:r>
        <w:rPr>
          <w:b w:val="0"/>
          <w:bCs w:val="0"/>
        </w:rPr>
      </w:r>
    </w:p>
    <w:p>
      <w:pPr>
        <w:spacing w:line="240" w:lineRule="auto" w:before="8"/>
        <w:rPr>
          <w:rFonts w:ascii="宋体" w:hAnsi="宋体" w:cs="宋体" w:eastAsia="宋体" w:hint="default"/>
          <w:b/>
          <w:bCs/>
          <w:sz w:val="2"/>
          <w:szCs w:val="2"/>
        </w:rPr>
      </w:pPr>
    </w:p>
    <w:tbl>
      <w:tblPr>
        <w:tblW w:w="0" w:type="auto"/>
        <w:jc w:val="left"/>
        <w:tblInd w:w="145" w:type="dxa"/>
        <w:tblLayout w:type="fixed"/>
        <w:tblCellMar>
          <w:top w:w="0" w:type="dxa"/>
          <w:left w:w="0" w:type="dxa"/>
          <w:bottom w:w="0" w:type="dxa"/>
          <w:right w:w="0" w:type="dxa"/>
        </w:tblCellMar>
        <w:tblLook w:val="01E0"/>
      </w:tblPr>
      <w:tblGrid>
        <w:gridCol w:w="3137"/>
        <w:gridCol w:w="3065"/>
        <w:gridCol w:w="3024"/>
      </w:tblGrid>
      <w:tr>
        <w:trPr>
          <w:trHeight w:val="314" w:hRule="exact"/>
        </w:trPr>
        <w:tc>
          <w:tcPr>
            <w:tcW w:w="3137"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left="4"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3065"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left="895" w:right="0"/>
              <w:jc w:val="left"/>
              <w:rPr>
                <w:rFonts w:ascii="宋体" w:hAnsi="宋体" w:cs="宋体" w:eastAsia="宋体" w:hint="default"/>
                <w:sz w:val="21"/>
                <w:szCs w:val="21"/>
              </w:rPr>
            </w:pPr>
            <w:r>
              <w:rPr>
                <w:rFonts w:ascii="宋体" w:hAnsi="宋体" w:cs="宋体" w:eastAsia="宋体" w:hint="default"/>
                <w:sz w:val="21"/>
                <w:szCs w:val="21"/>
              </w:rPr>
              <w:t>营业收入总额</w:t>
            </w:r>
          </w:p>
        </w:tc>
        <w:tc>
          <w:tcPr>
            <w:tcW w:w="3024" w:type="dxa"/>
            <w:tcBorders>
              <w:top w:val="single" w:sz="6" w:space="0" w:color="000000"/>
              <w:left w:val="single" w:sz="6" w:space="0" w:color="000000"/>
              <w:bottom w:val="single" w:sz="12" w:space="0" w:color="000000"/>
              <w:right w:val="nil" w:sz="6" w:space="0" w:color="auto"/>
            </w:tcBorders>
          </w:tcPr>
          <w:p>
            <w:pPr>
              <w:pStyle w:val="TableParagraph"/>
              <w:spacing w:line="266" w:lineRule="exact"/>
              <w:ind w:left="8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占公司全部营业收入的比例</w:t>
            </w:r>
            <w:r>
              <w:rPr>
                <w:rFonts w:ascii="Times New Roman" w:hAnsi="Times New Roman" w:cs="Times New Roman" w:eastAsia="Times New Roman" w:hint="default"/>
                <w:sz w:val="21"/>
                <w:szCs w:val="21"/>
              </w:rPr>
              <w:t>(%)</w:t>
            </w:r>
          </w:p>
        </w:tc>
      </w:tr>
      <w:tr>
        <w:trPr>
          <w:trHeight w:val="314" w:hRule="exact"/>
        </w:trPr>
        <w:tc>
          <w:tcPr>
            <w:tcW w:w="3137"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95" w:right="0"/>
              <w:jc w:val="left"/>
              <w:rPr>
                <w:rFonts w:ascii="宋体" w:hAnsi="宋体" w:cs="宋体" w:eastAsia="宋体" w:hint="default"/>
                <w:sz w:val="21"/>
                <w:szCs w:val="21"/>
              </w:rPr>
            </w:pPr>
            <w:r>
              <w:rPr>
                <w:rFonts w:ascii="宋体" w:hAnsi="宋体" w:cs="宋体" w:eastAsia="宋体" w:hint="default"/>
                <w:sz w:val="21"/>
                <w:szCs w:val="21"/>
              </w:rPr>
              <w:t>广东教育书店有限公司</w:t>
            </w:r>
          </w:p>
        </w:tc>
        <w:tc>
          <w:tcPr>
            <w:tcW w:w="3065"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0"/>
              <w:jc w:val="right"/>
              <w:rPr>
                <w:rFonts w:ascii="Times New Roman" w:hAnsi="Times New Roman" w:cs="Times New Roman" w:eastAsia="Times New Roman" w:hint="default"/>
                <w:sz w:val="21"/>
                <w:szCs w:val="21"/>
              </w:rPr>
            </w:pPr>
            <w:r>
              <w:rPr>
                <w:rFonts w:ascii="Times New Roman"/>
                <w:spacing w:val="-1"/>
                <w:sz w:val="21"/>
              </w:rPr>
              <w:t>11,533,360.42</w:t>
            </w:r>
          </w:p>
        </w:tc>
        <w:tc>
          <w:tcPr>
            <w:tcW w:w="3024"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5"/>
              <w:jc w:val="right"/>
              <w:rPr>
                <w:rFonts w:ascii="Times New Roman" w:hAnsi="Times New Roman" w:cs="Times New Roman" w:eastAsia="Times New Roman" w:hint="default"/>
                <w:sz w:val="21"/>
                <w:szCs w:val="21"/>
              </w:rPr>
            </w:pPr>
            <w:r>
              <w:rPr>
                <w:rFonts w:ascii="Times New Roman"/>
                <w:sz w:val="21"/>
              </w:rPr>
              <w:t>14.44</w:t>
            </w:r>
          </w:p>
        </w:tc>
      </w:tr>
      <w:tr>
        <w:trPr>
          <w:trHeight w:val="312" w:hRule="exact"/>
        </w:trPr>
        <w:tc>
          <w:tcPr>
            <w:tcW w:w="3137"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95" w:right="0"/>
              <w:jc w:val="left"/>
              <w:rPr>
                <w:rFonts w:ascii="宋体" w:hAnsi="宋体" w:cs="宋体" w:eastAsia="宋体" w:hint="default"/>
                <w:sz w:val="21"/>
                <w:szCs w:val="21"/>
              </w:rPr>
            </w:pPr>
            <w:r>
              <w:rPr>
                <w:rFonts w:ascii="宋体" w:hAnsi="宋体" w:cs="宋体" w:eastAsia="宋体" w:hint="default"/>
                <w:sz w:val="21"/>
                <w:szCs w:val="21"/>
              </w:rPr>
              <w:t>广东教育出版社有限公司</w:t>
            </w:r>
          </w:p>
        </w:tc>
        <w:tc>
          <w:tcPr>
            <w:tcW w:w="3065"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Times New Roman" w:hAnsi="Times New Roman" w:cs="Times New Roman" w:eastAsia="Times New Roman" w:hint="default"/>
                <w:sz w:val="21"/>
                <w:szCs w:val="21"/>
              </w:rPr>
            </w:pPr>
            <w:r>
              <w:rPr>
                <w:rFonts w:ascii="Times New Roman"/>
                <w:spacing w:val="-1"/>
                <w:sz w:val="21"/>
              </w:rPr>
              <w:t>6,492,775.21</w:t>
            </w:r>
          </w:p>
        </w:tc>
        <w:tc>
          <w:tcPr>
            <w:tcW w:w="3024"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5"/>
              <w:jc w:val="right"/>
              <w:rPr>
                <w:rFonts w:ascii="Times New Roman" w:hAnsi="Times New Roman" w:cs="Times New Roman" w:eastAsia="Times New Roman" w:hint="default"/>
                <w:sz w:val="21"/>
                <w:szCs w:val="21"/>
              </w:rPr>
            </w:pPr>
            <w:r>
              <w:rPr>
                <w:rFonts w:ascii="Times New Roman"/>
                <w:sz w:val="21"/>
              </w:rPr>
              <w:t>8.13</w:t>
            </w:r>
          </w:p>
        </w:tc>
      </w:tr>
      <w:tr>
        <w:trPr>
          <w:trHeight w:val="314" w:hRule="exact"/>
        </w:trPr>
        <w:tc>
          <w:tcPr>
            <w:tcW w:w="3137"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95" w:right="-8"/>
              <w:jc w:val="left"/>
              <w:rPr>
                <w:rFonts w:ascii="宋体" w:hAnsi="宋体" w:cs="宋体" w:eastAsia="宋体" w:hint="default"/>
                <w:sz w:val="21"/>
                <w:szCs w:val="21"/>
              </w:rPr>
            </w:pPr>
            <w:r>
              <w:rPr>
                <w:rFonts w:ascii="宋体" w:hAnsi="宋体" w:cs="宋体" w:eastAsia="宋体" w:hint="default"/>
                <w:spacing w:val="3"/>
                <w:sz w:val="21"/>
                <w:szCs w:val="21"/>
              </w:rPr>
              <w:t>上海世纪出版股份有限公司外语</w:t>
            </w:r>
            <w:r>
              <w:rPr>
                <w:rFonts w:ascii="宋体" w:hAnsi="宋体" w:cs="宋体" w:eastAsia="宋体" w:hint="default"/>
                <w:sz w:val="21"/>
                <w:szCs w:val="21"/>
              </w:rPr>
            </w:r>
          </w:p>
        </w:tc>
        <w:tc>
          <w:tcPr>
            <w:tcW w:w="3065"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0"/>
              <w:jc w:val="right"/>
              <w:rPr>
                <w:rFonts w:ascii="Times New Roman" w:hAnsi="Times New Roman" w:cs="Times New Roman" w:eastAsia="Times New Roman" w:hint="default"/>
                <w:sz w:val="21"/>
                <w:szCs w:val="21"/>
              </w:rPr>
            </w:pPr>
            <w:r>
              <w:rPr>
                <w:rFonts w:ascii="Times New Roman"/>
                <w:spacing w:val="-1"/>
                <w:sz w:val="21"/>
              </w:rPr>
              <w:t>5,838,617.51</w:t>
            </w:r>
          </w:p>
        </w:tc>
        <w:tc>
          <w:tcPr>
            <w:tcW w:w="3024"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5"/>
              <w:jc w:val="right"/>
              <w:rPr>
                <w:rFonts w:ascii="Times New Roman" w:hAnsi="Times New Roman" w:cs="Times New Roman" w:eastAsia="Times New Roman" w:hint="default"/>
                <w:sz w:val="21"/>
                <w:szCs w:val="21"/>
              </w:rPr>
            </w:pPr>
            <w:r>
              <w:rPr>
                <w:rFonts w:ascii="Times New Roman"/>
                <w:sz w:val="21"/>
              </w:rPr>
              <w:t>7.31</w:t>
            </w:r>
          </w:p>
        </w:tc>
      </w:tr>
    </w:tbl>
    <w:p>
      <w:pPr>
        <w:spacing w:after="0" w:line="237" w:lineRule="exact"/>
        <w:jc w:val="right"/>
        <w:rPr>
          <w:rFonts w:ascii="Times New Roman" w:hAnsi="Times New Roman" w:cs="Times New Roman" w:eastAsia="Times New Roman" w:hint="default"/>
          <w:sz w:val="21"/>
          <w:szCs w:val="21"/>
        </w:rPr>
        <w:sectPr>
          <w:pgSz w:w="11910" w:h="16840"/>
          <w:pgMar w:header="880" w:footer="979" w:top="1060" w:bottom="1160" w:left="980" w:right="980"/>
        </w:sectPr>
      </w:pPr>
    </w:p>
    <w:p>
      <w:pPr>
        <w:spacing w:line="240" w:lineRule="auto" w:before="4"/>
        <w:rPr>
          <w:rFonts w:ascii="宋体" w:hAnsi="宋体" w:cs="宋体" w:eastAsia="宋体" w:hint="default"/>
          <w:b/>
          <w:bCs/>
          <w:sz w:val="28"/>
          <w:szCs w:val="28"/>
        </w:rPr>
      </w:pPr>
    </w:p>
    <w:tbl>
      <w:tblPr>
        <w:tblW w:w="0" w:type="auto"/>
        <w:jc w:val="left"/>
        <w:tblInd w:w="145" w:type="dxa"/>
        <w:tblLayout w:type="fixed"/>
        <w:tblCellMar>
          <w:top w:w="0" w:type="dxa"/>
          <w:left w:w="0" w:type="dxa"/>
          <w:bottom w:w="0" w:type="dxa"/>
          <w:right w:w="0" w:type="dxa"/>
        </w:tblCellMar>
        <w:tblLook w:val="01E0"/>
      </w:tblPr>
      <w:tblGrid>
        <w:gridCol w:w="3137"/>
        <w:gridCol w:w="3065"/>
        <w:gridCol w:w="3024"/>
      </w:tblGrid>
      <w:tr>
        <w:trPr>
          <w:trHeight w:val="314" w:hRule="exact"/>
        </w:trPr>
        <w:tc>
          <w:tcPr>
            <w:tcW w:w="3137"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left="4" w:right="0"/>
              <w:jc w:val="left"/>
              <w:rPr>
                <w:rFonts w:ascii="宋体" w:hAnsi="宋体" w:cs="宋体" w:eastAsia="宋体" w:hint="default"/>
                <w:sz w:val="21"/>
                <w:szCs w:val="21"/>
              </w:rPr>
            </w:pPr>
            <w:r>
              <w:rPr>
                <w:rFonts w:ascii="宋体" w:hAnsi="宋体" w:cs="宋体" w:eastAsia="宋体" w:hint="default"/>
                <w:sz w:val="21"/>
                <w:szCs w:val="21"/>
              </w:rPr>
              <w:t>教育图书分公司</w:t>
            </w:r>
          </w:p>
        </w:tc>
        <w:tc>
          <w:tcPr>
            <w:tcW w:w="3065" w:type="dxa"/>
            <w:tcBorders>
              <w:top w:val="single" w:sz="6" w:space="0" w:color="000000"/>
              <w:left w:val="single" w:sz="6" w:space="0" w:color="000000"/>
              <w:bottom w:val="single" w:sz="12" w:space="0" w:color="000000"/>
              <w:right w:val="single" w:sz="6" w:space="0" w:color="000000"/>
            </w:tcBorders>
          </w:tcPr>
          <w:p>
            <w:pPr/>
          </w:p>
        </w:tc>
        <w:tc>
          <w:tcPr>
            <w:tcW w:w="3024" w:type="dxa"/>
            <w:tcBorders>
              <w:top w:val="single" w:sz="6" w:space="0" w:color="000000"/>
              <w:left w:val="single" w:sz="6" w:space="0" w:color="000000"/>
              <w:bottom w:val="single" w:sz="12" w:space="0" w:color="000000"/>
              <w:right w:val="nil" w:sz="6" w:space="0" w:color="auto"/>
            </w:tcBorders>
          </w:tcPr>
          <w:p>
            <w:pPr/>
          </w:p>
        </w:tc>
      </w:tr>
      <w:tr>
        <w:trPr>
          <w:trHeight w:val="586" w:hRule="exact"/>
        </w:trPr>
        <w:tc>
          <w:tcPr>
            <w:tcW w:w="3137"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95" w:right="-8"/>
              <w:jc w:val="left"/>
              <w:rPr>
                <w:rFonts w:ascii="宋体" w:hAnsi="宋体" w:cs="宋体" w:eastAsia="宋体" w:hint="default"/>
                <w:sz w:val="21"/>
                <w:szCs w:val="21"/>
              </w:rPr>
            </w:pPr>
            <w:r>
              <w:rPr>
                <w:rFonts w:ascii="宋体" w:hAnsi="宋体" w:cs="宋体" w:eastAsia="宋体" w:hint="default"/>
                <w:spacing w:val="3"/>
                <w:sz w:val="21"/>
                <w:szCs w:val="21"/>
              </w:rPr>
              <w:t>人民教育电子音像出版社有限公</w:t>
            </w:r>
            <w:r>
              <w:rPr>
                <w:rFonts w:ascii="宋体" w:hAnsi="宋体" w:cs="宋体" w:eastAsia="宋体" w:hint="default"/>
                <w:sz w:val="21"/>
                <w:szCs w:val="21"/>
              </w:rPr>
            </w:r>
          </w:p>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3065"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0"/>
              <w:jc w:val="right"/>
              <w:rPr>
                <w:rFonts w:ascii="Times New Roman" w:hAnsi="Times New Roman" w:cs="Times New Roman" w:eastAsia="Times New Roman" w:hint="default"/>
                <w:sz w:val="21"/>
                <w:szCs w:val="21"/>
              </w:rPr>
            </w:pPr>
            <w:r>
              <w:rPr>
                <w:rFonts w:ascii="Times New Roman"/>
                <w:spacing w:val="-1"/>
                <w:sz w:val="21"/>
              </w:rPr>
              <w:t>3,780,754.64</w:t>
            </w:r>
          </w:p>
        </w:tc>
        <w:tc>
          <w:tcPr>
            <w:tcW w:w="3024"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5"/>
              <w:jc w:val="right"/>
              <w:rPr>
                <w:rFonts w:ascii="Times New Roman" w:hAnsi="Times New Roman" w:cs="Times New Roman" w:eastAsia="Times New Roman" w:hint="default"/>
                <w:sz w:val="21"/>
                <w:szCs w:val="21"/>
              </w:rPr>
            </w:pPr>
            <w:r>
              <w:rPr>
                <w:rFonts w:ascii="Times New Roman"/>
                <w:sz w:val="21"/>
              </w:rPr>
              <w:t>4.73</w:t>
            </w:r>
          </w:p>
        </w:tc>
      </w:tr>
      <w:tr>
        <w:trPr>
          <w:trHeight w:val="314" w:hRule="exact"/>
        </w:trPr>
        <w:tc>
          <w:tcPr>
            <w:tcW w:w="3137"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95" w:right="0"/>
              <w:jc w:val="left"/>
              <w:rPr>
                <w:rFonts w:ascii="宋体" w:hAnsi="宋体" w:cs="宋体" w:eastAsia="宋体" w:hint="default"/>
                <w:sz w:val="21"/>
                <w:szCs w:val="21"/>
              </w:rPr>
            </w:pPr>
            <w:r>
              <w:rPr>
                <w:rFonts w:ascii="宋体" w:hAnsi="宋体" w:cs="宋体" w:eastAsia="宋体" w:hint="default"/>
                <w:sz w:val="21"/>
                <w:szCs w:val="21"/>
              </w:rPr>
              <w:t>语文出版社有限公司</w:t>
            </w:r>
          </w:p>
        </w:tc>
        <w:tc>
          <w:tcPr>
            <w:tcW w:w="3065"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0"/>
              <w:jc w:val="right"/>
              <w:rPr>
                <w:rFonts w:ascii="Times New Roman" w:hAnsi="Times New Roman" w:cs="Times New Roman" w:eastAsia="Times New Roman" w:hint="default"/>
                <w:sz w:val="21"/>
                <w:szCs w:val="21"/>
              </w:rPr>
            </w:pPr>
            <w:r>
              <w:rPr>
                <w:rFonts w:ascii="Times New Roman"/>
                <w:spacing w:val="-1"/>
                <w:sz w:val="21"/>
              </w:rPr>
              <w:t>3,433,775.93</w:t>
            </w:r>
          </w:p>
        </w:tc>
        <w:tc>
          <w:tcPr>
            <w:tcW w:w="3024"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5"/>
              <w:jc w:val="right"/>
              <w:rPr>
                <w:rFonts w:ascii="Times New Roman" w:hAnsi="Times New Roman" w:cs="Times New Roman" w:eastAsia="Times New Roman" w:hint="default"/>
                <w:sz w:val="21"/>
                <w:szCs w:val="21"/>
              </w:rPr>
            </w:pPr>
            <w:r>
              <w:rPr>
                <w:rFonts w:ascii="Times New Roman"/>
                <w:sz w:val="21"/>
              </w:rPr>
              <w:t>4.30</w:t>
            </w:r>
          </w:p>
        </w:tc>
      </w:tr>
      <w:tr>
        <w:trPr>
          <w:trHeight w:val="314" w:hRule="exact"/>
        </w:trPr>
        <w:tc>
          <w:tcPr>
            <w:tcW w:w="3137"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65"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Times New Roman" w:hAnsi="Times New Roman" w:cs="Times New Roman" w:eastAsia="Times New Roman" w:hint="default"/>
                <w:sz w:val="21"/>
                <w:szCs w:val="21"/>
              </w:rPr>
            </w:pPr>
            <w:r>
              <w:rPr>
                <w:rFonts w:ascii="Times New Roman"/>
                <w:spacing w:val="-1"/>
                <w:sz w:val="21"/>
              </w:rPr>
              <w:t>31,079,283.71</w:t>
            </w:r>
          </w:p>
        </w:tc>
        <w:tc>
          <w:tcPr>
            <w:tcW w:w="3024"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5"/>
              <w:jc w:val="right"/>
              <w:rPr>
                <w:rFonts w:ascii="Times New Roman" w:hAnsi="Times New Roman" w:cs="Times New Roman" w:eastAsia="Times New Roman" w:hint="default"/>
                <w:sz w:val="21"/>
                <w:szCs w:val="21"/>
              </w:rPr>
            </w:pPr>
            <w:r>
              <w:rPr>
                <w:rFonts w:ascii="Times New Roman"/>
                <w:sz w:val="21"/>
              </w:rPr>
              <w:t>38.91</w:t>
            </w:r>
          </w:p>
        </w:tc>
      </w:tr>
    </w:tbl>
    <w:p>
      <w:pPr>
        <w:spacing w:line="240" w:lineRule="auto" w:before="3"/>
        <w:rPr>
          <w:rFonts w:ascii="宋体" w:hAnsi="宋体" w:cs="宋体" w:eastAsia="宋体" w:hint="default"/>
          <w:b/>
          <w:bCs/>
          <w:sz w:val="8"/>
          <w:szCs w:val="8"/>
        </w:rPr>
      </w:pPr>
    </w:p>
    <w:p>
      <w:pPr>
        <w:pStyle w:val="Heading5"/>
        <w:spacing w:line="240" w:lineRule="auto" w:before="36"/>
        <w:ind w:left="580" w:right="0"/>
        <w:jc w:val="left"/>
        <w:rPr>
          <w:b w:val="0"/>
          <w:bCs w:val="0"/>
        </w:rPr>
      </w:pPr>
      <w:r>
        <w:rPr>
          <w:rFonts w:ascii="Times New Roman" w:hAnsi="Times New Roman" w:cs="Times New Roman" w:eastAsia="Times New Roman" w:hint="default"/>
        </w:rPr>
        <w:t>3</w:t>
      </w:r>
      <w:r>
        <w:rPr/>
        <w:t>、主营业务（分产品）</w:t>
      </w:r>
      <w:r>
        <w:rPr>
          <w:b w:val="0"/>
          <w:bCs w:val="0"/>
        </w:rPr>
      </w:r>
    </w:p>
    <w:p>
      <w:pPr>
        <w:spacing w:line="240" w:lineRule="auto" w:before="8"/>
        <w:rPr>
          <w:rFonts w:ascii="宋体" w:hAnsi="宋体" w:cs="宋体" w:eastAsia="宋体" w:hint="default"/>
          <w:b/>
          <w:bCs/>
          <w:sz w:val="2"/>
          <w:szCs w:val="2"/>
        </w:rPr>
      </w:pPr>
    </w:p>
    <w:tbl>
      <w:tblPr>
        <w:tblW w:w="0" w:type="auto"/>
        <w:jc w:val="left"/>
        <w:tblInd w:w="145" w:type="dxa"/>
        <w:tblLayout w:type="fixed"/>
        <w:tblCellMar>
          <w:top w:w="0" w:type="dxa"/>
          <w:left w:w="0" w:type="dxa"/>
          <w:bottom w:w="0" w:type="dxa"/>
          <w:right w:w="0" w:type="dxa"/>
        </w:tblCellMar>
        <w:tblLook w:val="01E0"/>
      </w:tblPr>
      <w:tblGrid>
        <w:gridCol w:w="2059"/>
        <w:gridCol w:w="1685"/>
        <w:gridCol w:w="1690"/>
        <w:gridCol w:w="1846"/>
        <w:gridCol w:w="1946"/>
      </w:tblGrid>
      <w:tr>
        <w:trPr>
          <w:trHeight w:val="353" w:hRule="exact"/>
        </w:trPr>
        <w:tc>
          <w:tcPr>
            <w:tcW w:w="2059" w:type="dxa"/>
            <w:vMerge w:val="restart"/>
            <w:tcBorders>
              <w:top w:val="single" w:sz="6" w:space="0" w:color="000000"/>
              <w:left w:val="single" w:sz="6" w:space="0" w:color="000000"/>
              <w:right w:val="single" w:sz="6" w:space="0" w:color="000000"/>
            </w:tcBorders>
          </w:tcPr>
          <w:p>
            <w:pPr>
              <w:pStyle w:val="TableParagraph"/>
              <w:spacing w:line="250" w:lineRule="exact"/>
              <w:ind w:left="602"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3374" w:type="dxa"/>
            <w:gridSpan w:val="2"/>
            <w:tcBorders>
              <w:top w:val="single" w:sz="6" w:space="0" w:color="000000"/>
              <w:left w:val="single" w:sz="6" w:space="0" w:color="000000"/>
              <w:bottom w:val="single" w:sz="12" w:space="0" w:color="000000"/>
              <w:right w:val="single" w:sz="6" w:space="0" w:color="000000"/>
            </w:tcBorders>
          </w:tcPr>
          <w:p>
            <w:pPr>
              <w:pStyle w:val="TableParagraph"/>
              <w:spacing w:line="250"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92" w:type="dxa"/>
            <w:gridSpan w:val="2"/>
            <w:tcBorders>
              <w:top w:val="single" w:sz="6" w:space="0" w:color="000000"/>
              <w:left w:val="single" w:sz="6" w:space="0" w:color="000000"/>
              <w:bottom w:val="single" w:sz="12" w:space="0" w:color="000000"/>
              <w:right w:val="nil" w:sz="6" w:space="0" w:color="auto"/>
            </w:tcBorders>
          </w:tcPr>
          <w:p>
            <w:pPr>
              <w:pStyle w:val="TableParagraph"/>
              <w:spacing w:line="250" w:lineRule="exact"/>
              <w:ind w:right="2"/>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53" w:hRule="exact"/>
        </w:trPr>
        <w:tc>
          <w:tcPr>
            <w:tcW w:w="2059" w:type="dxa"/>
            <w:vMerge/>
            <w:tcBorders>
              <w:left w:val="single" w:sz="6" w:space="0" w:color="000000"/>
              <w:bottom w:val="single" w:sz="12" w:space="0" w:color="000000"/>
              <w:right w:val="single" w:sz="6" w:space="0" w:color="000000"/>
            </w:tcBorders>
          </w:tcPr>
          <w:p>
            <w:pPr/>
          </w:p>
        </w:tc>
        <w:tc>
          <w:tcPr>
            <w:tcW w:w="1685"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41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90"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417"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46"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494"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946" w:type="dxa"/>
            <w:tcBorders>
              <w:top w:val="single" w:sz="12" w:space="0" w:color="000000"/>
              <w:left w:val="single" w:sz="6" w:space="0" w:color="000000"/>
              <w:bottom w:val="single" w:sz="12" w:space="0" w:color="000000"/>
              <w:right w:val="nil" w:sz="6" w:space="0" w:color="auto"/>
            </w:tcBorders>
          </w:tcPr>
          <w:p>
            <w:pPr>
              <w:pStyle w:val="TableParagraph"/>
              <w:spacing w:line="243" w:lineRule="exact"/>
              <w:ind w:left="544"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353" w:hRule="exact"/>
        </w:trPr>
        <w:tc>
          <w:tcPr>
            <w:tcW w:w="2059"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4" w:right="0"/>
              <w:jc w:val="left"/>
              <w:rPr>
                <w:rFonts w:ascii="宋体" w:hAnsi="宋体" w:cs="宋体" w:eastAsia="宋体" w:hint="default"/>
                <w:sz w:val="21"/>
                <w:szCs w:val="21"/>
              </w:rPr>
            </w:pPr>
            <w:r>
              <w:rPr>
                <w:rFonts w:ascii="宋体" w:hAnsi="宋体" w:cs="宋体" w:eastAsia="宋体" w:hint="default"/>
                <w:sz w:val="21"/>
                <w:szCs w:val="21"/>
              </w:rPr>
              <w:t>方直金太阳教育软件</w:t>
            </w:r>
          </w:p>
        </w:tc>
        <w:tc>
          <w:tcPr>
            <w:tcW w:w="1685"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65,702,185.76</w:t>
            </w:r>
          </w:p>
        </w:tc>
        <w:tc>
          <w:tcPr>
            <w:tcW w:w="1690"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0"/>
              <w:jc w:val="right"/>
              <w:rPr>
                <w:rFonts w:ascii="Times New Roman" w:hAnsi="Times New Roman" w:cs="Times New Roman" w:eastAsia="Times New Roman" w:hint="default"/>
                <w:sz w:val="21"/>
                <w:szCs w:val="21"/>
              </w:rPr>
            </w:pPr>
            <w:r>
              <w:rPr>
                <w:rFonts w:ascii="Times New Roman"/>
                <w:spacing w:val="-1"/>
                <w:sz w:val="21"/>
              </w:rPr>
              <w:t>16,427,923.75</w:t>
            </w:r>
          </w:p>
        </w:tc>
        <w:tc>
          <w:tcPr>
            <w:tcW w:w="1846"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2"/>
              <w:jc w:val="right"/>
              <w:rPr>
                <w:rFonts w:ascii="Times New Roman" w:hAnsi="Times New Roman" w:cs="Times New Roman" w:eastAsia="Times New Roman" w:hint="default"/>
                <w:sz w:val="21"/>
                <w:szCs w:val="21"/>
              </w:rPr>
            </w:pPr>
            <w:r>
              <w:rPr>
                <w:rFonts w:ascii="Times New Roman"/>
                <w:spacing w:val="-1"/>
                <w:sz w:val="21"/>
              </w:rPr>
              <w:t>59,891,155.07</w:t>
            </w:r>
          </w:p>
        </w:tc>
        <w:tc>
          <w:tcPr>
            <w:tcW w:w="1946"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7"/>
              <w:jc w:val="right"/>
              <w:rPr>
                <w:rFonts w:ascii="Times New Roman" w:hAnsi="Times New Roman" w:cs="Times New Roman" w:eastAsia="Times New Roman" w:hint="default"/>
                <w:sz w:val="21"/>
                <w:szCs w:val="21"/>
              </w:rPr>
            </w:pPr>
            <w:r>
              <w:rPr>
                <w:rFonts w:ascii="Times New Roman"/>
                <w:spacing w:val="-1"/>
                <w:sz w:val="21"/>
              </w:rPr>
              <w:t>14,851,204.24</w:t>
            </w:r>
          </w:p>
        </w:tc>
      </w:tr>
      <w:tr>
        <w:trPr>
          <w:trHeight w:val="350" w:hRule="exact"/>
        </w:trPr>
        <w:tc>
          <w:tcPr>
            <w:tcW w:w="2059"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4" w:right="0"/>
              <w:jc w:val="left"/>
              <w:rPr>
                <w:rFonts w:ascii="宋体" w:hAnsi="宋体" w:cs="宋体" w:eastAsia="宋体" w:hint="default"/>
                <w:sz w:val="21"/>
                <w:szCs w:val="21"/>
              </w:rPr>
            </w:pPr>
            <w:r>
              <w:rPr>
                <w:rFonts w:ascii="宋体" w:hAnsi="宋体" w:cs="宋体" w:eastAsia="宋体" w:hint="default"/>
                <w:sz w:val="21"/>
                <w:szCs w:val="21"/>
              </w:rPr>
              <w:t>其他产品</w:t>
            </w:r>
          </w:p>
        </w:tc>
        <w:tc>
          <w:tcPr>
            <w:tcW w:w="1685"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3"/>
              <w:jc w:val="right"/>
              <w:rPr>
                <w:rFonts w:ascii="Times New Roman" w:hAnsi="Times New Roman" w:cs="Times New Roman" w:eastAsia="Times New Roman" w:hint="default"/>
                <w:sz w:val="21"/>
                <w:szCs w:val="21"/>
              </w:rPr>
            </w:pPr>
            <w:r>
              <w:rPr>
                <w:rFonts w:ascii="Times New Roman"/>
                <w:spacing w:val="-1"/>
                <w:sz w:val="21"/>
              </w:rPr>
              <w:t>3,925,215.24</w:t>
            </w:r>
          </w:p>
        </w:tc>
        <w:tc>
          <w:tcPr>
            <w:tcW w:w="1690"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2,881,144.96</w:t>
            </w:r>
          </w:p>
        </w:tc>
        <w:tc>
          <w:tcPr>
            <w:tcW w:w="1846"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2"/>
              <w:jc w:val="right"/>
              <w:rPr>
                <w:rFonts w:ascii="Times New Roman" w:hAnsi="Times New Roman" w:cs="Times New Roman" w:eastAsia="Times New Roman" w:hint="default"/>
                <w:sz w:val="21"/>
                <w:szCs w:val="21"/>
              </w:rPr>
            </w:pPr>
            <w:r>
              <w:rPr>
                <w:rFonts w:ascii="Times New Roman"/>
                <w:spacing w:val="-1"/>
                <w:sz w:val="21"/>
              </w:rPr>
              <w:t>2,150,764.40</w:t>
            </w:r>
          </w:p>
        </w:tc>
        <w:tc>
          <w:tcPr>
            <w:tcW w:w="1946"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7"/>
              <w:jc w:val="right"/>
              <w:rPr>
                <w:rFonts w:ascii="Times New Roman" w:hAnsi="Times New Roman" w:cs="Times New Roman" w:eastAsia="Times New Roman" w:hint="default"/>
                <w:sz w:val="21"/>
                <w:szCs w:val="21"/>
              </w:rPr>
            </w:pPr>
            <w:r>
              <w:rPr>
                <w:rFonts w:ascii="Times New Roman"/>
                <w:spacing w:val="-1"/>
                <w:sz w:val="21"/>
              </w:rPr>
              <w:t>1,782,882.08</w:t>
            </w:r>
          </w:p>
        </w:tc>
      </w:tr>
      <w:tr>
        <w:trPr>
          <w:trHeight w:val="353" w:hRule="exact"/>
        </w:trPr>
        <w:tc>
          <w:tcPr>
            <w:tcW w:w="2059"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4" w:right="0"/>
              <w:jc w:val="left"/>
              <w:rPr>
                <w:rFonts w:ascii="宋体" w:hAnsi="宋体" w:cs="宋体" w:eastAsia="宋体" w:hint="default"/>
                <w:sz w:val="21"/>
                <w:szCs w:val="21"/>
              </w:rPr>
            </w:pPr>
            <w:r>
              <w:rPr>
                <w:rFonts w:ascii="宋体" w:hAnsi="宋体" w:cs="宋体" w:eastAsia="宋体" w:hint="default"/>
                <w:sz w:val="21"/>
                <w:szCs w:val="21"/>
              </w:rPr>
              <w:t>技术开发服务</w:t>
            </w:r>
          </w:p>
        </w:tc>
        <w:tc>
          <w:tcPr>
            <w:tcW w:w="1685"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10,232,318.78</w:t>
            </w:r>
          </w:p>
        </w:tc>
        <w:tc>
          <w:tcPr>
            <w:tcW w:w="1690"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1846"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2"/>
              <w:jc w:val="right"/>
              <w:rPr>
                <w:rFonts w:ascii="Times New Roman" w:hAnsi="Times New Roman" w:cs="Times New Roman" w:eastAsia="Times New Roman" w:hint="default"/>
                <w:sz w:val="21"/>
                <w:szCs w:val="21"/>
              </w:rPr>
            </w:pPr>
            <w:r>
              <w:rPr>
                <w:rFonts w:ascii="Times New Roman"/>
                <w:spacing w:val="-1"/>
                <w:sz w:val="21"/>
              </w:rPr>
              <w:t>6,110,797.78</w:t>
            </w:r>
          </w:p>
        </w:tc>
        <w:tc>
          <w:tcPr>
            <w:tcW w:w="1946"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9"/>
              <w:jc w:val="right"/>
              <w:rPr>
                <w:rFonts w:ascii="Times New Roman" w:hAnsi="Times New Roman" w:cs="Times New Roman" w:eastAsia="Times New Roman" w:hint="default"/>
                <w:sz w:val="21"/>
                <w:szCs w:val="21"/>
              </w:rPr>
            </w:pPr>
            <w:r>
              <w:rPr>
                <w:rFonts w:ascii="Times New Roman"/>
                <w:spacing w:val="-1"/>
                <w:sz w:val="21"/>
              </w:rPr>
              <w:t>---</w:t>
            </w:r>
          </w:p>
        </w:tc>
      </w:tr>
      <w:tr>
        <w:trPr>
          <w:trHeight w:val="353" w:hRule="exact"/>
        </w:trPr>
        <w:tc>
          <w:tcPr>
            <w:tcW w:w="2059"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5"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3"/>
              <w:jc w:val="right"/>
              <w:rPr>
                <w:rFonts w:ascii="Times New Roman" w:hAnsi="Times New Roman" w:cs="Times New Roman" w:eastAsia="Times New Roman" w:hint="default"/>
                <w:sz w:val="21"/>
                <w:szCs w:val="21"/>
              </w:rPr>
            </w:pPr>
            <w:r>
              <w:rPr>
                <w:rFonts w:ascii="Times New Roman"/>
                <w:spacing w:val="-1"/>
                <w:sz w:val="21"/>
              </w:rPr>
              <w:t>79,859,719.78</w:t>
            </w:r>
          </w:p>
        </w:tc>
        <w:tc>
          <w:tcPr>
            <w:tcW w:w="1690"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19,309,068.71</w:t>
            </w:r>
          </w:p>
        </w:tc>
        <w:tc>
          <w:tcPr>
            <w:tcW w:w="1846"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0"/>
              <w:jc w:val="right"/>
              <w:rPr>
                <w:rFonts w:ascii="Times New Roman" w:hAnsi="Times New Roman" w:cs="Times New Roman" w:eastAsia="Times New Roman" w:hint="default"/>
                <w:sz w:val="21"/>
                <w:szCs w:val="21"/>
              </w:rPr>
            </w:pPr>
            <w:r>
              <w:rPr>
                <w:rFonts w:ascii="Times New Roman"/>
                <w:spacing w:val="-1"/>
                <w:sz w:val="21"/>
              </w:rPr>
              <w:t>68,152,717.25</w:t>
            </w:r>
          </w:p>
        </w:tc>
        <w:tc>
          <w:tcPr>
            <w:tcW w:w="1946"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5"/>
              <w:jc w:val="right"/>
              <w:rPr>
                <w:rFonts w:ascii="Times New Roman" w:hAnsi="Times New Roman" w:cs="Times New Roman" w:eastAsia="Times New Roman" w:hint="default"/>
                <w:sz w:val="21"/>
                <w:szCs w:val="21"/>
              </w:rPr>
            </w:pPr>
            <w:r>
              <w:rPr>
                <w:rFonts w:ascii="Times New Roman"/>
                <w:spacing w:val="-1"/>
                <w:sz w:val="21"/>
              </w:rPr>
              <w:t>16,634,086.32</w:t>
            </w:r>
          </w:p>
        </w:tc>
      </w:tr>
    </w:tbl>
    <w:p>
      <w:pPr>
        <w:spacing w:line="240" w:lineRule="auto" w:before="3"/>
        <w:rPr>
          <w:rFonts w:ascii="宋体" w:hAnsi="宋体" w:cs="宋体" w:eastAsia="宋体" w:hint="default"/>
          <w:b/>
          <w:bCs/>
          <w:sz w:val="8"/>
          <w:szCs w:val="8"/>
        </w:rPr>
      </w:pPr>
    </w:p>
    <w:p>
      <w:pPr>
        <w:pStyle w:val="Heading5"/>
        <w:spacing w:line="240" w:lineRule="auto" w:before="36"/>
        <w:ind w:left="668" w:right="0"/>
        <w:jc w:val="left"/>
        <w:rPr>
          <w:b w:val="0"/>
          <w:bCs w:val="0"/>
        </w:rPr>
      </w:pPr>
      <w:r>
        <w:rPr>
          <w:rFonts w:ascii="Times New Roman" w:hAnsi="Times New Roman" w:cs="Times New Roman" w:eastAsia="Times New Roman" w:hint="default"/>
        </w:rPr>
        <w:t>4</w:t>
      </w:r>
      <w:r>
        <w:rPr/>
        <w:t>、主营业务（分地区）</w:t>
      </w:r>
      <w:r>
        <w:rPr>
          <w:b w:val="0"/>
          <w:bCs w:val="0"/>
        </w:rPr>
      </w:r>
    </w:p>
    <w:p>
      <w:pPr>
        <w:spacing w:line="240" w:lineRule="auto" w:before="8"/>
        <w:rPr>
          <w:rFonts w:ascii="宋体" w:hAnsi="宋体" w:cs="宋体" w:eastAsia="宋体" w:hint="default"/>
          <w:b/>
          <w:bCs/>
          <w:sz w:val="2"/>
          <w:szCs w:val="2"/>
        </w:rPr>
      </w:pPr>
    </w:p>
    <w:tbl>
      <w:tblPr>
        <w:tblW w:w="0" w:type="auto"/>
        <w:jc w:val="left"/>
        <w:tblInd w:w="145" w:type="dxa"/>
        <w:tblLayout w:type="fixed"/>
        <w:tblCellMar>
          <w:top w:w="0" w:type="dxa"/>
          <w:left w:w="0" w:type="dxa"/>
          <w:bottom w:w="0" w:type="dxa"/>
          <w:right w:w="0" w:type="dxa"/>
        </w:tblCellMar>
        <w:tblLook w:val="01E0"/>
      </w:tblPr>
      <w:tblGrid>
        <w:gridCol w:w="2059"/>
        <w:gridCol w:w="1685"/>
        <w:gridCol w:w="1690"/>
        <w:gridCol w:w="1846"/>
        <w:gridCol w:w="1946"/>
      </w:tblGrid>
      <w:tr>
        <w:trPr>
          <w:trHeight w:val="355" w:hRule="exact"/>
        </w:trPr>
        <w:tc>
          <w:tcPr>
            <w:tcW w:w="2059" w:type="dxa"/>
            <w:vMerge w:val="restart"/>
            <w:tcBorders>
              <w:top w:val="single" w:sz="6" w:space="0" w:color="000000"/>
              <w:left w:val="single" w:sz="6" w:space="0" w:color="000000"/>
              <w:right w:val="single" w:sz="6" w:space="0" w:color="000000"/>
            </w:tcBorders>
          </w:tcPr>
          <w:p>
            <w:pPr>
              <w:pStyle w:val="TableParagraph"/>
              <w:spacing w:line="253" w:lineRule="exact"/>
              <w:ind w:left="602"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3374" w:type="dxa"/>
            <w:gridSpan w:val="2"/>
            <w:tcBorders>
              <w:top w:val="single" w:sz="6" w:space="0" w:color="000000"/>
              <w:left w:val="single" w:sz="6" w:space="0" w:color="000000"/>
              <w:bottom w:val="single" w:sz="12" w:space="0" w:color="000000"/>
              <w:right w:val="single" w:sz="6" w:space="0" w:color="000000"/>
            </w:tcBorders>
          </w:tcPr>
          <w:p>
            <w:pPr>
              <w:pStyle w:val="TableParagraph"/>
              <w:spacing w:line="253"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92" w:type="dxa"/>
            <w:gridSpan w:val="2"/>
            <w:tcBorders>
              <w:top w:val="single" w:sz="6" w:space="0" w:color="000000"/>
              <w:left w:val="single" w:sz="6" w:space="0" w:color="000000"/>
              <w:bottom w:val="single" w:sz="12" w:space="0" w:color="000000"/>
              <w:right w:val="nil" w:sz="6" w:space="0" w:color="auto"/>
            </w:tcBorders>
          </w:tcPr>
          <w:p>
            <w:pPr>
              <w:pStyle w:val="TableParagraph"/>
              <w:spacing w:line="253" w:lineRule="exact"/>
              <w:ind w:right="2"/>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53" w:hRule="exact"/>
        </w:trPr>
        <w:tc>
          <w:tcPr>
            <w:tcW w:w="2059" w:type="dxa"/>
            <w:vMerge/>
            <w:tcBorders>
              <w:left w:val="single" w:sz="6" w:space="0" w:color="000000"/>
              <w:bottom w:val="single" w:sz="12" w:space="0" w:color="000000"/>
              <w:right w:val="single" w:sz="6" w:space="0" w:color="000000"/>
            </w:tcBorders>
          </w:tcPr>
          <w:p>
            <w:pPr/>
          </w:p>
        </w:tc>
        <w:tc>
          <w:tcPr>
            <w:tcW w:w="1685"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41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90"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46"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494"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946" w:type="dxa"/>
            <w:tcBorders>
              <w:top w:val="single" w:sz="12" w:space="0" w:color="000000"/>
              <w:left w:val="single" w:sz="6" w:space="0" w:color="000000"/>
              <w:bottom w:val="single" w:sz="12" w:space="0" w:color="000000"/>
              <w:right w:val="nil" w:sz="6" w:space="0" w:color="auto"/>
            </w:tcBorders>
          </w:tcPr>
          <w:p>
            <w:pPr>
              <w:pStyle w:val="TableParagraph"/>
              <w:spacing w:line="241" w:lineRule="exact"/>
              <w:ind w:left="547"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350" w:hRule="exact"/>
        </w:trPr>
        <w:tc>
          <w:tcPr>
            <w:tcW w:w="2059"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4" w:right="0"/>
              <w:jc w:val="left"/>
              <w:rPr>
                <w:rFonts w:ascii="宋体" w:hAnsi="宋体" w:cs="宋体" w:eastAsia="宋体" w:hint="default"/>
                <w:sz w:val="21"/>
                <w:szCs w:val="21"/>
              </w:rPr>
            </w:pPr>
            <w:r>
              <w:rPr>
                <w:rFonts w:ascii="宋体" w:hAnsi="宋体" w:cs="宋体" w:eastAsia="宋体" w:hint="default"/>
                <w:sz w:val="21"/>
                <w:szCs w:val="21"/>
              </w:rPr>
              <w:t>华北区</w:t>
            </w:r>
          </w:p>
        </w:tc>
        <w:tc>
          <w:tcPr>
            <w:tcW w:w="1685"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12,863,550.67</w:t>
            </w:r>
          </w:p>
        </w:tc>
        <w:tc>
          <w:tcPr>
            <w:tcW w:w="1690"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Times New Roman" w:hAnsi="Times New Roman" w:cs="Times New Roman" w:eastAsia="Times New Roman" w:hint="default"/>
                <w:sz w:val="21"/>
                <w:szCs w:val="21"/>
              </w:rPr>
            </w:pPr>
            <w:r>
              <w:rPr>
                <w:rFonts w:ascii="Times New Roman"/>
                <w:spacing w:val="-1"/>
                <w:sz w:val="21"/>
              </w:rPr>
              <w:t>1,484,873.26</w:t>
            </w:r>
          </w:p>
        </w:tc>
        <w:tc>
          <w:tcPr>
            <w:tcW w:w="1846"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Times New Roman" w:hAnsi="Times New Roman" w:cs="Times New Roman" w:eastAsia="Times New Roman" w:hint="default"/>
                <w:sz w:val="21"/>
                <w:szCs w:val="21"/>
              </w:rPr>
            </w:pPr>
            <w:r>
              <w:rPr>
                <w:rFonts w:ascii="Times New Roman"/>
                <w:spacing w:val="-1"/>
                <w:sz w:val="21"/>
              </w:rPr>
              <w:t>11,369,909.58</w:t>
            </w:r>
          </w:p>
        </w:tc>
        <w:tc>
          <w:tcPr>
            <w:tcW w:w="1946"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5"/>
              <w:jc w:val="right"/>
              <w:rPr>
                <w:rFonts w:ascii="Times New Roman" w:hAnsi="Times New Roman" w:cs="Times New Roman" w:eastAsia="Times New Roman" w:hint="default"/>
                <w:sz w:val="21"/>
                <w:szCs w:val="21"/>
              </w:rPr>
            </w:pPr>
            <w:r>
              <w:rPr>
                <w:rFonts w:ascii="Times New Roman"/>
                <w:spacing w:val="-1"/>
                <w:sz w:val="21"/>
              </w:rPr>
              <w:t>1,390,484.45</w:t>
            </w:r>
          </w:p>
        </w:tc>
      </w:tr>
      <w:tr>
        <w:trPr>
          <w:trHeight w:val="353" w:hRule="exact"/>
        </w:trPr>
        <w:tc>
          <w:tcPr>
            <w:tcW w:w="2059"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4" w:right="0"/>
              <w:jc w:val="left"/>
              <w:rPr>
                <w:rFonts w:ascii="宋体" w:hAnsi="宋体" w:cs="宋体" w:eastAsia="宋体" w:hint="default"/>
                <w:sz w:val="21"/>
                <w:szCs w:val="21"/>
              </w:rPr>
            </w:pPr>
            <w:r>
              <w:rPr>
                <w:rFonts w:ascii="宋体" w:hAnsi="宋体" w:cs="宋体" w:eastAsia="宋体" w:hint="default"/>
                <w:sz w:val="21"/>
                <w:szCs w:val="21"/>
              </w:rPr>
              <w:t>华东区</w:t>
            </w:r>
          </w:p>
        </w:tc>
        <w:tc>
          <w:tcPr>
            <w:tcW w:w="1685"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16,442,456.29</w:t>
            </w:r>
          </w:p>
        </w:tc>
        <w:tc>
          <w:tcPr>
            <w:tcW w:w="1690"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0"/>
              <w:jc w:val="right"/>
              <w:rPr>
                <w:rFonts w:ascii="Times New Roman" w:hAnsi="Times New Roman" w:cs="Times New Roman" w:eastAsia="Times New Roman" w:hint="default"/>
                <w:sz w:val="21"/>
                <w:szCs w:val="21"/>
              </w:rPr>
            </w:pPr>
            <w:r>
              <w:rPr>
                <w:rFonts w:ascii="Times New Roman"/>
                <w:spacing w:val="-1"/>
                <w:sz w:val="21"/>
              </w:rPr>
              <w:t>4,366,381.39</w:t>
            </w:r>
          </w:p>
        </w:tc>
        <w:tc>
          <w:tcPr>
            <w:tcW w:w="1846"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0"/>
              <w:jc w:val="right"/>
              <w:rPr>
                <w:rFonts w:ascii="Times New Roman" w:hAnsi="Times New Roman" w:cs="Times New Roman" w:eastAsia="Times New Roman" w:hint="default"/>
                <w:sz w:val="21"/>
                <w:szCs w:val="21"/>
              </w:rPr>
            </w:pPr>
            <w:r>
              <w:rPr>
                <w:rFonts w:ascii="Times New Roman"/>
                <w:spacing w:val="-1"/>
                <w:sz w:val="21"/>
              </w:rPr>
              <w:t>16,727,007.72</w:t>
            </w:r>
          </w:p>
        </w:tc>
        <w:tc>
          <w:tcPr>
            <w:tcW w:w="1946"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5"/>
              <w:jc w:val="right"/>
              <w:rPr>
                <w:rFonts w:ascii="Times New Roman" w:hAnsi="Times New Roman" w:cs="Times New Roman" w:eastAsia="Times New Roman" w:hint="default"/>
                <w:sz w:val="21"/>
                <w:szCs w:val="21"/>
              </w:rPr>
            </w:pPr>
            <w:r>
              <w:rPr>
                <w:rFonts w:ascii="Times New Roman"/>
                <w:spacing w:val="-1"/>
                <w:sz w:val="21"/>
              </w:rPr>
              <w:t>3,947,139.07</w:t>
            </w:r>
          </w:p>
        </w:tc>
      </w:tr>
      <w:tr>
        <w:trPr>
          <w:trHeight w:val="353" w:hRule="exact"/>
        </w:trPr>
        <w:tc>
          <w:tcPr>
            <w:tcW w:w="2059"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4" w:right="0"/>
              <w:jc w:val="left"/>
              <w:rPr>
                <w:rFonts w:ascii="宋体" w:hAnsi="宋体" w:cs="宋体" w:eastAsia="宋体" w:hint="default"/>
                <w:sz w:val="21"/>
                <w:szCs w:val="21"/>
              </w:rPr>
            </w:pPr>
            <w:r>
              <w:rPr>
                <w:rFonts w:ascii="宋体" w:hAnsi="宋体" w:cs="宋体" w:eastAsia="宋体" w:hint="default"/>
                <w:sz w:val="21"/>
                <w:szCs w:val="21"/>
              </w:rPr>
              <w:t>华南区</w:t>
            </w:r>
          </w:p>
        </w:tc>
        <w:tc>
          <w:tcPr>
            <w:tcW w:w="1685"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3"/>
              <w:jc w:val="right"/>
              <w:rPr>
                <w:rFonts w:ascii="Times New Roman" w:hAnsi="Times New Roman" w:cs="Times New Roman" w:eastAsia="Times New Roman" w:hint="default"/>
                <w:sz w:val="21"/>
                <w:szCs w:val="21"/>
              </w:rPr>
            </w:pPr>
            <w:r>
              <w:rPr>
                <w:rFonts w:ascii="Times New Roman"/>
                <w:spacing w:val="-1"/>
                <w:sz w:val="21"/>
              </w:rPr>
              <w:t>44,985,325.55</w:t>
            </w:r>
          </w:p>
        </w:tc>
        <w:tc>
          <w:tcPr>
            <w:tcW w:w="1690"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12,608,867.17</w:t>
            </w:r>
          </w:p>
        </w:tc>
        <w:tc>
          <w:tcPr>
            <w:tcW w:w="1846"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Times New Roman" w:hAnsi="Times New Roman" w:cs="Times New Roman" w:eastAsia="Times New Roman" w:hint="default"/>
                <w:sz w:val="21"/>
                <w:szCs w:val="21"/>
              </w:rPr>
            </w:pPr>
            <w:r>
              <w:rPr>
                <w:rFonts w:ascii="Times New Roman"/>
                <w:spacing w:val="-1"/>
                <w:sz w:val="21"/>
              </w:rPr>
              <w:t>35,995,095.38</w:t>
            </w:r>
          </w:p>
        </w:tc>
        <w:tc>
          <w:tcPr>
            <w:tcW w:w="1946"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5"/>
              <w:jc w:val="right"/>
              <w:rPr>
                <w:rFonts w:ascii="Times New Roman" w:hAnsi="Times New Roman" w:cs="Times New Roman" w:eastAsia="Times New Roman" w:hint="default"/>
                <w:sz w:val="21"/>
                <w:szCs w:val="21"/>
              </w:rPr>
            </w:pPr>
            <w:r>
              <w:rPr>
                <w:rFonts w:ascii="Times New Roman"/>
                <w:spacing w:val="-1"/>
                <w:sz w:val="21"/>
              </w:rPr>
              <w:t>10,564,169.23</w:t>
            </w:r>
          </w:p>
        </w:tc>
      </w:tr>
      <w:tr>
        <w:trPr>
          <w:trHeight w:val="350" w:hRule="exact"/>
        </w:trPr>
        <w:tc>
          <w:tcPr>
            <w:tcW w:w="2059"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4" w:right="0"/>
              <w:jc w:val="left"/>
              <w:rPr>
                <w:rFonts w:ascii="宋体" w:hAnsi="宋体" w:cs="宋体" w:eastAsia="宋体" w:hint="default"/>
                <w:sz w:val="21"/>
                <w:szCs w:val="21"/>
              </w:rPr>
            </w:pPr>
            <w:r>
              <w:rPr>
                <w:rFonts w:ascii="宋体" w:hAnsi="宋体" w:cs="宋体" w:eastAsia="宋体" w:hint="default"/>
                <w:sz w:val="21"/>
                <w:szCs w:val="21"/>
              </w:rPr>
              <w:t>其他地区</w:t>
            </w:r>
          </w:p>
        </w:tc>
        <w:tc>
          <w:tcPr>
            <w:tcW w:w="1685"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5,568,387.27</w:t>
            </w:r>
          </w:p>
        </w:tc>
        <w:tc>
          <w:tcPr>
            <w:tcW w:w="1690"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Times New Roman" w:hAnsi="Times New Roman" w:cs="Times New Roman" w:eastAsia="Times New Roman" w:hint="default"/>
                <w:sz w:val="21"/>
                <w:szCs w:val="21"/>
              </w:rPr>
            </w:pPr>
            <w:r>
              <w:rPr>
                <w:rFonts w:ascii="Times New Roman"/>
                <w:spacing w:val="-1"/>
                <w:sz w:val="21"/>
              </w:rPr>
              <w:t>848,946.89</w:t>
            </w:r>
          </w:p>
        </w:tc>
        <w:tc>
          <w:tcPr>
            <w:tcW w:w="1846"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Times New Roman" w:hAnsi="Times New Roman" w:cs="Times New Roman" w:eastAsia="Times New Roman" w:hint="default"/>
                <w:sz w:val="21"/>
                <w:szCs w:val="21"/>
              </w:rPr>
            </w:pPr>
            <w:r>
              <w:rPr>
                <w:rFonts w:ascii="Times New Roman"/>
                <w:spacing w:val="-1"/>
                <w:sz w:val="21"/>
              </w:rPr>
              <w:t>4,060,704.57</w:t>
            </w:r>
          </w:p>
        </w:tc>
        <w:tc>
          <w:tcPr>
            <w:tcW w:w="1946"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5"/>
              <w:jc w:val="right"/>
              <w:rPr>
                <w:rFonts w:ascii="Times New Roman" w:hAnsi="Times New Roman" w:cs="Times New Roman" w:eastAsia="Times New Roman" w:hint="default"/>
                <w:sz w:val="21"/>
                <w:szCs w:val="21"/>
              </w:rPr>
            </w:pPr>
            <w:r>
              <w:rPr>
                <w:rFonts w:ascii="Times New Roman"/>
                <w:spacing w:val="-1"/>
                <w:sz w:val="21"/>
              </w:rPr>
              <w:t>732,293.57</w:t>
            </w:r>
          </w:p>
        </w:tc>
      </w:tr>
      <w:tr>
        <w:trPr>
          <w:trHeight w:val="353" w:hRule="exact"/>
        </w:trPr>
        <w:tc>
          <w:tcPr>
            <w:tcW w:w="2059"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5"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3"/>
              <w:jc w:val="right"/>
              <w:rPr>
                <w:rFonts w:ascii="Times New Roman" w:hAnsi="Times New Roman" w:cs="Times New Roman" w:eastAsia="Times New Roman" w:hint="default"/>
                <w:sz w:val="21"/>
                <w:szCs w:val="21"/>
              </w:rPr>
            </w:pPr>
            <w:r>
              <w:rPr>
                <w:rFonts w:ascii="Times New Roman"/>
                <w:spacing w:val="-1"/>
                <w:sz w:val="21"/>
              </w:rPr>
              <w:t>79,859,719.78</w:t>
            </w:r>
          </w:p>
        </w:tc>
        <w:tc>
          <w:tcPr>
            <w:tcW w:w="1690"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19,309,068.71</w:t>
            </w:r>
          </w:p>
        </w:tc>
        <w:tc>
          <w:tcPr>
            <w:tcW w:w="1846"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0"/>
              <w:jc w:val="right"/>
              <w:rPr>
                <w:rFonts w:ascii="Times New Roman" w:hAnsi="Times New Roman" w:cs="Times New Roman" w:eastAsia="Times New Roman" w:hint="default"/>
                <w:sz w:val="21"/>
                <w:szCs w:val="21"/>
              </w:rPr>
            </w:pPr>
            <w:r>
              <w:rPr>
                <w:rFonts w:ascii="Times New Roman"/>
                <w:spacing w:val="-1"/>
                <w:sz w:val="21"/>
              </w:rPr>
              <w:t>68,152,717.25</w:t>
            </w:r>
          </w:p>
        </w:tc>
        <w:tc>
          <w:tcPr>
            <w:tcW w:w="1946"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5"/>
              <w:jc w:val="right"/>
              <w:rPr>
                <w:rFonts w:ascii="Times New Roman" w:hAnsi="Times New Roman" w:cs="Times New Roman" w:eastAsia="Times New Roman" w:hint="default"/>
                <w:sz w:val="21"/>
                <w:szCs w:val="21"/>
              </w:rPr>
            </w:pPr>
            <w:r>
              <w:rPr>
                <w:rFonts w:ascii="Times New Roman"/>
                <w:spacing w:val="-1"/>
                <w:sz w:val="21"/>
              </w:rPr>
              <w:t>16,634,086.32</w:t>
            </w:r>
          </w:p>
        </w:tc>
      </w:tr>
    </w:tbl>
    <w:p>
      <w:pPr>
        <w:spacing w:line="240" w:lineRule="auto" w:before="2"/>
        <w:rPr>
          <w:rFonts w:ascii="宋体" w:hAnsi="宋体" w:cs="宋体" w:eastAsia="宋体" w:hint="default"/>
          <w:b/>
          <w:bCs/>
          <w:sz w:val="20"/>
          <w:szCs w:val="20"/>
        </w:rPr>
      </w:pPr>
    </w:p>
    <w:p>
      <w:pPr>
        <w:pStyle w:val="Heading5"/>
        <w:spacing w:line="240" w:lineRule="auto" w:before="36"/>
        <w:ind w:left="580" w:right="0"/>
        <w:jc w:val="left"/>
        <w:rPr>
          <w:b w:val="0"/>
          <w:bCs w:val="0"/>
        </w:rPr>
      </w:pPr>
      <w:r>
        <w:rPr/>
        <w:t>（五）现金流量表补充资料</w:t>
      </w:r>
      <w:r>
        <w:rPr>
          <w:b w:val="0"/>
          <w:bCs w:val="0"/>
        </w:rPr>
      </w:r>
    </w:p>
    <w:p>
      <w:pPr>
        <w:spacing w:line="240" w:lineRule="auto" w:before="10"/>
        <w:rPr>
          <w:rFonts w:ascii="宋体" w:hAnsi="宋体" w:cs="宋体" w:eastAsia="宋体" w:hint="default"/>
          <w:b/>
          <w:bCs/>
          <w:sz w:val="3"/>
          <w:szCs w:val="3"/>
        </w:rPr>
      </w:pPr>
    </w:p>
    <w:tbl>
      <w:tblPr>
        <w:tblW w:w="0" w:type="auto"/>
        <w:jc w:val="left"/>
        <w:tblInd w:w="145" w:type="dxa"/>
        <w:tblLayout w:type="fixed"/>
        <w:tblCellMar>
          <w:top w:w="0" w:type="dxa"/>
          <w:left w:w="0" w:type="dxa"/>
          <w:bottom w:w="0" w:type="dxa"/>
          <w:right w:w="0" w:type="dxa"/>
        </w:tblCellMar>
        <w:tblLook w:val="01E0"/>
      </w:tblPr>
      <w:tblGrid>
        <w:gridCol w:w="4678"/>
        <w:gridCol w:w="2350"/>
        <w:gridCol w:w="2198"/>
      </w:tblGrid>
      <w:tr>
        <w:trPr>
          <w:trHeight w:val="317" w:hRule="exact"/>
        </w:trPr>
        <w:tc>
          <w:tcPr>
            <w:tcW w:w="4678" w:type="dxa"/>
            <w:tcBorders>
              <w:top w:val="single" w:sz="6" w:space="0" w:color="000000"/>
              <w:left w:val="single" w:sz="6" w:space="0" w:color="000000"/>
              <w:bottom w:val="single" w:sz="12" w:space="0" w:color="000000"/>
              <w:right w:val="single" w:sz="6" w:space="0" w:color="000000"/>
            </w:tcBorders>
          </w:tcPr>
          <w:p>
            <w:pPr>
              <w:pStyle w:val="TableParagraph"/>
              <w:spacing w:line="253" w:lineRule="exact"/>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50" w:type="dxa"/>
            <w:tcBorders>
              <w:top w:val="single" w:sz="6" w:space="0" w:color="000000"/>
              <w:left w:val="single" w:sz="6" w:space="0" w:color="000000"/>
              <w:bottom w:val="single" w:sz="12" w:space="0" w:color="000000"/>
              <w:right w:val="single" w:sz="6" w:space="0" w:color="000000"/>
            </w:tcBorders>
          </w:tcPr>
          <w:p>
            <w:pPr>
              <w:pStyle w:val="TableParagraph"/>
              <w:spacing w:line="253" w:lineRule="exact"/>
              <w:ind w:left="748"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198" w:type="dxa"/>
            <w:tcBorders>
              <w:top w:val="single" w:sz="6" w:space="0" w:color="000000"/>
              <w:left w:val="single" w:sz="6" w:space="0" w:color="000000"/>
              <w:bottom w:val="single" w:sz="12" w:space="0" w:color="000000"/>
              <w:right w:val="nil" w:sz="6" w:space="0" w:color="auto"/>
            </w:tcBorders>
          </w:tcPr>
          <w:p>
            <w:pPr>
              <w:pStyle w:val="TableParagraph"/>
              <w:spacing w:line="253" w:lineRule="exact"/>
              <w:ind w:left="671"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312" w:hRule="exact"/>
        </w:trPr>
        <w:tc>
          <w:tcPr>
            <w:tcW w:w="4678" w:type="dxa"/>
            <w:tcBorders>
              <w:top w:val="single" w:sz="12" w:space="0" w:color="000000"/>
              <w:left w:val="single" w:sz="6" w:space="0" w:color="000000"/>
              <w:bottom w:val="single" w:sz="12" w:space="0" w:color="000000"/>
              <w:right w:val="single" w:sz="6" w:space="0" w:color="000000"/>
            </w:tcBorders>
          </w:tcPr>
          <w:p>
            <w:pPr>
              <w:pStyle w:val="TableParagraph"/>
              <w:spacing w:line="257"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、将净利润调节为经营活动现金流量：</w:t>
            </w:r>
          </w:p>
        </w:tc>
        <w:tc>
          <w:tcPr>
            <w:tcW w:w="2350" w:type="dxa"/>
            <w:tcBorders>
              <w:top w:val="single" w:sz="12" w:space="0" w:color="000000"/>
              <w:left w:val="single" w:sz="6" w:space="0" w:color="000000"/>
              <w:bottom w:val="single" w:sz="12" w:space="0" w:color="000000"/>
              <w:right w:val="single" w:sz="6" w:space="0" w:color="000000"/>
            </w:tcBorders>
          </w:tcPr>
          <w:p>
            <w:pPr/>
          </w:p>
        </w:tc>
        <w:tc>
          <w:tcPr>
            <w:tcW w:w="2198" w:type="dxa"/>
            <w:tcBorders>
              <w:top w:val="single" w:sz="12" w:space="0" w:color="000000"/>
              <w:left w:val="single" w:sz="6" w:space="0" w:color="000000"/>
              <w:bottom w:val="single" w:sz="12" w:space="0" w:color="000000"/>
              <w:right w:val="nil" w:sz="6" w:space="0" w:color="auto"/>
            </w:tcBorders>
          </w:tcPr>
          <w:p>
            <w:pPr/>
          </w:p>
        </w:tc>
      </w:tr>
      <w:tr>
        <w:trPr>
          <w:trHeight w:val="314" w:hRule="exact"/>
        </w:trPr>
        <w:tc>
          <w:tcPr>
            <w:tcW w:w="4678"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4"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350"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0"/>
              <w:jc w:val="right"/>
              <w:rPr>
                <w:rFonts w:ascii="Times New Roman" w:hAnsi="Times New Roman" w:cs="Times New Roman" w:eastAsia="Times New Roman" w:hint="default"/>
                <w:sz w:val="21"/>
                <w:szCs w:val="21"/>
              </w:rPr>
            </w:pPr>
            <w:r>
              <w:rPr>
                <w:rFonts w:ascii="Times New Roman"/>
                <w:spacing w:val="-1"/>
                <w:sz w:val="21"/>
              </w:rPr>
              <w:t>22,907,594.97</w:t>
            </w:r>
          </w:p>
        </w:tc>
        <w:tc>
          <w:tcPr>
            <w:tcW w:w="2198"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7"/>
              <w:jc w:val="right"/>
              <w:rPr>
                <w:rFonts w:ascii="Times New Roman" w:hAnsi="Times New Roman" w:cs="Times New Roman" w:eastAsia="Times New Roman" w:hint="default"/>
                <w:sz w:val="21"/>
                <w:szCs w:val="21"/>
              </w:rPr>
            </w:pPr>
            <w:r>
              <w:rPr>
                <w:rFonts w:ascii="Times New Roman"/>
                <w:spacing w:val="-1"/>
                <w:sz w:val="21"/>
              </w:rPr>
              <w:t>22,376,880.84</w:t>
            </w:r>
          </w:p>
        </w:tc>
      </w:tr>
      <w:tr>
        <w:trPr>
          <w:trHeight w:val="312" w:hRule="exact"/>
        </w:trPr>
        <w:tc>
          <w:tcPr>
            <w:tcW w:w="4678"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4"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350"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Times New Roman" w:hAnsi="Times New Roman" w:cs="Times New Roman" w:eastAsia="Times New Roman" w:hint="default"/>
                <w:sz w:val="21"/>
                <w:szCs w:val="21"/>
              </w:rPr>
            </w:pPr>
            <w:r>
              <w:rPr>
                <w:rFonts w:ascii="Times New Roman"/>
                <w:spacing w:val="-1"/>
                <w:sz w:val="21"/>
              </w:rPr>
              <w:t>1,767,167.91</w:t>
            </w:r>
          </w:p>
        </w:tc>
        <w:tc>
          <w:tcPr>
            <w:tcW w:w="2198"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5"/>
              <w:jc w:val="right"/>
              <w:rPr>
                <w:rFonts w:ascii="Times New Roman" w:hAnsi="Times New Roman" w:cs="Times New Roman" w:eastAsia="Times New Roman" w:hint="default"/>
                <w:sz w:val="21"/>
                <w:szCs w:val="21"/>
              </w:rPr>
            </w:pPr>
            <w:r>
              <w:rPr>
                <w:rFonts w:ascii="Times New Roman"/>
                <w:spacing w:val="-1"/>
                <w:sz w:val="21"/>
              </w:rPr>
              <w:t>472,870.12</w:t>
            </w:r>
          </w:p>
        </w:tc>
      </w:tr>
      <w:tr>
        <w:trPr>
          <w:trHeight w:val="586" w:hRule="exact"/>
        </w:trPr>
        <w:tc>
          <w:tcPr>
            <w:tcW w:w="4678" w:type="dxa"/>
            <w:tcBorders>
              <w:top w:val="single" w:sz="12" w:space="0" w:color="000000"/>
              <w:left w:val="single" w:sz="6" w:space="0" w:color="000000"/>
              <w:bottom w:val="single" w:sz="12" w:space="0" w:color="000000"/>
              <w:right w:val="single" w:sz="6" w:space="0" w:color="000000"/>
            </w:tcBorders>
          </w:tcPr>
          <w:p>
            <w:pPr>
              <w:pStyle w:val="TableParagraph"/>
              <w:spacing w:line="240" w:lineRule="exact"/>
              <w:ind w:left="364" w:right="-8"/>
              <w:jc w:val="left"/>
              <w:rPr>
                <w:rFonts w:ascii="宋体" w:hAnsi="宋体" w:cs="宋体" w:eastAsia="宋体" w:hint="default"/>
                <w:sz w:val="21"/>
                <w:szCs w:val="21"/>
              </w:rPr>
            </w:pPr>
            <w:r>
              <w:rPr>
                <w:rFonts w:ascii="宋体" w:hAnsi="宋体" w:cs="宋体" w:eastAsia="宋体" w:hint="default"/>
                <w:spacing w:val="2"/>
                <w:sz w:val="21"/>
                <w:szCs w:val="21"/>
              </w:rPr>
              <w:t>固定资产折旧、油气资产折耗、生产性生物资</w:t>
            </w:r>
            <w:r>
              <w:rPr>
                <w:rFonts w:ascii="宋体" w:hAnsi="宋体" w:cs="宋体" w:eastAsia="宋体" w:hint="default"/>
                <w:sz w:val="21"/>
                <w:szCs w:val="21"/>
              </w:rPr>
            </w:r>
          </w:p>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产折旧</w:t>
            </w:r>
          </w:p>
        </w:tc>
        <w:tc>
          <w:tcPr>
            <w:tcW w:w="2350"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Times New Roman" w:hAnsi="Times New Roman" w:cs="Times New Roman" w:eastAsia="Times New Roman" w:hint="default"/>
                <w:sz w:val="21"/>
                <w:szCs w:val="21"/>
              </w:rPr>
            </w:pPr>
            <w:r>
              <w:rPr>
                <w:rFonts w:ascii="Times New Roman"/>
                <w:spacing w:val="-1"/>
                <w:sz w:val="21"/>
              </w:rPr>
              <w:t>1,535,030.48</w:t>
            </w:r>
          </w:p>
        </w:tc>
        <w:tc>
          <w:tcPr>
            <w:tcW w:w="2198"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5"/>
              <w:jc w:val="right"/>
              <w:rPr>
                <w:rFonts w:ascii="Times New Roman" w:hAnsi="Times New Roman" w:cs="Times New Roman" w:eastAsia="Times New Roman" w:hint="default"/>
                <w:sz w:val="21"/>
                <w:szCs w:val="21"/>
              </w:rPr>
            </w:pPr>
            <w:r>
              <w:rPr>
                <w:rFonts w:ascii="Times New Roman"/>
                <w:spacing w:val="-1"/>
                <w:sz w:val="21"/>
              </w:rPr>
              <w:t>978,779.89</w:t>
            </w:r>
          </w:p>
        </w:tc>
      </w:tr>
      <w:tr>
        <w:trPr>
          <w:trHeight w:val="312" w:hRule="exact"/>
        </w:trPr>
        <w:tc>
          <w:tcPr>
            <w:tcW w:w="4678"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364"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350"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0"/>
              <w:jc w:val="right"/>
              <w:rPr>
                <w:rFonts w:ascii="Times New Roman" w:hAnsi="Times New Roman" w:cs="Times New Roman" w:eastAsia="Times New Roman" w:hint="default"/>
                <w:sz w:val="21"/>
                <w:szCs w:val="21"/>
              </w:rPr>
            </w:pPr>
            <w:r>
              <w:rPr>
                <w:rFonts w:ascii="Times New Roman"/>
                <w:spacing w:val="-1"/>
                <w:sz w:val="21"/>
              </w:rPr>
              <w:t>1,644,633.74</w:t>
            </w:r>
          </w:p>
        </w:tc>
        <w:tc>
          <w:tcPr>
            <w:tcW w:w="2198"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5"/>
              <w:jc w:val="right"/>
              <w:rPr>
                <w:rFonts w:ascii="Times New Roman" w:hAnsi="Times New Roman" w:cs="Times New Roman" w:eastAsia="Times New Roman" w:hint="default"/>
                <w:sz w:val="21"/>
                <w:szCs w:val="21"/>
              </w:rPr>
            </w:pPr>
            <w:r>
              <w:rPr>
                <w:rFonts w:ascii="Times New Roman"/>
                <w:spacing w:val="-1"/>
                <w:sz w:val="21"/>
              </w:rPr>
              <w:t>1,640,180.40</w:t>
            </w:r>
          </w:p>
        </w:tc>
      </w:tr>
      <w:tr>
        <w:trPr>
          <w:trHeight w:val="314" w:hRule="exact"/>
        </w:trPr>
        <w:tc>
          <w:tcPr>
            <w:tcW w:w="4678"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364"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350"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0"/>
              <w:jc w:val="right"/>
              <w:rPr>
                <w:rFonts w:ascii="Times New Roman" w:hAnsi="Times New Roman" w:cs="Times New Roman" w:eastAsia="Times New Roman" w:hint="default"/>
                <w:sz w:val="21"/>
                <w:szCs w:val="21"/>
              </w:rPr>
            </w:pPr>
            <w:r>
              <w:rPr>
                <w:rFonts w:ascii="Times New Roman"/>
                <w:sz w:val="21"/>
              </w:rPr>
              <w:t>67,411.98</w:t>
            </w:r>
          </w:p>
        </w:tc>
        <w:tc>
          <w:tcPr>
            <w:tcW w:w="2198"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5"/>
              <w:jc w:val="right"/>
              <w:rPr>
                <w:rFonts w:ascii="Times New Roman" w:hAnsi="Times New Roman" w:cs="Times New Roman" w:eastAsia="Times New Roman" w:hint="default"/>
                <w:sz w:val="21"/>
                <w:szCs w:val="21"/>
              </w:rPr>
            </w:pPr>
            <w:r>
              <w:rPr>
                <w:rFonts w:ascii="Times New Roman"/>
                <w:spacing w:val="-1"/>
                <w:sz w:val="21"/>
              </w:rPr>
              <w:t>111,667.28</w:t>
            </w:r>
          </w:p>
        </w:tc>
      </w:tr>
      <w:tr>
        <w:trPr>
          <w:trHeight w:val="586" w:hRule="exact"/>
        </w:trPr>
        <w:tc>
          <w:tcPr>
            <w:tcW w:w="4678" w:type="dxa"/>
            <w:tcBorders>
              <w:top w:val="single" w:sz="12" w:space="0" w:color="000000"/>
              <w:left w:val="single" w:sz="6" w:space="0" w:color="000000"/>
              <w:bottom w:val="single" w:sz="12" w:space="0" w:color="000000"/>
              <w:right w:val="single" w:sz="6" w:space="0" w:color="000000"/>
            </w:tcBorders>
          </w:tcPr>
          <w:p>
            <w:pPr>
              <w:pStyle w:val="TableParagraph"/>
              <w:spacing w:line="240" w:lineRule="exact"/>
              <w:ind w:left="364" w:right="-8"/>
              <w:jc w:val="left"/>
              <w:rPr>
                <w:rFonts w:ascii="宋体" w:hAnsi="宋体" w:cs="宋体" w:eastAsia="宋体" w:hint="default"/>
                <w:sz w:val="21"/>
                <w:szCs w:val="21"/>
              </w:rPr>
            </w:pPr>
            <w:r>
              <w:rPr>
                <w:rFonts w:ascii="宋体" w:hAnsi="宋体" w:cs="宋体" w:eastAsia="宋体" w:hint="default"/>
                <w:spacing w:val="2"/>
                <w:sz w:val="21"/>
                <w:szCs w:val="21"/>
              </w:rPr>
              <w:t>处置固定资产、无形资产和其他长期资产的损</w:t>
            </w:r>
            <w:r>
              <w:rPr>
                <w:rFonts w:ascii="宋体" w:hAnsi="宋体" w:cs="宋体" w:eastAsia="宋体" w:hint="default"/>
                <w:sz w:val="21"/>
                <w:szCs w:val="21"/>
              </w:rPr>
            </w:r>
          </w:p>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w w:val="100"/>
                <w:sz w:val="21"/>
                <w:szCs w:val="21"/>
              </w:rPr>
              <w:t>失</w:t>
            </w:r>
          </w:p>
        </w:tc>
        <w:tc>
          <w:tcPr>
            <w:tcW w:w="2350"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(227,599.12)</w:t>
            </w:r>
          </w:p>
        </w:tc>
        <w:tc>
          <w:tcPr>
            <w:tcW w:w="2198"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5"/>
              <w:jc w:val="right"/>
              <w:rPr>
                <w:rFonts w:ascii="Times New Roman" w:hAnsi="Times New Roman" w:cs="Times New Roman" w:eastAsia="Times New Roman" w:hint="default"/>
                <w:sz w:val="21"/>
                <w:szCs w:val="21"/>
              </w:rPr>
            </w:pPr>
            <w:r>
              <w:rPr>
                <w:rFonts w:ascii="Times New Roman"/>
                <w:spacing w:val="-1"/>
                <w:sz w:val="21"/>
              </w:rPr>
              <w:t>3,156.56</w:t>
            </w:r>
          </w:p>
        </w:tc>
      </w:tr>
      <w:tr>
        <w:trPr>
          <w:trHeight w:val="312" w:hRule="exact"/>
        </w:trPr>
        <w:tc>
          <w:tcPr>
            <w:tcW w:w="4678"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364" w:right="0"/>
              <w:jc w:val="left"/>
              <w:rPr>
                <w:rFonts w:ascii="宋体" w:hAnsi="宋体" w:cs="宋体" w:eastAsia="宋体" w:hint="default"/>
                <w:sz w:val="21"/>
                <w:szCs w:val="21"/>
              </w:rPr>
            </w:pPr>
            <w:r>
              <w:rPr>
                <w:rFonts w:ascii="宋体" w:hAnsi="宋体" w:cs="宋体" w:eastAsia="宋体" w:hint="default"/>
                <w:sz w:val="21"/>
                <w:szCs w:val="21"/>
              </w:rPr>
              <w:t>固定资产报废损失</w:t>
            </w:r>
          </w:p>
        </w:tc>
        <w:tc>
          <w:tcPr>
            <w:tcW w:w="2350"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2198"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6"/>
              <w:jc w:val="right"/>
              <w:rPr>
                <w:rFonts w:ascii="Times New Roman" w:hAnsi="Times New Roman" w:cs="Times New Roman" w:eastAsia="Times New Roman" w:hint="default"/>
                <w:sz w:val="21"/>
                <w:szCs w:val="21"/>
              </w:rPr>
            </w:pPr>
            <w:r>
              <w:rPr>
                <w:rFonts w:ascii="Times New Roman"/>
                <w:spacing w:val="-1"/>
                <w:sz w:val="21"/>
              </w:rPr>
              <w:t>---</w:t>
            </w:r>
          </w:p>
        </w:tc>
      </w:tr>
      <w:tr>
        <w:trPr>
          <w:trHeight w:val="314" w:hRule="exact"/>
        </w:trPr>
        <w:tc>
          <w:tcPr>
            <w:tcW w:w="4678"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364" w:right="0"/>
              <w:jc w:val="left"/>
              <w:rPr>
                <w:rFonts w:ascii="宋体" w:hAnsi="宋体" w:cs="宋体" w:eastAsia="宋体" w:hint="default"/>
                <w:sz w:val="21"/>
                <w:szCs w:val="21"/>
              </w:rPr>
            </w:pPr>
            <w:r>
              <w:rPr>
                <w:rFonts w:ascii="宋体" w:hAnsi="宋体" w:cs="宋体" w:eastAsia="宋体" w:hint="default"/>
                <w:sz w:val="21"/>
                <w:szCs w:val="21"/>
              </w:rPr>
              <w:t>公允价值变动损失</w:t>
            </w:r>
          </w:p>
        </w:tc>
        <w:tc>
          <w:tcPr>
            <w:tcW w:w="2350"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2198"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6"/>
              <w:jc w:val="right"/>
              <w:rPr>
                <w:rFonts w:ascii="Times New Roman" w:hAnsi="Times New Roman" w:cs="Times New Roman" w:eastAsia="Times New Roman" w:hint="default"/>
                <w:sz w:val="21"/>
                <w:szCs w:val="21"/>
              </w:rPr>
            </w:pPr>
            <w:r>
              <w:rPr>
                <w:rFonts w:ascii="Times New Roman"/>
                <w:spacing w:val="-1"/>
                <w:sz w:val="21"/>
              </w:rPr>
              <w:t>---</w:t>
            </w:r>
          </w:p>
        </w:tc>
      </w:tr>
      <w:tr>
        <w:trPr>
          <w:trHeight w:val="312" w:hRule="exact"/>
        </w:trPr>
        <w:tc>
          <w:tcPr>
            <w:tcW w:w="4678"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364"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350"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(1,733,271.70)</w:t>
            </w:r>
          </w:p>
        </w:tc>
        <w:tc>
          <w:tcPr>
            <w:tcW w:w="2198"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4"/>
              <w:jc w:val="right"/>
              <w:rPr>
                <w:rFonts w:ascii="Times New Roman" w:hAnsi="Times New Roman" w:cs="Times New Roman" w:eastAsia="Times New Roman" w:hint="default"/>
                <w:sz w:val="21"/>
                <w:szCs w:val="21"/>
              </w:rPr>
            </w:pPr>
            <w:r>
              <w:rPr>
                <w:rFonts w:ascii="Times New Roman"/>
                <w:spacing w:val="-1"/>
                <w:sz w:val="21"/>
              </w:rPr>
              <w:t>(2,846,540.87)</w:t>
            </w:r>
          </w:p>
        </w:tc>
      </w:tr>
      <w:tr>
        <w:trPr>
          <w:trHeight w:val="314" w:hRule="exact"/>
        </w:trPr>
        <w:tc>
          <w:tcPr>
            <w:tcW w:w="4678"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364" w:right="0"/>
              <w:jc w:val="left"/>
              <w:rPr>
                <w:rFonts w:ascii="宋体" w:hAnsi="宋体" w:cs="宋体" w:eastAsia="宋体" w:hint="default"/>
                <w:sz w:val="21"/>
                <w:szCs w:val="21"/>
              </w:rPr>
            </w:pPr>
            <w:r>
              <w:rPr>
                <w:rFonts w:ascii="宋体" w:hAnsi="宋体" w:cs="宋体" w:eastAsia="宋体" w:hint="default"/>
                <w:sz w:val="21"/>
                <w:szCs w:val="21"/>
              </w:rPr>
              <w:t>投资损失</w:t>
            </w:r>
          </w:p>
        </w:tc>
        <w:tc>
          <w:tcPr>
            <w:tcW w:w="2350"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(4,424,106.13)</w:t>
            </w:r>
          </w:p>
        </w:tc>
        <w:tc>
          <w:tcPr>
            <w:tcW w:w="2198"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4"/>
              <w:jc w:val="right"/>
              <w:rPr>
                <w:rFonts w:ascii="Times New Roman" w:hAnsi="Times New Roman" w:cs="Times New Roman" w:eastAsia="Times New Roman" w:hint="default"/>
                <w:sz w:val="21"/>
                <w:szCs w:val="21"/>
              </w:rPr>
            </w:pPr>
            <w:r>
              <w:rPr>
                <w:rFonts w:ascii="Times New Roman"/>
                <w:spacing w:val="-1"/>
                <w:sz w:val="21"/>
              </w:rPr>
              <w:t>(2,776,904.09)</w:t>
            </w:r>
          </w:p>
        </w:tc>
      </w:tr>
      <w:tr>
        <w:trPr>
          <w:trHeight w:val="312" w:hRule="exact"/>
        </w:trPr>
        <w:tc>
          <w:tcPr>
            <w:tcW w:w="4678"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364" w:right="0"/>
              <w:jc w:val="left"/>
              <w:rPr>
                <w:rFonts w:ascii="宋体" w:hAnsi="宋体" w:cs="宋体" w:eastAsia="宋体" w:hint="default"/>
                <w:sz w:val="21"/>
                <w:szCs w:val="21"/>
              </w:rPr>
            </w:pPr>
            <w:r>
              <w:rPr>
                <w:rFonts w:ascii="宋体" w:hAnsi="宋体" w:cs="宋体" w:eastAsia="宋体" w:hint="default"/>
                <w:sz w:val="21"/>
                <w:szCs w:val="21"/>
              </w:rPr>
              <w:t>递延所得税资产减少</w:t>
            </w:r>
          </w:p>
        </w:tc>
        <w:tc>
          <w:tcPr>
            <w:tcW w:w="2350"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(75,040.32)</w:t>
            </w:r>
          </w:p>
        </w:tc>
        <w:tc>
          <w:tcPr>
            <w:tcW w:w="2198"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5"/>
              <w:jc w:val="right"/>
              <w:rPr>
                <w:rFonts w:ascii="Times New Roman" w:hAnsi="Times New Roman" w:cs="Times New Roman" w:eastAsia="Times New Roman" w:hint="default"/>
                <w:sz w:val="21"/>
                <w:szCs w:val="21"/>
              </w:rPr>
            </w:pPr>
            <w:r>
              <w:rPr>
                <w:rFonts w:ascii="Times New Roman"/>
                <w:spacing w:val="-1"/>
                <w:sz w:val="21"/>
              </w:rPr>
              <w:t>195,702.95</w:t>
            </w:r>
          </w:p>
        </w:tc>
      </w:tr>
      <w:tr>
        <w:trPr>
          <w:trHeight w:val="314" w:hRule="exact"/>
        </w:trPr>
        <w:tc>
          <w:tcPr>
            <w:tcW w:w="4678"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364" w:right="0"/>
              <w:jc w:val="left"/>
              <w:rPr>
                <w:rFonts w:ascii="宋体" w:hAnsi="宋体" w:cs="宋体" w:eastAsia="宋体" w:hint="default"/>
                <w:sz w:val="21"/>
                <w:szCs w:val="21"/>
              </w:rPr>
            </w:pPr>
            <w:r>
              <w:rPr>
                <w:rFonts w:ascii="宋体" w:hAnsi="宋体" w:cs="宋体" w:eastAsia="宋体" w:hint="default"/>
                <w:sz w:val="21"/>
                <w:szCs w:val="21"/>
              </w:rPr>
              <w:t>递延所得税负债增加</w:t>
            </w:r>
          </w:p>
        </w:tc>
        <w:tc>
          <w:tcPr>
            <w:tcW w:w="2350"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0"/>
              <w:jc w:val="right"/>
              <w:rPr>
                <w:rFonts w:ascii="Times New Roman" w:hAnsi="Times New Roman" w:cs="Times New Roman" w:eastAsia="Times New Roman" w:hint="default"/>
                <w:sz w:val="21"/>
                <w:szCs w:val="21"/>
              </w:rPr>
            </w:pPr>
            <w:r>
              <w:rPr>
                <w:rFonts w:ascii="Times New Roman"/>
                <w:spacing w:val="-1"/>
                <w:sz w:val="21"/>
              </w:rPr>
              <w:t>196,234.42</w:t>
            </w:r>
          </w:p>
        </w:tc>
        <w:tc>
          <w:tcPr>
            <w:tcW w:w="2198"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4"/>
              <w:jc w:val="right"/>
              <w:rPr>
                <w:rFonts w:ascii="Times New Roman" w:hAnsi="Times New Roman" w:cs="Times New Roman" w:eastAsia="Times New Roman" w:hint="default"/>
                <w:sz w:val="21"/>
                <w:szCs w:val="21"/>
              </w:rPr>
            </w:pPr>
            <w:r>
              <w:rPr>
                <w:rFonts w:ascii="Times New Roman"/>
                <w:spacing w:val="-1"/>
                <w:sz w:val="21"/>
              </w:rPr>
              <w:t>---</w:t>
            </w:r>
          </w:p>
        </w:tc>
      </w:tr>
      <w:tr>
        <w:trPr>
          <w:trHeight w:val="312" w:hRule="exact"/>
        </w:trPr>
        <w:tc>
          <w:tcPr>
            <w:tcW w:w="4678"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364" w:right="0"/>
              <w:jc w:val="left"/>
              <w:rPr>
                <w:rFonts w:ascii="宋体" w:hAnsi="宋体" w:cs="宋体" w:eastAsia="宋体" w:hint="default"/>
                <w:sz w:val="21"/>
                <w:szCs w:val="21"/>
              </w:rPr>
            </w:pPr>
            <w:r>
              <w:rPr>
                <w:rFonts w:ascii="宋体" w:hAnsi="宋体" w:cs="宋体" w:eastAsia="宋体" w:hint="default"/>
                <w:sz w:val="21"/>
                <w:szCs w:val="21"/>
              </w:rPr>
              <w:t>存货的减少</w:t>
            </w:r>
          </w:p>
        </w:tc>
        <w:tc>
          <w:tcPr>
            <w:tcW w:w="2350"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(1,929,162.96)</w:t>
            </w:r>
          </w:p>
        </w:tc>
        <w:tc>
          <w:tcPr>
            <w:tcW w:w="2198"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4"/>
              <w:jc w:val="right"/>
              <w:rPr>
                <w:rFonts w:ascii="Times New Roman" w:hAnsi="Times New Roman" w:cs="Times New Roman" w:eastAsia="Times New Roman" w:hint="default"/>
                <w:sz w:val="21"/>
                <w:szCs w:val="21"/>
              </w:rPr>
            </w:pPr>
            <w:r>
              <w:rPr>
                <w:rFonts w:ascii="Times New Roman"/>
                <w:spacing w:val="-1"/>
                <w:sz w:val="21"/>
              </w:rPr>
              <w:t>(929,512.68)</w:t>
            </w:r>
          </w:p>
        </w:tc>
      </w:tr>
      <w:tr>
        <w:trPr>
          <w:trHeight w:val="312" w:hRule="exact"/>
        </w:trPr>
        <w:tc>
          <w:tcPr>
            <w:tcW w:w="4678"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364" w:right="0"/>
              <w:jc w:val="left"/>
              <w:rPr>
                <w:rFonts w:ascii="宋体" w:hAnsi="宋体" w:cs="宋体" w:eastAsia="宋体" w:hint="default"/>
                <w:sz w:val="21"/>
                <w:szCs w:val="21"/>
              </w:rPr>
            </w:pPr>
            <w:r>
              <w:rPr>
                <w:rFonts w:ascii="宋体" w:hAnsi="宋体" w:cs="宋体" w:eastAsia="宋体" w:hint="default"/>
                <w:sz w:val="21"/>
                <w:szCs w:val="21"/>
              </w:rPr>
              <w:t>经营性应收项目的减少</w:t>
            </w:r>
          </w:p>
        </w:tc>
        <w:tc>
          <w:tcPr>
            <w:tcW w:w="2350"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Times New Roman" w:hAnsi="Times New Roman" w:cs="Times New Roman" w:eastAsia="Times New Roman" w:hint="default"/>
                <w:sz w:val="21"/>
                <w:szCs w:val="21"/>
              </w:rPr>
            </w:pPr>
            <w:r>
              <w:rPr>
                <w:rFonts w:ascii="Times New Roman"/>
                <w:spacing w:val="-1"/>
                <w:sz w:val="21"/>
              </w:rPr>
              <w:t>26,991.03</w:t>
            </w:r>
          </w:p>
        </w:tc>
        <w:tc>
          <w:tcPr>
            <w:tcW w:w="2198"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4"/>
              <w:jc w:val="right"/>
              <w:rPr>
                <w:rFonts w:ascii="Times New Roman" w:hAnsi="Times New Roman" w:cs="Times New Roman" w:eastAsia="Times New Roman" w:hint="default"/>
                <w:sz w:val="21"/>
                <w:szCs w:val="21"/>
              </w:rPr>
            </w:pPr>
            <w:r>
              <w:rPr>
                <w:rFonts w:ascii="Times New Roman"/>
                <w:spacing w:val="-1"/>
                <w:sz w:val="21"/>
              </w:rPr>
              <w:t>(8,280,520.69)</w:t>
            </w:r>
          </w:p>
        </w:tc>
      </w:tr>
      <w:tr>
        <w:trPr>
          <w:trHeight w:val="314" w:hRule="exact"/>
        </w:trPr>
        <w:tc>
          <w:tcPr>
            <w:tcW w:w="4678"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364" w:right="0"/>
              <w:jc w:val="left"/>
              <w:rPr>
                <w:rFonts w:ascii="宋体" w:hAnsi="宋体" w:cs="宋体" w:eastAsia="宋体" w:hint="default"/>
                <w:sz w:val="21"/>
                <w:szCs w:val="21"/>
              </w:rPr>
            </w:pPr>
            <w:r>
              <w:rPr>
                <w:rFonts w:ascii="宋体" w:hAnsi="宋体" w:cs="宋体" w:eastAsia="宋体" w:hint="default"/>
                <w:sz w:val="21"/>
                <w:szCs w:val="21"/>
              </w:rPr>
              <w:t>经营性应付项目的增加</w:t>
            </w:r>
          </w:p>
        </w:tc>
        <w:tc>
          <w:tcPr>
            <w:tcW w:w="2350"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(465,383.68)</w:t>
            </w:r>
          </w:p>
        </w:tc>
        <w:tc>
          <w:tcPr>
            <w:tcW w:w="2198"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7"/>
              <w:jc w:val="right"/>
              <w:rPr>
                <w:rFonts w:ascii="Times New Roman" w:hAnsi="Times New Roman" w:cs="Times New Roman" w:eastAsia="Times New Roman" w:hint="default"/>
                <w:sz w:val="21"/>
                <w:szCs w:val="21"/>
              </w:rPr>
            </w:pPr>
            <w:r>
              <w:rPr>
                <w:rFonts w:ascii="Times New Roman"/>
                <w:spacing w:val="-1"/>
                <w:sz w:val="21"/>
              </w:rPr>
              <w:t>6,935,368.88</w:t>
            </w:r>
          </w:p>
        </w:tc>
      </w:tr>
      <w:tr>
        <w:trPr>
          <w:trHeight w:val="314" w:hRule="exact"/>
        </w:trPr>
        <w:tc>
          <w:tcPr>
            <w:tcW w:w="4678"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36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50"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2198"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4"/>
              <w:jc w:val="right"/>
              <w:rPr>
                <w:rFonts w:ascii="Times New Roman" w:hAnsi="Times New Roman" w:cs="Times New Roman" w:eastAsia="Times New Roman" w:hint="default"/>
                <w:sz w:val="21"/>
                <w:szCs w:val="21"/>
              </w:rPr>
            </w:pPr>
            <w:r>
              <w:rPr>
                <w:rFonts w:ascii="Times New Roman"/>
                <w:spacing w:val="-1"/>
                <w:sz w:val="21"/>
              </w:rPr>
              <w:t>---</w:t>
            </w:r>
          </w:p>
        </w:tc>
      </w:tr>
    </w:tbl>
    <w:p>
      <w:pPr>
        <w:spacing w:after="0" w:line="235" w:lineRule="exact"/>
        <w:jc w:val="right"/>
        <w:rPr>
          <w:rFonts w:ascii="Times New Roman" w:hAnsi="Times New Roman" w:cs="Times New Roman" w:eastAsia="Times New Roman" w:hint="default"/>
          <w:sz w:val="21"/>
          <w:szCs w:val="21"/>
        </w:rPr>
        <w:sectPr>
          <w:pgSz w:w="11910" w:h="16840"/>
          <w:pgMar w:header="880" w:footer="979" w:top="1060" w:bottom="1160" w:left="980" w:right="980"/>
        </w:sectPr>
      </w:pPr>
    </w:p>
    <w:p>
      <w:pPr>
        <w:spacing w:line="240" w:lineRule="auto" w:before="4"/>
        <w:rPr>
          <w:rFonts w:ascii="宋体" w:hAnsi="宋体" w:cs="宋体" w:eastAsia="宋体" w:hint="default"/>
          <w:b/>
          <w:bCs/>
          <w:sz w:val="28"/>
          <w:szCs w:val="28"/>
        </w:rPr>
      </w:pPr>
    </w:p>
    <w:tbl>
      <w:tblPr>
        <w:tblW w:w="0" w:type="auto"/>
        <w:jc w:val="left"/>
        <w:tblInd w:w="145" w:type="dxa"/>
        <w:tblLayout w:type="fixed"/>
        <w:tblCellMar>
          <w:top w:w="0" w:type="dxa"/>
          <w:left w:w="0" w:type="dxa"/>
          <w:bottom w:w="0" w:type="dxa"/>
          <w:right w:w="0" w:type="dxa"/>
        </w:tblCellMar>
        <w:tblLook w:val="01E0"/>
      </w:tblPr>
      <w:tblGrid>
        <w:gridCol w:w="4678"/>
        <w:gridCol w:w="2350"/>
        <w:gridCol w:w="2198"/>
      </w:tblGrid>
      <w:tr>
        <w:trPr>
          <w:trHeight w:val="314" w:hRule="exact"/>
        </w:trPr>
        <w:tc>
          <w:tcPr>
            <w:tcW w:w="4678"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left="364"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3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
              <w:ind w:right="0"/>
              <w:jc w:val="right"/>
              <w:rPr>
                <w:rFonts w:ascii="Times New Roman" w:hAnsi="Times New Roman" w:cs="Times New Roman" w:eastAsia="Times New Roman" w:hint="default"/>
                <w:sz w:val="21"/>
                <w:szCs w:val="21"/>
              </w:rPr>
            </w:pPr>
            <w:r>
              <w:rPr>
                <w:rFonts w:ascii="Times New Roman"/>
                <w:spacing w:val="-1"/>
                <w:sz w:val="21"/>
              </w:rPr>
              <w:t>19,290,500.62</w:t>
            </w:r>
          </w:p>
        </w:tc>
        <w:tc>
          <w:tcPr>
            <w:tcW w:w="219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
              <w:ind w:right="5"/>
              <w:jc w:val="right"/>
              <w:rPr>
                <w:rFonts w:ascii="Times New Roman" w:hAnsi="Times New Roman" w:cs="Times New Roman" w:eastAsia="Times New Roman" w:hint="default"/>
                <w:sz w:val="21"/>
                <w:szCs w:val="21"/>
              </w:rPr>
            </w:pPr>
            <w:r>
              <w:rPr>
                <w:rFonts w:ascii="Times New Roman"/>
                <w:spacing w:val="-1"/>
                <w:sz w:val="21"/>
              </w:rPr>
              <w:t>17,881,128.59</w:t>
            </w:r>
          </w:p>
        </w:tc>
      </w:tr>
      <w:tr>
        <w:trPr>
          <w:trHeight w:val="314" w:hRule="exact"/>
        </w:trPr>
        <w:tc>
          <w:tcPr>
            <w:tcW w:w="4678" w:type="dxa"/>
            <w:tcBorders>
              <w:top w:val="single" w:sz="12" w:space="0" w:color="000000"/>
              <w:left w:val="single" w:sz="6" w:space="0" w:color="000000"/>
              <w:bottom w:val="single" w:sz="12" w:space="0" w:color="000000"/>
              <w:right w:val="single" w:sz="6" w:space="0" w:color="000000"/>
            </w:tcBorders>
          </w:tcPr>
          <w:p>
            <w:pPr>
              <w:pStyle w:val="TableParagraph"/>
              <w:spacing w:line="259"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、不涉及现金收支的重大投资和筹资活动：</w:t>
            </w:r>
          </w:p>
        </w:tc>
        <w:tc>
          <w:tcPr>
            <w:tcW w:w="2350" w:type="dxa"/>
            <w:tcBorders>
              <w:top w:val="single" w:sz="12" w:space="0" w:color="000000"/>
              <w:left w:val="single" w:sz="6" w:space="0" w:color="000000"/>
              <w:bottom w:val="single" w:sz="12" w:space="0" w:color="000000"/>
              <w:right w:val="single" w:sz="6" w:space="0" w:color="000000"/>
            </w:tcBorders>
          </w:tcPr>
          <w:p>
            <w:pPr/>
          </w:p>
        </w:tc>
        <w:tc>
          <w:tcPr>
            <w:tcW w:w="2198" w:type="dxa"/>
            <w:tcBorders>
              <w:top w:val="single" w:sz="12" w:space="0" w:color="000000"/>
              <w:left w:val="single" w:sz="6" w:space="0" w:color="000000"/>
              <w:bottom w:val="single" w:sz="12" w:space="0" w:color="000000"/>
              <w:right w:val="nil" w:sz="6" w:space="0" w:color="auto"/>
            </w:tcBorders>
          </w:tcPr>
          <w:p>
            <w:pPr/>
          </w:p>
        </w:tc>
      </w:tr>
      <w:tr>
        <w:trPr>
          <w:trHeight w:val="312" w:hRule="exact"/>
        </w:trPr>
        <w:tc>
          <w:tcPr>
            <w:tcW w:w="4678"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364"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350"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2198"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6"/>
              <w:jc w:val="right"/>
              <w:rPr>
                <w:rFonts w:ascii="Times New Roman" w:hAnsi="Times New Roman" w:cs="Times New Roman" w:eastAsia="Times New Roman" w:hint="default"/>
                <w:sz w:val="21"/>
                <w:szCs w:val="21"/>
              </w:rPr>
            </w:pPr>
            <w:r>
              <w:rPr>
                <w:rFonts w:ascii="Times New Roman"/>
                <w:spacing w:val="-1"/>
                <w:sz w:val="21"/>
              </w:rPr>
              <w:t>---</w:t>
            </w:r>
          </w:p>
        </w:tc>
      </w:tr>
      <w:tr>
        <w:trPr>
          <w:trHeight w:val="314" w:hRule="exact"/>
        </w:trPr>
        <w:tc>
          <w:tcPr>
            <w:tcW w:w="4678"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364"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350"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2198"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6"/>
              <w:jc w:val="right"/>
              <w:rPr>
                <w:rFonts w:ascii="Times New Roman" w:hAnsi="Times New Roman" w:cs="Times New Roman" w:eastAsia="Times New Roman" w:hint="default"/>
                <w:sz w:val="21"/>
                <w:szCs w:val="21"/>
              </w:rPr>
            </w:pPr>
            <w:r>
              <w:rPr>
                <w:rFonts w:ascii="Times New Roman"/>
                <w:spacing w:val="-1"/>
                <w:sz w:val="21"/>
              </w:rPr>
              <w:t>---</w:t>
            </w:r>
          </w:p>
        </w:tc>
      </w:tr>
      <w:tr>
        <w:trPr>
          <w:trHeight w:val="312" w:hRule="exact"/>
        </w:trPr>
        <w:tc>
          <w:tcPr>
            <w:tcW w:w="4678"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364"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350"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2198"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6"/>
              <w:jc w:val="right"/>
              <w:rPr>
                <w:rFonts w:ascii="Times New Roman" w:hAnsi="Times New Roman" w:cs="Times New Roman" w:eastAsia="Times New Roman" w:hint="default"/>
                <w:sz w:val="21"/>
                <w:szCs w:val="21"/>
              </w:rPr>
            </w:pPr>
            <w:r>
              <w:rPr>
                <w:rFonts w:ascii="Times New Roman"/>
                <w:spacing w:val="-1"/>
                <w:sz w:val="21"/>
              </w:rPr>
              <w:t>---</w:t>
            </w:r>
          </w:p>
        </w:tc>
      </w:tr>
      <w:tr>
        <w:trPr>
          <w:trHeight w:val="312" w:hRule="exact"/>
        </w:trPr>
        <w:tc>
          <w:tcPr>
            <w:tcW w:w="4678" w:type="dxa"/>
            <w:tcBorders>
              <w:top w:val="single" w:sz="12" w:space="0" w:color="000000"/>
              <w:left w:val="single" w:sz="6" w:space="0" w:color="000000"/>
              <w:bottom w:val="single" w:sz="12" w:space="0" w:color="000000"/>
              <w:right w:val="single" w:sz="6" w:space="0" w:color="000000"/>
            </w:tcBorders>
          </w:tcPr>
          <w:p>
            <w:pPr>
              <w:pStyle w:val="TableParagraph"/>
              <w:spacing w:line="257"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、现金及现金等价物净变动情况：</w:t>
            </w:r>
          </w:p>
        </w:tc>
        <w:tc>
          <w:tcPr>
            <w:tcW w:w="2350" w:type="dxa"/>
            <w:tcBorders>
              <w:top w:val="single" w:sz="12" w:space="0" w:color="000000"/>
              <w:left w:val="single" w:sz="6" w:space="0" w:color="000000"/>
              <w:bottom w:val="single" w:sz="12" w:space="0" w:color="000000"/>
              <w:right w:val="single" w:sz="6" w:space="0" w:color="000000"/>
            </w:tcBorders>
          </w:tcPr>
          <w:p>
            <w:pPr/>
          </w:p>
        </w:tc>
        <w:tc>
          <w:tcPr>
            <w:tcW w:w="2198" w:type="dxa"/>
            <w:tcBorders>
              <w:top w:val="single" w:sz="12" w:space="0" w:color="000000"/>
              <w:left w:val="single" w:sz="6" w:space="0" w:color="000000"/>
              <w:bottom w:val="single" w:sz="12" w:space="0" w:color="000000"/>
              <w:right w:val="nil" w:sz="6" w:space="0" w:color="auto"/>
            </w:tcBorders>
          </w:tcPr>
          <w:p>
            <w:pPr/>
          </w:p>
        </w:tc>
      </w:tr>
      <w:tr>
        <w:trPr>
          <w:trHeight w:val="314" w:hRule="exact"/>
        </w:trPr>
        <w:tc>
          <w:tcPr>
            <w:tcW w:w="4678"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364"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350"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0"/>
              <w:jc w:val="right"/>
              <w:rPr>
                <w:rFonts w:ascii="Times New Roman" w:hAnsi="Times New Roman" w:cs="Times New Roman" w:eastAsia="Times New Roman" w:hint="default"/>
                <w:sz w:val="21"/>
                <w:szCs w:val="21"/>
              </w:rPr>
            </w:pPr>
            <w:r>
              <w:rPr>
                <w:rFonts w:ascii="Times New Roman"/>
                <w:spacing w:val="-1"/>
                <w:sz w:val="21"/>
              </w:rPr>
              <w:t>116,068,978.16</w:t>
            </w:r>
          </w:p>
        </w:tc>
        <w:tc>
          <w:tcPr>
            <w:tcW w:w="2198"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7"/>
              <w:jc w:val="right"/>
              <w:rPr>
                <w:rFonts w:ascii="Times New Roman" w:hAnsi="Times New Roman" w:cs="Times New Roman" w:eastAsia="Times New Roman" w:hint="default"/>
                <w:sz w:val="21"/>
                <w:szCs w:val="21"/>
              </w:rPr>
            </w:pPr>
            <w:r>
              <w:rPr>
                <w:rFonts w:ascii="Times New Roman"/>
                <w:spacing w:val="-1"/>
                <w:sz w:val="21"/>
              </w:rPr>
              <w:t>122,502,939.84</w:t>
            </w:r>
          </w:p>
        </w:tc>
      </w:tr>
      <w:tr>
        <w:trPr>
          <w:trHeight w:val="312" w:hRule="exact"/>
        </w:trPr>
        <w:tc>
          <w:tcPr>
            <w:tcW w:w="4678"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364"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350"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right"/>
              <w:rPr>
                <w:rFonts w:ascii="Times New Roman" w:hAnsi="Times New Roman" w:cs="Times New Roman" w:eastAsia="Times New Roman" w:hint="default"/>
                <w:sz w:val="21"/>
                <w:szCs w:val="21"/>
              </w:rPr>
            </w:pPr>
            <w:r>
              <w:rPr>
                <w:rFonts w:ascii="Times New Roman"/>
                <w:spacing w:val="-1"/>
                <w:sz w:val="21"/>
              </w:rPr>
              <w:t>122,502,939.84</w:t>
            </w:r>
          </w:p>
        </w:tc>
        <w:tc>
          <w:tcPr>
            <w:tcW w:w="2198"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7"/>
              <w:jc w:val="right"/>
              <w:rPr>
                <w:rFonts w:ascii="Times New Roman" w:hAnsi="Times New Roman" w:cs="Times New Roman" w:eastAsia="Times New Roman" w:hint="default"/>
                <w:sz w:val="21"/>
                <w:szCs w:val="21"/>
              </w:rPr>
            </w:pPr>
            <w:r>
              <w:rPr>
                <w:rFonts w:ascii="Times New Roman"/>
                <w:spacing w:val="-1"/>
                <w:sz w:val="21"/>
              </w:rPr>
              <w:t>214,733,850.81</w:t>
            </w:r>
          </w:p>
        </w:tc>
      </w:tr>
      <w:tr>
        <w:trPr>
          <w:trHeight w:val="314" w:hRule="exact"/>
        </w:trPr>
        <w:tc>
          <w:tcPr>
            <w:tcW w:w="4678"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364"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350"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2198"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6"/>
              <w:jc w:val="right"/>
              <w:rPr>
                <w:rFonts w:ascii="Times New Roman" w:hAnsi="Times New Roman" w:cs="Times New Roman" w:eastAsia="Times New Roman" w:hint="default"/>
                <w:sz w:val="21"/>
                <w:szCs w:val="21"/>
              </w:rPr>
            </w:pPr>
            <w:r>
              <w:rPr>
                <w:rFonts w:ascii="Times New Roman"/>
                <w:spacing w:val="-1"/>
                <w:sz w:val="21"/>
              </w:rPr>
              <w:t>---</w:t>
            </w:r>
          </w:p>
        </w:tc>
      </w:tr>
      <w:tr>
        <w:trPr>
          <w:trHeight w:val="312" w:hRule="exact"/>
        </w:trPr>
        <w:tc>
          <w:tcPr>
            <w:tcW w:w="4678"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364"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350"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spacing w:val="-1"/>
                <w:sz w:val="21"/>
              </w:rPr>
              <w:t>---</w:t>
            </w:r>
          </w:p>
        </w:tc>
        <w:tc>
          <w:tcPr>
            <w:tcW w:w="2198"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6"/>
              <w:jc w:val="right"/>
              <w:rPr>
                <w:rFonts w:ascii="Times New Roman" w:hAnsi="Times New Roman" w:cs="Times New Roman" w:eastAsia="Times New Roman" w:hint="default"/>
                <w:sz w:val="21"/>
                <w:szCs w:val="21"/>
              </w:rPr>
            </w:pPr>
            <w:r>
              <w:rPr>
                <w:rFonts w:ascii="Times New Roman"/>
                <w:spacing w:val="-1"/>
                <w:sz w:val="21"/>
              </w:rPr>
              <w:t>---</w:t>
            </w:r>
          </w:p>
        </w:tc>
      </w:tr>
      <w:tr>
        <w:trPr>
          <w:trHeight w:val="314" w:hRule="exact"/>
        </w:trPr>
        <w:tc>
          <w:tcPr>
            <w:tcW w:w="4678"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364"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350"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right="-1"/>
              <w:jc w:val="right"/>
              <w:rPr>
                <w:rFonts w:ascii="Times New Roman" w:hAnsi="Times New Roman" w:cs="Times New Roman" w:eastAsia="Times New Roman" w:hint="default"/>
                <w:sz w:val="21"/>
                <w:szCs w:val="21"/>
              </w:rPr>
            </w:pPr>
            <w:r>
              <w:rPr>
                <w:rFonts w:ascii="Times New Roman"/>
                <w:spacing w:val="-1"/>
                <w:sz w:val="21"/>
              </w:rPr>
              <w:t>(6,433,961.68)</w:t>
            </w:r>
          </w:p>
        </w:tc>
        <w:tc>
          <w:tcPr>
            <w:tcW w:w="2198"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4"/>
              <w:jc w:val="right"/>
              <w:rPr>
                <w:rFonts w:ascii="Times New Roman" w:hAnsi="Times New Roman" w:cs="Times New Roman" w:eastAsia="Times New Roman" w:hint="default"/>
                <w:sz w:val="21"/>
                <w:szCs w:val="21"/>
              </w:rPr>
            </w:pPr>
            <w:r>
              <w:rPr>
                <w:rFonts w:ascii="Times New Roman"/>
                <w:spacing w:val="-1"/>
                <w:sz w:val="21"/>
              </w:rPr>
              <w:t>(92,230,910.97)</w:t>
            </w:r>
          </w:p>
        </w:tc>
      </w:tr>
    </w:tbl>
    <w:p>
      <w:pPr>
        <w:spacing w:line="240" w:lineRule="auto" w:before="2"/>
        <w:rPr>
          <w:rFonts w:ascii="宋体" w:hAnsi="宋体" w:cs="宋体" w:eastAsia="宋体" w:hint="default"/>
          <w:b/>
          <w:bCs/>
          <w:sz w:val="20"/>
          <w:szCs w:val="20"/>
        </w:rPr>
      </w:pPr>
    </w:p>
    <w:p>
      <w:pPr>
        <w:pStyle w:val="Heading5"/>
        <w:spacing w:line="240" w:lineRule="auto" w:before="36"/>
        <w:ind w:left="575" w:right="0"/>
        <w:jc w:val="left"/>
        <w:rPr>
          <w:b w:val="0"/>
          <w:bCs w:val="0"/>
        </w:rPr>
      </w:pPr>
      <w:r>
        <w:rPr/>
        <w:t>十七、补充资料</w:t>
      </w:r>
      <w:r>
        <w:rPr>
          <w:b w:val="0"/>
          <w:bCs w:val="0"/>
        </w:rPr>
      </w:r>
    </w:p>
    <w:p>
      <w:pPr>
        <w:pStyle w:val="Heading5"/>
        <w:spacing w:line="240" w:lineRule="auto" w:before="37"/>
        <w:ind w:left="580" w:right="0"/>
        <w:jc w:val="left"/>
        <w:rPr>
          <w:b w:val="0"/>
          <w:bCs w:val="0"/>
        </w:rPr>
      </w:pPr>
      <w:r>
        <w:rPr/>
        <w:t>（一）当期非经常性损益明细表</w:t>
      </w:r>
      <w:r>
        <w:rPr>
          <w:b w:val="0"/>
          <w:bCs w:val="0"/>
        </w:rPr>
      </w:r>
    </w:p>
    <w:p>
      <w:pPr>
        <w:spacing w:line="240" w:lineRule="auto" w:before="10"/>
        <w:rPr>
          <w:rFonts w:ascii="宋体" w:hAnsi="宋体" w:cs="宋体" w:eastAsia="宋体" w:hint="default"/>
          <w:b/>
          <w:bCs/>
          <w:sz w:val="3"/>
          <w:szCs w:val="3"/>
        </w:rPr>
      </w:pPr>
    </w:p>
    <w:tbl>
      <w:tblPr>
        <w:tblW w:w="0" w:type="auto"/>
        <w:jc w:val="left"/>
        <w:tblInd w:w="145" w:type="dxa"/>
        <w:tblLayout w:type="fixed"/>
        <w:tblCellMar>
          <w:top w:w="0" w:type="dxa"/>
          <w:left w:w="0" w:type="dxa"/>
          <w:bottom w:w="0" w:type="dxa"/>
          <w:right w:w="0" w:type="dxa"/>
        </w:tblCellMar>
        <w:tblLook w:val="01E0"/>
      </w:tblPr>
      <w:tblGrid>
        <w:gridCol w:w="7073"/>
        <w:gridCol w:w="2167"/>
      </w:tblGrid>
      <w:tr>
        <w:trPr>
          <w:trHeight w:val="314" w:hRule="exact"/>
        </w:trPr>
        <w:tc>
          <w:tcPr>
            <w:tcW w:w="7073"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67" w:type="dxa"/>
            <w:tcBorders>
              <w:top w:val="single" w:sz="6" w:space="0" w:color="000000"/>
              <w:left w:val="single" w:sz="6" w:space="0" w:color="000000"/>
              <w:bottom w:val="single" w:sz="12" w:space="0" w:color="000000"/>
              <w:right w:val="nil" w:sz="6" w:space="0" w:color="auto"/>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314" w:hRule="exact"/>
        </w:trPr>
        <w:tc>
          <w:tcPr>
            <w:tcW w:w="7073"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4"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167"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5"/>
              <w:jc w:val="right"/>
              <w:rPr>
                <w:rFonts w:ascii="Times New Roman" w:hAnsi="Times New Roman" w:cs="Times New Roman" w:eastAsia="Times New Roman" w:hint="default"/>
                <w:sz w:val="21"/>
                <w:szCs w:val="21"/>
              </w:rPr>
            </w:pPr>
            <w:r>
              <w:rPr>
                <w:rFonts w:ascii="Times New Roman"/>
                <w:sz w:val="21"/>
              </w:rPr>
              <w:t>226,705.32</w:t>
            </w:r>
          </w:p>
        </w:tc>
      </w:tr>
      <w:tr>
        <w:trPr>
          <w:trHeight w:val="312" w:hRule="exact"/>
        </w:trPr>
        <w:tc>
          <w:tcPr>
            <w:tcW w:w="7073"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4"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越权审批或无正式批准文件的税收返还、减免</w:t>
            </w:r>
          </w:p>
        </w:tc>
        <w:tc>
          <w:tcPr>
            <w:tcW w:w="2167"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4"/>
              <w:jc w:val="right"/>
              <w:rPr>
                <w:rFonts w:ascii="Times New Roman" w:hAnsi="Times New Roman" w:cs="Times New Roman" w:eastAsia="Times New Roman" w:hint="default"/>
                <w:sz w:val="21"/>
                <w:szCs w:val="21"/>
              </w:rPr>
            </w:pPr>
            <w:r>
              <w:rPr>
                <w:rFonts w:ascii="Times New Roman"/>
                <w:spacing w:val="-1"/>
                <w:sz w:val="21"/>
              </w:rPr>
              <w:t>---</w:t>
            </w:r>
          </w:p>
        </w:tc>
      </w:tr>
      <w:tr>
        <w:trPr>
          <w:trHeight w:val="586" w:hRule="exact"/>
        </w:trPr>
        <w:tc>
          <w:tcPr>
            <w:tcW w:w="7073"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4" w:right="-6"/>
              <w:jc w:val="left"/>
              <w:rPr>
                <w:rFonts w:ascii="宋体" w:hAnsi="宋体" w:cs="宋体" w:eastAsia="宋体" w:hint="default"/>
                <w:sz w:val="21"/>
                <w:szCs w:val="21"/>
              </w:rPr>
            </w:pPr>
            <w:r>
              <w:rPr>
                <w:rFonts w:ascii="宋体" w:hAnsi="宋体" w:cs="宋体" w:eastAsia="宋体" w:hint="default"/>
                <w:spacing w:val="-4"/>
                <w:sz w:val="21"/>
                <w:szCs w:val="21"/>
              </w:rPr>
              <w:t>计入当期损益的政府补助（与企业业务密切相关，按照国家统一标准定额或定</w:t>
            </w:r>
          </w:p>
          <w:p>
            <w:pPr>
              <w:pStyle w:val="TableParagraph"/>
              <w:spacing w:line="273" w:lineRule="exact"/>
              <w:ind w:left="4" w:right="0"/>
              <w:jc w:val="left"/>
              <w:rPr>
                <w:rFonts w:ascii="宋体" w:hAnsi="宋体" w:cs="宋体" w:eastAsia="宋体" w:hint="default"/>
                <w:sz w:val="21"/>
                <w:szCs w:val="21"/>
              </w:rPr>
            </w:pPr>
            <w:r>
              <w:rPr>
                <w:rFonts w:ascii="宋体" w:hAnsi="宋体" w:cs="宋体" w:eastAsia="宋体" w:hint="default"/>
                <w:sz w:val="21"/>
                <w:szCs w:val="21"/>
              </w:rPr>
              <w:t>量享受的政府补助除外）</w:t>
            </w:r>
          </w:p>
        </w:tc>
        <w:tc>
          <w:tcPr>
            <w:tcW w:w="2167"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5"/>
              <w:jc w:val="right"/>
              <w:rPr>
                <w:rFonts w:ascii="Times New Roman" w:hAnsi="Times New Roman" w:cs="Times New Roman" w:eastAsia="Times New Roman" w:hint="default"/>
                <w:sz w:val="21"/>
                <w:szCs w:val="21"/>
              </w:rPr>
            </w:pPr>
            <w:r>
              <w:rPr>
                <w:rFonts w:ascii="Times New Roman"/>
                <w:spacing w:val="-1"/>
                <w:sz w:val="21"/>
              </w:rPr>
              <w:t>3,587,217.65</w:t>
            </w:r>
          </w:p>
        </w:tc>
      </w:tr>
      <w:tr>
        <w:trPr>
          <w:trHeight w:val="314" w:hRule="exact"/>
        </w:trPr>
        <w:tc>
          <w:tcPr>
            <w:tcW w:w="7073"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4"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计入当期损益的对非金融企业收取的资金占用费</w:t>
            </w:r>
          </w:p>
        </w:tc>
        <w:tc>
          <w:tcPr>
            <w:tcW w:w="2167"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4"/>
              <w:jc w:val="right"/>
              <w:rPr>
                <w:rFonts w:ascii="Times New Roman" w:hAnsi="Times New Roman" w:cs="Times New Roman" w:eastAsia="Times New Roman" w:hint="default"/>
                <w:sz w:val="21"/>
                <w:szCs w:val="21"/>
              </w:rPr>
            </w:pPr>
            <w:r>
              <w:rPr>
                <w:rFonts w:ascii="Times New Roman"/>
                <w:spacing w:val="-1"/>
                <w:sz w:val="21"/>
              </w:rPr>
              <w:t>---</w:t>
            </w:r>
          </w:p>
        </w:tc>
      </w:tr>
      <w:tr>
        <w:trPr>
          <w:trHeight w:val="586" w:hRule="exact"/>
        </w:trPr>
        <w:tc>
          <w:tcPr>
            <w:tcW w:w="7073" w:type="dxa"/>
            <w:tcBorders>
              <w:top w:val="single" w:sz="12" w:space="0" w:color="000000"/>
              <w:left w:val="single" w:sz="6" w:space="0" w:color="000000"/>
              <w:bottom w:val="single" w:sz="12" w:space="0" w:color="000000"/>
              <w:right w:val="single" w:sz="6" w:space="0" w:color="000000"/>
            </w:tcBorders>
          </w:tcPr>
          <w:p>
            <w:pPr>
              <w:pStyle w:val="TableParagraph"/>
              <w:spacing w:line="240" w:lineRule="exact"/>
              <w:ind w:left="4" w:right="-6"/>
              <w:jc w:val="left"/>
              <w:rPr>
                <w:rFonts w:ascii="宋体" w:hAnsi="宋体" w:cs="宋体" w:eastAsia="宋体" w:hint="default"/>
                <w:sz w:val="21"/>
                <w:szCs w:val="21"/>
              </w:rPr>
            </w:pPr>
            <w:r>
              <w:rPr>
                <w:rFonts w:ascii="宋体" w:hAnsi="宋体" w:cs="宋体" w:eastAsia="宋体" w:hint="default"/>
                <w:w w:val="100"/>
                <w:sz w:val="21"/>
                <w:szCs w:val="21"/>
              </w:rPr>
              <w:t>企业</w:t>
            </w:r>
            <w:r>
              <w:rPr>
                <w:rFonts w:ascii="宋体" w:hAnsi="宋体" w:cs="宋体" w:eastAsia="宋体" w:hint="default"/>
                <w:spacing w:val="-3"/>
                <w:w w:val="100"/>
                <w:sz w:val="21"/>
                <w:szCs w:val="21"/>
              </w:rPr>
              <w:t>取</w:t>
            </w:r>
            <w:r>
              <w:rPr>
                <w:rFonts w:ascii="宋体" w:hAnsi="宋体" w:cs="宋体" w:eastAsia="宋体" w:hint="default"/>
                <w:w w:val="100"/>
                <w:sz w:val="21"/>
                <w:szCs w:val="21"/>
              </w:rPr>
              <w:t>得</w:t>
            </w:r>
            <w:r>
              <w:rPr>
                <w:rFonts w:ascii="宋体" w:hAnsi="宋体" w:cs="宋体" w:eastAsia="宋体" w:hint="default"/>
                <w:spacing w:val="-3"/>
                <w:w w:val="100"/>
                <w:sz w:val="21"/>
                <w:szCs w:val="21"/>
              </w:rPr>
              <w:t>子</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spacing w:val="-89"/>
                <w:w w:val="100"/>
                <w:sz w:val="21"/>
                <w:szCs w:val="21"/>
              </w:rPr>
              <w:t>、</w:t>
            </w:r>
            <w:r>
              <w:rPr>
                <w:rFonts w:ascii="宋体" w:hAnsi="宋体" w:cs="宋体" w:eastAsia="宋体" w:hint="default"/>
                <w:w w:val="100"/>
                <w:sz w:val="21"/>
                <w:szCs w:val="21"/>
              </w:rPr>
              <w:t>联</w:t>
            </w:r>
            <w:r>
              <w:rPr>
                <w:rFonts w:ascii="宋体" w:hAnsi="宋体" w:cs="宋体" w:eastAsia="宋体" w:hint="default"/>
                <w:spacing w:val="-3"/>
                <w:w w:val="100"/>
                <w:sz w:val="21"/>
                <w:szCs w:val="21"/>
              </w:rPr>
              <w:t>营</w:t>
            </w:r>
            <w:r>
              <w:rPr>
                <w:rFonts w:ascii="宋体" w:hAnsi="宋体" w:cs="宋体" w:eastAsia="宋体" w:hint="default"/>
                <w:w w:val="100"/>
                <w:sz w:val="21"/>
                <w:szCs w:val="21"/>
              </w:rPr>
              <w:t>企</w:t>
            </w:r>
            <w:r>
              <w:rPr>
                <w:rFonts w:ascii="宋体" w:hAnsi="宋体" w:cs="宋体" w:eastAsia="宋体" w:hint="default"/>
                <w:spacing w:val="-3"/>
                <w:w w:val="100"/>
                <w:sz w:val="21"/>
                <w:szCs w:val="21"/>
              </w:rPr>
              <w:t>业</w:t>
            </w:r>
            <w:r>
              <w:rPr>
                <w:rFonts w:ascii="宋体" w:hAnsi="宋体" w:cs="宋体" w:eastAsia="宋体" w:hint="default"/>
                <w:w w:val="100"/>
                <w:sz w:val="21"/>
                <w:szCs w:val="21"/>
              </w:rPr>
              <w:t>及合</w:t>
            </w:r>
            <w:r>
              <w:rPr>
                <w:rFonts w:ascii="宋体" w:hAnsi="宋体" w:cs="宋体" w:eastAsia="宋体" w:hint="default"/>
                <w:spacing w:val="-3"/>
                <w:w w:val="100"/>
                <w:sz w:val="21"/>
                <w:szCs w:val="21"/>
              </w:rPr>
              <w:t>营</w:t>
            </w:r>
            <w:r>
              <w:rPr>
                <w:rFonts w:ascii="宋体" w:hAnsi="宋体" w:cs="宋体" w:eastAsia="宋体" w:hint="default"/>
                <w:w w:val="100"/>
                <w:sz w:val="21"/>
                <w:szCs w:val="21"/>
              </w:rPr>
              <w:t>企</w:t>
            </w:r>
            <w:r>
              <w:rPr>
                <w:rFonts w:ascii="宋体" w:hAnsi="宋体" w:cs="宋体" w:eastAsia="宋体" w:hint="default"/>
                <w:spacing w:val="-3"/>
                <w:w w:val="100"/>
                <w:sz w:val="21"/>
                <w:szCs w:val="21"/>
              </w:rPr>
              <w:t>业</w:t>
            </w:r>
            <w:r>
              <w:rPr>
                <w:rFonts w:ascii="宋体" w:hAnsi="宋体" w:cs="宋体" w:eastAsia="宋体" w:hint="default"/>
                <w:w w:val="100"/>
                <w:sz w:val="21"/>
                <w:szCs w:val="21"/>
              </w:rPr>
              <w:t>的</w:t>
            </w:r>
            <w:r>
              <w:rPr>
                <w:rFonts w:ascii="宋体" w:hAnsi="宋体" w:cs="宋体" w:eastAsia="宋体" w:hint="default"/>
                <w:spacing w:val="-3"/>
                <w:w w:val="100"/>
                <w:sz w:val="21"/>
                <w:szCs w:val="21"/>
              </w:rPr>
              <w:t>投</w:t>
            </w:r>
            <w:r>
              <w:rPr>
                <w:rFonts w:ascii="宋体" w:hAnsi="宋体" w:cs="宋体" w:eastAsia="宋体" w:hint="default"/>
                <w:w w:val="100"/>
                <w:sz w:val="21"/>
                <w:szCs w:val="21"/>
              </w:rPr>
              <w:t>资</w:t>
            </w:r>
            <w:r>
              <w:rPr>
                <w:rFonts w:ascii="宋体" w:hAnsi="宋体" w:cs="宋体" w:eastAsia="宋体" w:hint="default"/>
                <w:spacing w:val="-3"/>
                <w:w w:val="100"/>
                <w:sz w:val="21"/>
                <w:szCs w:val="21"/>
              </w:rPr>
              <w:t>成</w:t>
            </w:r>
            <w:r>
              <w:rPr>
                <w:rFonts w:ascii="宋体" w:hAnsi="宋体" w:cs="宋体" w:eastAsia="宋体" w:hint="default"/>
                <w:w w:val="100"/>
                <w:sz w:val="21"/>
                <w:szCs w:val="21"/>
              </w:rPr>
              <w:t>本</w:t>
            </w:r>
            <w:r>
              <w:rPr>
                <w:rFonts w:ascii="宋体" w:hAnsi="宋体" w:cs="宋体" w:eastAsia="宋体" w:hint="default"/>
                <w:spacing w:val="-3"/>
                <w:w w:val="100"/>
                <w:sz w:val="21"/>
                <w:szCs w:val="21"/>
              </w:rPr>
              <w:t>小</w:t>
            </w:r>
            <w:r>
              <w:rPr>
                <w:rFonts w:ascii="宋体" w:hAnsi="宋体" w:cs="宋体" w:eastAsia="宋体" w:hint="default"/>
                <w:w w:val="100"/>
                <w:sz w:val="21"/>
                <w:szCs w:val="21"/>
              </w:rPr>
              <w:t>于取</w:t>
            </w:r>
            <w:r>
              <w:rPr>
                <w:rFonts w:ascii="宋体" w:hAnsi="宋体" w:cs="宋体" w:eastAsia="宋体" w:hint="default"/>
                <w:spacing w:val="-3"/>
                <w:w w:val="100"/>
                <w:sz w:val="21"/>
                <w:szCs w:val="21"/>
              </w:rPr>
              <w:t>得</w:t>
            </w:r>
            <w:r>
              <w:rPr>
                <w:rFonts w:ascii="宋体" w:hAnsi="宋体" w:cs="宋体" w:eastAsia="宋体" w:hint="default"/>
                <w:w w:val="100"/>
                <w:sz w:val="21"/>
                <w:szCs w:val="21"/>
              </w:rPr>
              <w:t>投</w:t>
            </w:r>
            <w:r>
              <w:rPr>
                <w:rFonts w:ascii="宋体" w:hAnsi="宋体" w:cs="宋体" w:eastAsia="宋体" w:hint="default"/>
                <w:spacing w:val="-3"/>
                <w:w w:val="100"/>
                <w:sz w:val="21"/>
                <w:szCs w:val="21"/>
              </w:rPr>
              <w:t>资</w:t>
            </w:r>
            <w:r>
              <w:rPr>
                <w:rFonts w:ascii="宋体" w:hAnsi="宋体" w:cs="宋体" w:eastAsia="宋体" w:hint="default"/>
                <w:w w:val="100"/>
                <w:sz w:val="21"/>
                <w:szCs w:val="21"/>
              </w:rPr>
              <w:t>时</w:t>
            </w:r>
            <w:r>
              <w:rPr>
                <w:rFonts w:ascii="宋体" w:hAnsi="宋体" w:cs="宋体" w:eastAsia="宋体" w:hint="default"/>
                <w:spacing w:val="-3"/>
                <w:w w:val="100"/>
                <w:sz w:val="21"/>
                <w:szCs w:val="21"/>
              </w:rPr>
              <w:t>应</w:t>
            </w:r>
            <w:r>
              <w:rPr>
                <w:rFonts w:ascii="宋体" w:hAnsi="宋体" w:cs="宋体" w:eastAsia="宋体" w:hint="default"/>
                <w:w w:val="100"/>
                <w:sz w:val="21"/>
                <w:szCs w:val="21"/>
              </w:rPr>
              <w:t>享</w:t>
            </w:r>
            <w:r>
              <w:rPr>
                <w:rFonts w:ascii="宋体" w:hAnsi="宋体" w:cs="宋体" w:eastAsia="宋体" w:hint="default"/>
                <w:spacing w:val="-3"/>
                <w:w w:val="100"/>
                <w:sz w:val="21"/>
                <w:szCs w:val="21"/>
              </w:rPr>
              <w:t>有</w:t>
            </w:r>
            <w:r>
              <w:rPr>
                <w:rFonts w:ascii="宋体" w:hAnsi="宋体" w:cs="宋体" w:eastAsia="宋体" w:hint="default"/>
                <w:w w:val="100"/>
                <w:sz w:val="21"/>
                <w:szCs w:val="21"/>
              </w:rPr>
              <w:t>被投</w:t>
            </w:r>
          </w:p>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资单位可辨认净资产公允价值产生的收益</w:t>
            </w:r>
          </w:p>
        </w:tc>
        <w:tc>
          <w:tcPr>
            <w:tcW w:w="2167"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4"/>
              <w:jc w:val="right"/>
              <w:rPr>
                <w:rFonts w:ascii="Times New Roman" w:hAnsi="Times New Roman" w:cs="Times New Roman" w:eastAsia="Times New Roman" w:hint="default"/>
                <w:sz w:val="21"/>
                <w:szCs w:val="21"/>
              </w:rPr>
            </w:pPr>
            <w:r>
              <w:rPr>
                <w:rFonts w:ascii="Times New Roman"/>
                <w:spacing w:val="-1"/>
                <w:sz w:val="21"/>
              </w:rPr>
              <w:t>---</w:t>
            </w:r>
          </w:p>
        </w:tc>
      </w:tr>
      <w:tr>
        <w:trPr>
          <w:trHeight w:val="312" w:hRule="exact"/>
        </w:trPr>
        <w:tc>
          <w:tcPr>
            <w:tcW w:w="7073"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4"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2167"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4"/>
              <w:jc w:val="right"/>
              <w:rPr>
                <w:rFonts w:ascii="Times New Roman" w:hAnsi="Times New Roman" w:cs="Times New Roman" w:eastAsia="Times New Roman" w:hint="default"/>
                <w:sz w:val="21"/>
                <w:szCs w:val="21"/>
              </w:rPr>
            </w:pPr>
            <w:r>
              <w:rPr>
                <w:rFonts w:ascii="Times New Roman"/>
                <w:spacing w:val="-1"/>
                <w:sz w:val="21"/>
              </w:rPr>
              <w:t>---</w:t>
            </w:r>
          </w:p>
        </w:tc>
      </w:tr>
      <w:tr>
        <w:trPr>
          <w:trHeight w:val="314" w:hRule="exact"/>
        </w:trPr>
        <w:tc>
          <w:tcPr>
            <w:tcW w:w="7073"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4"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2167"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2"/>
              <w:jc w:val="right"/>
              <w:rPr>
                <w:rFonts w:ascii="Times New Roman" w:hAnsi="Times New Roman" w:cs="Times New Roman" w:eastAsia="Times New Roman" w:hint="default"/>
                <w:sz w:val="21"/>
                <w:szCs w:val="21"/>
              </w:rPr>
            </w:pPr>
            <w:r>
              <w:rPr>
                <w:rFonts w:ascii="Times New Roman"/>
                <w:spacing w:val="-1"/>
                <w:sz w:val="21"/>
              </w:rPr>
              <w:t>4,424,106.13</w:t>
            </w:r>
          </w:p>
        </w:tc>
      </w:tr>
      <w:tr>
        <w:trPr>
          <w:trHeight w:val="312" w:hRule="exact"/>
        </w:trPr>
        <w:tc>
          <w:tcPr>
            <w:tcW w:w="7073"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4"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因不可抗力因素，如遭受自然灾害而计提的各项资产减值准备</w:t>
            </w:r>
          </w:p>
        </w:tc>
        <w:tc>
          <w:tcPr>
            <w:tcW w:w="2167"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4"/>
              <w:jc w:val="right"/>
              <w:rPr>
                <w:rFonts w:ascii="Times New Roman" w:hAnsi="Times New Roman" w:cs="Times New Roman" w:eastAsia="Times New Roman" w:hint="default"/>
                <w:sz w:val="21"/>
                <w:szCs w:val="21"/>
              </w:rPr>
            </w:pPr>
            <w:r>
              <w:rPr>
                <w:rFonts w:ascii="Times New Roman"/>
                <w:spacing w:val="-1"/>
                <w:sz w:val="21"/>
              </w:rPr>
              <w:t>---</w:t>
            </w:r>
          </w:p>
        </w:tc>
      </w:tr>
      <w:tr>
        <w:trPr>
          <w:trHeight w:val="314" w:hRule="exact"/>
        </w:trPr>
        <w:tc>
          <w:tcPr>
            <w:tcW w:w="7073"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4"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2167"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4"/>
              <w:jc w:val="right"/>
              <w:rPr>
                <w:rFonts w:ascii="Times New Roman" w:hAnsi="Times New Roman" w:cs="Times New Roman" w:eastAsia="Times New Roman" w:hint="default"/>
                <w:sz w:val="21"/>
                <w:szCs w:val="21"/>
              </w:rPr>
            </w:pPr>
            <w:r>
              <w:rPr>
                <w:rFonts w:ascii="Times New Roman"/>
                <w:spacing w:val="-1"/>
                <w:sz w:val="21"/>
              </w:rPr>
              <w:t>---</w:t>
            </w:r>
          </w:p>
        </w:tc>
      </w:tr>
      <w:tr>
        <w:trPr>
          <w:trHeight w:val="312" w:hRule="exact"/>
        </w:trPr>
        <w:tc>
          <w:tcPr>
            <w:tcW w:w="7073"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4"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企业重组费用，如安置职工的支出、整合费用等</w:t>
            </w:r>
          </w:p>
        </w:tc>
        <w:tc>
          <w:tcPr>
            <w:tcW w:w="2167"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4"/>
              <w:jc w:val="right"/>
              <w:rPr>
                <w:rFonts w:ascii="Times New Roman" w:hAnsi="Times New Roman" w:cs="Times New Roman" w:eastAsia="Times New Roman" w:hint="default"/>
                <w:sz w:val="21"/>
                <w:szCs w:val="21"/>
              </w:rPr>
            </w:pPr>
            <w:r>
              <w:rPr>
                <w:rFonts w:ascii="Times New Roman"/>
                <w:spacing w:val="-1"/>
                <w:sz w:val="21"/>
              </w:rPr>
              <w:t>---</w:t>
            </w:r>
          </w:p>
        </w:tc>
      </w:tr>
      <w:tr>
        <w:trPr>
          <w:trHeight w:val="312" w:hRule="exact"/>
        </w:trPr>
        <w:tc>
          <w:tcPr>
            <w:tcW w:w="7073"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4"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交易价格显失公允的交易产生的超过公允价值部分的损益</w:t>
            </w:r>
          </w:p>
        </w:tc>
        <w:tc>
          <w:tcPr>
            <w:tcW w:w="2167"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4"/>
              <w:jc w:val="right"/>
              <w:rPr>
                <w:rFonts w:ascii="Times New Roman" w:hAnsi="Times New Roman" w:cs="Times New Roman" w:eastAsia="Times New Roman" w:hint="default"/>
                <w:sz w:val="21"/>
                <w:szCs w:val="21"/>
              </w:rPr>
            </w:pPr>
            <w:r>
              <w:rPr>
                <w:rFonts w:ascii="Times New Roman"/>
                <w:spacing w:val="-1"/>
                <w:sz w:val="21"/>
              </w:rPr>
              <w:t>---</w:t>
            </w:r>
          </w:p>
        </w:tc>
      </w:tr>
      <w:tr>
        <w:trPr>
          <w:trHeight w:val="314" w:hRule="exact"/>
        </w:trPr>
        <w:tc>
          <w:tcPr>
            <w:tcW w:w="7073"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4"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同一控制下企业合并产生的子公司期初至合并日的当期净损益</w:t>
            </w:r>
          </w:p>
        </w:tc>
        <w:tc>
          <w:tcPr>
            <w:tcW w:w="2167"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4"/>
              <w:jc w:val="right"/>
              <w:rPr>
                <w:rFonts w:ascii="Times New Roman" w:hAnsi="Times New Roman" w:cs="Times New Roman" w:eastAsia="Times New Roman" w:hint="default"/>
                <w:sz w:val="21"/>
                <w:szCs w:val="21"/>
              </w:rPr>
            </w:pPr>
            <w:r>
              <w:rPr>
                <w:rFonts w:ascii="Times New Roman"/>
                <w:spacing w:val="-1"/>
                <w:sz w:val="21"/>
              </w:rPr>
              <w:t>---</w:t>
            </w:r>
          </w:p>
        </w:tc>
      </w:tr>
      <w:tr>
        <w:trPr>
          <w:trHeight w:val="312" w:hRule="exact"/>
        </w:trPr>
        <w:tc>
          <w:tcPr>
            <w:tcW w:w="7073"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4"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与公司正常经营业务无关的或有事项产生的损益</w:t>
            </w:r>
          </w:p>
        </w:tc>
        <w:tc>
          <w:tcPr>
            <w:tcW w:w="2167"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4"/>
              <w:jc w:val="right"/>
              <w:rPr>
                <w:rFonts w:ascii="Times New Roman" w:hAnsi="Times New Roman" w:cs="Times New Roman" w:eastAsia="Times New Roman" w:hint="default"/>
                <w:sz w:val="21"/>
                <w:szCs w:val="21"/>
              </w:rPr>
            </w:pPr>
            <w:r>
              <w:rPr>
                <w:rFonts w:ascii="Times New Roman"/>
                <w:spacing w:val="-1"/>
                <w:sz w:val="21"/>
              </w:rPr>
              <w:t>---</w:t>
            </w:r>
          </w:p>
        </w:tc>
      </w:tr>
      <w:tr>
        <w:trPr>
          <w:trHeight w:val="859" w:hRule="exact"/>
        </w:trPr>
        <w:tc>
          <w:tcPr>
            <w:tcW w:w="7073"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4" w:right="-6"/>
              <w:jc w:val="left"/>
              <w:rPr>
                <w:rFonts w:ascii="宋体" w:hAnsi="宋体" w:cs="宋体" w:eastAsia="宋体" w:hint="default"/>
                <w:sz w:val="21"/>
                <w:szCs w:val="21"/>
              </w:rPr>
            </w:pPr>
            <w:r>
              <w:rPr>
                <w:rFonts w:ascii="宋体" w:hAnsi="宋体" w:cs="宋体" w:eastAsia="宋体" w:hint="default"/>
                <w:spacing w:val="-4"/>
                <w:sz w:val="21"/>
                <w:szCs w:val="21"/>
              </w:rPr>
              <w:t>除同公司正常经营业务相关的有效套期保值业务外，持有交易性金融资产、交</w:t>
            </w: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pacing w:val="-5"/>
                <w:sz w:val="21"/>
                <w:szCs w:val="21"/>
              </w:rPr>
              <w:t>易性金融负债产生的公允价值变动损益，以及处置交易性金融资产、交易性金</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融负债和可供出售金融资产取得的投资收益</w:t>
            </w:r>
          </w:p>
        </w:tc>
        <w:tc>
          <w:tcPr>
            <w:tcW w:w="2167"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4"/>
              <w:jc w:val="right"/>
              <w:rPr>
                <w:rFonts w:ascii="Times New Roman" w:hAnsi="Times New Roman" w:cs="Times New Roman" w:eastAsia="Times New Roman" w:hint="default"/>
                <w:sz w:val="21"/>
                <w:szCs w:val="21"/>
              </w:rPr>
            </w:pPr>
            <w:r>
              <w:rPr>
                <w:rFonts w:ascii="Times New Roman"/>
                <w:spacing w:val="-1"/>
                <w:sz w:val="21"/>
              </w:rPr>
              <w:t>---</w:t>
            </w:r>
          </w:p>
        </w:tc>
      </w:tr>
      <w:tr>
        <w:trPr>
          <w:trHeight w:val="314" w:hRule="exact"/>
        </w:trPr>
        <w:tc>
          <w:tcPr>
            <w:tcW w:w="7073"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4"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单独进行减值测试的应收款项减值准备转回</w:t>
            </w:r>
          </w:p>
        </w:tc>
        <w:tc>
          <w:tcPr>
            <w:tcW w:w="2167"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4"/>
              <w:jc w:val="right"/>
              <w:rPr>
                <w:rFonts w:ascii="Times New Roman" w:hAnsi="Times New Roman" w:cs="Times New Roman" w:eastAsia="Times New Roman" w:hint="default"/>
                <w:sz w:val="21"/>
                <w:szCs w:val="21"/>
              </w:rPr>
            </w:pPr>
            <w:r>
              <w:rPr>
                <w:rFonts w:ascii="Times New Roman"/>
                <w:spacing w:val="-1"/>
                <w:sz w:val="21"/>
              </w:rPr>
              <w:t>---</w:t>
            </w:r>
          </w:p>
        </w:tc>
      </w:tr>
      <w:tr>
        <w:trPr>
          <w:trHeight w:val="312" w:hRule="exact"/>
        </w:trPr>
        <w:tc>
          <w:tcPr>
            <w:tcW w:w="7073"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4"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2167"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4"/>
              <w:jc w:val="right"/>
              <w:rPr>
                <w:rFonts w:ascii="Times New Roman" w:hAnsi="Times New Roman" w:cs="Times New Roman" w:eastAsia="Times New Roman" w:hint="default"/>
                <w:sz w:val="21"/>
                <w:szCs w:val="21"/>
              </w:rPr>
            </w:pPr>
            <w:r>
              <w:rPr>
                <w:rFonts w:ascii="Times New Roman"/>
                <w:spacing w:val="-1"/>
                <w:sz w:val="21"/>
              </w:rPr>
              <w:t>---</w:t>
            </w:r>
          </w:p>
        </w:tc>
      </w:tr>
      <w:tr>
        <w:trPr>
          <w:trHeight w:val="312" w:hRule="exact"/>
        </w:trPr>
        <w:tc>
          <w:tcPr>
            <w:tcW w:w="7073"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4"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采用公允价值模式进行后续计量的投资性房地产公允价值变动产生的损益</w:t>
            </w:r>
          </w:p>
        </w:tc>
        <w:tc>
          <w:tcPr>
            <w:tcW w:w="2167"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4"/>
              <w:jc w:val="right"/>
              <w:rPr>
                <w:rFonts w:ascii="Times New Roman" w:hAnsi="Times New Roman" w:cs="Times New Roman" w:eastAsia="Times New Roman" w:hint="default"/>
                <w:sz w:val="21"/>
                <w:szCs w:val="21"/>
              </w:rPr>
            </w:pPr>
            <w:r>
              <w:rPr>
                <w:rFonts w:ascii="Times New Roman"/>
                <w:spacing w:val="-1"/>
                <w:sz w:val="21"/>
              </w:rPr>
              <w:t>---</w:t>
            </w:r>
          </w:p>
        </w:tc>
      </w:tr>
      <w:tr>
        <w:trPr>
          <w:trHeight w:val="588" w:hRule="exact"/>
        </w:trPr>
        <w:tc>
          <w:tcPr>
            <w:tcW w:w="7073"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4" w:right="-6"/>
              <w:jc w:val="left"/>
              <w:rPr>
                <w:rFonts w:ascii="宋体" w:hAnsi="宋体" w:cs="宋体" w:eastAsia="宋体" w:hint="default"/>
                <w:sz w:val="21"/>
                <w:szCs w:val="21"/>
              </w:rPr>
            </w:pPr>
            <w:r>
              <w:rPr>
                <w:rFonts w:ascii="宋体" w:hAnsi="宋体" w:cs="宋体" w:eastAsia="宋体" w:hint="default"/>
                <w:spacing w:val="-4"/>
                <w:sz w:val="21"/>
                <w:szCs w:val="21"/>
              </w:rPr>
              <w:t>根据税收、会计等法律、法规的要求对当期损益进行一次性调整对当期损益的</w:t>
            </w:r>
          </w:p>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影响</w:t>
            </w:r>
          </w:p>
        </w:tc>
        <w:tc>
          <w:tcPr>
            <w:tcW w:w="2167"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4"/>
              <w:jc w:val="right"/>
              <w:rPr>
                <w:rFonts w:ascii="Times New Roman" w:hAnsi="Times New Roman" w:cs="Times New Roman" w:eastAsia="Times New Roman" w:hint="default"/>
                <w:sz w:val="21"/>
                <w:szCs w:val="21"/>
              </w:rPr>
            </w:pPr>
            <w:r>
              <w:rPr>
                <w:rFonts w:ascii="Times New Roman"/>
                <w:spacing w:val="-1"/>
                <w:sz w:val="21"/>
              </w:rPr>
              <w:t>---</w:t>
            </w:r>
          </w:p>
        </w:tc>
      </w:tr>
      <w:tr>
        <w:trPr>
          <w:trHeight w:val="312" w:hRule="exact"/>
        </w:trPr>
        <w:tc>
          <w:tcPr>
            <w:tcW w:w="7073"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4"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2167"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4"/>
              <w:jc w:val="right"/>
              <w:rPr>
                <w:rFonts w:ascii="Times New Roman" w:hAnsi="Times New Roman" w:cs="Times New Roman" w:eastAsia="Times New Roman" w:hint="default"/>
                <w:sz w:val="21"/>
                <w:szCs w:val="21"/>
              </w:rPr>
            </w:pPr>
            <w:r>
              <w:rPr>
                <w:rFonts w:ascii="Times New Roman"/>
                <w:spacing w:val="-1"/>
                <w:sz w:val="21"/>
              </w:rPr>
              <w:t>---</w:t>
            </w:r>
          </w:p>
        </w:tc>
      </w:tr>
      <w:tr>
        <w:trPr>
          <w:trHeight w:val="312" w:hRule="exact"/>
        </w:trPr>
        <w:tc>
          <w:tcPr>
            <w:tcW w:w="7073"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4"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2167"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2"/>
              <w:jc w:val="right"/>
              <w:rPr>
                <w:rFonts w:ascii="Times New Roman" w:hAnsi="Times New Roman" w:cs="Times New Roman" w:eastAsia="Times New Roman" w:hint="default"/>
                <w:sz w:val="21"/>
                <w:szCs w:val="21"/>
              </w:rPr>
            </w:pPr>
            <w:r>
              <w:rPr>
                <w:rFonts w:ascii="Times New Roman"/>
                <w:spacing w:val="-1"/>
                <w:sz w:val="21"/>
              </w:rPr>
              <w:t>---</w:t>
            </w:r>
          </w:p>
        </w:tc>
      </w:tr>
      <w:tr>
        <w:trPr>
          <w:trHeight w:val="314" w:hRule="exact"/>
        </w:trPr>
        <w:tc>
          <w:tcPr>
            <w:tcW w:w="7073"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4"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2167"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4"/>
              <w:jc w:val="right"/>
              <w:rPr>
                <w:rFonts w:ascii="Times New Roman" w:hAnsi="Times New Roman" w:cs="Times New Roman" w:eastAsia="Times New Roman" w:hint="default"/>
                <w:sz w:val="21"/>
                <w:szCs w:val="21"/>
              </w:rPr>
            </w:pPr>
            <w:r>
              <w:rPr>
                <w:rFonts w:ascii="Times New Roman"/>
                <w:spacing w:val="-1"/>
                <w:sz w:val="21"/>
              </w:rPr>
              <w:t>---</w:t>
            </w:r>
          </w:p>
        </w:tc>
      </w:tr>
      <w:tr>
        <w:trPr>
          <w:trHeight w:val="312" w:hRule="exact"/>
        </w:trPr>
        <w:tc>
          <w:tcPr>
            <w:tcW w:w="7073"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4"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2167"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2"/>
              <w:jc w:val="right"/>
              <w:rPr>
                <w:rFonts w:ascii="Times New Roman" w:hAnsi="Times New Roman" w:cs="Times New Roman" w:eastAsia="Times New Roman" w:hint="default"/>
                <w:sz w:val="21"/>
                <w:szCs w:val="21"/>
              </w:rPr>
            </w:pPr>
            <w:r>
              <w:rPr>
                <w:rFonts w:ascii="Times New Roman"/>
                <w:spacing w:val="-1"/>
                <w:sz w:val="21"/>
              </w:rPr>
              <w:t>(1,235,614.99)</w:t>
            </w:r>
          </w:p>
        </w:tc>
      </w:tr>
      <w:tr>
        <w:trPr>
          <w:trHeight w:val="314" w:hRule="exact"/>
        </w:trPr>
        <w:tc>
          <w:tcPr>
            <w:tcW w:w="7073"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4" w:right="0"/>
              <w:jc w:val="left"/>
              <w:rPr>
                <w:rFonts w:ascii="宋体" w:hAnsi="宋体" w:cs="宋体" w:eastAsia="宋体" w:hint="default"/>
                <w:sz w:val="21"/>
                <w:szCs w:val="21"/>
              </w:rPr>
            </w:pPr>
            <w:r>
              <w:rPr>
                <w:rFonts w:ascii="宋体" w:hAnsi="宋体" w:cs="宋体" w:eastAsia="宋体" w:hint="default"/>
                <w:sz w:val="21"/>
                <w:szCs w:val="21"/>
              </w:rPr>
              <w:t>少数股东权益影响额（税后）</w:t>
            </w:r>
          </w:p>
        </w:tc>
        <w:tc>
          <w:tcPr>
            <w:tcW w:w="2167"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2"/>
              <w:jc w:val="right"/>
              <w:rPr>
                <w:rFonts w:ascii="Times New Roman" w:hAnsi="Times New Roman" w:cs="Times New Roman" w:eastAsia="Times New Roman" w:hint="default"/>
                <w:sz w:val="21"/>
                <w:szCs w:val="21"/>
              </w:rPr>
            </w:pPr>
            <w:r>
              <w:rPr>
                <w:rFonts w:ascii="Times New Roman"/>
                <w:spacing w:val="-1"/>
                <w:sz w:val="21"/>
              </w:rPr>
              <w:t>---</w:t>
            </w:r>
          </w:p>
        </w:tc>
      </w:tr>
      <w:tr>
        <w:trPr>
          <w:trHeight w:val="314" w:hRule="exact"/>
        </w:trPr>
        <w:tc>
          <w:tcPr>
            <w:tcW w:w="7073"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67"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5"/>
              <w:jc w:val="right"/>
              <w:rPr>
                <w:rFonts w:ascii="Times New Roman" w:hAnsi="Times New Roman" w:cs="Times New Roman" w:eastAsia="Times New Roman" w:hint="default"/>
                <w:sz w:val="21"/>
                <w:szCs w:val="21"/>
              </w:rPr>
            </w:pPr>
            <w:r>
              <w:rPr>
                <w:rFonts w:ascii="Times New Roman"/>
                <w:spacing w:val="-1"/>
                <w:sz w:val="21"/>
              </w:rPr>
              <w:t>7,002,414.11</w:t>
            </w:r>
          </w:p>
        </w:tc>
      </w:tr>
    </w:tbl>
    <w:p>
      <w:pPr>
        <w:spacing w:after="0" w:line="235" w:lineRule="exact"/>
        <w:jc w:val="right"/>
        <w:rPr>
          <w:rFonts w:ascii="Times New Roman" w:hAnsi="Times New Roman" w:cs="Times New Roman" w:eastAsia="Times New Roman" w:hint="default"/>
          <w:sz w:val="21"/>
          <w:szCs w:val="21"/>
        </w:rPr>
        <w:sectPr>
          <w:pgSz w:w="11910" w:h="16840"/>
          <w:pgMar w:header="880" w:footer="979" w:top="1060" w:bottom="1160" w:left="980" w:right="980"/>
        </w:sectPr>
      </w:pPr>
    </w:p>
    <w:p>
      <w:pPr>
        <w:spacing w:line="240" w:lineRule="auto" w:before="8"/>
        <w:rPr>
          <w:rFonts w:ascii="宋体" w:hAnsi="宋体" w:cs="宋体" w:eastAsia="宋体" w:hint="default"/>
          <w:b/>
          <w:bCs/>
          <w:sz w:val="24"/>
          <w:szCs w:val="24"/>
        </w:rPr>
      </w:pPr>
    </w:p>
    <w:p>
      <w:pPr>
        <w:pStyle w:val="Heading5"/>
        <w:spacing w:line="256" w:lineRule="auto" w:before="36"/>
        <w:ind w:right="0" w:firstLine="422"/>
        <w:jc w:val="left"/>
        <w:rPr>
          <w:b w:val="0"/>
          <w:bCs w:val="0"/>
        </w:rPr>
      </w:pPr>
      <w:r>
        <w:rPr/>
        <w:t>本公司自行开发研制软件产品销售收入按法定税率计缴增值税后，对实际税负超过</w:t>
      </w:r>
      <w:r>
        <w:rPr>
          <w:rFonts w:ascii="Times New Roman" w:hAnsi="Times New Roman" w:cs="Times New Roman" w:eastAsia="Times New Roman" w:hint="default"/>
        </w:rPr>
        <w:t>3%</w:t>
      </w:r>
      <w:r>
        <w:rPr/>
        <w:t>的部分享受即</w:t>
      </w:r>
      <w:r>
        <w:rPr>
          <w:w w:val="100"/>
        </w:rPr>
        <w:t> </w:t>
      </w:r>
      <w:r>
        <w:rPr/>
        <w:t>征即退政策，所收到的税收返还，属于正式批准文件的税收返还、减免，不计入非经常性损益。</w:t>
      </w:r>
      <w:r>
        <w:rPr>
          <w:b w:val="0"/>
          <w:bCs w:val="0"/>
        </w:rPr>
      </w:r>
    </w:p>
    <w:p>
      <w:pPr>
        <w:spacing w:line="240" w:lineRule="auto" w:before="7"/>
        <w:rPr>
          <w:rFonts w:ascii="宋体" w:hAnsi="宋体" w:cs="宋体" w:eastAsia="宋体" w:hint="default"/>
          <w:b/>
          <w:bCs/>
          <w:sz w:val="25"/>
          <w:szCs w:val="25"/>
        </w:rPr>
      </w:pPr>
    </w:p>
    <w:p>
      <w:pPr>
        <w:pStyle w:val="Heading5"/>
        <w:spacing w:line="240" w:lineRule="auto"/>
        <w:ind w:left="580" w:right="0"/>
        <w:jc w:val="left"/>
        <w:rPr>
          <w:b w:val="0"/>
          <w:bCs w:val="0"/>
        </w:rPr>
      </w:pPr>
      <w:r>
        <w:rPr/>
        <w:t>（二）净资产收益率及每股收益：</w:t>
      </w:r>
      <w:r>
        <w:rPr>
          <w:b w:val="0"/>
          <w:bCs w:val="0"/>
        </w:rPr>
      </w:r>
    </w:p>
    <w:p>
      <w:pPr>
        <w:spacing w:line="240" w:lineRule="auto" w:before="10"/>
        <w:rPr>
          <w:rFonts w:ascii="宋体" w:hAnsi="宋体" w:cs="宋体" w:eastAsia="宋体" w:hint="default"/>
          <w:b/>
          <w:bCs/>
          <w:sz w:val="3"/>
          <w:szCs w:val="3"/>
        </w:rPr>
      </w:pPr>
    </w:p>
    <w:tbl>
      <w:tblPr>
        <w:tblW w:w="0" w:type="auto"/>
        <w:jc w:val="left"/>
        <w:tblInd w:w="145" w:type="dxa"/>
        <w:tblLayout w:type="fixed"/>
        <w:tblCellMar>
          <w:top w:w="0" w:type="dxa"/>
          <w:left w:w="0" w:type="dxa"/>
          <w:bottom w:w="0" w:type="dxa"/>
          <w:right w:w="0" w:type="dxa"/>
        </w:tblCellMar>
        <w:tblLook w:val="01E0"/>
      </w:tblPr>
      <w:tblGrid>
        <w:gridCol w:w="3281"/>
        <w:gridCol w:w="2287"/>
        <w:gridCol w:w="1865"/>
        <w:gridCol w:w="1807"/>
      </w:tblGrid>
      <w:tr>
        <w:trPr>
          <w:trHeight w:val="355" w:hRule="exact"/>
        </w:trPr>
        <w:tc>
          <w:tcPr>
            <w:tcW w:w="3281" w:type="dxa"/>
            <w:vMerge w:val="restart"/>
            <w:tcBorders>
              <w:top w:val="single" w:sz="6" w:space="0" w:color="000000"/>
              <w:left w:val="single" w:sz="6" w:space="0" w:color="000000"/>
              <w:right w:val="single" w:sz="6" w:space="0" w:color="000000"/>
            </w:tcBorders>
          </w:tcPr>
          <w:p>
            <w:pPr>
              <w:pStyle w:val="TableParagraph"/>
              <w:spacing w:line="250" w:lineRule="exact"/>
              <w:ind w:left="4" w:right="0"/>
              <w:jc w:val="center"/>
              <w:rPr>
                <w:rFonts w:ascii="宋体" w:hAnsi="宋体" w:cs="宋体" w:eastAsia="宋体" w:hint="default"/>
                <w:sz w:val="21"/>
                <w:szCs w:val="21"/>
              </w:rPr>
            </w:pPr>
            <w:r>
              <w:rPr>
                <w:rFonts w:ascii="宋体" w:hAnsi="宋体" w:cs="宋体" w:eastAsia="宋体" w:hint="default"/>
                <w:sz w:val="21"/>
                <w:szCs w:val="21"/>
              </w:rPr>
              <w:t>报告期利润</w:t>
            </w:r>
          </w:p>
        </w:tc>
        <w:tc>
          <w:tcPr>
            <w:tcW w:w="2287" w:type="dxa"/>
            <w:vMerge w:val="restart"/>
            <w:tcBorders>
              <w:top w:val="single" w:sz="6" w:space="0" w:color="000000"/>
              <w:left w:val="single" w:sz="6" w:space="0" w:color="000000"/>
              <w:right w:val="single" w:sz="6" w:space="0" w:color="000000"/>
            </w:tcBorders>
          </w:tcPr>
          <w:p>
            <w:pPr>
              <w:pStyle w:val="TableParagraph"/>
              <w:spacing w:line="250" w:lineRule="exact"/>
              <w:ind w:left="2" w:right="0"/>
              <w:jc w:val="center"/>
              <w:rPr>
                <w:rFonts w:ascii="宋体" w:hAnsi="宋体" w:cs="宋体" w:eastAsia="宋体" w:hint="default"/>
                <w:sz w:val="21"/>
                <w:szCs w:val="21"/>
              </w:rPr>
            </w:pPr>
            <w:r>
              <w:rPr>
                <w:rFonts w:ascii="宋体" w:hAnsi="宋体" w:cs="宋体" w:eastAsia="宋体" w:hint="default"/>
                <w:sz w:val="21"/>
                <w:szCs w:val="21"/>
              </w:rPr>
              <w:t>加权平均净资产收益率</w:t>
            </w:r>
          </w:p>
          <w:p>
            <w:pPr>
              <w:pStyle w:val="TableParagraph"/>
              <w:spacing w:line="290" w:lineRule="exact"/>
              <w:ind w:left="4"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3672" w:type="dxa"/>
            <w:gridSpan w:val="2"/>
            <w:tcBorders>
              <w:top w:val="single" w:sz="6" w:space="0" w:color="000000"/>
              <w:left w:val="single" w:sz="6" w:space="0" w:color="000000"/>
              <w:bottom w:val="single" w:sz="12" w:space="0" w:color="000000"/>
              <w:right w:val="nil" w:sz="6" w:space="0" w:color="auto"/>
            </w:tcBorders>
          </w:tcPr>
          <w:p>
            <w:pPr>
              <w:pStyle w:val="TableParagraph"/>
              <w:spacing w:line="250" w:lineRule="exact"/>
              <w:ind w:right="2"/>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350" w:hRule="exact"/>
        </w:trPr>
        <w:tc>
          <w:tcPr>
            <w:tcW w:w="3281" w:type="dxa"/>
            <w:vMerge/>
            <w:tcBorders>
              <w:left w:val="single" w:sz="6" w:space="0" w:color="000000"/>
              <w:bottom w:val="single" w:sz="12" w:space="0" w:color="000000"/>
              <w:right w:val="single" w:sz="6" w:space="0" w:color="000000"/>
            </w:tcBorders>
          </w:tcPr>
          <w:p>
            <w:pPr/>
          </w:p>
        </w:tc>
        <w:tc>
          <w:tcPr>
            <w:tcW w:w="2287" w:type="dxa"/>
            <w:vMerge/>
            <w:tcBorders>
              <w:left w:val="single" w:sz="6" w:space="0" w:color="000000"/>
              <w:bottom w:val="single" w:sz="12" w:space="0" w:color="000000"/>
              <w:right w:val="single" w:sz="6" w:space="0" w:color="000000"/>
            </w:tcBorders>
          </w:tcPr>
          <w:p>
            <w:pPr/>
          </w:p>
        </w:tc>
        <w:tc>
          <w:tcPr>
            <w:tcW w:w="1865"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基本每股收益</w:t>
            </w:r>
          </w:p>
        </w:tc>
        <w:tc>
          <w:tcPr>
            <w:tcW w:w="1807" w:type="dxa"/>
            <w:tcBorders>
              <w:top w:val="single" w:sz="12" w:space="0" w:color="000000"/>
              <w:left w:val="single" w:sz="6" w:space="0" w:color="000000"/>
              <w:bottom w:val="single" w:sz="12" w:space="0" w:color="000000"/>
              <w:right w:val="nil" w:sz="6" w:space="0" w:color="auto"/>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353" w:hRule="exact"/>
        </w:trPr>
        <w:tc>
          <w:tcPr>
            <w:tcW w:w="3281"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4"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2287"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left="2" w:right="0"/>
              <w:jc w:val="center"/>
              <w:rPr>
                <w:rFonts w:ascii="Times New Roman" w:hAnsi="Times New Roman" w:cs="Times New Roman" w:eastAsia="Times New Roman" w:hint="default"/>
                <w:sz w:val="21"/>
                <w:szCs w:val="21"/>
              </w:rPr>
            </w:pPr>
            <w:r>
              <w:rPr>
                <w:rFonts w:ascii="Times New Roman"/>
                <w:sz w:val="21"/>
              </w:rPr>
              <w:t>6.87</w:t>
            </w:r>
          </w:p>
        </w:tc>
        <w:tc>
          <w:tcPr>
            <w:tcW w:w="1865" w:type="dxa"/>
            <w:tcBorders>
              <w:top w:val="single" w:sz="12" w:space="0" w:color="000000"/>
              <w:left w:val="single" w:sz="6" w:space="0" w:color="000000"/>
              <w:bottom w:val="single" w:sz="12" w:space="0" w:color="000000"/>
              <w:right w:val="single" w:sz="6" w:space="0" w:color="000000"/>
            </w:tcBorders>
          </w:tcPr>
          <w:p>
            <w:pPr>
              <w:pStyle w:val="TableParagraph"/>
              <w:spacing w:line="237" w:lineRule="exact"/>
              <w:ind w:left="2" w:right="0"/>
              <w:jc w:val="center"/>
              <w:rPr>
                <w:rFonts w:ascii="Times New Roman" w:hAnsi="Times New Roman" w:cs="Times New Roman" w:eastAsia="Times New Roman" w:hint="default"/>
                <w:sz w:val="21"/>
                <w:szCs w:val="21"/>
              </w:rPr>
            </w:pPr>
            <w:r>
              <w:rPr>
                <w:rFonts w:ascii="Times New Roman"/>
                <w:sz w:val="21"/>
              </w:rPr>
              <w:t>0.14</w:t>
            </w:r>
          </w:p>
        </w:tc>
        <w:tc>
          <w:tcPr>
            <w:tcW w:w="1807" w:type="dxa"/>
            <w:tcBorders>
              <w:top w:val="single" w:sz="12" w:space="0" w:color="000000"/>
              <w:left w:val="single" w:sz="6" w:space="0" w:color="000000"/>
              <w:bottom w:val="single" w:sz="12" w:space="0" w:color="000000"/>
              <w:right w:val="nil" w:sz="6" w:space="0" w:color="auto"/>
            </w:tcBorders>
          </w:tcPr>
          <w:p>
            <w:pPr>
              <w:pStyle w:val="TableParagraph"/>
              <w:spacing w:line="237" w:lineRule="exact"/>
              <w:ind w:right="2"/>
              <w:jc w:val="center"/>
              <w:rPr>
                <w:rFonts w:ascii="Times New Roman" w:hAnsi="Times New Roman" w:cs="Times New Roman" w:eastAsia="Times New Roman" w:hint="default"/>
                <w:sz w:val="21"/>
                <w:szCs w:val="21"/>
              </w:rPr>
            </w:pPr>
            <w:r>
              <w:rPr>
                <w:rFonts w:ascii="Times New Roman"/>
                <w:sz w:val="21"/>
              </w:rPr>
              <w:t>0.14</w:t>
            </w:r>
          </w:p>
        </w:tc>
      </w:tr>
      <w:tr>
        <w:trPr>
          <w:trHeight w:val="588" w:hRule="exact"/>
        </w:trPr>
        <w:tc>
          <w:tcPr>
            <w:tcW w:w="3281" w:type="dxa"/>
            <w:tcBorders>
              <w:top w:val="single" w:sz="12" w:space="0" w:color="000000"/>
              <w:left w:val="single" w:sz="6" w:space="0" w:color="000000"/>
              <w:bottom w:val="single" w:sz="12" w:space="0" w:color="000000"/>
              <w:right w:val="single" w:sz="6" w:space="0" w:color="000000"/>
            </w:tcBorders>
          </w:tcPr>
          <w:p>
            <w:pPr>
              <w:pStyle w:val="TableParagraph"/>
              <w:spacing w:line="240" w:lineRule="exact"/>
              <w:ind w:left="4" w:right="-10"/>
              <w:jc w:val="left"/>
              <w:rPr>
                <w:rFonts w:ascii="宋体" w:hAnsi="宋体" w:cs="宋体" w:eastAsia="宋体" w:hint="default"/>
                <w:sz w:val="21"/>
                <w:szCs w:val="21"/>
              </w:rPr>
            </w:pPr>
            <w:r>
              <w:rPr>
                <w:rFonts w:ascii="宋体" w:hAnsi="宋体" w:cs="宋体" w:eastAsia="宋体" w:hint="default"/>
                <w:spacing w:val="5"/>
                <w:sz w:val="21"/>
                <w:szCs w:val="21"/>
              </w:rPr>
              <w:t>扣除非经常性损益后归属于公司普</w:t>
            </w:r>
            <w:r>
              <w:rPr>
                <w:rFonts w:ascii="宋体" w:hAnsi="宋体" w:cs="宋体" w:eastAsia="宋体" w:hint="default"/>
                <w:sz w:val="21"/>
                <w:szCs w:val="21"/>
              </w:rPr>
            </w:r>
          </w:p>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通股股东的净利润</w:t>
            </w:r>
          </w:p>
        </w:tc>
        <w:tc>
          <w:tcPr>
            <w:tcW w:w="2287"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4.73</w:t>
            </w:r>
          </w:p>
        </w:tc>
        <w:tc>
          <w:tcPr>
            <w:tcW w:w="1865"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0.10</w:t>
            </w:r>
          </w:p>
        </w:tc>
        <w:tc>
          <w:tcPr>
            <w:tcW w:w="1807"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2"/>
              <w:jc w:val="center"/>
              <w:rPr>
                <w:rFonts w:ascii="Times New Roman" w:hAnsi="Times New Roman" w:cs="Times New Roman" w:eastAsia="Times New Roman" w:hint="default"/>
                <w:sz w:val="21"/>
                <w:szCs w:val="21"/>
              </w:rPr>
            </w:pPr>
            <w:r>
              <w:rPr>
                <w:rFonts w:ascii="Times New Roman"/>
                <w:sz w:val="21"/>
              </w:rPr>
              <w:t>0.10</w:t>
            </w:r>
          </w:p>
        </w:tc>
      </w:tr>
    </w:tbl>
    <w:p>
      <w:pPr>
        <w:spacing w:line="240" w:lineRule="auto" w:before="1"/>
        <w:rPr>
          <w:rFonts w:ascii="宋体" w:hAnsi="宋体" w:cs="宋体" w:eastAsia="宋体" w:hint="default"/>
          <w:b/>
          <w:bCs/>
          <w:sz w:val="18"/>
          <w:szCs w:val="18"/>
        </w:rPr>
      </w:pPr>
    </w:p>
    <w:p>
      <w:pPr>
        <w:spacing w:line="511" w:lineRule="auto" w:before="26"/>
        <w:ind w:left="152" w:right="5692" w:firstLine="0"/>
        <w:jc w:val="left"/>
        <w:rPr>
          <w:rFonts w:ascii="宋体" w:hAnsi="宋体" w:cs="宋体" w:eastAsia="宋体" w:hint="default"/>
          <w:sz w:val="21"/>
          <w:szCs w:val="21"/>
        </w:rPr>
      </w:pPr>
      <w:bookmarkStart w:name="二、财务报表" w:id="113"/>
      <w:bookmarkEnd w:id="113"/>
      <w:r>
        <w:rPr/>
      </w:r>
      <w:r>
        <w:rPr>
          <w:rFonts w:ascii="宋体" w:hAnsi="宋体" w:cs="宋体" w:eastAsia="宋体" w:hint="default"/>
          <w:b/>
          <w:bCs/>
          <w:sz w:val="24"/>
          <w:szCs w:val="24"/>
        </w:rPr>
        <w:t>二、财务报表</w:t>
      </w:r>
      <w:r>
        <w:rPr>
          <w:rFonts w:ascii="宋体" w:hAnsi="宋体" w:cs="宋体" w:eastAsia="宋体" w:hint="default"/>
          <w:b/>
          <w:bCs/>
          <w:w w:val="99"/>
          <w:sz w:val="24"/>
          <w:szCs w:val="24"/>
        </w:rPr>
        <w:t> </w:t>
      </w:r>
      <w:r>
        <w:rPr>
          <w:rFonts w:ascii="宋体" w:hAnsi="宋体" w:cs="宋体" w:eastAsia="宋体" w:hint="default"/>
          <w:spacing w:val="-2"/>
          <w:sz w:val="21"/>
          <w:szCs w:val="21"/>
        </w:rPr>
        <w:t>财务附注中报表的单位为：人民币元</w:t>
      </w:r>
      <w:r>
        <w:rPr>
          <w:rFonts w:ascii="宋体" w:hAnsi="宋体" w:cs="宋体" w:eastAsia="宋体" w:hint="default"/>
          <w:spacing w:val="-72"/>
          <w:sz w:val="21"/>
          <w:szCs w:val="21"/>
        </w:rPr>
        <w:t> </w:t>
      </w:r>
      <w:r>
        <w:rPr>
          <w:rFonts w:ascii="宋体" w:hAnsi="宋体" w:cs="宋体" w:eastAsia="宋体" w:hint="default"/>
          <w:spacing w:val="-72"/>
          <w:sz w:val="21"/>
          <w:szCs w:val="21"/>
        </w:rPr>
      </w:r>
      <w:bookmarkStart w:name="1、合并资产负债表" w:id="114"/>
      <w:bookmarkEnd w:id="114"/>
      <w:r>
        <w:rPr>
          <w:rFonts w:ascii="宋体" w:hAnsi="宋体" w:cs="宋体" w:eastAsia="宋体" w:hint="default"/>
          <w:spacing w:val="-72"/>
          <w:sz w:val="21"/>
          <w:szCs w:val="21"/>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、合并资产负债表</w:t>
      </w:r>
      <w:r>
        <w:rPr>
          <w:rFonts w:ascii="宋体" w:hAnsi="宋体" w:cs="宋体" w:eastAsia="宋体" w:hint="default"/>
          <w:sz w:val="21"/>
          <w:szCs w:val="21"/>
        </w:rPr>
      </w:r>
    </w:p>
    <w:p>
      <w:pPr>
        <w:pStyle w:val="BodyText"/>
        <w:spacing w:line="240" w:lineRule="auto" w:before="61"/>
        <w:ind w:right="0"/>
        <w:jc w:val="left"/>
      </w:pPr>
      <w:r>
        <w:rPr/>
        <w:t>编制单位：深圳市方直科技股份有限公司</w:t>
      </w:r>
    </w:p>
    <w:p>
      <w:pPr>
        <w:pStyle w:val="BodyText"/>
        <w:spacing w:line="240" w:lineRule="auto" w:before="37"/>
        <w:ind w:left="0" w:right="150"/>
        <w:jc w:val="right"/>
      </w:pPr>
      <w:r>
        <w:rPr>
          <w:spacing w:val="-1"/>
        </w:rPr>
        <w:t>单位：元</w:t>
      </w:r>
    </w:p>
    <w:p>
      <w:pPr>
        <w:spacing w:line="240" w:lineRule="auto" w:before="10"/>
        <w:rPr>
          <w:rFonts w:ascii="宋体" w:hAnsi="宋体" w:cs="宋体" w:eastAsia="宋体" w:hint="default"/>
          <w:sz w:val="3"/>
          <w:szCs w:val="3"/>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5"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28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2" w:lineRule="exact"/>
              <w:ind w:left="434" w:right="0"/>
              <w:jc w:val="left"/>
              <w:rPr>
                <w:rFonts w:ascii="宋体" w:hAnsi="宋体" w:cs="宋体" w:eastAsia="宋体" w:hint="default"/>
                <w:sz w:val="21"/>
                <w:szCs w:val="21"/>
              </w:rPr>
            </w:pPr>
            <w:r>
              <w:rPr>
                <w:rFonts w:ascii="宋体" w:hAnsi="宋体" w:cs="宋体" w:eastAsia="宋体" w:hint="default"/>
                <w:spacing w:val="-3"/>
                <w:sz w:val="21"/>
                <w:szCs w:val="21"/>
              </w:rPr>
              <w:t>货币资金</w:t>
            </w:r>
            <w:r>
              <w:rPr>
                <w:rFonts w:ascii="宋体" w:hAnsi="宋体" w:cs="宋体" w:eastAsia="宋体" w:hint="default"/>
                <w:sz w:val="21"/>
                <w:szCs w:val="21"/>
              </w:rPr>
            </w:r>
          </w:p>
        </w:tc>
        <w:tc>
          <w:tcPr>
            <w:tcW w:w="3311" w:type="dxa"/>
            <w:tcBorders>
              <w:top w:val="single" w:sz="6" w:space="0" w:color="D4D4D4"/>
              <w:left w:val="single" w:sz="10" w:space="0" w:color="D4D4D4"/>
              <w:bottom w:val="single" w:sz="4" w:space="0" w:color="000000"/>
              <w:right w:val="single" w:sz="4" w:space="0" w:color="000000"/>
            </w:tcBorders>
          </w:tcPr>
          <w:p>
            <w:pPr>
              <w:pStyle w:val="TableParagraph"/>
              <w:spacing w:line="240" w:lineRule="auto" w:before="6"/>
              <w:ind w:right="17"/>
              <w:jc w:val="right"/>
              <w:rPr>
                <w:rFonts w:ascii="Times New Roman" w:hAnsi="Times New Roman" w:cs="Times New Roman" w:eastAsia="Times New Roman" w:hint="default"/>
                <w:sz w:val="21"/>
                <w:szCs w:val="21"/>
              </w:rPr>
            </w:pPr>
            <w:r>
              <w:rPr>
                <w:rFonts w:ascii="Times New Roman"/>
                <w:spacing w:val="-1"/>
                <w:sz w:val="21"/>
              </w:rPr>
              <w:t>121,299,781.90</w:t>
            </w:r>
          </w:p>
        </w:tc>
        <w:tc>
          <w:tcPr>
            <w:tcW w:w="3302" w:type="dxa"/>
            <w:tcBorders>
              <w:top w:val="single" w:sz="6" w:space="0" w:color="D4D4D4"/>
              <w:left w:val="single" w:sz="4" w:space="0" w:color="000000"/>
              <w:bottom w:val="single" w:sz="4" w:space="0" w:color="000000"/>
              <w:right w:val="single" w:sz="4" w:space="0" w:color="000000"/>
            </w:tcBorders>
          </w:tcPr>
          <w:p>
            <w:pPr>
              <w:pStyle w:val="TableParagraph"/>
              <w:spacing w:line="240" w:lineRule="auto" w:before="6"/>
              <w:ind w:right="19"/>
              <w:jc w:val="right"/>
              <w:rPr>
                <w:rFonts w:ascii="Times New Roman" w:hAnsi="Times New Roman" w:cs="Times New Roman" w:eastAsia="Times New Roman" w:hint="default"/>
                <w:sz w:val="21"/>
                <w:szCs w:val="21"/>
              </w:rPr>
            </w:pPr>
            <w:r>
              <w:rPr>
                <w:rFonts w:ascii="Times New Roman"/>
                <w:spacing w:val="-1"/>
                <w:sz w:val="21"/>
              </w:rPr>
              <w:t>126,386,318.45</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3" w:lineRule="exact"/>
              <w:ind w:left="434"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pacing w:val="-3"/>
                <w:sz w:val="21"/>
                <w:szCs w:val="21"/>
              </w:rPr>
              <w:t>拆出资金</w:t>
            </w:r>
            <w:r>
              <w:rPr>
                <w:rFonts w:ascii="宋体" w:hAnsi="宋体" w:cs="宋体" w:eastAsia="宋体" w:hint="default"/>
                <w:sz w:val="21"/>
                <w:szCs w:val="21"/>
              </w:rPr>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exact"/>
              <w:ind w:left="43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计入当期损益的金融资产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pacing w:val="-3"/>
                <w:sz w:val="21"/>
                <w:szCs w:val="21"/>
              </w:rPr>
              <w:t>应收票据</w:t>
            </w:r>
            <w:r>
              <w:rPr>
                <w:rFonts w:ascii="宋体" w:hAnsi="宋体" w:cs="宋体" w:eastAsia="宋体" w:hint="default"/>
                <w:sz w:val="21"/>
                <w:szCs w:val="21"/>
              </w:rPr>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500,000.00</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pacing w:val="-3"/>
                <w:sz w:val="21"/>
                <w:szCs w:val="21"/>
              </w:rPr>
              <w:t>应收账款</w:t>
            </w:r>
            <w:r>
              <w:rPr>
                <w:rFonts w:ascii="宋体" w:hAnsi="宋体" w:cs="宋体" w:eastAsia="宋体" w:hint="default"/>
                <w:sz w:val="21"/>
                <w:szCs w:val="21"/>
              </w:rPr>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16,749,408.88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18,799,895.91</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pacing w:val="-3"/>
                <w:sz w:val="21"/>
                <w:szCs w:val="21"/>
              </w:rPr>
              <w:t>预付款项</w:t>
            </w:r>
            <w:r>
              <w:rPr>
                <w:rFonts w:ascii="宋体" w:hAnsi="宋体" w:cs="宋体" w:eastAsia="宋体" w:hint="default"/>
                <w:sz w:val="21"/>
                <w:szCs w:val="21"/>
              </w:rPr>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3,368,725.73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852,273.26</w:t>
            </w:r>
          </w:p>
        </w:tc>
      </w:tr>
      <w:tr>
        <w:trPr>
          <w:trHeight w:val="28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pacing w:val="-3"/>
                <w:sz w:val="21"/>
                <w:szCs w:val="21"/>
              </w:rPr>
              <w:t>应收保费</w:t>
            </w:r>
            <w:r>
              <w:rPr>
                <w:rFonts w:ascii="宋体" w:hAnsi="宋体" w:cs="宋体" w:eastAsia="宋体" w:hint="default"/>
                <w:sz w:val="21"/>
                <w:szCs w:val="21"/>
              </w:rPr>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3" w:lineRule="exact"/>
              <w:ind w:left="434"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3" w:lineRule="exact"/>
              <w:ind w:left="434"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pacing w:val="-3"/>
                <w:sz w:val="21"/>
                <w:szCs w:val="21"/>
              </w:rPr>
              <w:t>应收利息</w:t>
            </w:r>
            <w:r>
              <w:rPr>
                <w:rFonts w:ascii="宋体" w:hAnsi="宋体" w:cs="宋体" w:eastAsia="宋体" w:hint="default"/>
                <w:sz w:val="21"/>
                <w:szCs w:val="21"/>
              </w:rPr>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1,628,808.89</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pacing w:val="-3"/>
                <w:sz w:val="21"/>
                <w:szCs w:val="21"/>
              </w:rPr>
              <w:t>应收股利</w:t>
            </w:r>
            <w:r>
              <w:rPr>
                <w:rFonts w:ascii="宋体" w:hAnsi="宋体" w:cs="宋体" w:eastAsia="宋体" w:hint="default"/>
                <w:sz w:val="21"/>
                <w:szCs w:val="21"/>
              </w:rPr>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1,138,190.09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737,112.24</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pacing w:val="-3"/>
                <w:sz w:val="21"/>
                <w:szCs w:val="21"/>
              </w:rPr>
              <w:t>存货</w:t>
            </w:r>
            <w:r>
              <w:rPr>
                <w:rFonts w:ascii="宋体" w:hAnsi="宋体" w:cs="宋体" w:eastAsia="宋体" w:hint="default"/>
                <w:sz w:val="21"/>
                <w:szCs w:val="21"/>
              </w:rPr>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5,137,881.57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6,968,567.42</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划分为持有待售的资产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100,000,000.00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80,000,000.00</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3311" w:type="dxa"/>
            <w:tcBorders>
              <w:top w:val="single" w:sz="4" w:space="0" w:color="000000"/>
              <w:left w:val="single" w:sz="10" w:space="0" w:color="D4D4D4"/>
              <w:bottom w:val="single" w:sz="10" w:space="0" w:color="D4D4D4"/>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249,322,797.06</w:t>
            </w:r>
          </w:p>
        </w:tc>
        <w:tc>
          <w:tcPr>
            <w:tcW w:w="3302" w:type="dxa"/>
            <w:tcBorders>
              <w:top w:val="single" w:sz="4" w:space="0" w:color="000000"/>
              <w:left w:val="single" w:sz="4" w:space="0" w:color="000000"/>
              <w:bottom w:val="single" w:sz="10" w:space="0" w:color="D4D4D4"/>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234,244,167.28</w:t>
            </w:r>
          </w:p>
        </w:tc>
      </w:tr>
      <w:tr>
        <w:trPr>
          <w:trHeight w:val="28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28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2" w:lineRule="exact"/>
              <w:ind w:left="434" w:right="0"/>
              <w:jc w:val="left"/>
              <w:rPr>
                <w:rFonts w:ascii="宋体" w:hAnsi="宋体" w:cs="宋体" w:eastAsia="宋体" w:hint="default"/>
                <w:sz w:val="21"/>
                <w:szCs w:val="21"/>
              </w:rPr>
            </w:pPr>
            <w:r>
              <w:rPr>
                <w:rFonts w:ascii="宋体" w:hAnsi="宋体" w:cs="宋体" w:eastAsia="宋体" w:hint="default"/>
                <w:sz w:val="21"/>
                <w:szCs w:val="21"/>
              </w:rPr>
              <w:t>发放贷款及垫款</w:t>
            </w:r>
          </w:p>
        </w:tc>
        <w:tc>
          <w:tcPr>
            <w:tcW w:w="3311" w:type="dxa"/>
            <w:tcBorders>
              <w:top w:val="single" w:sz="10" w:space="0" w:color="D4D4D4"/>
              <w:left w:val="single" w:sz="10" w:space="0" w:color="D4D4D4"/>
              <w:bottom w:val="single" w:sz="4" w:space="0" w:color="000000"/>
              <w:right w:val="single" w:sz="4" w:space="0" w:color="000000"/>
            </w:tcBorders>
          </w:tcPr>
          <w:p>
            <w:pPr/>
          </w:p>
        </w:tc>
        <w:tc>
          <w:tcPr>
            <w:tcW w:w="3302" w:type="dxa"/>
            <w:tcBorders>
              <w:top w:val="single" w:sz="10" w:space="0" w:color="D4D4D4"/>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3" w:lineRule="exact"/>
              <w:ind w:left="434"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6,000,000.00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pacing w:val="-3"/>
                <w:sz w:val="21"/>
                <w:szCs w:val="21"/>
              </w:rPr>
              <w:t>固定资产</w:t>
            </w:r>
            <w:r>
              <w:rPr>
                <w:rFonts w:ascii="宋体" w:hAnsi="宋体" w:cs="宋体" w:eastAsia="宋体" w:hint="default"/>
                <w:sz w:val="21"/>
                <w:szCs w:val="21"/>
              </w:rPr>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18,849,079.62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19,379,022.84</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pacing w:val="-3"/>
                <w:sz w:val="21"/>
                <w:szCs w:val="21"/>
              </w:rPr>
              <w:t>在建工程</w:t>
            </w:r>
            <w:r>
              <w:rPr>
                <w:rFonts w:ascii="宋体" w:hAnsi="宋体" w:cs="宋体" w:eastAsia="宋体" w:hint="default"/>
                <w:sz w:val="21"/>
                <w:szCs w:val="21"/>
              </w:rPr>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pacing w:val="-3"/>
                <w:sz w:val="21"/>
                <w:szCs w:val="21"/>
              </w:rPr>
              <w:t>工程物资</w:t>
            </w:r>
            <w:r>
              <w:rPr>
                <w:rFonts w:ascii="宋体" w:hAnsi="宋体" w:cs="宋体" w:eastAsia="宋体" w:hint="default"/>
                <w:sz w:val="21"/>
                <w:szCs w:val="21"/>
              </w:rPr>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3" w:lineRule="exact"/>
              <w:ind w:left="434" w:right="0"/>
              <w:jc w:val="left"/>
              <w:rPr>
                <w:rFonts w:ascii="宋体" w:hAnsi="宋体" w:cs="宋体" w:eastAsia="宋体" w:hint="default"/>
                <w:sz w:val="21"/>
                <w:szCs w:val="21"/>
              </w:rPr>
            </w:pPr>
            <w:r>
              <w:rPr>
                <w:rFonts w:ascii="宋体" w:hAnsi="宋体" w:cs="宋体" w:eastAsia="宋体" w:hint="default"/>
                <w:spacing w:val="-3"/>
                <w:sz w:val="21"/>
                <w:szCs w:val="21"/>
              </w:rPr>
              <w:t>油气资产</w:t>
            </w:r>
            <w:r>
              <w:rPr>
                <w:rFonts w:ascii="宋体" w:hAnsi="宋体" w:cs="宋体" w:eastAsia="宋体" w:hint="default"/>
                <w:sz w:val="21"/>
                <w:szCs w:val="21"/>
              </w:rPr>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3" w:lineRule="exact"/>
              <w:ind w:left="434" w:right="0"/>
              <w:jc w:val="left"/>
              <w:rPr>
                <w:rFonts w:ascii="宋体" w:hAnsi="宋体" w:cs="宋体" w:eastAsia="宋体" w:hint="default"/>
                <w:sz w:val="21"/>
                <w:szCs w:val="21"/>
              </w:rPr>
            </w:pPr>
            <w:r>
              <w:rPr>
                <w:rFonts w:ascii="宋体" w:hAnsi="宋体" w:cs="宋体" w:eastAsia="宋体" w:hint="default"/>
                <w:spacing w:val="-3"/>
                <w:sz w:val="21"/>
                <w:szCs w:val="21"/>
              </w:rPr>
              <w:t>无形资产</w:t>
            </w:r>
            <w:r>
              <w:rPr>
                <w:rFonts w:ascii="宋体" w:hAnsi="宋体" w:cs="宋体" w:eastAsia="宋体" w:hint="default"/>
                <w:sz w:val="21"/>
                <w:szCs w:val="21"/>
              </w:rPr>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3,678,299.87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5,124,940.22</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pacing w:val="-3"/>
                <w:sz w:val="21"/>
                <w:szCs w:val="21"/>
              </w:rPr>
              <w:t>开发支出</w:t>
            </w:r>
            <w:r>
              <w:rPr>
                <w:rFonts w:ascii="宋体" w:hAnsi="宋体" w:cs="宋体" w:eastAsia="宋体" w:hint="default"/>
                <w:sz w:val="21"/>
                <w:szCs w:val="21"/>
              </w:rPr>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2,421,278.60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1,457,813.01</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pacing w:val="-3"/>
                <w:sz w:val="21"/>
                <w:szCs w:val="21"/>
              </w:rPr>
              <w:t>商誉</w:t>
            </w:r>
            <w:r>
              <w:rPr>
                <w:rFonts w:ascii="宋体" w:hAnsi="宋体" w:cs="宋体" w:eastAsia="宋体" w:hint="default"/>
                <w:sz w:val="21"/>
                <w:szCs w:val="21"/>
              </w:rPr>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83,940.16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83,940.16</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32,004.01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99,415.99</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310,894.98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195,419.25</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74,053,557.00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74,053,557.00</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105,429,054.24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100,394,108.47</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3311" w:type="dxa"/>
            <w:tcBorders>
              <w:top w:val="single" w:sz="4" w:space="0" w:color="000000"/>
              <w:left w:val="single" w:sz="10" w:space="0" w:color="D4D4D4"/>
              <w:bottom w:val="single" w:sz="6" w:space="0" w:color="D4D4D4"/>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354,751,851.30</w:t>
            </w:r>
          </w:p>
        </w:tc>
        <w:tc>
          <w:tcPr>
            <w:tcW w:w="3302" w:type="dxa"/>
            <w:tcBorders>
              <w:top w:val="single" w:sz="4" w:space="0" w:color="000000"/>
              <w:left w:val="single" w:sz="4" w:space="0" w:color="000000"/>
              <w:bottom w:val="single" w:sz="6" w:space="0" w:color="D4D4D4"/>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334,638,275.75</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pacing w:val="-3"/>
                <w:sz w:val="21"/>
                <w:szCs w:val="21"/>
              </w:rPr>
              <w:t>短期借款</w:t>
            </w:r>
            <w:r>
              <w:rPr>
                <w:rFonts w:ascii="宋体" w:hAnsi="宋体" w:cs="宋体" w:eastAsia="宋体" w:hint="default"/>
                <w:sz w:val="21"/>
                <w:szCs w:val="21"/>
              </w:rPr>
            </w:r>
          </w:p>
        </w:tc>
        <w:tc>
          <w:tcPr>
            <w:tcW w:w="3311" w:type="dxa"/>
            <w:tcBorders>
              <w:top w:val="single" w:sz="7" w:space="0" w:color="D4D4D4"/>
              <w:left w:val="single" w:sz="10" w:space="0" w:color="D4D4D4"/>
              <w:bottom w:val="single" w:sz="4" w:space="0" w:color="000000"/>
              <w:right w:val="single" w:sz="4" w:space="0" w:color="000000"/>
            </w:tcBorders>
          </w:tcPr>
          <w:p>
            <w:pPr/>
          </w:p>
        </w:tc>
        <w:tc>
          <w:tcPr>
            <w:tcW w:w="3302" w:type="dxa"/>
            <w:tcBorders>
              <w:top w:val="single" w:sz="7" w:space="0" w:color="D4D4D4"/>
              <w:left w:val="single" w:sz="4" w:space="0" w:color="000000"/>
              <w:bottom w:val="single" w:sz="4" w:space="0" w:color="000000"/>
              <w:right w:val="single" w:sz="4" w:space="0" w:color="000000"/>
            </w:tcBorders>
          </w:tcPr>
          <w:p>
            <w:pPr/>
          </w:p>
        </w:tc>
      </w:tr>
      <w:tr>
        <w:trPr>
          <w:trHeight w:val="28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3" w:lineRule="exact"/>
              <w:ind w:left="434"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3" w:lineRule="exact"/>
              <w:ind w:left="434" w:right="0"/>
              <w:jc w:val="left"/>
              <w:rPr>
                <w:rFonts w:ascii="宋体" w:hAnsi="宋体" w:cs="宋体" w:eastAsia="宋体" w:hint="default"/>
                <w:sz w:val="21"/>
                <w:szCs w:val="21"/>
              </w:rPr>
            </w:pPr>
            <w:r>
              <w:rPr>
                <w:rFonts w:ascii="宋体" w:hAnsi="宋体" w:cs="宋体" w:eastAsia="宋体" w:hint="default"/>
                <w:spacing w:val="-3"/>
                <w:sz w:val="21"/>
                <w:szCs w:val="21"/>
              </w:rPr>
              <w:t>拆入资金</w:t>
            </w:r>
            <w:r>
              <w:rPr>
                <w:rFonts w:ascii="宋体" w:hAnsi="宋体" w:cs="宋体" w:eastAsia="宋体" w:hint="default"/>
                <w:sz w:val="21"/>
                <w:szCs w:val="21"/>
              </w:rPr>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exact"/>
              <w:ind w:left="43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计入当期损益的金融负债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pacing w:val="-3"/>
                <w:sz w:val="21"/>
                <w:szCs w:val="21"/>
              </w:rPr>
              <w:t>应付票据</w:t>
            </w:r>
            <w:r>
              <w:rPr>
                <w:rFonts w:ascii="宋体" w:hAnsi="宋体" w:cs="宋体" w:eastAsia="宋体" w:hint="default"/>
                <w:sz w:val="21"/>
                <w:szCs w:val="21"/>
              </w:rPr>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pacing w:val="-3"/>
                <w:sz w:val="21"/>
                <w:szCs w:val="21"/>
              </w:rPr>
              <w:t>应付账款</w:t>
            </w:r>
            <w:r>
              <w:rPr>
                <w:rFonts w:ascii="宋体" w:hAnsi="宋体" w:cs="宋体" w:eastAsia="宋体" w:hint="default"/>
                <w:sz w:val="21"/>
                <w:szCs w:val="21"/>
              </w:rPr>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5,949,989.55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7,654,086.30</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pacing w:val="-3"/>
                <w:sz w:val="21"/>
                <w:szCs w:val="21"/>
              </w:rPr>
              <w:t>预收款项</w:t>
            </w:r>
            <w:r>
              <w:rPr>
                <w:rFonts w:ascii="宋体" w:hAnsi="宋体" w:cs="宋体" w:eastAsia="宋体" w:hint="default"/>
                <w:sz w:val="21"/>
                <w:szCs w:val="21"/>
              </w:rPr>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1,218,599.82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673,126.44</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3" w:lineRule="exact"/>
              <w:ind w:left="434"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833,936.88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2"/>
                <w:sz w:val="21"/>
              </w:rPr>
              <w:t>600,311.81</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3" w:lineRule="exact"/>
              <w:ind w:left="434" w:right="0"/>
              <w:jc w:val="left"/>
              <w:rPr>
                <w:rFonts w:ascii="宋体" w:hAnsi="宋体" w:cs="宋体" w:eastAsia="宋体" w:hint="default"/>
                <w:sz w:val="21"/>
                <w:szCs w:val="21"/>
              </w:rPr>
            </w:pPr>
            <w:r>
              <w:rPr>
                <w:rFonts w:ascii="宋体" w:hAnsi="宋体" w:cs="宋体" w:eastAsia="宋体" w:hint="default"/>
                <w:spacing w:val="-3"/>
                <w:sz w:val="21"/>
                <w:szCs w:val="21"/>
              </w:rPr>
              <w:t>应交税费</w:t>
            </w:r>
            <w:r>
              <w:rPr>
                <w:rFonts w:ascii="宋体" w:hAnsi="宋体" w:cs="宋体" w:eastAsia="宋体" w:hint="default"/>
                <w:sz w:val="21"/>
                <w:szCs w:val="21"/>
              </w:rPr>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424,528.58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861,678.02</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pacing w:val="-3"/>
                <w:sz w:val="21"/>
                <w:szCs w:val="21"/>
              </w:rPr>
              <w:t>应付利息</w:t>
            </w:r>
            <w:r>
              <w:rPr>
                <w:rFonts w:ascii="宋体" w:hAnsi="宋体" w:cs="宋体" w:eastAsia="宋体" w:hint="default"/>
                <w:sz w:val="21"/>
                <w:szCs w:val="21"/>
              </w:rPr>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pacing w:val="-3"/>
                <w:sz w:val="21"/>
                <w:szCs w:val="21"/>
              </w:rPr>
              <w:t>应付股利</w:t>
            </w:r>
            <w:r>
              <w:rPr>
                <w:rFonts w:ascii="宋体" w:hAnsi="宋体" w:cs="宋体" w:eastAsia="宋体" w:hint="default"/>
                <w:sz w:val="21"/>
                <w:szCs w:val="21"/>
              </w:rPr>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4,478,877.25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1,228,539.08</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划分为持有待售的负债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3" w:lineRule="exact"/>
              <w:ind w:left="12"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3311" w:type="dxa"/>
            <w:tcBorders>
              <w:top w:val="single" w:sz="4" w:space="0" w:color="000000"/>
              <w:left w:val="single" w:sz="10" w:space="0" w:color="D4D4D4"/>
              <w:bottom w:val="single" w:sz="11" w:space="0" w:color="D4D4D4"/>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12,905,932.08</w:t>
            </w:r>
          </w:p>
        </w:tc>
        <w:tc>
          <w:tcPr>
            <w:tcW w:w="3302" w:type="dxa"/>
            <w:tcBorders>
              <w:top w:val="single" w:sz="4" w:space="0" w:color="000000"/>
              <w:left w:val="single" w:sz="4" w:space="0" w:color="000000"/>
              <w:bottom w:val="single" w:sz="11" w:space="0" w:color="D4D4D4"/>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2"/>
                <w:sz w:val="21"/>
              </w:rPr>
              <w:t>11,017,741.65</w:t>
            </w:r>
          </w:p>
        </w:tc>
      </w:tr>
      <w:tr>
        <w:trPr>
          <w:trHeight w:val="28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2" w:lineRule="exact"/>
              <w:ind w:left="12"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pacing w:val="-3"/>
                <w:sz w:val="21"/>
                <w:szCs w:val="21"/>
              </w:rPr>
              <w:t>长期借款</w:t>
            </w:r>
            <w:r>
              <w:rPr>
                <w:rFonts w:ascii="宋体" w:hAnsi="宋体" w:cs="宋体" w:eastAsia="宋体" w:hint="default"/>
                <w:sz w:val="21"/>
                <w:szCs w:val="21"/>
              </w:rPr>
            </w:r>
          </w:p>
        </w:tc>
        <w:tc>
          <w:tcPr>
            <w:tcW w:w="3311" w:type="dxa"/>
            <w:tcBorders>
              <w:top w:val="single" w:sz="6" w:space="0" w:color="D4D4D4"/>
              <w:left w:val="single" w:sz="10" w:space="0" w:color="D4D4D4"/>
              <w:bottom w:val="single" w:sz="4" w:space="0" w:color="000000"/>
              <w:right w:val="single" w:sz="4" w:space="0" w:color="000000"/>
            </w:tcBorders>
          </w:tcPr>
          <w:p>
            <w:pPr/>
          </w:p>
        </w:tc>
        <w:tc>
          <w:tcPr>
            <w:tcW w:w="3302" w:type="dxa"/>
            <w:tcBorders>
              <w:top w:val="single" w:sz="6" w:space="0" w:color="D4D4D4"/>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pacing w:val="-3"/>
                <w:sz w:val="21"/>
                <w:szCs w:val="21"/>
              </w:rPr>
              <w:t>应付债券</w:t>
            </w:r>
            <w:r>
              <w:rPr>
                <w:rFonts w:ascii="宋体" w:hAnsi="宋体" w:cs="宋体" w:eastAsia="宋体" w:hint="default"/>
                <w:sz w:val="21"/>
                <w:szCs w:val="21"/>
              </w:rPr>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643"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246" w:right="0"/>
              <w:jc w:val="center"/>
              <w:rPr>
                <w:rFonts w:ascii="宋体" w:hAnsi="宋体" w:cs="宋体" w:eastAsia="宋体" w:hint="default"/>
                <w:sz w:val="21"/>
                <w:szCs w:val="21"/>
              </w:rPr>
            </w:pPr>
            <w:r>
              <w:rPr>
                <w:rFonts w:ascii="宋体" w:hAnsi="宋体" w:cs="宋体" w:eastAsia="宋体" w:hint="default"/>
                <w:sz w:val="21"/>
                <w:szCs w:val="21"/>
              </w:rPr>
              <w:t>永续债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pacing w:val="-3"/>
                <w:sz w:val="21"/>
                <w:szCs w:val="21"/>
              </w:rPr>
              <w:t>预计负债</w:t>
            </w:r>
            <w:r>
              <w:rPr>
                <w:rFonts w:ascii="宋体" w:hAnsi="宋体" w:cs="宋体" w:eastAsia="宋体" w:hint="default"/>
                <w:sz w:val="21"/>
                <w:szCs w:val="21"/>
              </w:rPr>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pacing w:val="-3"/>
                <w:sz w:val="21"/>
                <w:szCs w:val="21"/>
              </w:rPr>
              <w:t>递延收益</w:t>
            </w:r>
            <w:r>
              <w:rPr>
                <w:rFonts w:ascii="宋体" w:hAnsi="宋体" w:cs="宋体" w:eastAsia="宋体" w:hint="default"/>
                <w:sz w:val="21"/>
                <w:szCs w:val="21"/>
              </w:rPr>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5,405,801.36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4,620,556.01</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196,234.42</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5,602,035.78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4,620,556.01</w:t>
            </w:r>
          </w:p>
        </w:tc>
      </w:tr>
      <w:tr>
        <w:trPr>
          <w:trHeight w:val="28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3311" w:type="dxa"/>
            <w:tcBorders>
              <w:top w:val="single" w:sz="4" w:space="0" w:color="000000"/>
              <w:left w:val="single" w:sz="10" w:space="0" w:color="D4D4D4"/>
              <w:bottom w:val="single" w:sz="11" w:space="0" w:color="D4D4D4"/>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18,507,967.86</w:t>
            </w:r>
          </w:p>
        </w:tc>
        <w:tc>
          <w:tcPr>
            <w:tcW w:w="3302" w:type="dxa"/>
            <w:tcBorders>
              <w:top w:val="single" w:sz="4" w:space="0" w:color="000000"/>
              <w:left w:val="single" w:sz="4" w:space="0" w:color="000000"/>
              <w:bottom w:val="single" w:sz="11" w:space="0" w:color="D4D4D4"/>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15,638,297.66</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2" w:lineRule="exact"/>
              <w:ind w:left="12" w:right="0"/>
              <w:jc w:val="left"/>
              <w:rPr>
                <w:rFonts w:ascii="宋体" w:hAnsi="宋体" w:cs="宋体" w:eastAsia="宋体" w:hint="default"/>
                <w:sz w:val="21"/>
                <w:szCs w:val="21"/>
              </w:rPr>
            </w:pPr>
            <w:r>
              <w:rPr>
                <w:rFonts w:ascii="宋体" w:hAnsi="宋体" w:cs="宋体" w:eastAsia="宋体" w:hint="default"/>
                <w:sz w:val="21"/>
                <w:szCs w:val="21"/>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28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2" w:lineRule="exact"/>
              <w:ind w:left="434" w:right="0"/>
              <w:jc w:val="left"/>
              <w:rPr>
                <w:rFonts w:ascii="宋体" w:hAnsi="宋体" w:cs="宋体" w:eastAsia="宋体" w:hint="default"/>
                <w:sz w:val="21"/>
                <w:szCs w:val="21"/>
              </w:rPr>
            </w:pPr>
            <w:r>
              <w:rPr>
                <w:rFonts w:ascii="宋体" w:hAnsi="宋体" w:cs="宋体" w:eastAsia="宋体" w:hint="default"/>
                <w:spacing w:val="-3"/>
                <w:sz w:val="21"/>
                <w:szCs w:val="21"/>
              </w:rPr>
              <w:t>股本</w:t>
            </w:r>
            <w:r>
              <w:rPr>
                <w:rFonts w:ascii="宋体" w:hAnsi="宋体" w:cs="宋体" w:eastAsia="宋体" w:hint="default"/>
                <w:sz w:val="21"/>
                <w:szCs w:val="21"/>
              </w:rPr>
            </w:r>
          </w:p>
        </w:tc>
        <w:tc>
          <w:tcPr>
            <w:tcW w:w="3311" w:type="dxa"/>
            <w:tcBorders>
              <w:top w:val="single" w:sz="6" w:space="0" w:color="D4D4D4"/>
              <w:left w:val="single" w:sz="10" w:space="0" w:color="D4D4D4"/>
              <w:bottom w:val="single" w:sz="4" w:space="0" w:color="000000"/>
              <w:right w:val="single" w:sz="4" w:space="0" w:color="000000"/>
            </w:tcBorders>
          </w:tcPr>
          <w:p>
            <w:pPr>
              <w:pStyle w:val="TableParagraph"/>
              <w:spacing w:line="240" w:lineRule="auto" w:before="6"/>
              <w:ind w:right="17"/>
              <w:jc w:val="right"/>
              <w:rPr>
                <w:rFonts w:ascii="Times New Roman" w:hAnsi="Times New Roman" w:cs="Times New Roman" w:eastAsia="Times New Roman" w:hint="default"/>
                <w:sz w:val="21"/>
                <w:szCs w:val="21"/>
              </w:rPr>
            </w:pPr>
            <w:r>
              <w:rPr>
                <w:rFonts w:ascii="Times New Roman"/>
                <w:spacing w:val="-1"/>
                <w:sz w:val="21"/>
              </w:rPr>
              <w:t>158,400,000.00</w:t>
            </w:r>
          </w:p>
        </w:tc>
        <w:tc>
          <w:tcPr>
            <w:tcW w:w="3302" w:type="dxa"/>
            <w:tcBorders>
              <w:top w:val="single" w:sz="6" w:space="0" w:color="D4D4D4"/>
              <w:left w:val="single" w:sz="4" w:space="0" w:color="000000"/>
              <w:bottom w:val="single" w:sz="4" w:space="0" w:color="000000"/>
              <w:right w:val="single" w:sz="4" w:space="0" w:color="000000"/>
            </w:tcBorders>
          </w:tcPr>
          <w:p>
            <w:pPr>
              <w:pStyle w:val="TableParagraph"/>
              <w:spacing w:line="240" w:lineRule="auto" w:before="6"/>
              <w:ind w:right="19"/>
              <w:jc w:val="right"/>
              <w:rPr>
                <w:rFonts w:ascii="Times New Roman" w:hAnsi="Times New Roman" w:cs="Times New Roman" w:eastAsia="Times New Roman" w:hint="default"/>
                <w:sz w:val="21"/>
                <w:szCs w:val="21"/>
              </w:rPr>
            </w:pPr>
            <w:r>
              <w:rPr>
                <w:rFonts w:ascii="Times New Roman"/>
                <w:spacing w:val="-1"/>
                <w:sz w:val="21"/>
              </w:rPr>
              <w:t>88,000,000.00</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643"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246" w:right="0"/>
              <w:jc w:val="center"/>
              <w:rPr>
                <w:rFonts w:ascii="宋体" w:hAnsi="宋体" w:cs="宋体" w:eastAsia="宋体" w:hint="default"/>
                <w:sz w:val="21"/>
                <w:szCs w:val="21"/>
              </w:rPr>
            </w:pPr>
            <w:r>
              <w:rPr>
                <w:rFonts w:ascii="宋体" w:hAnsi="宋体" w:cs="宋体" w:eastAsia="宋体" w:hint="default"/>
                <w:sz w:val="21"/>
                <w:szCs w:val="21"/>
              </w:rPr>
              <w:t>永续债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pacing w:val="-3"/>
                <w:sz w:val="21"/>
                <w:szCs w:val="21"/>
              </w:rPr>
              <w:t>资本公积</w:t>
            </w:r>
            <w:r>
              <w:rPr>
                <w:rFonts w:ascii="宋体" w:hAnsi="宋体" w:cs="宋体" w:eastAsia="宋体" w:hint="default"/>
                <w:sz w:val="21"/>
                <w:szCs w:val="21"/>
              </w:rPr>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62,580,990.76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132,980,990.76</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pacing w:val="-3"/>
                <w:sz w:val="21"/>
                <w:szCs w:val="21"/>
              </w:rPr>
              <w:t>专项储备</w:t>
            </w:r>
            <w:r>
              <w:rPr>
                <w:rFonts w:ascii="宋体" w:hAnsi="宋体" w:cs="宋体" w:eastAsia="宋体" w:hint="default"/>
                <w:sz w:val="21"/>
                <w:szCs w:val="21"/>
              </w:rPr>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pacing w:val="-3"/>
                <w:sz w:val="21"/>
                <w:szCs w:val="21"/>
              </w:rPr>
              <w:t>盈余公积</w:t>
            </w:r>
            <w:r>
              <w:rPr>
                <w:rFonts w:ascii="宋体" w:hAnsi="宋体" w:cs="宋体" w:eastAsia="宋体" w:hint="default"/>
                <w:sz w:val="21"/>
                <w:szCs w:val="21"/>
              </w:rPr>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14,026,838.97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2"/>
                <w:sz w:val="21"/>
              </w:rPr>
              <w:t>11,736,079.47</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101,236,053.71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86,282,907.86</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3" w:lineRule="exact"/>
              <w:ind w:left="12"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336,243,883.44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318,999,978.09</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3" w:lineRule="exact"/>
              <w:ind w:left="434"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336,243,883.44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318,999,978.09</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354,751,851.30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334,638,275.75</w:t>
            </w:r>
          </w:p>
        </w:tc>
      </w:tr>
    </w:tbl>
    <w:p>
      <w:pPr>
        <w:spacing w:line="240" w:lineRule="auto" w:before="10"/>
        <w:rPr>
          <w:rFonts w:ascii="Times New Roman" w:hAnsi="Times New Roman" w:cs="Times New Roman" w:eastAsia="Times New Roman" w:hint="default"/>
          <w:sz w:val="21"/>
          <w:szCs w:val="21"/>
        </w:rPr>
      </w:pPr>
    </w:p>
    <w:p>
      <w:pPr>
        <w:pStyle w:val="BodyText"/>
        <w:tabs>
          <w:tab w:pos="4240" w:val="left" w:leader="none"/>
          <w:tab w:pos="9164" w:val="left" w:leader="none"/>
        </w:tabs>
        <w:spacing w:line="273" w:lineRule="auto" w:before="36"/>
        <w:ind w:right="153"/>
        <w:jc w:val="left"/>
      </w:pPr>
      <w:r>
        <w:rPr>
          <w:spacing w:val="-3"/>
        </w:rPr>
        <w:t>法定代表人：黄元忠</w:t>
        <w:tab/>
        <w:t>主管会计工作负责人：孙晓玲</w:t>
        <w:tab/>
        <w:t>会计机</w:t>
      </w:r>
      <w:r>
        <w:rPr>
          <w:spacing w:val="-102"/>
        </w:rPr>
        <w:t> </w:t>
      </w:r>
      <w:r>
        <w:rPr>
          <w:spacing w:val="-102"/>
        </w:rPr>
      </w:r>
      <w:r>
        <w:rPr/>
        <w:t>构负责人：全丽</w:t>
      </w:r>
    </w:p>
    <w:p>
      <w:pPr>
        <w:spacing w:line="240" w:lineRule="auto" w:before="7"/>
        <w:rPr>
          <w:rFonts w:ascii="宋体" w:hAnsi="宋体" w:cs="宋体" w:eastAsia="宋体" w:hint="default"/>
          <w:sz w:val="23"/>
          <w:szCs w:val="23"/>
        </w:rPr>
      </w:pPr>
    </w:p>
    <w:p>
      <w:pPr>
        <w:pStyle w:val="Heading5"/>
        <w:spacing w:line="240" w:lineRule="auto"/>
        <w:ind w:right="0"/>
        <w:jc w:val="left"/>
        <w:rPr>
          <w:b w:val="0"/>
          <w:bCs w:val="0"/>
        </w:rPr>
      </w:pPr>
      <w:bookmarkStart w:name="2、母公司资产负债表" w:id="115"/>
      <w:bookmarkEnd w:id="115"/>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left="0" w:right="150"/>
        <w:jc w:val="right"/>
      </w:pPr>
      <w:r>
        <w:rPr>
          <w:spacing w:val="-1"/>
        </w:rPr>
        <w:t>单位：元</w:t>
      </w:r>
    </w:p>
    <w:p>
      <w:pPr>
        <w:spacing w:line="240" w:lineRule="auto" w:before="10"/>
        <w:rPr>
          <w:rFonts w:ascii="宋体" w:hAnsi="宋体" w:cs="宋体" w:eastAsia="宋体" w:hint="default"/>
          <w:sz w:val="3"/>
          <w:szCs w:val="3"/>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5"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pacing w:val="-3"/>
                <w:sz w:val="21"/>
                <w:szCs w:val="21"/>
              </w:rPr>
              <w:t>货币资金</w:t>
            </w:r>
            <w:r>
              <w:rPr>
                <w:rFonts w:ascii="宋体" w:hAnsi="宋体" w:cs="宋体" w:eastAsia="宋体" w:hint="default"/>
                <w:sz w:val="21"/>
                <w:szCs w:val="21"/>
              </w:rPr>
            </w:r>
          </w:p>
        </w:tc>
        <w:tc>
          <w:tcPr>
            <w:tcW w:w="3311" w:type="dxa"/>
            <w:tcBorders>
              <w:top w:val="single" w:sz="11" w:space="0" w:color="D4D4D4"/>
              <w:left w:val="single" w:sz="10" w:space="0" w:color="D4D4D4"/>
              <w:bottom w:val="single" w:sz="4" w:space="0" w:color="000000"/>
              <w:right w:val="single" w:sz="4" w:space="0" w:color="000000"/>
            </w:tcBorders>
          </w:tcPr>
          <w:p>
            <w:pPr>
              <w:pStyle w:val="TableParagraph"/>
              <w:spacing w:line="241" w:lineRule="exact"/>
              <w:ind w:right="17"/>
              <w:jc w:val="right"/>
              <w:rPr>
                <w:rFonts w:ascii="Times New Roman" w:hAnsi="Times New Roman" w:cs="Times New Roman" w:eastAsia="Times New Roman" w:hint="default"/>
                <w:sz w:val="21"/>
                <w:szCs w:val="21"/>
              </w:rPr>
            </w:pPr>
            <w:r>
              <w:rPr>
                <w:rFonts w:ascii="Times New Roman"/>
                <w:spacing w:val="-1"/>
                <w:sz w:val="21"/>
              </w:rPr>
              <w:t>116,068,978.16</w:t>
            </w:r>
          </w:p>
        </w:tc>
        <w:tc>
          <w:tcPr>
            <w:tcW w:w="3302" w:type="dxa"/>
            <w:tcBorders>
              <w:top w:val="single" w:sz="11" w:space="0" w:color="D4D4D4"/>
              <w:left w:val="single" w:sz="4" w:space="0" w:color="000000"/>
              <w:bottom w:val="single" w:sz="4" w:space="0" w:color="000000"/>
              <w:right w:val="single" w:sz="4" w:space="0" w:color="000000"/>
            </w:tcBorders>
          </w:tcPr>
          <w:p>
            <w:pPr>
              <w:pStyle w:val="TableParagraph"/>
              <w:spacing w:line="241" w:lineRule="exact"/>
              <w:ind w:right="19"/>
              <w:jc w:val="right"/>
              <w:rPr>
                <w:rFonts w:ascii="Times New Roman" w:hAnsi="Times New Roman" w:cs="Times New Roman" w:eastAsia="Times New Roman" w:hint="default"/>
                <w:sz w:val="21"/>
                <w:szCs w:val="21"/>
              </w:rPr>
            </w:pPr>
            <w:r>
              <w:rPr>
                <w:rFonts w:ascii="Times New Roman"/>
                <w:spacing w:val="-1"/>
                <w:sz w:val="21"/>
              </w:rPr>
              <w:t>122,502,939.84</w:t>
            </w:r>
          </w:p>
        </w:tc>
      </w:tr>
      <w:tr>
        <w:trPr>
          <w:trHeight w:val="554"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exact"/>
              <w:ind w:left="43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计入当期损益的金融资产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pacing w:val="-3"/>
                <w:sz w:val="21"/>
                <w:szCs w:val="21"/>
              </w:rPr>
              <w:t>应收票据</w:t>
            </w:r>
            <w:r>
              <w:rPr>
                <w:rFonts w:ascii="宋体" w:hAnsi="宋体" w:cs="宋体" w:eastAsia="宋体" w:hint="default"/>
                <w:sz w:val="21"/>
                <w:szCs w:val="21"/>
              </w:rPr>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500,000.00</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pacing w:val="-3"/>
                <w:sz w:val="21"/>
                <w:szCs w:val="21"/>
              </w:rPr>
              <w:t>应收账款</w:t>
            </w:r>
            <w:r>
              <w:rPr>
                <w:rFonts w:ascii="宋体" w:hAnsi="宋体" w:cs="宋体" w:eastAsia="宋体" w:hint="default"/>
                <w:sz w:val="21"/>
                <w:szCs w:val="21"/>
              </w:rPr>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16,396,589.97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18,148,014.35</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3,368,725.73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842,770.70</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pacing w:val="-3"/>
                <w:sz w:val="21"/>
                <w:szCs w:val="21"/>
              </w:rPr>
              <w:t>应收利息</w:t>
            </w:r>
            <w:r>
              <w:rPr>
                <w:rFonts w:ascii="宋体" w:hAnsi="宋体" w:cs="宋体" w:eastAsia="宋体" w:hint="default"/>
                <w:sz w:val="21"/>
                <w:szCs w:val="21"/>
              </w:rPr>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1,628,808.89</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pacing w:val="-3"/>
                <w:sz w:val="21"/>
                <w:szCs w:val="21"/>
              </w:rPr>
              <w:t>应收股利</w:t>
            </w:r>
            <w:r>
              <w:rPr>
                <w:rFonts w:ascii="宋体" w:hAnsi="宋体" w:cs="宋体" w:eastAsia="宋体" w:hint="default"/>
                <w:sz w:val="21"/>
                <w:szCs w:val="21"/>
              </w:rPr>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851,090.09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421,302.24</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pacing w:val="-3"/>
                <w:sz w:val="21"/>
                <w:szCs w:val="21"/>
              </w:rPr>
              <w:t>存货</w:t>
            </w:r>
            <w:r>
              <w:rPr>
                <w:rFonts w:ascii="宋体" w:hAnsi="宋体" w:cs="宋体" w:eastAsia="宋体" w:hint="default"/>
                <w:sz w:val="21"/>
                <w:szCs w:val="21"/>
              </w:rPr>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5,001,586.09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4,560,482.01</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划分为持有待售的资产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3" w:lineRule="exact"/>
              <w:ind w:left="434"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100,000,000.00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80,000,000.00</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3" w:lineRule="exact"/>
              <w:ind w:left="12"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3311" w:type="dxa"/>
            <w:tcBorders>
              <w:top w:val="single" w:sz="4" w:space="0" w:color="000000"/>
              <w:left w:val="single" w:sz="10" w:space="0" w:color="D4D4D4"/>
              <w:bottom w:val="single" w:sz="11" w:space="0" w:color="D4D4D4"/>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243,315,778.93</w:t>
            </w:r>
          </w:p>
        </w:tc>
        <w:tc>
          <w:tcPr>
            <w:tcW w:w="3302" w:type="dxa"/>
            <w:tcBorders>
              <w:top w:val="single" w:sz="4" w:space="0" w:color="000000"/>
              <w:left w:val="single" w:sz="4" w:space="0" w:color="000000"/>
              <w:bottom w:val="single" w:sz="11" w:space="0" w:color="D4D4D4"/>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226,975,509.14</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3311" w:type="dxa"/>
            <w:tcBorders>
              <w:top w:val="single" w:sz="6" w:space="0" w:color="D4D4D4"/>
              <w:left w:val="single" w:sz="10" w:space="0" w:color="D4D4D4"/>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6,000,000.00</w:t>
            </w:r>
          </w:p>
        </w:tc>
        <w:tc>
          <w:tcPr>
            <w:tcW w:w="3302" w:type="dxa"/>
            <w:tcBorders>
              <w:top w:val="single" w:sz="6" w:space="0" w:color="D4D4D4"/>
              <w:left w:val="single" w:sz="4" w:space="0" w:color="000000"/>
              <w:bottom w:val="single" w:sz="4" w:space="0" w:color="000000"/>
              <w:right w:val="single" w:sz="4" w:space="0" w:color="000000"/>
            </w:tcBorders>
          </w:tcPr>
          <w:p>
            <w:pPr/>
          </w:p>
        </w:tc>
      </w:tr>
    </w:tbl>
    <w:p>
      <w:pPr>
        <w:spacing w:after="0"/>
        <w:sectPr>
          <w:pgSz w:w="11910" w:h="16840"/>
          <w:pgMar w:header="880"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2,000,000.00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2,000,000.00</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pacing w:val="-3"/>
                <w:sz w:val="21"/>
                <w:szCs w:val="21"/>
              </w:rPr>
              <w:t>固定资产</w:t>
            </w:r>
            <w:r>
              <w:rPr>
                <w:rFonts w:ascii="宋体" w:hAnsi="宋体" w:cs="宋体" w:eastAsia="宋体" w:hint="default"/>
                <w:sz w:val="21"/>
                <w:szCs w:val="21"/>
              </w:rPr>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18,829,001.62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19,351,439.97</w:t>
            </w:r>
          </w:p>
        </w:tc>
      </w:tr>
      <w:tr>
        <w:trPr>
          <w:trHeight w:val="28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pacing w:val="-3"/>
                <w:sz w:val="21"/>
                <w:szCs w:val="21"/>
              </w:rPr>
              <w:t>在建工程</w:t>
            </w:r>
            <w:r>
              <w:rPr>
                <w:rFonts w:ascii="宋体" w:hAnsi="宋体" w:cs="宋体" w:eastAsia="宋体" w:hint="default"/>
                <w:sz w:val="21"/>
                <w:szCs w:val="21"/>
              </w:rPr>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3" w:lineRule="exact"/>
              <w:ind w:left="434" w:right="0"/>
              <w:jc w:val="left"/>
              <w:rPr>
                <w:rFonts w:ascii="宋体" w:hAnsi="宋体" w:cs="宋体" w:eastAsia="宋体" w:hint="default"/>
                <w:sz w:val="21"/>
                <w:szCs w:val="21"/>
              </w:rPr>
            </w:pPr>
            <w:r>
              <w:rPr>
                <w:rFonts w:ascii="宋体" w:hAnsi="宋体" w:cs="宋体" w:eastAsia="宋体" w:hint="default"/>
                <w:spacing w:val="-3"/>
                <w:sz w:val="21"/>
                <w:szCs w:val="21"/>
              </w:rPr>
              <w:t>工程物资</w:t>
            </w:r>
            <w:r>
              <w:rPr>
                <w:rFonts w:ascii="宋体" w:hAnsi="宋体" w:cs="宋体" w:eastAsia="宋体" w:hint="default"/>
                <w:sz w:val="21"/>
                <w:szCs w:val="21"/>
              </w:rPr>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3" w:lineRule="exact"/>
              <w:ind w:left="434"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pacing w:val="-3"/>
                <w:sz w:val="21"/>
                <w:szCs w:val="21"/>
              </w:rPr>
              <w:t>油气资产</w:t>
            </w:r>
            <w:r>
              <w:rPr>
                <w:rFonts w:ascii="宋体" w:hAnsi="宋体" w:cs="宋体" w:eastAsia="宋体" w:hint="default"/>
                <w:sz w:val="21"/>
                <w:szCs w:val="21"/>
              </w:rPr>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pacing w:val="-3"/>
                <w:sz w:val="21"/>
                <w:szCs w:val="21"/>
              </w:rPr>
              <w:t>无形资产</w:t>
            </w:r>
            <w:r>
              <w:rPr>
                <w:rFonts w:ascii="宋体" w:hAnsi="宋体" w:cs="宋体" w:eastAsia="宋体" w:hint="default"/>
                <w:sz w:val="21"/>
                <w:szCs w:val="21"/>
              </w:rPr>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3,678,299.87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5,124,940.22</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pacing w:val="-3"/>
                <w:sz w:val="21"/>
                <w:szCs w:val="21"/>
              </w:rPr>
              <w:t>开发支出</w:t>
            </w:r>
            <w:r>
              <w:rPr>
                <w:rFonts w:ascii="宋体" w:hAnsi="宋体" w:cs="宋体" w:eastAsia="宋体" w:hint="default"/>
                <w:sz w:val="21"/>
                <w:szCs w:val="21"/>
              </w:rPr>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2,421,278.60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1,457,813.01</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pacing w:val="-3"/>
                <w:sz w:val="21"/>
                <w:szCs w:val="21"/>
              </w:rPr>
              <w:t>商誉</w:t>
            </w:r>
            <w:r>
              <w:rPr>
                <w:rFonts w:ascii="宋体" w:hAnsi="宋体" w:cs="宋体" w:eastAsia="宋体" w:hint="default"/>
                <w:sz w:val="21"/>
                <w:szCs w:val="21"/>
              </w:rPr>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32,004.01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99,415.99</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227,250.31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152,209.99</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74,053,557.00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74,053,557.00</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107,241,391.41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102,239,376.18</w:t>
            </w:r>
          </w:p>
        </w:tc>
      </w:tr>
      <w:tr>
        <w:trPr>
          <w:trHeight w:val="28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3311" w:type="dxa"/>
            <w:tcBorders>
              <w:top w:val="single" w:sz="4" w:space="0" w:color="000000"/>
              <w:left w:val="single" w:sz="10" w:space="0" w:color="D4D4D4"/>
              <w:bottom w:val="single" w:sz="11" w:space="0" w:color="D4D4D4"/>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350,557,170.34</w:t>
            </w:r>
          </w:p>
        </w:tc>
        <w:tc>
          <w:tcPr>
            <w:tcW w:w="3302" w:type="dxa"/>
            <w:tcBorders>
              <w:top w:val="single" w:sz="4" w:space="0" w:color="000000"/>
              <w:left w:val="single" w:sz="4" w:space="0" w:color="000000"/>
              <w:bottom w:val="single" w:sz="11" w:space="0" w:color="D4D4D4"/>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329,214,885.32</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2" w:lineRule="exact"/>
              <w:ind w:left="12"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28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2" w:lineRule="exact"/>
              <w:ind w:left="434" w:right="0"/>
              <w:jc w:val="left"/>
              <w:rPr>
                <w:rFonts w:ascii="宋体" w:hAnsi="宋体" w:cs="宋体" w:eastAsia="宋体" w:hint="default"/>
                <w:sz w:val="21"/>
                <w:szCs w:val="21"/>
              </w:rPr>
            </w:pPr>
            <w:r>
              <w:rPr>
                <w:rFonts w:ascii="宋体" w:hAnsi="宋体" w:cs="宋体" w:eastAsia="宋体" w:hint="default"/>
                <w:spacing w:val="-3"/>
                <w:sz w:val="21"/>
                <w:szCs w:val="21"/>
              </w:rPr>
              <w:t>短期借款</w:t>
            </w:r>
            <w:r>
              <w:rPr>
                <w:rFonts w:ascii="宋体" w:hAnsi="宋体" w:cs="宋体" w:eastAsia="宋体" w:hint="default"/>
                <w:sz w:val="21"/>
                <w:szCs w:val="21"/>
              </w:rPr>
            </w:r>
          </w:p>
        </w:tc>
        <w:tc>
          <w:tcPr>
            <w:tcW w:w="3311" w:type="dxa"/>
            <w:tcBorders>
              <w:top w:val="single" w:sz="10" w:space="0" w:color="D4D4D4"/>
              <w:left w:val="single" w:sz="10" w:space="0" w:color="D4D4D4"/>
              <w:bottom w:val="single" w:sz="4" w:space="0" w:color="000000"/>
              <w:right w:val="single" w:sz="4" w:space="0" w:color="000000"/>
            </w:tcBorders>
          </w:tcPr>
          <w:p>
            <w:pPr/>
          </w:p>
        </w:tc>
        <w:tc>
          <w:tcPr>
            <w:tcW w:w="3302" w:type="dxa"/>
            <w:tcBorders>
              <w:top w:val="single" w:sz="10" w:space="0" w:color="D4D4D4"/>
              <w:left w:val="single" w:sz="4" w:space="0" w:color="000000"/>
              <w:bottom w:val="single" w:sz="4" w:space="0" w:color="000000"/>
              <w:right w:val="single" w:sz="4" w:space="0" w:color="000000"/>
            </w:tcBorders>
          </w:tcPr>
          <w:p>
            <w:pPr/>
          </w:p>
        </w:tc>
      </w:tr>
      <w:tr>
        <w:trPr>
          <w:trHeight w:val="557"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exact"/>
              <w:ind w:left="43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计入当期损益的金融负债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pacing w:val="-3"/>
                <w:sz w:val="21"/>
                <w:szCs w:val="21"/>
              </w:rPr>
              <w:t>应付票据</w:t>
            </w:r>
            <w:r>
              <w:rPr>
                <w:rFonts w:ascii="宋体" w:hAnsi="宋体" w:cs="宋体" w:eastAsia="宋体" w:hint="default"/>
                <w:sz w:val="21"/>
                <w:szCs w:val="21"/>
              </w:rPr>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pacing w:val="-3"/>
                <w:sz w:val="21"/>
                <w:szCs w:val="21"/>
              </w:rPr>
              <w:t>应付账款</w:t>
            </w:r>
            <w:r>
              <w:rPr>
                <w:rFonts w:ascii="宋体" w:hAnsi="宋体" w:cs="宋体" w:eastAsia="宋体" w:hint="default"/>
                <w:sz w:val="21"/>
                <w:szCs w:val="21"/>
              </w:rPr>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6,691,306.63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7,523,614.23</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pacing w:val="-3"/>
                <w:sz w:val="21"/>
                <w:szCs w:val="21"/>
              </w:rPr>
              <w:t>预收款项</w:t>
            </w:r>
            <w:r>
              <w:rPr>
                <w:rFonts w:ascii="宋体" w:hAnsi="宋体" w:cs="宋体" w:eastAsia="宋体" w:hint="default"/>
                <w:sz w:val="21"/>
                <w:szCs w:val="21"/>
              </w:rPr>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1,218,599.82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673,126.44</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833,936.88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2"/>
                <w:sz w:val="21"/>
              </w:rPr>
              <w:t>600,311.81</w:t>
            </w:r>
          </w:p>
        </w:tc>
      </w:tr>
      <w:tr>
        <w:trPr>
          <w:trHeight w:val="28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pacing w:val="-3"/>
                <w:sz w:val="21"/>
                <w:szCs w:val="21"/>
              </w:rPr>
              <w:t>应交税费</w:t>
            </w:r>
            <w:r>
              <w:rPr>
                <w:rFonts w:ascii="宋体" w:hAnsi="宋体" w:cs="宋体" w:eastAsia="宋体" w:hint="default"/>
                <w:sz w:val="21"/>
                <w:szCs w:val="21"/>
              </w:rPr>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363,933.51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826,952.25</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3" w:lineRule="exact"/>
              <w:ind w:left="434" w:right="0"/>
              <w:jc w:val="left"/>
              <w:rPr>
                <w:rFonts w:ascii="宋体" w:hAnsi="宋体" w:cs="宋体" w:eastAsia="宋体" w:hint="default"/>
                <w:sz w:val="21"/>
                <w:szCs w:val="21"/>
              </w:rPr>
            </w:pPr>
            <w:r>
              <w:rPr>
                <w:rFonts w:ascii="宋体" w:hAnsi="宋体" w:cs="宋体" w:eastAsia="宋体" w:hint="default"/>
                <w:spacing w:val="-3"/>
                <w:sz w:val="21"/>
                <w:szCs w:val="21"/>
              </w:rPr>
              <w:t>应付利息</w:t>
            </w:r>
            <w:r>
              <w:rPr>
                <w:rFonts w:ascii="宋体" w:hAnsi="宋体" w:cs="宋体" w:eastAsia="宋体" w:hint="default"/>
                <w:sz w:val="21"/>
                <w:szCs w:val="21"/>
              </w:rPr>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3" w:lineRule="exact"/>
              <w:ind w:left="434" w:right="0"/>
              <w:jc w:val="left"/>
              <w:rPr>
                <w:rFonts w:ascii="宋体" w:hAnsi="宋体" w:cs="宋体" w:eastAsia="宋体" w:hint="default"/>
                <w:sz w:val="21"/>
                <w:szCs w:val="21"/>
              </w:rPr>
            </w:pPr>
            <w:r>
              <w:rPr>
                <w:rFonts w:ascii="宋体" w:hAnsi="宋体" w:cs="宋体" w:eastAsia="宋体" w:hint="default"/>
                <w:spacing w:val="-3"/>
                <w:sz w:val="21"/>
                <w:szCs w:val="21"/>
              </w:rPr>
              <w:t>应付股利</w:t>
            </w:r>
            <w:r>
              <w:rPr>
                <w:rFonts w:ascii="宋体" w:hAnsi="宋体" w:cs="宋体" w:eastAsia="宋体" w:hint="default"/>
                <w:sz w:val="21"/>
                <w:szCs w:val="21"/>
              </w:rPr>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4,477,977.25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1,228,539.08</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划分为持有待售的负债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3311" w:type="dxa"/>
            <w:tcBorders>
              <w:top w:val="single" w:sz="4" w:space="0" w:color="000000"/>
              <w:left w:val="single" w:sz="10" w:space="0" w:color="D4D4D4"/>
              <w:bottom w:val="single" w:sz="11" w:space="0" w:color="D4D4D4"/>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13,585,754.09</w:t>
            </w:r>
          </w:p>
        </w:tc>
        <w:tc>
          <w:tcPr>
            <w:tcW w:w="3302" w:type="dxa"/>
            <w:tcBorders>
              <w:top w:val="single" w:sz="4" w:space="0" w:color="000000"/>
              <w:left w:val="single" w:sz="4" w:space="0" w:color="000000"/>
              <w:bottom w:val="single" w:sz="11" w:space="0" w:color="D4D4D4"/>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10,852,543.81</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pacing w:val="-3"/>
                <w:sz w:val="21"/>
                <w:szCs w:val="21"/>
              </w:rPr>
              <w:t>长期借款</w:t>
            </w:r>
            <w:r>
              <w:rPr>
                <w:rFonts w:ascii="宋体" w:hAnsi="宋体" w:cs="宋体" w:eastAsia="宋体" w:hint="default"/>
                <w:sz w:val="21"/>
                <w:szCs w:val="21"/>
              </w:rPr>
            </w:r>
          </w:p>
        </w:tc>
        <w:tc>
          <w:tcPr>
            <w:tcW w:w="3311" w:type="dxa"/>
            <w:tcBorders>
              <w:top w:val="single" w:sz="11" w:space="0" w:color="D4D4D4"/>
              <w:left w:val="single" w:sz="10" w:space="0" w:color="D4D4D4"/>
              <w:bottom w:val="single" w:sz="4" w:space="0" w:color="000000"/>
              <w:right w:val="single" w:sz="4" w:space="0" w:color="000000"/>
            </w:tcBorders>
          </w:tcPr>
          <w:p>
            <w:pPr/>
          </w:p>
        </w:tc>
        <w:tc>
          <w:tcPr>
            <w:tcW w:w="3302" w:type="dxa"/>
            <w:tcBorders>
              <w:top w:val="single" w:sz="11" w:space="0" w:color="D4D4D4"/>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pacing w:val="-3"/>
                <w:sz w:val="21"/>
                <w:szCs w:val="21"/>
              </w:rPr>
              <w:t>应付债券</w:t>
            </w:r>
            <w:r>
              <w:rPr>
                <w:rFonts w:ascii="宋体" w:hAnsi="宋体" w:cs="宋体" w:eastAsia="宋体" w:hint="default"/>
                <w:sz w:val="21"/>
                <w:szCs w:val="21"/>
              </w:rPr>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643"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246" w:right="0"/>
              <w:jc w:val="center"/>
              <w:rPr>
                <w:rFonts w:ascii="宋体" w:hAnsi="宋体" w:cs="宋体" w:eastAsia="宋体" w:hint="default"/>
                <w:sz w:val="21"/>
                <w:szCs w:val="21"/>
              </w:rPr>
            </w:pPr>
            <w:r>
              <w:rPr>
                <w:rFonts w:ascii="宋体" w:hAnsi="宋体" w:cs="宋体" w:eastAsia="宋体" w:hint="default"/>
                <w:sz w:val="21"/>
                <w:szCs w:val="21"/>
              </w:rPr>
              <w:t>永续债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3" w:lineRule="exact"/>
              <w:ind w:left="434"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3" w:lineRule="exact"/>
              <w:ind w:left="434"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pacing w:val="-3"/>
                <w:sz w:val="21"/>
                <w:szCs w:val="21"/>
              </w:rPr>
              <w:t>预计负债</w:t>
            </w:r>
            <w:r>
              <w:rPr>
                <w:rFonts w:ascii="宋体" w:hAnsi="宋体" w:cs="宋体" w:eastAsia="宋体" w:hint="default"/>
                <w:sz w:val="21"/>
                <w:szCs w:val="21"/>
              </w:rPr>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pacing w:val="-3"/>
                <w:sz w:val="21"/>
                <w:szCs w:val="21"/>
              </w:rPr>
              <w:t>递延收益</w:t>
            </w:r>
            <w:r>
              <w:rPr>
                <w:rFonts w:ascii="宋体" w:hAnsi="宋体" w:cs="宋体" w:eastAsia="宋体" w:hint="default"/>
                <w:sz w:val="21"/>
                <w:szCs w:val="21"/>
              </w:rPr>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5,405,801.36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4,620,556.01</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196,234.42</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5,602,035.78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4,620,556.01</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19,187,789.87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15,473,099.82</w:t>
            </w:r>
          </w:p>
        </w:tc>
      </w:tr>
    </w:tbl>
    <w:p>
      <w:pPr>
        <w:spacing w:after="0" w:line="240" w:lineRule="auto"/>
        <w:jc w:val="right"/>
        <w:rPr>
          <w:rFonts w:ascii="Times New Roman" w:hAnsi="Times New Roman" w:cs="Times New Roman" w:eastAsia="Times New Roman" w:hint="default"/>
          <w:sz w:val="21"/>
          <w:szCs w:val="21"/>
        </w:rPr>
        <w:sectPr>
          <w:pgSz w:w="11910" w:h="16840"/>
          <w:pgMar w:header="880"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211.080002pt;margin-top:726.299988pt;width:158.8pt;height:13.2pt;mso-position-horizontal-relative:page;mso-position-vertical-relative:page;z-index:-1158304" coordorigin="4222,14526" coordsize="3176,264">
            <v:group style="position:absolute;left:4232;top:14537;width:2;height:243" coordorigin="4232,14537" coordsize="2,243">
              <v:shape style="position:absolute;left:4232;top:14537;width:2;height:243" coordorigin="4232,14537" coordsize="0,243" path="m4232,14537l4232,14779e" filled="false" stroked="true" strokeweight="1.08pt" strokecolor="#ffffff">
                <v:path arrowok="t"/>
              </v:shape>
            </v:group>
            <v:group style="position:absolute;left:4243;top:14537;width:3154;height:243" coordorigin="4243,14537" coordsize="3154,243">
              <v:shape style="position:absolute;left:4243;top:14537;width:3154;height:243" coordorigin="4243,14537" coordsize="3154,243" path="m4243,14779l7397,14779,7397,14537,4243,14537,4243,14779xe" filled="true" fillcolor="#ffffff" stroked="false">
                <v:path arrowok="t"/>
                <v:fill type="solid"/>
              </v:shape>
            </v:group>
            <w10:wrap type="none"/>
          </v:group>
        </w:pict>
      </w:r>
    </w:p>
    <w:p>
      <w:pPr>
        <w:spacing w:line="240" w:lineRule="auto" w:before="2"/>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pacing w:val="-3"/>
                <w:sz w:val="21"/>
                <w:szCs w:val="21"/>
              </w:rPr>
              <w:t>股本</w:t>
            </w:r>
            <w:r>
              <w:rPr>
                <w:rFonts w:ascii="宋体" w:hAnsi="宋体" w:cs="宋体" w:eastAsia="宋体" w:hint="default"/>
                <w:sz w:val="21"/>
                <w:szCs w:val="21"/>
              </w:rPr>
            </w:r>
          </w:p>
        </w:tc>
        <w:tc>
          <w:tcPr>
            <w:tcW w:w="3311" w:type="dxa"/>
            <w:tcBorders>
              <w:top w:val="single" w:sz="11" w:space="0" w:color="D4D4D4"/>
              <w:left w:val="single" w:sz="10" w:space="0" w:color="D4D4D4"/>
              <w:bottom w:val="single" w:sz="4" w:space="0" w:color="000000"/>
              <w:right w:val="single" w:sz="4" w:space="0" w:color="000000"/>
            </w:tcBorders>
          </w:tcPr>
          <w:p>
            <w:pPr>
              <w:pStyle w:val="TableParagraph"/>
              <w:spacing w:line="240" w:lineRule="auto" w:before="2"/>
              <w:ind w:right="17"/>
              <w:jc w:val="right"/>
              <w:rPr>
                <w:rFonts w:ascii="Times New Roman" w:hAnsi="Times New Roman" w:cs="Times New Roman" w:eastAsia="Times New Roman" w:hint="default"/>
                <w:sz w:val="21"/>
                <w:szCs w:val="21"/>
              </w:rPr>
            </w:pPr>
            <w:r>
              <w:rPr>
                <w:rFonts w:ascii="Times New Roman"/>
                <w:spacing w:val="-1"/>
                <w:sz w:val="21"/>
              </w:rPr>
              <w:t>158,400,000.00</w:t>
            </w:r>
          </w:p>
        </w:tc>
        <w:tc>
          <w:tcPr>
            <w:tcW w:w="3302" w:type="dxa"/>
            <w:tcBorders>
              <w:top w:val="single" w:sz="11" w:space="0" w:color="D4D4D4"/>
              <w:left w:val="single" w:sz="4" w:space="0" w:color="000000"/>
              <w:bottom w:val="single" w:sz="4" w:space="0" w:color="000000"/>
              <w:right w:val="single" w:sz="4" w:space="0" w:color="000000"/>
            </w:tcBorders>
          </w:tcPr>
          <w:p>
            <w:pPr>
              <w:pStyle w:val="TableParagraph"/>
              <w:spacing w:line="240" w:lineRule="auto" w:before="2"/>
              <w:ind w:right="19"/>
              <w:jc w:val="right"/>
              <w:rPr>
                <w:rFonts w:ascii="Times New Roman" w:hAnsi="Times New Roman" w:cs="Times New Roman" w:eastAsia="Times New Roman" w:hint="default"/>
                <w:sz w:val="21"/>
                <w:szCs w:val="21"/>
              </w:rPr>
            </w:pPr>
            <w:r>
              <w:rPr>
                <w:rFonts w:ascii="Times New Roman"/>
                <w:spacing w:val="-1"/>
                <w:sz w:val="21"/>
              </w:rPr>
              <w:t>88,000,000.00</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643"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246" w:right="0"/>
              <w:jc w:val="center"/>
              <w:rPr>
                <w:rFonts w:ascii="宋体" w:hAnsi="宋体" w:cs="宋体" w:eastAsia="宋体" w:hint="default"/>
                <w:sz w:val="21"/>
                <w:szCs w:val="21"/>
              </w:rPr>
            </w:pPr>
            <w:r>
              <w:rPr>
                <w:rFonts w:ascii="宋体" w:hAnsi="宋体" w:cs="宋体" w:eastAsia="宋体" w:hint="default"/>
                <w:sz w:val="21"/>
                <w:szCs w:val="21"/>
              </w:rPr>
              <w:t>永续债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pacing w:val="-3"/>
                <w:sz w:val="21"/>
                <w:szCs w:val="21"/>
              </w:rPr>
              <w:t>资本公积</w:t>
            </w:r>
            <w:r>
              <w:rPr>
                <w:rFonts w:ascii="宋体" w:hAnsi="宋体" w:cs="宋体" w:eastAsia="宋体" w:hint="default"/>
                <w:sz w:val="21"/>
                <w:szCs w:val="21"/>
              </w:rPr>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62,580,990.76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132,980,990.76</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3" w:lineRule="exact"/>
              <w:ind w:left="434"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3" w:lineRule="exact"/>
              <w:ind w:left="434"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pacing w:val="-3"/>
                <w:sz w:val="21"/>
                <w:szCs w:val="21"/>
              </w:rPr>
              <w:t>专项储备</w:t>
            </w:r>
            <w:r>
              <w:rPr>
                <w:rFonts w:ascii="宋体" w:hAnsi="宋体" w:cs="宋体" w:eastAsia="宋体" w:hint="default"/>
                <w:sz w:val="21"/>
                <w:szCs w:val="21"/>
              </w:rPr>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pacing w:val="-3"/>
                <w:sz w:val="21"/>
                <w:szCs w:val="21"/>
              </w:rPr>
              <w:t>盈余公积</w:t>
            </w:r>
            <w:r>
              <w:rPr>
                <w:rFonts w:ascii="宋体" w:hAnsi="宋体" w:cs="宋体" w:eastAsia="宋体" w:hint="default"/>
                <w:sz w:val="21"/>
                <w:szCs w:val="21"/>
              </w:rPr>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14,026,838.97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2"/>
                <w:sz w:val="21"/>
              </w:rPr>
              <w:t>11,736,079.47</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96,361,550.74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81,024,715.27</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331,369,380.47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313,741,785.50</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350,557,170.34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329,214,885.32</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6"/>
        <w:ind w:right="0"/>
        <w:jc w:val="left"/>
        <w:rPr>
          <w:b w:val="0"/>
          <w:bCs w:val="0"/>
        </w:rPr>
      </w:pPr>
      <w:bookmarkStart w:name="3、合并利润表" w:id="116"/>
      <w:bookmarkEnd w:id="116"/>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150"/>
        <w:jc w:val="right"/>
      </w:pPr>
      <w:r>
        <w:rPr>
          <w:spacing w:val="-1"/>
        </w:rPr>
        <w:t>单位：元</w:t>
      </w:r>
    </w:p>
    <w:p>
      <w:pPr>
        <w:spacing w:line="240" w:lineRule="auto" w:before="10"/>
        <w:rPr>
          <w:rFonts w:ascii="宋体" w:hAnsi="宋体" w:cs="宋体" w:eastAsia="宋体" w:hint="default"/>
          <w:sz w:val="3"/>
          <w:szCs w:val="3"/>
        </w:rPr>
      </w:pPr>
    </w:p>
    <w:tbl>
      <w:tblPr>
        <w:tblW w:w="0" w:type="auto"/>
        <w:jc w:val="left"/>
        <w:tblInd w:w="160" w:type="dxa"/>
        <w:tblLayout w:type="fixed"/>
        <w:tblCellMar>
          <w:top w:w="0" w:type="dxa"/>
          <w:left w:w="0" w:type="dxa"/>
          <w:bottom w:w="0" w:type="dxa"/>
          <w:right w:w="0" w:type="dxa"/>
        </w:tblCellMar>
        <w:tblLook w:val="01E0"/>
      </w:tblPr>
      <w:tblGrid>
        <w:gridCol w:w="3059"/>
        <w:gridCol w:w="1039"/>
        <w:gridCol w:w="2183"/>
        <w:gridCol w:w="3276"/>
      </w:tblGrid>
      <w:tr>
        <w:trPr>
          <w:trHeight w:val="283" w:hRule="exact"/>
        </w:trPr>
        <w:tc>
          <w:tcPr>
            <w:tcW w:w="30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22"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3"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2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0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8"/>
              <w:ind w:left="1974" w:right="0"/>
              <w:jc w:val="left"/>
              <w:rPr>
                <w:rFonts w:ascii="Times New Roman" w:hAnsi="Times New Roman" w:cs="Times New Roman" w:eastAsia="Times New Roman" w:hint="default"/>
                <w:sz w:val="21"/>
                <w:szCs w:val="21"/>
              </w:rPr>
            </w:pPr>
            <w:r>
              <w:rPr>
                <w:rFonts w:ascii="Times New Roman"/>
                <w:sz w:val="21"/>
              </w:rPr>
              <w:t>82,827,812.22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75,089,058.91</w:t>
            </w:r>
          </w:p>
        </w:tc>
      </w:tr>
      <w:tr>
        <w:trPr>
          <w:trHeight w:val="283" w:hRule="exact"/>
        </w:trPr>
        <w:tc>
          <w:tcPr>
            <w:tcW w:w="30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3" w:lineRule="exact"/>
              <w:ind w:left="434"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
              <w:ind w:left="1974" w:right="0"/>
              <w:jc w:val="left"/>
              <w:rPr>
                <w:rFonts w:ascii="Times New Roman" w:hAnsi="Times New Roman" w:cs="Times New Roman" w:eastAsia="Times New Roman" w:hint="default"/>
                <w:sz w:val="21"/>
                <w:szCs w:val="21"/>
              </w:rPr>
            </w:pPr>
            <w:r>
              <w:rPr>
                <w:rFonts w:ascii="Times New Roman"/>
                <w:sz w:val="21"/>
              </w:rPr>
              <w:t>82,827,812.22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75,089,058.91</w:t>
            </w:r>
          </w:p>
        </w:tc>
      </w:tr>
      <w:tr>
        <w:trPr>
          <w:trHeight w:val="283" w:hRule="exact"/>
        </w:trPr>
        <w:tc>
          <w:tcPr>
            <w:tcW w:w="30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3" w:lineRule="exact"/>
              <w:ind w:right="78"/>
              <w:jc w:val="center"/>
              <w:rPr>
                <w:rFonts w:ascii="宋体" w:hAnsi="宋体" w:cs="宋体" w:eastAsia="宋体" w:hint="default"/>
                <w:sz w:val="21"/>
                <w:szCs w:val="21"/>
              </w:rPr>
            </w:pPr>
            <w:r>
              <w:rPr>
                <w:rFonts w:ascii="宋体" w:hAnsi="宋体" w:cs="宋体" w:eastAsia="宋体" w:hint="default"/>
                <w:sz w:val="21"/>
                <w:szCs w:val="21"/>
              </w:rPr>
              <w:t>利息收入</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right="78"/>
              <w:jc w:val="center"/>
              <w:rPr>
                <w:rFonts w:ascii="宋体" w:hAnsi="宋体" w:cs="宋体" w:eastAsia="宋体" w:hint="default"/>
                <w:sz w:val="21"/>
                <w:szCs w:val="21"/>
              </w:rPr>
            </w:pPr>
            <w:r>
              <w:rPr>
                <w:rFonts w:ascii="宋体" w:hAnsi="宋体" w:cs="宋体" w:eastAsia="宋体" w:hint="default"/>
                <w:sz w:val="21"/>
                <w:szCs w:val="21"/>
              </w:rPr>
              <w:t>已赚保费</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063"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
              <w:ind w:left="1974" w:right="0"/>
              <w:jc w:val="left"/>
              <w:rPr>
                <w:rFonts w:ascii="Times New Roman" w:hAnsi="Times New Roman" w:cs="Times New Roman" w:eastAsia="Times New Roman" w:hint="default"/>
                <w:sz w:val="21"/>
                <w:szCs w:val="21"/>
              </w:rPr>
            </w:pPr>
            <w:r>
              <w:rPr>
                <w:rFonts w:ascii="Times New Roman"/>
                <w:sz w:val="21"/>
              </w:rPr>
              <w:t>68,721,489.83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60,344,654.48</w:t>
            </w:r>
          </w:p>
        </w:tc>
      </w:tr>
      <w:tr>
        <w:trPr>
          <w:trHeight w:val="283" w:hRule="exact"/>
        </w:trPr>
        <w:tc>
          <w:tcPr>
            <w:tcW w:w="30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
              <w:ind w:left="1974" w:right="0"/>
              <w:jc w:val="left"/>
              <w:rPr>
                <w:rFonts w:ascii="Times New Roman" w:hAnsi="Times New Roman" w:cs="Times New Roman" w:eastAsia="Times New Roman" w:hint="default"/>
                <w:sz w:val="21"/>
                <w:szCs w:val="21"/>
              </w:rPr>
            </w:pPr>
            <w:r>
              <w:rPr>
                <w:rFonts w:ascii="Times New Roman"/>
                <w:sz w:val="21"/>
              </w:rPr>
              <w:t>21,566,659.94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21,047,545.62</w:t>
            </w:r>
          </w:p>
        </w:tc>
      </w:tr>
      <w:tr>
        <w:trPr>
          <w:trHeight w:val="283" w:hRule="exact"/>
        </w:trPr>
        <w:tc>
          <w:tcPr>
            <w:tcW w:w="30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right="78"/>
              <w:jc w:val="center"/>
              <w:rPr>
                <w:rFonts w:ascii="宋体" w:hAnsi="宋体" w:cs="宋体" w:eastAsia="宋体" w:hint="default"/>
                <w:sz w:val="21"/>
                <w:szCs w:val="21"/>
              </w:rPr>
            </w:pPr>
            <w:r>
              <w:rPr>
                <w:rFonts w:ascii="宋体" w:hAnsi="宋体" w:cs="宋体" w:eastAsia="宋体" w:hint="default"/>
                <w:sz w:val="21"/>
                <w:szCs w:val="21"/>
              </w:rPr>
              <w:t>利息支出</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063"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right="291"/>
              <w:jc w:val="center"/>
              <w:rPr>
                <w:rFonts w:ascii="宋体" w:hAnsi="宋体" w:cs="宋体" w:eastAsia="宋体" w:hint="default"/>
                <w:sz w:val="21"/>
                <w:szCs w:val="21"/>
              </w:rPr>
            </w:pPr>
            <w:r>
              <w:rPr>
                <w:rFonts w:ascii="宋体" w:hAnsi="宋体" w:cs="宋体" w:eastAsia="宋体" w:hint="default"/>
                <w:sz w:val="21"/>
                <w:szCs w:val="21"/>
              </w:rPr>
              <w:t>退保金</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063"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exact"/>
              <w:ind w:left="1063" w:right="0"/>
              <w:jc w:val="left"/>
              <w:rPr>
                <w:rFonts w:ascii="宋体" w:hAnsi="宋体" w:cs="宋体" w:eastAsia="宋体" w:hint="default"/>
                <w:sz w:val="21"/>
                <w:szCs w:val="21"/>
              </w:rPr>
            </w:pPr>
            <w:r>
              <w:rPr>
                <w:rFonts w:ascii="宋体" w:hAnsi="宋体" w:cs="宋体" w:eastAsia="宋体" w:hint="default"/>
                <w:sz w:val="21"/>
                <w:szCs w:val="21"/>
              </w:rPr>
              <w:t>提取保险合同准备金</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063"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right="78"/>
              <w:jc w:val="center"/>
              <w:rPr>
                <w:rFonts w:ascii="宋体" w:hAnsi="宋体" w:cs="宋体" w:eastAsia="宋体" w:hint="default"/>
                <w:sz w:val="21"/>
                <w:szCs w:val="21"/>
              </w:rPr>
            </w:pPr>
            <w:r>
              <w:rPr>
                <w:rFonts w:ascii="宋体" w:hAnsi="宋体" w:cs="宋体" w:eastAsia="宋体" w:hint="default"/>
                <w:sz w:val="21"/>
                <w:szCs w:val="21"/>
              </w:rPr>
              <w:t>分保费用</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063"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907,888.48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743,066.33</w:t>
            </w:r>
          </w:p>
        </w:tc>
      </w:tr>
      <w:tr>
        <w:trPr>
          <w:trHeight w:val="283" w:hRule="exact"/>
        </w:trPr>
        <w:tc>
          <w:tcPr>
            <w:tcW w:w="30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right="78"/>
              <w:jc w:val="center"/>
              <w:rPr>
                <w:rFonts w:ascii="宋体" w:hAnsi="宋体" w:cs="宋体" w:eastAsia="宋体" w:hint="default"/>
                <w:sz w:val="21"/>
                <w:szCs w:val="21"/>
              </w:rPr>
            </w:pPr>
            <w:r>
              <w:rPr>
                <w:rFonts w:ascii="宋体" w:hAnsi="宋体" w:cs="宋体" w:eastAsia="宋体" w:hint="default"/>
                <w:sz w:val="21"/>
                <w:szCs w:val="21"/>
              </w:rPr>
              <w:t>销售费用</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
              <w:ind w:left="1974" w:right="0"/>
              <w:jc w:val="left"/>
              <w:rPr>
                <w:rFonts w:ascii="Times New Roman" w:hAnsi="Times New Roman" w:cs="Times New Roman" w:eastAsia="Times New Roman" w:hint="default"/>
                <w:sz w:val="21"/>
                <w:szCs w:val="21"/>
              </w:rPr>
            </w:pPr>
            <w:r>
              <w:rPr>
                <w:rFonts w:ascii="Times New Roman"/>
                <w:sz w:val="21"/>
              </w:rPr>
              <w:t>19,842,376.58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15,715,741.04</w:t>
            </w:r>
          </w:p>
        </w:tc>
      </w:tr>
      <w:tr>
        <w:trPr>
          <w:trHeight w:val="283" w:hRule="exact"/>
        </w:trPr>
        <w:tc>
          <w:tcPr>
            <w:tcW w:w="30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right="78"/>
              <w:jc w:val="center"/>
              <w:rPr>
                <w:rFonts w:ascii="宋体" w:hAnsi="宋体" w:cs="宋体" w:eastAsia="宋体" w:hint="default"/>
                <w:sz w:val="21"/>
                <w:szCs w:val="21"/>
              </w:rPr>
            </w:pPr>
            <w:r>
              <w:rPr>
                <w:rFonts w:ascii="宋体" w:hAnsi="宋体" w:cs="宋体" w:eastAsia="宋体" w:hint="default"/>
                <w:sz w:val="21"/>
                <w:szCs w:val="21"/>
              </w:rPr>
              <w:t>管理费用</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
              <w:ind w:left="1974" w:right="0"/>
              <w:jc w:val="left"/>
              <w:rPr>
                <w:rFonts w:ascii="Times New Roman" w:hAnsi="Times New Roman" w:cs="Times New Roman" w:eastAsia="Times New Roman" w:hint="default"/>
                <w:sz w:val="21"/>
                <w:szCs w:val="21"/>
              </w:rPr>
            </w:pPr>
            <w:r>
              <w:rPr>
                <w:rFonts w:ascii="Times New Roman"/>
                <w:sz w:val="21"/>
              </w:rPr>
              <w:t>27,454,266.93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25,840,517.20</w:t>
            </w:r>
          </w:p>
        </w:tc>
      </w:tr>
      <w:tr>
        <w:trPr>
          <w:trHeight w:val="283" w:hRule="exact"/>
        </w:trPr>
        <w:tc>
          <w:tcPr>
            <w:tcW w:w="30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right="78"/>
              <w:jc w:val="center"/>
              <w:rPr>
                <w:rFonts w:ascii="宋体" w:hAnsi="宋体" w:cs="宋体" w:eastAsia="宋体" w:hint="default"/>
                <w:sz w:val="21"/>
                <w:szCs w:val="21"/>
              </w:rPr>
            </w:pPr>
            <w:r>
              <w:rPr>
                <w:rFonts w:ascii="宋体" w:hAnsi="宋体" w:cs="宋体" w:eastAsia="宋体" w:hint="default"/>
                <w:sz w:val="21"/>
                <w:szCs w:val="21"/>
              </w:rPr>
              <w:t>财务费用</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
              <w:ind w:left="2007" w:right="0"/>
              <w:jc w:val="left"/>
              <w:rPr>
                <w:rFonts w:ascii="Times New Roman" w:hAnsi="Times New Roman" w:cs="Times New Roman" w:eastAsia="Times New Roman" w:hint="default"/>
                <w:sz w:val="21"/>
                <w:szCs w:val="21"/>
              </w:rPr>
            </w:pPr>
            <w:r>
              <w:rPr>
                <w:rFonts w:ascii="Times New Roman"/>
                <w:sz w:val="21"/>
              </w:rPr>
              <w:t>-3,013,132.64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-3,538,263.33</w:t>
            </w:r>
          </w:p>
        </w:tc>
      </w:tr>
      <w:tr>
        <w:trPr>
          <w:trHeight w:val="283" w:hRule="exact"/>
        </w:trPr>
        <w:tc>
          <w:tcPr>
            <w:tcW w:w="30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063"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
              <w:ind w:left="2079" w:right="0"/>
              <w:jc w:val="left"/>
              <w:rPr>
                <w:rFonts w:ascii="Times New Roman" w:hAnsi="Times New Roman" w:cs="Times New Roman" w:eastAsia="Times New Roman" w:hint="default"/>
                <w:sz w:val="21"/>
                <w:szCs w:val="21"/>
              </w:rPr>
            </w:pPr>
            <w:r>
              <w:rPr>
                <w:rFonts w:ascii="Times New Roman"/>
                <w:sz w:val="21"/>
              </w:rPr>
              <w:t>1,963,430.54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536,047.62</w:t>
            </w:r>
          </w:p>
        </w:tc>
      </w:tr>
      <w:tr>
        <w:trPr>
          <w:trHeight w:val="554" w:hRule="exact"/>
        </w:trPr>
        <w:tc>
          <w:tcPr>
            <w:tcW w:w="30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exact"/>
              <w:ind w:left="434" w:right="0"/>
              <w:jc w:val="left"/>
              <w:rPr>
                <w:rFonts w:ascii="宋体" w:hAnsi="宋体" w:cs="宋体" w:eastAsia="宋体" w:hint="default"/>
                <w:sz w:val="21"/>
                <w:szCs w:val="21"/>
              </w:rPr>
            </w:pPr>
            <w:r>
              <w:rPr>
                <w:rFonts w:ascii="宋体" w:hAnsi="宋体" w:cs="宋体" w:eastAsia="宋体" w:hint="default"/>
                <w:sz w:val="21"/>
                <w:szCs w:val="21"/>
              </w:rPr>
              <w:t>加：公允价值变动收益（损</w:t>
            </w:r>
          </w:p>
          <w:p>
            <w:pPr>
              <w:pStyle w:val="TableParagraph"/>
              <w:spacing w:line="290" w:lineRule="exact"/>
              <w:ind w:left="12" w:right="0"/>
              <w:jc w:val="left"/>
              <w:rPr>
                <w:rFonts w:ascii="宋体" w:hAnsi="宋体" w:cs="宋体" w:eastAsia="宋体" w:hint="default"/>
                <w:sz w:val="21"/>
                <w:szCs w:val="21"/>
              </w:rPr>
            </w:pPr>
            <w:r>
              <w:rPr>
                <w:rFonts w:ascii="宋体" w:hAnsi="宋体" w:cs="宋体" w:eastAsia="宋体" w:hint="default"/>
                <w:sz w:val="21"/>
                <w:szCs w:val="21"/>
              </w:rPr>
              <w:t>失以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0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9" w:lineRule="exact"/>
              <w:ind w:left="85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投资收益（损失以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p>
          <w:p>
            <w:pPr>
              <w:pStyle w:val="TableParagraph"/>
              <w:spacing w:line="265" w:lineRule="exact"/>
              <w:ind w:left="12"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147"/>
              <w:ind w:left="2079" w:right="0"/>
              <w:jc w:val="left"/>
              <w:rPr>
                <w:rFonts w:ascii="Times New Roman" w:hAnsi="Times New Roman" w:cs="Times New Roman" w:eastAsia="Times New Roman" w:hint="default"/>
                <w:sz w:val="21"/>
                <w:szCs w:val="21"/>
              </w:rPr>
            </w:pPr>
            <w:r>
              <w:rPr>
                <w:rFonts w:ascii="Times New Roman"/>
                <w:sz w:val="21"/>
              </w:rPr>
              <w:t>4,424,106.13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1"/>
                <w:sz w:val="21"/>
              </w:rPr>
              <w:t>2,776,904.09</w:t>
            </w:r>
          </w:p>
        </w:tc>
      </w:tr>
      <w:tr>
        <w:trPr>
          <w:trHeight w:val="557" w:hRule="exact"/>
        </w:trPr>
        <w:tc>
          <w:tcPr>
            <w:tcW w:w="30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exact"/>
              <w:ind w:left="854" w:right="0"/>
              <w:jc w:val="left"/>
              <w:rPr>
                <w:rFonts w:ascii="宋体" w:hAnsi="宋体" w:cs="宋体" w:eastAsia="宋体" w:hint="default"/>
                <w:sz w:val="21"/>
                <w:szCs w:val="21"/>
              </w:rPr>
            </w:pPr>
            <w:r>
              <w:rPr>
                <w:rFonts w:ascii="宋体" w:hAnsi="宋体" w:cs="宋体" w:eastAsia="宋体" w:hint="default"/>
                <w:sz w:val="21"/>
                <w:szCs w:val="21"/>
              </w:rPr>
              <w:t>其中：对联营企业和合</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营企业的投资收益</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8" w:lineRule="exact"/>
              <w:ind w:left="854" w:right="0"/>
              <w:jc w:val="left"/>
              <w:rPr>
                <w:rFonts w:ascii="宋体" w:hAnsi="宋体" w:cs="宋体" w:eastAsia="宋体" w:hint="default"/>
                <w:sz w:val="21"/>
                <w:szCs w:val="21"/>
              </w:rPr>
            </w:pPr>
            <w:r>
              <w:rPr>
                <w:rFonts w:ascii="宋体" w:hAnsi="宋体" w:cs="宋体" w:eastAsia="宋体" w:hint="default"/>
                <w:sz w:val="21"/>
                <w:szCs w:val="21"/>
              </w:rPr>
              <w:t>汇兑收益（损失以</w:t>
            </w:r>
            <w:r>
              <w:rPr>
                <w:rFonts w:ascii="Times New Roman" w:hAnsi="Times New Roman" w:cs="Times New Roman" w:eastAsia="Times New Roman" w:hint="default"/>
                <w:sz w:val="21"/>
                <w:szCs w:val="21"/>
              </w:rPr>
              <w:t>“-”</w:t>
            </w:r>
            <w:r>
              <w:rPr>
                <w:rFonts w:ascii="宋体" w:hAnsi="宋体" w:cs="宋体" w:eastAsia="宋体" w:hint="default"/>
                <w:sz w:val="21"/>
                <w:szCs w:val="21"/>
              </w:rPr>
              <w:t>号</w:t>
            </w:r>
          </w:p>
          <w:p>
            <w:pPr>
              <w:pStyle w:val="TableParagraph"/>
              <w:spacing w:line="266" w:lineRule="exact"/>
              <w:ind w:left="12"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59" w:lineRule="exact"/>
              <w:ind w:left="12" w:right="0"/>
              <w:jc w:val="left"/>
              <w:rPr>
                <w:rFonts w:ascii="宋体" w:hAnsi="宋体" w:cs="宋体" w:eastAsia="宋体" w:hint="default"/>
                <w:sz w:val="21"/>
                <w:szCs w:val="21"/>
              </w:rPr>
            </w:pPr>
            <w:r>
              <w:rPr>
                <w:rFonts w:ascii="宋体" w:hAnsi="宋体" w:cs="宋体" w:eastAsia="宋体" w:hint="default"/>
                <w:w w:val="100"/>
                <w:sz w:val="21"/>
                <w:szCs w:val="21"/>
              </w:rPr>
              <w:t>三</w:t>
            </w:r>
            <w:r>
              <w:rPr>
                <w:rFonts w:ascii="宋体" w:hAnsi="宋体" w:cs="宋体" w:eastAsia="宋体" w:hint="default"/>
                <w:spacing w:val="-104"/>
                <w:w w:val="100"/>
                <w:sz w:val="21"/>
                <w:szCs w:val="21"/>
              </w:rPr>
              <w:t>、</w:t>
            </w:r>
            <w:r>
              <w:rPr>
                <w:rFonts w:ascii="宋体" w:hAnsi="宋体" w:cs="宋体" w:eastAsia="宋体" w:hint="default"/>
                <w:spacing w:val="-3"/>
                <w:w w:val="100"/>
                <w:sz w:val="21"/>
                <w:szCs w:val="21"/>
              </w:rPr>
              <w:t>营</w:t>
            </w:r>
            <w:r>
              <w:rPr>
                <w:rFonts w:ascii="宋体" w:hAnsi="宋体" w:cs="宋体" w:eastAsia="宋体" w:hint="default"/>
                <w:w w:val="100"/>
                <w:sz w:val="21"/>
                <w:szCs w:val="21"/>
              </w:rPr>
              <w:t>业</w:t>
            </w:r>
            <w:r>
              <w:rPr>
                <w:rFonts w:ascii="宋体" w:hAnsi="宋体" w:cs="宋体" w:eastAsia="宋体" w:hint="default"/>
                <w:spacing w:val="-3"/>
                <w:w w:val="100"/>
                <w:sz w:val="21"/>
                <w:szCs w:val="21"/>
              </w:rPr>
              <w:t>利</w:t>
            </w:r>
            <w:r>
              <w:rPr>
                <w:rFonts w:ascii="宋体" w:hAnsi="宋体" w:cs="宋体" w:eastAsia="宋体" w:hint="default"/>
                <w:spacing w:val="-104"/>
                <w:w w:val="100"/>
                <w:sz w:val="21"/>
                <w:szCs w:val="21"/>
              </w:rPr>
              <w:t>润</w:t>
            </w:r>
            <w:r>
              <w:rPr>
                <w:rFonts w:ascii="宋体" w:hAnsi="宋体" w:cs="宋体" w:eastAsia="宋体" w:hint="default"/>
                <w:spacing w:val="-3"/>
                <w:w w:val="100"/>
                <w:sz w:val="21"/>
                <w:szCs w:val="21"/>
              </w:rPr>
              <w:t>（</w:t>
            </w:r>
            <w:r>
              <w:rPr>
                <w:rFonts w:ascii="宋体" w:hAnsi="宋体" w:cs="宋体" w:eastAsia="宋体" w:hint="default"/>
                <w:w w:val="100"/>
                <w:sz w:val="21"/>
                <w:szCs w:val="21"/>
              </w:rPr>
              <w:t>亏</w:t>
            </w:r>
            <w:r>
              <w:rPr>
                <w:rFonts w:ascii="宋体" w:hAnsi="宋体" w:cs="宋体" w:eastAsia="宋体" w:hint="default"/>
                <w:spacing w:val="-3"/>
                <w:w w:val="100"/>
                <w:sz w:val="21"/>
                <w:szCs w:val="21"/>
              </w:rPr>
              <w:t>损</w:t>
            </w:r>
            <w:r>
              <w:rPr>
                <w:rFonts w:ascii="宋体" w:hAnsi="宋体" w:cs="宋体" w:eastAsia="宋体" w:hint="default"/>
                <w:spacing w:val="-1"/>
                <w:w w:val="100"/>
                <w:sz w:val="21"/>
                <w:szCs w:val="21"/>
              </w:rPr>
              <w:t>以</w:t>
            </w:r>
            <w:r>
              <w:rPr>
                <w:rFonts w:ascii="Times New Roman" w:hAnsi="Times New Roman" w:cs="Times New Roman" w:eastAsia="Times New Roman" w:hint="default"/>
                <w:spacing w:val="-1"/>
                <w:w w:val="100"/>
                <w:sz w:val="21"/>
                <w:szCs w:val="21"/>
              </w:rPr>
              <w:t>“</w:t>
            </w:r>
            <w:r>
              <w:rPr>
                <w:rFonts w:ascii="宋体" w:hAnsi="宋体" w:cs="宋体" w:eastAsia="宋体" w:hint="default"/>
                <w:w w:val="100"/>
                <w:sz w:val="21"/>
                <w:szCs w:val="21"/>
              </w:rPr>
              <w:t>－</w:t>
            </w:r>
            <w:r>
              <w:rPr>
                <w:rFonts w:ascii="Times New Roman" w:hAnsi="Times New Roman" w:cs="Times New Roman" w:eastAsia="Times New Roman" w:hint="default"/>
                <w:spacing w:val="-3"/>
                <w:w w:val="100"/>
                <w:sz w:val="21"/>
                <w:szCs w:val="21"/>
              </w:rPr>
              <w:t>”</w:t>
            </w:r>
            <w:r>
              <w:rPr>
                <w:rFonts w:ascii="宋体" w:hAnsi="宋体" w:cs="宋体" w:eastAsia="宋体" w:hint="default"/>
                <w:w w:val="100"/>
                <w:sz w:val="21"/>
                <w:szCs w:val="21"/>
              </w:rPr>
              <w:t>号填列</w:t>
            </w:r>
          </w:p>
        </w:tc>
        <w:tc>
          <w:tcPr>
            <w:tcW w:w="1039" w:type="dxa"/>
            <w:tcBorders>
              <w:top w:val="single" w:sz="4" w:space="0" w:color="000000"/>
              <w:left w:val="single" w:sz="10" w:space="0" w:color="D4D4D4"/>
              <w:bottom w:val="single" w:sz="4" w:space="0" w:color="000000"/>
              <w:right w:val="nil" w:sz="6" w:space="0" w:color="auto"/>
            </w:tcBorders>
          </w:tcPr>
          <w:p>
            <w:pPr>
              <w:pStyle w:val="TableParagraph"/>
              <w:spacing w:line="243" w:lineRule="exact"/>
              <w:ind w:left="-131"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21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946" w:right="0"/>
              <w:jc w:val="left"/>
              <w:rPr>
                <w:rFonts w:ascii="Times New Roman" w:hAnsi="Times New Roman" w:cs="Times New Roman" w:eastAsia="Times New Roman" w:hint="default"/>
                <w:sz w:val="21"/>
                <w:szCs w:val="21"/>
              </w:rPr>
            </w:pPr>
            <w:r>
              <w:rPr>
                <w:rFonts w:ascii="Times New Roman"/>
                <w:sz w:val="21"/>
              </w:rPr>
              <w:t>18,530,428.52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17,521,308.52</w:t>
            </w:r>
          </w:p>
        </w:tc>
      </w:tr>
      <w:tr>
        <w:trPr>
          <w:trHeight w:val="283" w:hRule="exact"/>
        </w:trPr>
        <w:tc>
          <w:tcPr>
            <w:tcW w:w="30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
              <w:ind w:left="2079" w:right="0"/>
              <w:jc w:val="left"/>
              <w:rPr>
                <w:rFonts w:ascii="Times New Roman" w:hAnsi="Times New Roman" w:cs="Times New Roman" w:eastAsia="Times New Roman" w:hint="default"/>
                <w:sz w:val="21"/>
                <w:szCs w:val="21"/>
              </w:rPr>
            </w:pPr>
            <w:r>
              <w:rPr>
                <w:rFonts w:ascii="Times New Roman"/>
                <w:sz w:val="21"/>
              </w:rPr>
              <w:t>7,386,670.98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9,795,438.46</w:t>
            </w:r>
          </w:p>
        </w:tc>
      </w:tr>
      <w:tr>
        <w:trPr>
          <w:trHeight w:val="283" w:hRule="exact"/>
        </w:trPr>
        <w:tc>
          <w:tcPr>
            <w:tcW w:w="30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854" w:right="0"/>
              <w:jc w:val="left"/>
              <w:rPr>
                <w:rFonts w:ascii="宋体" w:hAnsi="宋体" w:cs="宋体" w:eastAsia="宋体" w:hint="default"/>
                <w:sz w:val="21"/>
                <w:szCs w:val="21"/>
              </w:rPr>
            </w:pPr>
            <w:r>
              <w:rPr>
                <w:rFonts w:ascii="宋体" w:hAnsi="宋体" w:cs="宋体" w:eastAsia="宋体" w:hint="default"/>
                <w:sz w:val="21"/>
                <w:szCs w:val="21"/>
              </w:rPr>
              <w:t>其中：非流动资产处置</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234,476.00</w:t>
            </w:r>
          </w:p>
        </w:tc>
        <w:tc>
          <w:tcPr>
            <w:tcW w:w="3276"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79"/>
          <w:pgSz w:w="11910" w:h="16840"/>
          <w:pgMar w:footer="979" w:header="880" w:top="1060" w:bottom="1160" w:left="980" w:right="980"/>
          <w:pgNumType w:start="120"/>
        </w:sectPr>
      </w:pPr>
    </w:p>
    <w:p>
      <w:pPr>
        <w:spacing w:line="240" w:lineRule="auto" w:before="4"/>
        <w:rPr>
          <w:rFonts w:ascii="宋体" w:hAnsi="宋体" w:cs="宋体" w:eastAsia="宋体" w:hint="default"/>
          <w:sz w:val="28"/>
          <w:szCs w:val="28"/>
        </w:rPr>
      </w:pPr>
      <w:r>
        <w:rPr/>
        <w:pict>
          <v:group style="position:absolute;margin-left:211.080002pt;margin-top:170.819977pt;width:158.8pt;height:13.1pt;mso-position-horizontal-relative:page;mso-position-vertical-relative:page;z-index:-1158280" coordorigin="4222,3416" coordsize="3176,262">
            <v:group style="position:absolute;left:4232;top:3427;width:2;height:240" coordorigin="4232,3427" coordsize="2,240">
              <v:shape style="position:absolute;left:4232;top:3427;width:2;height:240" coordorigin="4232,3427" coordsize="0,240" path="m4232,3427l4232,3667e" filled="false" stroked="true" strokeweight="1.08pt" strokecolor="#ffffff">
                <v:path arrowok="t"/>
              </v:shape>
            </v:group>
            <v:group style="position:absolute;left:4243;top:3427;width:3154;height:240" coordorigin="4243,3427" coordsize="3154,240">
              <v:shape style="position:absolute;left:4243;top:3427;width:3154;height:240" coordorigin="4243,3427" coordsize="3154,240" path="m4243,3667l7397,3667,7397,3427,4243,3427,4243,3667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059"/>
        <w:gridCol w:w="1039"/>
        <w:gridCol w:w="2183"/>
        <w:gridCol w:w="3276"/>
      </w:tblGrid>
      <w:tr>
        <w:trPr>
          <w:trHeight w:val="283" w:hRule="exact"/>
        </w:trPr>
        <w:tc>
          <w:tcPr>
            <w:tcW w:w="30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利得</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7,770.68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224,151.65</w:t>
            </w:r>
          </w:p>
        </w:tc>
      </w:tr>
      <w:tr>
        <w:trPr>
          <w:trHeight w:val="554" w:hRule="exact"/>
        </w:trPr>
        <w:tc>
          <w:tcPr>
            <w:tcW w:w="30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exact"/>
              <w:ind w:left="854" w:right="0"/>
              <w:jc w:val="left"/>
              <w:rPr>
                <w:rFonts w:ascii="宋体" w:hAnsi="宋体" w:cs="宋体" w:eastAsia="宋体" w:hint="default"/>
                <w:sz w:val="21"/>
                <w:szCs w:val="21"/>
              </w:rPr>
            </w:pPr>
            <w:r>
              <w:rPr>
                <w:rFonts w:ascii="宋体" w:hAnsi="宋体" w:cs="宋体" w:eastAsia="宋体" w:hint="default"/>
                <w:sz w:val="21"/>
                <w:szCs w:val="21"/>
              </w:rPr>
              <w:t>其中：非流动资产处置</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损失</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7,770.68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3,571.51</w:t>
            </w:r>
          </w:p>
        </w:tc>
      </w:tr>
      <w:tr>
        <w:trPr>
          <w:trHeight w:val="557" w:hRule="exact"/>
        </w:trPr>
        <w:tc>
          <w:tcPr>
            <w:tcW w:w="30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9" w:lineRule="exact"/>
              <w:ind w:left="1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四、利润总额（亏损总额以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p>
          <w:p>
            <w:pPr>
              <w:pStyle w:val="TableParagraph"/>
              <w:spacing w:line="265" w:lineRule="exact"/>
              <w:ind w:left="12"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147"/>
              <w:ind w:left="1974" w:right="0"/>
              <w:jc w:val="left"/>
              <w:rPr>
                <w:rFonts w:ascii="Times New Roman" w:hAnsi="Times New Roman" w:cs="Times New Roman" w:eastAsia="Times New Roman" w:hint="default"/>
                <w:sz w:val="21"/>
                <w:szCs w:val="21"/>
              </w:rPr>
            </w:pPr>
            <w:r>
              <w:rPr>
                <w:rFonts w:ascii="Times New Roman"/>
                <w:sz w:val="21"/>
              </w:rPr>
              <w:t>25,909,328.82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1"/>
                <w:sz w:val="21"/>
              </w:rPr>
              <w:t>27,092,595.33</w:t>
            </w:r>
          </w:p>
        </w:tc>
      </w:tr>
      <w:tr>
        <w:trPr>
          <w:trHeight w:val="283" w:hRule="exact"/>
        </w:trPr>
        <w:tc>
          <w:tcPr>
            <w:tcW w:w="30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
              <w:ind w:left="2079" w:right="0"/>
              <w:jc w:val="left"/>
              <w:rPr>
                <w:rFonts w:ascii="Times New Roman" w:hAnsi="Times New Roman" w:cs="Times New Roman" w:eastAsia="Times New Roman" w:hint="default"/>
                <w:sz w:val="21"/>
                <w:szCs w:val="21"/>
              </w:rPr>
            </w:pPr>
            <w:r>
              <w:rPr>
                <w:rFonts w:ascii="Times New Roman"/>
                <w:sz w:val="21"/>
              </w:rPr>
              <w:t>3,385,423.47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3,780,605.01</w:t>
            </w:r>
          </w:p>
        </w:tc>
      </w:tr>
      <w:tr>
        <w:trPr>
          <w:trHeight w:val="283" w:hRule="exact"/>
        </w:trPr>
        <w:tc>
          <w:tcPr>
            <w:tcW w:w="30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57" w:lineRule="exact"/>
              <w:ind w:left="12" w:right="0"/>
              <w:jc w:val="left"/>
              <w:rPr>
                <w:rFonts w:ascii="宋体" w:hAnsi="宋体" w:cs="宋体" w:eastAsia="宋体" w:hint="default"/>
                <w:sz w:val="21"/>
                <w:szCs w:val="21"/>
              </w:rPr>
            </w:pPr>
            <w:r>
              <w:rPr>
                <w:rFonts w:ascii="宋体" w:hAnsi="宋体" w:cs="宋体" w:eastAsia="宋体" w:hint="default"/>
                <w:w w:val="100"/>
                <w:sz w:val="21"/>
                <w:szCs w:val="21"/>
              </w:rPr>
              <w:t>五</w:t>
            </w:r>
            <w:r>
              <w:rPr>
                <w:rFonts w:ascii="宋体" w:hAnsi="宋体" w:cs="宋体" w:eastAsia="宋体" w:hint="default"/>
                <w:spacing w:val="-104"/>
                <w:w w:val="100"/>
                <w:sz w:val="21"/>
                <w:szCs w:val="21"/>
              </w:rPr>
              <w:t>、</w:t>
            </w:r>
            <w:r>
              <w:rPr>
                <w:rFonts w:ascii="宋体" w:hAnsi="宋体" w:cs="宋体" w:eastAsia="宋体" w:hint="default"/>
                <w:spacing w:val="-3"/>
                <w:w w:val="100"/>
                <w:sz w:val="21"/>
                <w:szCs w:val="21"/>
              </w:rPr>
              <w:t>净</w:t>
            </w:r>
            <w:r>
              <w:rPr>
                <w:rFonts w:ascii="宋体" w:hAnsi="宋体" w:cs="宋体" w:eastAsia="宋体" w:hint="default"/>
                <w:w w:val="100"/>
                <w:sz w:val="21"/>
                <w:szCs w:val="21"/>
              </w:rPr>
              <w:t>利</w:t>
            </w:r>
            <w:r>
              <w:rPr>
                <w:rFonts w:ascii="宋体" w:hAnsi="宋体" w:cs="宋体" w:eastAsia="宋体" w:hint="default"/>
                <w:spacing w:val="-106"/>
                <w:w w:val="100"/>
                <w:sz w:val="21"/>
                <w:szCs w:val="21"/>
              </w:rPr>
              <w:t>润</w:t>
            </w:r>
            <w:r>
              <w:rPr>
                <w:rFonts w:ascii="宋体" w:hAnsi="宋体" w:cs="宋体" w:eastAsia="宋体" w:hint="default"/>
                <w:w w:val="100"/>
                <w:sz w:val="21"/>
                <w:szCs w:val="21"/>
              </w:rPr>
              <w:t>（</w:t>
            </w:r>
            <w:r>
              <w:rPr>
                <w:rFonts w:ascii="宋体" w:hAnsi="宋体" w:cs="宋体" w:eastAsia="宋体" w:hint="default"/>
                <w:spacing w:val="-3"/>
                <w:w w:val="100"/>
                <w:sz w:val="21"/>
                <w:szCs w:val="21"/>
              </w:rPr>
              <w:t>净</w:t>
            </w:r>
            <w:r>
              <w:rPr>
                <w:rFonts w:ascii="宋体" w:hAnsi="宋体" w:cs="宋体" w:eastAsia="宋体" w:hint="default"/>
                <w:w w:val="100"/>
                <w:sz w:val="21"/>
                <w:szCs w:val="21"/>
              </w:rPr>
              <w:t>亏</w:t>
            </w:r>
            <w:r>
              <w:rPr>
                <w:rFonts w:ascii="宋体" w:hAnsi="宋体" w:cs="宋体" w:eastAsia="宋体" w:hint="default"/>
                <w:spacing w:val="-3"/>
                <w:w w:val="100"/>
                <w:sz w:val="21"/>
                <w:szCs w:val="21"/>
              </w:rPr>
              <w:t>损</w:t>
            </w:r>
            <w:r>
              <w:rPr>
                <w:rFonts w:ascii="宋体" w:hAnsi="宋体" w:cs="宋体" w:eastAsia="宋体" w:hint="default"/>
                <w:spacing w:val="-1"/>
                <w:w w:val="100"/>
                <w:sz w:val="21"/>
                <w:szCs w:val="21"/>
              </w:rPr>
              <w:t>以</w:t>
            </w:r>
            <w:r>
              <w:rPr>
                <w:rFonts w:ascii="Times New Roman" w:hAnsi="Times New Roman" w:cs="Times New Roman" w:eastAsia="Times New Roman" w:hint="default"/>
                <w:spacing w:val="-1"/>
                <w:w w:val="100"/>
                <w:sz w:val="21"/>
                <w:szCs w:val="21"/>
              </w:rPr>
              <w:t>“</w:t>
            </w:r>
            <w:r>
              <w:rPr>
                <w:rFonts w:ascii="宋体" w:hAnsi="宋体" w:cs="宋体" w:eastAsia="宋体" w:hint="default"/>
                <w:w w:val="100"/>
                <w:sz w:val="21"/>
                <w:szCs w:val="21"/>
              </w:rPr>
              <w:t>－</w:t>
            </w:r>
            <w:r>
              <w:rPr>
                <w:rFonts w:ascii="Times New Roman" w:hAnsi="Times New Roman" w:cs="Times New Roman" w:eastAsia="Times New Roman" w:hint="default"/>
                <w:spacing w:val="-3"/>
                <w:w w:val="100"/>
                <w:sz w:val="21"/>
                <w:szCs w:val="21"/>
              </w:rPr>
              <w:t>”</w:t>
            </w:r>
            <w:r>
              <w:rPr>
                <w:rFonts w:ascii="宋体" w:hAnsi="宋体" w:cs="宋体" w:eastAsia="宋体" w:hint="default"/>
                <w:w w:val="100"/>
                <w:sz w:val="21"/>
                <w:szCs w:val="21"/>
              </w:rPr>
              <w:t>号填列</w:t>
            </w:r>
          </w:p>
        </w:tc>
        <w:tc>
          <w:tcPr>
            <w:tcW w:w="1039" w:type="dxa"/>
            <w:tcBorders>
              <w:top w:val="single" w:sz="4" w:space="0" w:color="000000"/>
              <w:left w:val="single" w:sz="10" w:space="0" w:color="D4D4D4"/>
              <w:bottom w:val="single" w:sz="4" w:space="0" w:color="000000"/>
              <w:right w:val="nil" w:sz="6" w:space="0" w:color="auto"/>
            </w:tcBorders>
          </w:tcPr>
          <w:p>
            <w:pPr>
              <w:pStyle w:val="TableParagraph"/>
              <w:spacing w:line="241" w:lineRule="exact"/>
              <w:ind w:left="-131"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21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946" w:right="0"/>
              <w:jc w:val="left"/>
              <w:rPr>
                <w:rFonts w:ascii="Times New Roman" w:hAnsi="Times New Roman" w:cs="Times New Roman" w:eastAsia="Times New Roman" w:hint="default"/>
                <w:sz w:val="21"/>
                <w:szCs w:val="21"/>
              </w:rPr>
            </w:pPr>
            <w:r>
              <w:rPr>
                <w:rFonts w:ascii="Times New Roman"/>
                <w:sz w:val="21"/>
              </w:rPr>
              <w:t>22,523,905.35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23,311,990.32</w:t>
            </w:r>
          </w:p>
        </w:tc>
      </w:tr>
      <w:tr>
        <w:trPr>
          <w:trHeight w:val="557" w:hRule="exact"/>
        </w:trPr>
        <w:tc>
          <w:tcPr>
            <w:tcW w:w="30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exact"/>
              <w:ind w:left="434" w:right="0"/>
              <w:jc w:val="left"/>
              <w:rPr>
                <w:rFonts w:ascii="宋体" w:hAnsi="宋体" w:cs="宋体" w:eastAsia="宋体" w:hint="default"/>
                <w:sz w:val="21"/>
                <w:szCs w:val="21"/>
              </w:rPr>
            </w:pPr>
            <w:r>
              <w:rPr>
                <w:rFonts w:ascii="宋体" w:hAnsi="宋体" w:cs="宋体" w:eastAsia="宋体" w:hint="default"/>
                <w:sz w:val="21"/>
                <w:szCs w:val="21"/>
              </w:rPr>
              <w:t>归属于母公司所有者的净利</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w w:val="100"/>
                <w:sz w:val="21"/>
                <w:szCs w:val="21"/>
              </w:rPr>
              <w:t>润</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147"/>
              <w:ind w:left="1974" w:right="0"/>
              <w:jc w:val="left"/>
              <w:rPr>
                <w:rFonts w:ascii="Times New Roman" w:hAnsi="Times New Roman" w:cs="Times New Roman" w:eastAsia="Times New Roman" w:hint="default"/>
                <w:sz w:val="21"/>
                <w:szCs w:val="21"/>
              </w:rPr>
            </w:pPr>
            <w:r>
              <w:rPr>
                <w:rFonts w:ascii="Times New Roman"/>
                <w:sz w:val="21"/>
              </w:rPr>
              <w:t>22,523,905.35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1"/>
                <w:sz w:val="21"/>
              </w:rPr>
              <w:t>23,311,990.32</w:t>
            </w:r>
          </w:p>
        </w:tc>
      </w:tr>
      <w:tr>
        <w:trPr>
          <w:trHeight w:val="283" w:hRule="exact"/>
        </w:trPr>
        <w:tc>
          <w:tcPr>
            <w:tcW w:w="30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0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归属母公司所有者的其他综合</w:t>
            </w:r>
          </w:p>
          <w:p>
            <w:pPr>
              <w:pStyle w:val="TableParagraph"/>
              <w:spacing w:line="273" w:lineRule="exact"/>
              <w:ind w:left="12" w:right="0"/>
              <w:jc w:val="left"/>
              <w:rPr>
                <w:rFonts w:ascii="宋体" w:hAnsi="宋体" w:cs="宋体" w:eastAsia="宋体" w:hint="default"/>
                <w:sz w:val="21"/>
                <w:szCs w:val="21"/>
              </w:rPr>
            </w:pPr>
            <w:r>
              <w:rPr>
                <w:rFonts w:ascii="宋体" w:hAnsi="宋体" w:cs="宋体" w:eastAsia="宋体" w:hint="default"/>
                <w:sz w:val="21"/>
                <w:szCs w:val="21"/>
              </w:rPr>
              <w:t>收益的税后净额</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0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exact"/>
              <w:ind w:left="434" w:right="0"/>
              <w:jc w:val="left"/>
              <w:rPr>
                <w:rFonts w:ascii="宋体" w:hAnsi="宋体" w:cs="宋体" w:eastAsia="宋体" w:hint="default"/>
                <w:sz w:val="21"/>
                <w:szCs w:val="21"/>
              </w:rPr>
            </w:pPr>
            <w:r>
              <w:rPr>
                <w:rFonts w:ascii="宋体" w:hAnsi="宋体" w:cs="宋体" w:eastAsia="宋体" w:hint="default"/>
                <w:sz w:val="21"/>
                <w:szCs w:val="21"/>
              </w:rPr>
              <w:t>（一）以后不能重分类进损</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益的其他综合收益</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8" w:lineRule="exact"/>
              <w:ind w:left="106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重新计量设定受益</w:t>
            </w:r>
          </w:p>
          <w:p>
            <w:pPr>
              <w:pStyle w:val="TableParagraph"/>
              <w:spacing w:line="266" w:lineRule="exact"/>
              <w:ind w:left="12" w:right="0"/>
              <w:jc w:val="left"/>
              <w:rPr>
                <w:rFonts w:ascii="宋体" w:hAnsi="宋体" w:cs="宋体" w:eastAsia="宋体" w:hint="default"/>
                <w:sz w:val="21"/>
                <w:szCs w:val="21"/>
              </w:rPr>
            </w:pPr>
            <w:r>
              <w:rPr>
                <w:rFonts w:ascii="宋体" w:hAnsi="宋体" w:cs="宋体" w:eastAsia="宋体" w:hint="default"/>
                <w:sz w:val="21"/>
                <w:szCs w:val="21"/>
              </w:rPr>
              <w:t>计划净负债或净资产的变动</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830" w:hRule="exact"/>
        </w:trPr>
        <w:tc>
          <w:tcPr>
            <w:tcW w:w="30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9" w:lineRule="exact"/>
              <w:ind w:left="12" w:right="0" w:firstLine="1051"/>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权益法下在被投资</w:t>
            </w:r>
          </w:p>
          <w:p>
            <w:pPr>
              <w:pStyle w:val="TableParagraph"/>
              <w:spacing w:line="274" w:lineRule="exact" w:before="16"/>
              <w:ind w:left="12" w:right="90"/>
              <w:jc w:val="left"/>
              <w:rPr>
                <w:rFonts w:ascii="宋体" w:hAnsi="宋体" w:cs="宋体" w:eastAsia="宋体" w:hint="default"/>
                <w:sz w:val="21"/>
                <w:szCs w:val="21"/>
              </w:rPr>
            </w:pPr>
            <w:r>
              <w:rPr>
                <w:rFonts w:ascii="宋体" w:hAnsi="宋体" w:cs="宋体" w:eastAsia="宋体" w:hint="default"/>
                <w:spacing w:val="-2"/>
                <w:sz w:val="21"/>
                <w:szCs w:val="21"/>
              </w:rPr>
              <w:t>单位不能重分类进损益的其他综</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合收益中享有的份额</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0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exact"/>
              <w:ind w:left="434" w:right="0"/>
              <w:jc w:val="left"/>
              <w:rPr>
                <w:rFonts w:ascii="宋体" w:hAnsi="宋体" w:cs="宋体" w:eastAsia="宋体" w:hint="default"/>
                <w:sz w:val="21"/>
                <w:szCs w:val="21"/>
              </w:rPr>
            </w:pPr>
            <w:r>
              <w:rPr>
                <w:rFonts w:ascii="宋体" w:hAnsi="宋体" w:cs="宋体" w:eastAsia="宋体" w:hint="default"/>
                <w:sz w:val="21"/>
                <w:szCs w:val="21"/>
              </w:rPr>
              <w:t>（二）以后将重分类进损益</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的其他综合收益</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30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7" w:lineRule="exact"/>
              <w:ind w:left="12" w:right="0" w:firstLine="1051"/>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权益法下在被投资</w:t>
            </w:r>
          </w:p>
          <w:p>
            <w:pPr>
              <w:pStyle w:val="TableParagraph"/>
              <w:spacing w:line="274" w:lineRule="exact" w:before="16"/>
              <w:ind w:left="12" w:right="90"/>
              <w:jc w:val="left"/>
              <w:rPr>
                <w:rFonts w:ascii="宋体" w:hAnsi="宋体" w:cs="宋体" w:eastAsia="宋体" w:hint="default"/>
                <w:sz w:val="21"/>
                <w:szCs w:val="21"/>
              </w:rPr>
            </w:pPr>
            <w:r>
              <w:rPr>
                <w:rFonts w:ascii="宋体" w:hAnsi="宋体" w:cs="宋体" w:eastAsia="宋体" w:hint="default"/>
                <w:spacing w:val="-2"/>
                <w:sz w:val="21"/>
                <w:szCs w:val="21"/>
              </w:rPr>
              <w:t>单位以后将重分类进损益的其他</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综合收益中享有的份额</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0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8" w:lineRule="exact"/>
              <w:ind w:left="106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可供出售金融资产</w:t>
            </w:r>
          </w:p>
          <w:p>
            <w:pPr>
              <w:pStyle w:val="TableParagraph"/>
              <w:spacing w:line="266" w:lineRule="exact"/>
              <w:ind w:left="12" w:right="0"/>
              <w:jc w:val="left"/>
              <w:rPr>
                <w:rFonts w:ascii="宋体" w:hAnsi="宋体" w:cs="宋体" w:eastAsia="宋体" w:hint="default"/>
                <w:sz w:val="21"/>
                <w:szCs w:val="21"/>
              </w:rPr>
            </w:pPr>
            <w:r>
              <w:rPr>
                <w:rFonts w:ascii="宋体" w:hAnsi="宋体" w:cs="宋体" w:eastAsia="宋体" w:hint="default"/>
                <w:sz w:val="21"/>
                <w:szCs w:val="21"/>
              </w:rPr>
              <w:t>公允价值变动损益</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8" w:lineRule="exact"/>
              <w:ind w:left="106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持有至到期投资重</w:t>
            </w:r>
          </w:p>
          <w:p>
            <w:pPr>
              <w:pStyle w:val="TableParagraph"/>
              <w:spacing w:line="266" w:lineRule="exact"/>
              <w:ind w:left="12" w:right="0"/>
              <w:jc w:val="left"/>
              <w:rPr>
                <w:rFonts w:ascii="宋体" w:hAnsi="宋体" w:cs="宋体" w:eastAsia="宋体" w:hint="default"/>
                <w:sz w:val="21"/>
                <w:szCs w:val="21"/>
              </w:rPr>
            </w:pPr>
            <w:r>
              <w:rPr>
                <w:rFonts w:ascii="宋体" w:hAnsi="宋体" w:cs="宋体" w:eastAsia="宋体" w:hint="default"/>
                <w:sz w:val="21"/>
                <w:szCs w:val="21"/>
              </w:rPr>
              <w:t>分类为可供出售金融资产损益</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0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8" w:lineRule="exact"/>
              <w:ind w:left="106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现金流量套期损益</w:t>
            </w:r>
          </w:p>
          <w:p>
            <w:pPr>
              <w:pStyle w:val="TableParagraph"/>
              <w:spacing w:line="266" w:lineRule="exact"/>
              <w:ind w:left="12" w:right="0"/>
              <w:jc w:val="left"/>
              <w:rPr>
                <w:rFonts w:ascii="宋体" w:hAnsi="宋体" w:cs="宋体" w:eastAsia="宋体" w:hint="default"/>
                <w:sz w:val="21"/>
                <w:szCs w:val="21"/>
              </w:rPr>
            </w:pPr>
            <w:r>
              <w:rPr>
                <w:rFonts w:ascii="宋体" w:hAnsi="宋体" w:cs="宋体" w:eastAsia="宋体" w:hint="default"/>
                <w:sz w:val="21"/>
                <w:szCs w:val="21"/>
              </w:rPr>
              <w:t>的有效部分</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0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8" w:lineRule="exact"/>
              <w:ind w:left="106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外币财务报表折算</w:t>
            </w:r>
          </w:p>
          <w:p>
            <w:pPr>
              <w:pStyle w:val="TableParagraph"/>
              <w:spacing w:line="266" w:lineRule="exact"/>
              <w:ind w:left="12" w:right="0"/>
              <w:jc w:val="left"/>
              <w:rPr>
                <w:rFonts w:ascii="宋体" w:hAnsi="宋体" w:cs="宋体" w:eastAsia="宋体" w:hint="default"/>
                <w:sz w:val="21"/>
                <w:szCs w:val="21"/>
              </w:rPr>
            </w:pPr>
            <w:r>
              <w:rPr>
                <w:rFonts w:ascii="宋体" w:hAnsi="宋体" w:cs="宋体" w:eastAsia="宋体" w:hint="default"/>
                <w:sz w:val="21"/>
                <w:szCs w:val="21"/>
              </w:rPr>
              <w:t>差额</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57" w:lineRule="exact"/>
              <w:ind w:right="344"/>
              <w:jc w:val="center"/>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其他</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9" w:lineRule="exact"/>
              <w:ind w:left="223" w:right="0"/>
              <w:jc w:val="left"/>
              <w:rPr>
                <w:rFonts w:ascii="宋体" w:hAnsi="宋体" w:cs="宋体" w:eastAsia="宋体" w:hint="default"/>
                <w:sz w:val="21"/>
                <w:szCs w:val="21"/>
              </w:rPr>
            </w:pPr>
            <w:r>
              <w:rPr>
                <w:rFonts w:ascii="宋体" w:hAnsi="宋体" w:cs="宋体" w:eastAsia="宋体" w:hint="default"/>
                <w:sz w:val="21"/>
                <w:szCs w:val="21"/>
              </w:rPr>
              <w:t>归属于少数股东的其他综合收</w:t>
            </w:r>
          </w:p>
          <w:p>
            <w:pPr>
              <w:pStyle w:val="TableParagraph"/>
              <w:spacing w:line="273" w:lineRule="exact"/>
              <w:ind w:left="12" w:right="0"/>
              <w:jc w:val="left"/>
              <w:rPr>
                <w:rFonts w:ascii="宋体" w:hAnsi="宋体" w:cs="宋体" w:eastAsia="宋体" w:hint="default"/>
                <w:sz w:val="21"/>
                <w:szCs w:val="21"/>
              </w:rPr>
            </w:pPr>
            <w:r>
              <w:rPr>
                <w:rFonts w:ascii="宋体" w:hAnsi="宋体" w:cs="宋体" w:eastAsia="宋体" w:hint="default"/>
                <w:sz w:val="21"/>
                <w:szCs w:val="21"/>
              </w:rPr>
              <w:t>益的税后净额</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
              <w:ind w:left="1974" w:right="0"/>
              <w:jc w:val="left"/>
              <w:rPr>
                <w:rFonts w:ascii="Times New Roman" w:hAnsi="Times New Roman" w:cs="Times New Roman" w:eastAsia="Times New Roman" w:hint="default"/>
                <w:sz w:val="21"/>
                <w:szCs w:val="21"/>
              </w:rPr>
            </w:pPr>
            <w:r>
              <w:rPr>
                <w:rFonts w:ascii="Times New Roman"/>
                <w:sz w:val="21"/>
              </w:rPr>
              <w:t>22,523,905.35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23,311,990.32</w:t>
            </w:r>
          </w:p>
        </w:tc>
      </w:tr>
      <w:tr>
        <w:trPr>
          <w:trHeight w:val="557" w:hRule="exact"/>
        </w:trPr>
        <w:tc>
          <w:tcPr>
            <w:tcW w:w="30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exact"/>
              <w:ind w:left="434" w:right="0"/>
              <w:jc w:val="left"/>
              <w:rPr>
                <w:rFonts w:ascii="宋体" w:hAnsi="宋体" w:cs="宋体" w:eastAsia="宋体" w:hint="default"/>
                <w:sz w:val="21"/>
                <w:szCs w:val="21"/>
              </w:rPr>
            </w:pPr>
            <w:r>
              <w:rPr>
                <w:rFonts w:ascii="宋体" w:hAnsi="宋体" w:cs="宋体" w:eastAsia="宋体" w:hint="default"/>
                <w:sz w:val="21"/>
                <w:szCs w:val="21"/>
              </w:rPr>
              <w:t>归属于母公司所有者的综合</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收益总额</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147"/>
              <w:ind w:left="1974" w:right="0"/>
              <w:jc w:val="left"/>
              <w:rPr>
                <w:rFonts w:ascii="Times New Roman" w:hAnsi="Times New Roman" w:cs="Times New Roman" w:eastAsia="Times New Roman" w:hint="default"/>
                <w:sz w:val="21"/>
                <w:szCs w:val="21"/>
              </w:rPr>
            </w:pPr>
            <w:r>
              <w:rPr>
                <w:rFonts w:ascii="Times New Roman"/>
                <w:sz w:val="21"/>
              </w:rPr>
              <w:t>22,523,905.35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1"/>
                <w:sz w:val="21"/>
              </w:rPr>
              <w:t>23,311,990.32</w:t>
            </w:r>
          </w:p>
        </w:tc>
      </w:tr>
      <w:tr>
        <w:trPr>
          <w:trHeight w:val="563" w:hRule="exact"/>
        </w:trPr>
        <w:tc>
          <w:tcPr>
            <w:tcW w:w="30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exact"/>
              <w:ind w:left="434"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总额</w:t>
            </w:r>
          </w:p>
        </w:tc>
        <w:tc>
          <w:tcPr>
            <w:tcW w:w="3222" w:type="dxa"/>
            <w:gridSpan w:val="2"/>
            <w:tcBorders>
              <w:top w:val="single" w:sz="4" w:space="0" w:color="000000"/>
              <w:left w:val="single" w:sz="10" w:space="0" w:color="D4D4D4"/>
              <w:bottom w:val="single" w:sz="11" w:space="0" w:color="D4D4D4"/>
              <w:right w:val="single" w:sz="4" w:space="0" w:color="000000"/>
            </w:tcBorders>
          </w:tcPr>
          <w:p>
            <w:pPr/>
          </w:p>
        </w:tc>
        <w:tc>
          <w:tcPr>
            <w:tcW w:w="3276" w:type="dxa"/>
            <w:tcBorders>
              <w:top w:val="single" w:sz="4" w:space="0" w:color="000000"/>
              <w:left w:val="single" w:sz="4" w:space="0" w:color="000000"/>
              <w:bottom w:val="single" w:sz="11" w:space="0" w:color="D4D4D4"/>
              <w:right w:val="single" w:sz="4" w:space="0" w:color="000000"/>
            </w:tcBorders>
          </w:tcPr>
          <w:p>
            <w:pPr/>
          </w:p>
        </w:tc>
      </w:tr>
      <w:tr>
        <w:trPr>
          <w:trHeight w:val="269" w:hRule="exact"/>
        </w:trPr>
        <w:tc>
          <w:tcPr>
            <w:tcW w:w="30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5" w:lineRule="exact"/>
              <w:ind w:left="12" w:right="0"/>
              <w:jc w:val="left"/>
              <w:rPr>
                <w:rFonts w:ascii="宋体" w:hAnsi="宋体" w:cs="宋体" w:eastAsia="宋体" w:hint="default"/>
                <w:sz w:val="21"/>
                <w:szCs w:val="21"/>
              </w:rPr>
            </w:pPr>
            <w:r>
              <w:rPr>
                <w:rFonts w:ascii="宋体" w:hAnsi="宋体" w:cs="宋体" w:eastAsia="宋体" w:hint="default"/>
                <w:sz w:val="21"/>
                <w:szCs w:val="21"/>
              </w:rPr>
              <w:t>八、每股收益：</w:t>
            </w:r>
          </w:p>
        </w:tc>
        <w:tc>
          <w:tcPr>
            <w:tcW w:w="3222" w:type="dxa"/>
            <w:gridSpan w:val="2"/>
            <w:tcBorders>
              <w:top w:val="single" w:sz="4" w:space="0" w:color="000000"/>
              <w:left w:val="single" w:sz="4" w:space="0" w:color="000000"/>
              <w:bottom w:val="single" w:sz="4" w:space="0" w:color="000000"/>
              <w:right w:val="single" w:sz="4" w:space="0" w:color="000000"/>
            </w:tcBorders>
            <w:shd w:val="clear" w:color="auto" w:fill="D4D4D4"/>
          </w:tcPr>
          <w:p>
            <w:pPr/>
          </w:p>
        </w:tc>
        <w:tc>
          <w:tcPr>
            <w:tcW w:w="3276"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289" w:hRule="exact"/>
        </w:trPr>
        <w:tc>
          <w:tcPr>
            <w:tcW w:w="30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9" w:lineRule="exact"/>
              <w:ind w:left="434"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3222" w:type="dxa"/>
            <w:gridSpan w:val="2"/>
            <w:tcBorders>
              <w:top w:val="single" w:sz="6" w:space="0" w:color="D4D4D4"/>
              <w:left w:val="single" w:sz="10" w:space="0" w:color="D4D4D4"/>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z w:val="21"/>
              </w:rPr>
              <w:t>0.14</w:t>
            </w:r>
          </w:p>
        </w:tc>
        <w:tc>
          <w:tcPr>
            <w:tcW w:w="3276" w:type="dxa"/>
            <w:tcBorders>
              <w:top w:val="single" w:sz="6" w:space="0" w:color="D4D4D4"/>
              <w:left w:val="single" w:sz="4" w:space="0" w:color="000000"/>
              <w:bottom w:val="single" w:sz="4" w:space="0" w:color="000000"/>
              <w:right w:val="single" w:sz="4" w:space="0" w:color="000000"/>
            </w:tcBorders>
          </w:tcPr>
          <w:p>
            <w:pPr>
              <w:pStyle w:val="TableParagraph"/>
              <w:spacing w:line="240" w:lineRule="auto" w:before="14"/>
              <w:ind w:right="17"/>
              <w:jc w:val="right"/>
              <w:rPr>
                <w:rFonts w:ascii="Times New Roman" w:hAnsi="Times New Roman" w:cs="Times New Roman" w:eastAsia="Times New Roman" w:hint="default"/>
                <w:sz w:val="21"/>
                <w:szCs w:val="21"/>
              </w:rPr>
            </w:pPr>
            <w:r>
              <w:rPr>
                <w:rFonts w:ascii="Times New Roman"/>
                <w:sz w:val="21"/>
              </w:rPr>
              <w:t>0.15</w:t>
            </w:r>
          </w:p>
        </w:tc>
      </w:tr>
      <w:tr>
        <w:trPr>
          <w:trHeight w:val="283" w:hRule="exact"/>
        </w:trPr>
        <w:tc>
          <w:tcPr>
            <w:tcW w:w="30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z w:val="21"/>
              </w:rPr>
              <w:t>0.14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z w:val="21"/>
              </w:rPr>
              <w:t>0.15</w:t>
            </w:r>
          </w:p>
        </w:tc>
      </w:tr>
    </w:tbl>
    <w:p>
      <w:pPr>
        <w:pStyle w:val="BodyText"/>
        <w:spacing w:line="256" w:lineRule="auto"/>
        <w:ind w:right="0"/>
        <w:jc w:val="left"/>
      </w:pPr>
      <w:r>
        <w:rPr>
          <w:spacing w:val="-2"/>
        </w:rPr>
        <w:t>本期发生同一控制下企业合并的，被合并方在合并前实现的净利润为：</w:t>
      </w:r>
      <w:r>
        <w:rPr>
          <w:rFonts w:ascii="Times New Roman" w:hAnsi="Times New Roman" w:cs="Times New Roman" w:eastAsia="Times New Roman" w:hint="default"/>
          <w:spacing w:val="-2"/>
        </w:rPr>
        <w:t>-383,689.62</w:t>
      </w:r>
      <w:r>
        <w:rPr>
          <w:rFonts w:ascii="Times New Roman" w:hAnsi="Times New Roman" w:cs="Times New Roman" w:eastAsia="Times New Roman" w:hint="default"/>
        </w:rPr>
        <w:t> </w:t>
      </w:r>
      <w:r>
        <w:rPr>
          <w:spacing w:val="-4"/>
        </w:rPr>
        <w:t>元，上期被合并方实现</w:t>
      </w:r>
      <w:r>
        <w:rPr>
          <w:spacing w:val="-91"/>
        </w:rPr>
        <w:t> </w:t>
      </w:r>
      <w:r>
        <w:rPr>
          <w:spacing w:val="-91"/>
        </w:rPr>
      </w:r>
      <w:r>
        <w:rPr/>
        <w:t>的净利润为：</w:t>
      </w:r>
      <w:r>
        <w:rPr>
          <w:rFonts w:ascii="Times New Roman" w:hAnsi="Times New Roman" w:cs="Times New Roman" w:eastAsia="Times New Roman" w:hint="default"/>
        </w:rPr>
        <w:t>935,109.48 </w:t>
      </w:r>
      <w:r>
        <w:rPr/>
        <w:t>元。</w:t>
      </w:r>
    </w:p>
    <w:p>
      <w:pPr>
        <w:spacing w:line="240" w:lineRule="auto" w:before="4"/>
        <w:rPr>
          <w:rFonts w:ascii="宋体" w:hAnsi="宋体" w:cs="宋体" w:eastAsia="宋体" w:hint="default"/>
          <w:sz w:val="23"/>
          <w:szCs w:val="23"/>
        </w:rPr>
      </w:pPr>
    </w:p>
    <w:p>
      <w:pPr>
        <w:pStyle w:val="BodyText"/>
        <w:tabs>
          <w:tab w:pos="4240" w:val="left" w:leader="none"/>
          <w:tab w:pos="9164" w:val="left" w:leader="none"/>
        </w:tabs>
        <w:spacing w:line="240" w:lineRule="auto"/>
        <w:ind w:right="0"/>
        <w:jc w:val="left"/>
      </w:pPr>
      <w:r>
        <w:rPr>
          <w:spacing w:val="-3"/>
        </w:rPr>
        <w:t>法定代表人：黄元忠</w:t>
        <w:tab/>
        <w:t>主管会计工作负责人：孙晓玲</w:t>
        <w:tab/>
        <w:t>会计机</w:t>
      </w:r>
      <w:r>
        <w:rPr/>
      </w:r>
    </w:p>
    <w:p>
      <w:pPr>
        <w:spacing w:after="0" w:line="240" w:lineRule="auto"/>
        <w:jc w:val="left"/>
        <w:sectPr>
          <w:pgSz w:w="11910" w:h="16840"/>
          <w:pgMar w:header="880" w:footer="979" w:top="1060" w:bottom="1160" w:left="980" w:right="980"/>
        </w:sectPr>
      </w:pPr>
    </w:p>
    <w:p>
      <w:pPr>
        <w:spacing w:line="240" w:lineRule="auto" w:before="8"/>
        <w:rPr>
          <w:rFonts w:ascii="宋体" w:hAnsi="宋体" w:cs="宋体" w:eastAsia="宋体" w:hint="default"/>
          <w:sz w:val="24"/>
          <w:szCs w:val="24"/>
        </w:rPr>
      </w:pPr>
    </w:p>
    <w:p>
      <w:pPr>
        <w:pStyle w:val="BodyText"/>
        <w:spacing w:line="240" w:lineRule="auto" w:before="36"/>
        <w:ind w:right="0"/>
        <w:jc w:val="left"/>
      </w:pPr>
      <w:r>
        <w:rPr/>
        <w:t>构负责人：全丽</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bookmarkStart w:name="4、母公司利润表" w:id="117"/>
      <w:bookmarkEnd w:id="117"/>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150"/>
        <w:jc w:val="right"/>
      </w:pPr>
      <w:r>
        <w:rPr>
          <w:spacing w:val="-1"/>
        </w:rPr>
        <w:t>单位：元</w:t>
      </w:r>
    </w:p>
    <w:p>
      <w:pPr>
        <w:spacing w:line="240" w:lineRule="auto" w:before="10"/>
        <w:rPr>
          <w:rFonts w:ascii="宋体" w:hAnsi="宋体" w:cs="宋体" w:eastAsia="宋体" w:hint="default"/>
          <w:sz w:val="3"/>
          <w:szCs w:val="3"/>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28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5"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3" w:lineRule="exact"/>
              <w:ind w:left="12"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79,859,719.78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68,152,717.25</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3" w:lineRule="exact"/>
              <w:ind w:left="434"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19,309,068.71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16,634,086.32</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854"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849,358.35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700,781.02</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854" w:right="0"/>
              <w:jc w:val="left"/>
              <w:rPr>
                <w:rFonts w:ascii="宋体" w:hAnsi="宋体" w:cs="宋体" w:eastAsia="宋体" w:hint="default"/>
                <w:sz w:val="21"/>
                <w:szCs w:val="21"/>
              </w:rPr>
            </w:pPr>
            <w:r>
              <w:rPr>
                <w:rFonts w:ascii="宋体" w:hAnsi="宋体" w:cs="宋体" w:eastAsia="宋体" w:hint="default"/>
                <w:spacing w:val="-3"/>
                <w:sz w:val="21"/>
                <w:szCs w:val="21"/>
              </w:rPr>
              <w:t>销售费用</w:t>
            </w:r>
            <w:r>
              <w:rPr>
                <w:rFonts w:ascii="宋体" w:hAnsi="宋体" w:cs="宋体" w:eastAsia="宋体" w:hint="default"/>
                <w:sz w:val="21"/>
                <w:szCs w:val="21"/>
              </w:rPr>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19,399,026.24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15,142,606.44</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854" w:right="0"/>
              <w:jc w:val="left"/>
              <w:rPr>
                <w:rFonts w:ascii="宋体" w:hAnsi="宋体" w:cs="宋体" w:eastAsia="宋体" w:hint="default"/>
                <w:sz w:val="21"/>
                <w:szCs w:val="21"/>
              </w:rPr>
            </w:pPr>
            <w:r>
              <w:rPr>
                <w:rFonts w:ascii="宋体" w:hAnsi="宋体" w:cs="宋体" w:eastAsia="宋体" w:hint="default"/>
                <w:spacing w:val="-3"/>
                <w:sz w:val="21"/>
                <w:szCs w:val="21"/>
              </w:rPr>
              <w:t>管理费用</w:t>
            </w:r>
            <w:r>
              <w:rPr>
                <w:rFonts w:ascii="宋体" w:hAnsi="宋体" w:cs="宋体" w:eastAsia="宋体" w:hint="default"/>
                <w:sz w:val="21"/>
                <w:szCs w:val="21"/>
              </w:rPr>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26,943,346.34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25,153,135.58</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854" w:right="0"/>
              <w:jc w:val="left"/>
              <w:rPr>
                <w:rFonts w:ascii="宋体" w:hAnsi="宋体" w:cs="宋体" w:eastAsia="宋体" w:hint="default"/>
                <w:sz w:val="21"/>
                <w:szCs w:val="21"/>
              </w:rPr>
            </w:pPr>
            <w:r>
              <w:rPr>
                <w:rFonts w:ascii="宋体" w:hAnsi="宋体" w:cs="宋体" w:eastAsia="宋体" w:hint="default"/>
                <w:spacing w:val="-3"/>
                <w:sz w:val="21"/>
                <w:szCs w:val="21"/>
              </w:rPr>
              <w:t>财务费用</w:t>
            </w:r>
            <w:r>
              <w:rPr>
                <w:rFonts w:ascii="宋体" w:hAnsi="宋体" w:cs="宋体" w:eastAsia="宋体" w:hint="default"/>
                <w:sz w:val="21"/>
                <w:szCs w:val="21"/>
              </w:rPr>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-2,934,798.83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2"/>
                <w:sz w:val="21"/>
              </w:rPr>
              <w:t>-3,478,537.11</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854"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1,767,167.91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472,870.12</w:t>
            </w:r>
          </w:p>
        </w:tc>
      </w:tr>
      <w:tr>
        <w:trPr>
          <w:trHeight w:val="557"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exact"/>
              <w:ind w:left="434" w:right="0"/>
              <w:jc w:val="left"/>
              <w:rPr>
                <w:rFonts w:ascii="宋体" w:hAnsi="宋体" w:cs="宋体" w:eastAsia="宋体" w:hint="default"/>
                <w:sz w:val="21"/>
                <w:szCs w:val="21"/>
              </w:rPr>
            </w:pPr>
            <w:r>
              <w:rPr>
                <w:rFonts w:ascii="宋体" w:hAnsi="宋体" w:cs="宋体" w:eastAsia="宋体" w:hint="default"/>
                <w:spacing w:val="-5"/>
                <w:sz w:val="21"/>
                <w:szCs w:val="21"/>
              </w:rPr>
              <w:t>加：公允价值变动收益（损</w:t>
            </w:r>
            <w:r>
              <w:rPr>
                <w:rFonts w:ascii="宋体" w:hAnsi="宋体" w:cs="宋体" w:eastAsia="宋体" w:hint="default"/>
                <w:sz w:val="21"/>
                <w:szCs w:val="21"/>
              </w:rPr>
            </w:r>
          </w:p>
          <w:p>
            <w:pPr>
              <w:pStyle w:val="TableParagraph"/>
              <w:spacing w:line="290" w:lineRule="exact"/>
              <w:ind w:left="12" w:right="0"/>
              <w:jc w:val="left"/>
              <w:rPr>
                <w:rFonts w:ascii="宋体" w:hAnsi="宋体" w:cs="宋体" w:eastAsia="宋体" w:hint="default"/>
                <w:sz w:val="21"/>
                <w:szCs w:val="21"/>
              </w:rPr>
            </w:pPr>
            <w:r>
              <w:rPr>
                <w:rFonts w:ascii="宋体" w:hAnsi="宋体" w:cs="宋体" w:eastAsia="宋体" w:hint="default"/>
                <w:sz w:val="21"/>
                <w:szCs w:val="21"/>
              </w:rPr>
              <w:t>失以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7" w:lineRule="exact"/>
              <w:ind w:left="854" w:right="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投资收益（损失以</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w:t>
            </w:r>
          </w:p>
          <w:p>
            <w:pPr>
              <w:pStyle w:val="TableParagraph"/>
              <w:spacing w:line="265" w:lineRule="exact"/>
              <w:ind w:left="12"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4,424,106.13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2,776,904.09</w:t>
            </w:r>
          </w:p>
        </w:tc>
      </w:tr>
      <w:tr>
        <w:trPr>
          <w:trHeight w:val="557"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exact"/>
              <w:ind w:left="854" w:right="0"/>
              <w:jc w:val="left"/>
              <w:rPr>
                <w:rFonts w:ascii="宋体" w:hAnsi="宋体" w:cs="宋体" w:eastAsia="宋体" w:hint="default"/>
                <w:sz w:val="21"/>
                <w:szCs w:val="21"/>
              </w:rPr>
            </w:pPr>
            <w:r>
              <w:rPr>
                <w:rFonts w:ascii="宋体" w:hAnsi="宋体" w:cs="宋体" w:eastAsia="宋体" w:hint="default"/>
                <w:spacing w:val="-5"/>
                <w:sz w:val="21"/>
                <w:szCs w:val="21"/>
              </w:rPr>
              <w:t>其中：对联营企业和合</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营企业的投资收益</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8" w:lineRule="exact"/>
              <w:ind w:left="12" w:right="0"/>
              <w:jc w:val="left"/>
              <w:rPr>
                <w:rFonts w:ascii="宋体" w:hAnsi="宋体" w:cs="宋体" w:eastAsia="宋体" w:hint="default"/>
                <w:sz w:val="21"/>
                <w:szCs w:val="21"/>
              </w:rPr>
            </w:pPr>
            <w:r>
              <w:rPr>
                <w:rFonts w:ascii="宋体" w:hAnsi="宋体" w:cs="宋体" w:eastAsia="宋体" w:hint="default"/>
                <w:spacing w:val="-2"/>
                <w:sz w:val="21"/>
                <w:szCs w:val="21"/>
              </w:rPr>
              <w:t>二、营业利润（亏损以</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号填</w:t>
            </w:r>
          </w:p>
          <w:p>
            <w:pPr>
              <w:pStyle w:val="TableParagraph"/>
              <w:spacing w:line="266" w:lineRule="exact"/>
              <w:ind w:left="12" w:right="0"/>
              <w:jc w:val="left"/>
              <w:rPr>
                <w:rFonts w:ascii="宋体" w:hAnsi="宋体" w:cs="宋体" w:eastAsia="宋体" w:hint="default"/>
                <w:sz w:val="21"/>
                <w:szCs w:val="21"/>
              </w:rPr>
            </w:pPr>
            <w:r>
              <w:rPr>
                <w:rFonts w:ascii="宋体" w:hAnsi="宋体" w:cs="宋体" w:eastAsia="宋体" w:hint="default"/>
                <w:sz w:val="21"/>
                <w:szCs w:val="21"/>
              </w:rPr>
              <w:t>列）</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1"/>
                <w:sz w:val="21"/>
              </w:rPr>
              <w:t>18,950,657.19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16,304,678.97</w:t>
            </w:r>
          </w:p>
        </w:tc>
      </w:tr>
      <w:tr>
        <w:trPr>
          <w:trHeight w:val="28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7,386,670.98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9,795,438.46</w:t>
            </w:r>
          </w:p>
        </w:tc>
      </w:tr>
      <w:tr>
        <w:trPr>
          <w:trHeight w:val="557"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854" w:right="0"/>
              <w:jc w:val="left"/>
              <w:rPr>
                <w:rFonts w:ascii="宋体" w:hAnsi="宋体" w:cs="宋体" w:eastAsia="宋体" w:hint="default"/>
                <w:sz w:val="21"/>
                <w:szCs w:val="21"/>
              </w:rPr>
            </w:pPr>
            <w:r>
              <w:rPr>
                <w:rFonts w:ascii="宋体" w:hAnsi="宋体" w:cs="宋体" w:eastAsia="宋体" w:hint="default"/>
                <w:spacing w:val="-5"/>
                <w:sz w:val="21"/>
                <w:szCs w:val="21"/>
              </w:rPr>
              <w:t>其中：非流动资产处置</w:t>
            </w:r>
          </w:p>
          <w:p>
            <w:pPr>
              <w:pStyle w:val="TableParagraph"/>
              <w:spacing w:line="273" w:lineRule="exact"/>
              <w:ind w:left="12" w:right="0"/>
              <w:jc w:val="left"/>
              <w:rPr>
                <w:rFonts w:ascii="宋体" w:hAnsi="宋体" w:cs="宋体" w:eastAsia="宋体" w:hint="default"/>
                <w:sz w:val="21"/>
                <w:szCs w:val="21"/>
              </w:rPr>
            </w:pPr>
            <w:r>
              <w:rPr>
                <w:rFonts w:ascii="宋体" w:hAnsi="宋体" w:cs="宋体" w:eastAsia="宋体" w:hint="default"/>
                <w:sz w:val="21"/>
                <w:szCs w:val="21"/>
              </w:rPr>
              <w:t>利得</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1"/>
                <w:sz w:val="21"/>
              </w:rPr>
              <w:t>234,476.00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6,876.88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223,736.70</w:t>
            </w:r>
          </w:p>
        </w:tc>
      </w:tr>
      <w:tr>
        <w:trPr>
          <w:trHeight w:val="557"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exact"/>
              <w:ind w:left="854" w:right="0"/>
              <w:jc w:val="left"/>
              <w:rPr>
                <w:rFonts w:ascii="宋体" w:hAnsi="宋体" w:cs="宋体" w:eastAsia="宋体" w:hint="default"/>
                <w:sz w:val="21"/>
                <w:szCs w:val="21"/>
              </w:rPr>
            </w:pPr>
            <w:r>
              <w:rPr>
                <w:rFonts w:ascii="宋体" w:hAnsi="宋体" w:cs="宋体" w:eastAsia="宋体" w:hint="default"/>
                <w:spacing w:val="-5"/>
                <w:sz w:val="21"/>
                <w:szCs w:val="21"/>
              </w:rPr>
              <w:t>其中：非流动资产处置</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损失</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1"/>
                <w:sz w:val="21"/>
              </w:rPr>
              <w:t>6,876.88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3,156.56</w:t>
            </w:r>
          </w:p>
        </w:tc>
      </w:tr>
      <w:tr>
        <w:trPr>
          <w:trHeight w:val="554"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8" w:lineRule="exact"/>
              <w:ind w:left="12" w:right="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三、利润总额（亏损总额以</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w:t>
            </w:r>
          </w:p>
          <w:p>
            <w:pPr>
              <w:pStyle w:val="TableParagraph"/>
              <w:spacing w:line="266" w:lineRule="exact"/>
              <w:ind w:left="12"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26,330,451.29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25,876,380.73</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3" w:lineRule="exact"/>
              <w:ind w:left="434"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3,422,856.32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3,499,499.89</w:t>
            </w:r>
          </w:p>
        </w:tc>
      </w:tr>
      <w:tr>
        <w:trPr>
          <w:trHeight w:val="557"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8" w:lineRule="exact"/>
              <w:ind w:left="12" w:right="0"/>
              <w:jc w:val="left"/>
              <w:rPr>
                <w:rFonts w:ascii="宋体" w:hAnsi="宋体" w:cs="宋体" w:eastAsia="宋体" w:hint="default"/>
                <w:sz w:val="21"/>
                <w:szCs w:val="21"/>
              </w:rPr>
            </w:pPr>
            <w:r>
              <w:rPr>
                <w:rFonts w:ascii="宋体" w:hAnsi="宋体" w:cs="宋体" w:eastAsia="宋体" w:hint="default"/>
                <w:spacing w:val="-2"/>
                <w:sz w:val="21"/>
                <w:szCs w:val="21"/>
              </w:rPr>
              <w:t>四、净利润（净亏损以</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号填</w:t>
            </w:r>
          </w:p>
          <w:p>
            <w:pPr>
              <w:pStyle w:val="TableParagraph"/>
              <w:spacing w:line="266" w:lineRule="exact"/>
              <w:ind w:left="12" w:right="0"/>
              <w:jc w:val="left"/>
              <w:rPr>
                <w:rFonts w:ascii="宋体" w:hAnsi="宋体" w:cs="宋体" w:eastAsia="宋体" w:hint="default"/>
                <w:sz w:val="21"/>
                <w:szCs w:val="21"/>
              </w:rPr>
            </w:pPr>
            <w:r>
              <w:rPr>
                <w:rFonts w:ascii="宋体" w:hAnsi="宋体" w:cs="宋体" w:eastAsia="宋体" w:hint="default"/>
                <w:sz w:val="21"/>
                <w:szCs w:val="21"/>
              </w:rPr>
              <w:t>列）</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1"/>
                <w:sz w:val="21"/>
              </w:rPr>
              <w:t>22,907,594.97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22,376,880.84</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exact"/>
              <w:ind w:left="417" w:right="0"/>
              <w:jc w:val="left"/>
              <w:rPr>
                <w:rFonts w:ascii="宋体" w:hAnsi="宋体" w:cs="宋体" w:eastAsia="宋体" w:hint="default"/>
                <w:sz w:val="21"/>
                <w:szCs w:val="21"/>
              </w:rPr>
            </w:pPr>
            <w:r>
              <w:rPr>
                <w:rFonts w:ascii="宋体" w:hAnsi="宋体" w:cs="宋体" w:eastAsia="宋体" w:hint="default"/>
                <w:spacing w:val="-3"/>
                <w:sz w:val="21"/>
                <w:szCs w:val="21"/>
              </w:rPr>
              <w:t>（一）以后不能重分类进损</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益的其他综合收益</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7" w:lineRule="exact"/>
              <w:ind w:left="106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重新计量设定受益</w:t>
            </w:r>
          </w:p>
          <w:p>
            <w:pPr>
              <w:pStyle w:val="TableParagraph"/>
              <w:spacing w:line="265" w:lineRule="exact"/>
              <w:ind w:left="12" w:right="0"/>
              <w:jc w:val="left"/>
              <w:rPr>
                <w:rFonts w:ascii="宋体" w:hAnsi="宋体" w:cs="宋体" w:eastAsia="宋体" w:hint="default"/>
                <w:sz w:val="21"/>
                <w:szCs w:val="21"/>
              </w:rPr>
            </w:pPr>
            <w:r>
              <w:rPr>
                <w:rFonts w:ascii="宋体" w:hAnsi="宋体" w:cs="宋体" w:eastAsia="宋体" w:hint="default"/>
                <w:sz w:val="21"/>
                <w:szCs w:val="21"/>
              </w:rPr>
              <w:t>计划净负债或净资产的变动</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830"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8" w:lineRule="exact"/>
              <w:ind w:left="106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权益法下在被投资</w:t>
            </w:r>
          </w:p>
          <w:p>
            <w:pPr>
              <w:pStyle w:val="TableParagraph"/>
              <w:spacing w:line="274" w:lineRule="exact" w:before="17"/>
              <w:ind w:left="12" w:right="186"/>
              <w:jc w:val="left"/>
              <w:rPr>
                <w:rFonts w:ascii="宋体" w:hAnsi="宋体" w:cs="宋体" w:eastAsia="宋体" w:hint="default"/>
                <w:sz w:val="21"/>
                <w:szCs w:val="21"/>
              </w:rPr>
            </w:pPr>
            <w:r>
              <w:rPr>
                <w:rFonts w:ascii="宋体" w:hAnsi="宋体" w:cs="宋体" w:eastAsia="宋体" w:hint="default"/>
                <w:spacing w:val="-2"/>
                <w:sz w:val="21"/>
                <w:szCs w:val="21"/>
              </w:rPr>
              <w:t>单位不能重分类进损益的其他</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综合收益中享有的份额</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exact"/>
              <w:ind w:left="417" w:right="0"/>
              <w:jc w:val="left"/>
              <w:rPr>
                <w:rFonts w:ascii="宋体" w:hAnsi="宋体" w:cs="宋体" w:eastAsia="宋体" w:hint="default"/>
                <w:sz w:val="21"/>
                <w:szCs w:val="21"/>
              </w:rPr>
            </w:pPr>
            <w:r>
              <w:rPr>
                <w:rFonts w:ascii="宋体" w:hAnsi="宋体" w:cs="宋体" w:eastAsia="宋体" w:hint="default"/>
                <w:spacing w:val="-3"/>
                <w:sz w:val="21"/>
                <w:szCs w:val="21"/>
              </w:rPr>
              <w:t>（二）以后将重分类进损益</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的其他综合收益</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830"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8" w:lineRule="exact"/>
              <w:ind w:left="106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权益法下在被投资</w:t>
            </w:r>
          </w:p>
          <w:p>
            <w:pPr>
              <w:pStyle w:val="TableParagraph"/>
              <w:spacing w:line="274" w:lineRule="exact" w:before="17"/>
              <w:ind w:left="12" w:right="186"/>
              <w:jc w:val="left"/>
              <w:rPr>
                <w:rFonts w:ascii="宋体" w:hAnsi="宋体" w:cs="宋体" w:eastAsia="宋体" w:hint="default"/>
                <w:sz w:val="21"/>
                <w:szCs w:val="21"/>
              </w:rPr>
            </w:pPr>
            <w:r>
              <w:rPr>
                <w:rFonts w:ascii="宋体" w:hAnsi="宋体" w:cs="宋体" w:eastAsia="宋体" w:hint="default"/>
                <w:spacing w:val="-2"/>
                <w:sz w:val="21"/>
                <w:szCs w:val="21"/>
              </w:rPr>
              <w:t>单位以后将重分类进损益的其</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他综合收益中享有的份额</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8" w:lineRule="exact"/>
              <w:ind w:left="106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可供出售金融资产</w:t>
            </w:r>
          </w:p>
          <w:p>
            <w:pPr>
              <w:pStyle w:val="TableParagraph"/>
              <w:spacing w:line="266" w:lineRule="exact"/>
              <w:ind w:left="12" w:right="0"/>
              <w:jc w:val="left"/>
              <w:rPr>
                <w:rFonts w:ascii="宋体" w:hAnsi="宋体" w:cs="宋体" w:eastAsia="宋体" w:hint="default"/>
                <w:sz w:val="21"/>
                <w:szCs w:val="21"/>
              </w:rPr>
            </w:pPr>
            <w:r>
              <w:rPr>
                <w:rFonts w:ascii="宋体" w:hAnsi="宋体" w:cs="宋体" w:eastAsia="宋体" w:hint="default"/>
                <w:sz w:val="21"/>
                <w:szCs w:val="21"/>
              </w:rPr>
              <w:t>公允价值变动损益</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9" w:lineRule="exact"/>
              <w:ind w:left="106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持有至到期投资重</w:t>
            </w:r>
          </w:p>
          <w:p>
            <w:pPr>
              <w:pStyle w:val="TableParagraph"/>
              <w:spacing w:line="265" w:lineRule="exact"/>
              <w:ind w:left="12" w:right="0"/>
              <w:jc w:val="left"/>
              <w:rPr>
                <w:rFonts w:ascii="宋体" w:hAnsi="宋体" w:cs="宋体" w:eastAsia="宋体" w:hint="default"/>
                <w:sz w:val="21"/>
                <w:szCs w:val="21"/>
              </w:rPr>
            </w:pPr>
            <w:r>
              <w:rPr>
                <w:rFonts w:ascii="宋体" w:hAnsi="宋体" w:cs="宋体" w:eastAsia="宋体" w:hint="default"/>
                <w:sz w:val="21"/>
                <w:szCs w:val="21"/>
              </w:rPr>
              <w:t>分类为可供出售金融资产损益</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979" w:top="1060" w:bottom="1160" w:left="980" w:right="980"/>
        </w:sectPr>
      </w:pPr>
    </w:p>
    <w:p>
      <w:pPr>
        <w:spacing w:line="240" w:lineRule="auto" w:before="4"/>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557"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8" w:lineRule="exact"/>
              <w:ind w:left="106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现金流量套期损益</w:t>
            </w:r>
          </w:p>
          <w:p>
            <w:pPr>
              <w:pStyle w:val="TableParagraph"/>
              <w:spacing w:line="266" w:lineRule="exact"/>
              <w:ind w:left="12" w:right="0"/>
              <w:jc w:val="left"/>
              <w:rPr>
                <w:rFonts w:ascii="宋体" w:hAnsi="宋体" w:cs="宋体" w:eastAsia="宋体" w:hint="default"/>
                <w:sz w:val="21"/>
                <w:szCs w:val="21"/>
              </w:rPr>
            </w:pPr>
            <w:r>
              <w:rPr>
                <w:rFonts w:ascii="宋体" w:hAnsi="宋体" w:cs="宋体" w:eastAsia="宋体" w:hint="default"/>
                <w:sz w:val="21"/>
                <w:szCs w:val="21"/>
              </w:rPr>
              <w:t>的有效部分</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8" w:lineRule="exact"/>
              <w:ind w:left="106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外币财务报表折算</w:t>
            </w:r>
          </w:p>
          <w:p>
            <w:pPr>
              <w:pStyle w:val="TableParagraph"/>
              <w:spacing w:line="266" w:lineRule="exact"/>
              <w:ind w:left="12" w:right="0"/>
              <w:jc w:val="left"/>
              <w:rPr>
                <w:rFonts w:ascii="宋体" w:hAnsi="宋体" w:cs="宋体" w:eastAsia="宋体" w:hint="default"/>
                <w:sz w:val="21"/>
                <w:szCs w:val="21"/>
              </w:rPr>
            </w:pPr>
            <w:r>
              <w:rPr>
                <w:rFonts w:ascii="宋体" w:hAnsi="宋体" w:cs="宋体" w:eastAsia="宋体" w:hint="default"/>
                <w:sz w:val="21"/>
                <w:szCs w:val="21"/>
              </w:rPr>
              <w:t>差额</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57" w:lineRule="exact"/>
              <w:ind w:right="229"/>
              <w:jc w:val="center"/>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其他</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六、综合收益总额</w:t>
            </w:r>
          </w:p>
        </w:tc>
        <w:tc>
          <w:tcPr>
            <w:tcW w:w="3311" w:type="dxa"/>
            <w:tcBorders>
              <w:top w:val="single" w:sz="4" w:space="0" w:color="000000"/>
              <w:left w:val="single" w:sz="10" w:space="0" w:color="D4D4D4"/>
              <w:bottom w:val="single" w:sz="7" w:space="0" w:color="D4D4D4"/>
              <w:right w:val="single" w:sz="4" w:space="0" w:color="000000"/>
            </w:tcBorders>
          </w:tcPr>
          <w:p>
            <w:pPr>
              <w:pStyle w:val="TableParagraph"/>
              <w:spacing w:line="240" w:lineRule="auto" w:before="10"/>
              <w:ind w:left="2065" w:right="0"/>
              <w:jc w:val="left"/>
              <w:rPr>
                <w:rFonts w:ascii="Times New Roman" w:hAnsi="Times New Roman" w:cs="Times New Roman" w:eastAsia="Times New Roman" w:hint="default"/>
                <w:sz w:val="21"/>
                <w:szCs w:val="21"/>
              </w:rPr>
            </w:pPr>
            <w:r>
              <w:rPr>
                <w:rFonts w:ascii="Times New Roman"/>
                <w:sz w:val="21"/>
              </w:rPr>
              <w:t>22,907,594.97</w:t>
            </w:r>
          </w:p>
        </w:tc>
        <w:tc>
          <w:tcPr>
            <w:tcW w:w="3302" w:type="dxa"/>
            <w:tcBorders>
              <w:top w:val="single" w:sz="4" w:space="0" w:color="000000"/>
              <w:left w:val="single" w:sz="4" w:space="0" w:color="000000"/>
              <w:bottom w:val="single" w:sz="7" w:space="0" w:color="D4D4D4"/>
              <w:right w:val="single" w:sz="4" w:space="0" w:color="000000"/>
            </w:tcBorders>
          </w:tcPr>
          <w:p>
            <w:pPr>
              <w:pStyle w:val="TableParagraph"/>
              <w:spacing w:line="240" w:lineRule="auto" w:before="10"/>
              <w:ind w:left="2061" w:right="0"/>
              <w:jc w:val="left"/>
              <w:rPr>
                <w:rFonts w:ascii="Times New Roman" w:hAnsi="Times New Roman" w:cs="Times New Roman" w:eastAsia="Times New Roman" w:hint="default"/>
                <w:sz w:val="21"/>
                <w:szCs w:val="21"/>
              </w:rPr>
            </w:pPr>
            <w:r>
              <w:rPr>
                <w:rFonts w:ascii="Times New Roman"/>
                <w:sz w:val="21"/>
              </w:rPr>
              <w:t>22,376,880.84</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七、每股收益：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right="606"/>
              <w:jc w:val="right"/>
              <w:rPr>
                <w:rFonts w:ascii="宋体" w:hAnsi="宋体" w:cs="宋体" w:eastAsia="宋体" w:hint="default"/>
                <w:sz w:val="21"/>
                <w:szCs w:val="21"/>
              </w:rPr>
            </w:pPr>
            <w:r>
              <w:rPr>
                <w:rFonts w:ascii="宋体" w:hAnsi="宋体" w:cs="宋体" w:eastAsia="宋体" w:hint="default"/>
                <w:spacing w:val="-2"/>
                <w:sz w:val="21"/>
                <w:szCs w:val="21"/>
              </w:rPr>
              <w:t>（一）基本每股收益</w:t>
            </w:r>
          </w:p>
        </w:tc>
        <w:tc>
          <w:tcPr>
            <w:tcW w:w="3311" w:type="dxa"/>
            <w:tcBorders>
              <w:top w:val="single" w:sz="10" w:space="0" w:color="D4D4D4"/>
              <w:left w:val="single" w:sz="10" w:space="0" w:color="D4D4D4"/>
              <w:bottom w:val="single" w:sz="4" w:space="0" w:color="000000"/>
              <w:right w:val="single" w:sz="4" w:space="0" w:color="000000"/>
            </w:tcBorders>
          </w:tcPr>
          <w:p>
            <w:pPr/>
          </w:p>
        </w:tc>
        <w:tc>
          <w:tcPr>
            <w:tcW w:w="3302" w:type="dxa"/>
            <w:tcBorders>
              <w:top w:val="single" w:sz="10" w:space="0" w:color="D4D4D4"/>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right="606"/>
              <w:jc w:val="right"/>
              <w:rPr>
                <w:rFonts w:ascii="宋体" w:hAnsi="宋体" w:cs="宋体" w:eastAsia="宋体" w:hint="default"/>
                <w:sz w:val="21"/>
                <w:szCs w:val="21"/>
              </w:rPr>
            </w:pPr>
            <w:r>
              <w:rPr>
                <w:rFonts w:ascii="宋体" w:hAnsi="宋体" w:cs="宋体" w:eastAsia="宋体" w:hint="default"/>
                <w:spacing w:val="-2"/>
                <w:sz w:val="21"/>
                <w:szCs w:val="21"/>
              </w:rPr>
              <w:t>（二）稀释每股收益</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bookmarkStart w:name="5、合并现金流量表" w:id="118"/>
      <w:bookmarkEnd w:id="118"/>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150"/>
        <w:jc w:val="right"/>
      </w:pPr>
      <w:r>
        <w:rPr>
          <w:spacing w:val="-1"/>
        </w:rPr>
        <w:t>单位：元</w:t>
      </w:r>
    </w:p>
    <w:p>
      <w:pPr>
        <w:spacing w:line="240" w:lineRule="auto" w:before="10"/>
        <w:rPr>
          <w:rFonts w:ascii="宋体" w:hAnsi="宋体" w:cs="宋体" w:eastAsia="宋体" w:hint="default"/>
          <w:sz w:val="3"/>
          <w:szCs w:val="3"/>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290"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5"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909" w:right="0"/>
              <w:jc w:val="left"/>
              <w:rPr>
                <w:rFonts w:ascii="宋体" w:hAnsi="宋体" w:cs="宋体" w:eastAsia="宋体" w:hint="default"/>
                <w:sz w:val="21"/>
                <w:szCs w:val="21"/>
              </w:rPr>
            </w:pPr>
            <w:r>
              <w:rPr>
                <w:rFonts w:ascii="宋体" w:hAnsi="宋体" w:cs="宋体" w:eastAsia="宋体" w:hint="default"/>
                <w:sz w:val="21"/>
                <w:szCs w:val="21"/>
              </w:rPr>
              <w:t>上期金额发生额</w:t>
            </w:r>
          </w:p>
        </w:tc>
      </w:tr>
      <w:tr>
        <w:trPr>
          <w:trHeight w:val="268"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4" w:lineRule="exact"/>
              <w:ind w:left="12" w:right="-24"/>
              <w:jc w:val="left"/>
              <w:rPr>
                <w:rFonts w:ascii="宋体" w:hAnsi="宋体" w:cs="宋体" w:eastAsia="宋体" w:hint="default"/>
                <w:sz w:val="21"/>
                <w:szCs w:val="21"/>
              </w:rPr>
            </w:pPr>
            <w:r>
              <w:rPr>
                <w:rFonts w:ascii="宋体" w:hAnsi="宋体" w:cs="宋体" w:eastAsia="宋体" w:hint="default"/>
                <w:spacing w:val="-2"/>
                <w:sz w:val="21"/>
                <w:szCs w:val="21"/>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56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72" w:lineRule="exact" w:before="2"/>
              <w:ind w:left="12" w:right="6" w:firstLine="422"/>
              <w:jc w:val="left"/>
              <w:rPr>
                <w:rFonts w:ascii="宋体" w:hAnsi="宋体" w:cs="宋体" w:eastAsia="宋体" w:hint="default"/>
                <w:sz w:val="21"/>
                <w:szCs w:val="21"/>
              </w:rPr>
            </w:pPr>
            <w:r>
              <w:rPr>
                <w:rFonts w:ascii="宋体" w:hAnsi="宋体" w:cs="宋体" w:eastAsia="宋体" w:hint="default"/>
                <w:spacing w:val="-4"/>
                <w:sz w:val="21"/>
                <w:szCs w:val="21"/>
              </w:rPr>
              <w:t>销售商品、提供劳务收到的</w:t>
            </w:r>
            <w:r>
              <w:rPr>
                <w:rFonts w:ascii="宋体" w:hAnsi="宋体" w:cs="宋体" w:eastAsia="宋体" w:hint="default"/>
                <w:w w:val="100"/>
                <w:sz w:val="21"/>
                <w:szCs w:val="21"/>
              </w:rPr>
              <w:t> </w:t>
            </w:r>
            <w:r>
              <w:rPr>
                <w:rFonts w:ascii="宋体" w:hAnsi="宋体" w:cs="宋体" w:eastAsia="宋体" w:hint="default"/>
                <w:sz w:val="21"/>
                <w:szCs w:val="21"/>
              </w:rPr>
              <w:t>现金</w:t>
            </w:r>
          </w:p>
        </w:tc>
        <w:tc>
          <w:tcPr>
            <w:tcW w:w="3311" w:type="dxa"/>
            <w:tcBorders>
              <w:top w:val="single" w:sz="6" w:space="0" w:color="D4D4D4"/>
              <w:left w:val="single" w:sz="9" w:space="0" w:color="D4D4D4"/>
              <w:bottom w:val="single" w:sz="4" w:space="0" w:color="000000"/>
              <w:right w:val="single" w:sz="4" w:space="0" w:color="000000"/>
            </w:tcBorders>
          </w:tcPr>
          <w:p>
            <w:pPr>
              <w:pStyle w:val="TableParagraph"/>
              <w:spacing w:line="240" w:lineRule="auto" w:before="150"/>
              <w:ind w:right="17"/>
              <w:jc w:val="right"/>
              <w:rPr>
                <w:rFonts w:ascii="Times New Roman" w:hAnsi="Times New Roman" w:cs="Times New Roman" w:eastAsia="Times New Roman" w:hint="default"/>
                <w:sz w:val="21"/>
                <w:szCs w:val="21"/>
              </w:rPr>
            </w:pPr>
            <w:r>
              <w:rPr>
                <w:rFonts w:ascii="Times New Roman"/>
                <w:spacing w:val="-1"/>
                <w:sz w:val="21"/>
              </w:rPr>
              <w:t>95,653,094.39</w:t>
            </w:r>
          </w:p>
        </w:tc>
        <w:tc>
          <w:tcPr>
            <w:tcW w:w="3302" w:type="dxa"/>
            <w:tcBorders>
              <w:top w:val="single" w:sz="6" w:space="0" w:color="D4D4D4"/>
              <w:left w:val="single" w:sz="4" w:space="0" w:color="000000"/>
              <w:bottom w:val="single" w:sz="4" w:space="0" w:color="000000"/>
              <w:right w:val="single" w:sz="4" w:space="0" w:color="000000"/>
            </w:tcBorders>
          </w:tcPr>
          <w:p>
            <w:pPr>
              <w:pStyle w:val="TableParagraph"/>
              <w:spacing w:line="240" w:lineRule="auto" w:before="150"/>
              <w:ind w:right="19"/>
              <w:jc w:val="right"/>
              <w:rPr>
                <w:rFonts w:ascii="Times New Roman" w:hAnsi="Times New Roman" w:cs="Times New Roman" w:eastAsia="Times New Roman" w:hint="default"/>
                <w:sz w:val="21"/>
                <w:szCs w:val="21"/>
              </w:rPr>
            </w:pPr>
            <w:r>
              <w:rPr>
                <w:rFonts w:ascii="Times New Roman"/>
                <w:spacing w:val="-1"/>
                <w:sz w:val="21"/>
              </w:rPr>
              <w:t>76,799,398.34</w:t>
            </w:r>
          </w:p>
        </w:tc>
      </w:tr>
      <w:tr>
        <w:trPr>
          <w:trHeight w:val="557"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exact"/>
              <w:ind w:left="434" w:right="0"/>
              <w:jc w:val="left"/>
              <w:rPr>
                <w:rFonts w:ascii="宋体" w:hAnsi="宋体" w:cs="宋体" w:eastAsia="宋体" w:hint="default"/>
                <w:sz w:val="21"/>
                <w:szCs w:val="21"/>
              </w:rPr>
            </w:pPr>
            <w:r>
              <w:rPr>
                <w:rFonts w:ascii="宋体" w:hAnsi="宋体" w:cs="宋体" w:eastAsia="宋体" w:hint="default"/>
                <w:sz w:val="21"/>
                <w:szCs w:val="21"/>
              </w:rPr>
              <w:t>客户存款和同业存放款项</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净增加额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exact"/>
              <w:ind w:left="434" w:right="0"/>
              <w:jc w:val="left"/>
              <w:rPr>
                <w:rFonts w:ascii="宋体" w:hAnsi="宋体" w:cs="宋体" w:eastAsia="宋体" w:hint="default"/>
                <w:sz w:val="21"/>
                <w:szCs w:val="21"/>
              </w:rPr>
            </w:pPr>
            <w:r>
              <w:rPr>
                <w:rFonts w:ascii="宋体" w:hAnsi="宋体" w:cs="宋体" w:eastAsia="宋体" w:hint="default"/>
                <w:sz w:val="21"/>
                <w:szCs w:val="21"/>
              </w:rPr>
              <w:t>向其他金融机构拆入资金</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净增加额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收到原保险合同保费取得</w:t>
            </w:r>
          </w:p>
          <w:p>
            <w:pPr>
              <w:pStyle w:val="TableParagraph"/>
              <w:spacing w:line="273" w:lineRule="exact"/>
              <w:ind w:left="12"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exact"/>
              <w:ind w:left="434" w:right="0"/>
              <w:jc w:val="left"/>
              <w:rPr>
                <w:rFonts w:ascii="宋体" w:hAnsi="宋体" w:cs="宋体" w:eastAsia="宋体" w:hint="default"/>
                <w:sz w:val="21"/>
                <w:szCs w:val="21"/>
              </w:rPr>
            </w:pPr>
            <w:r>
              <w:rPr>
                <w:rFonts w:ascii="宋体" w:hAnsi="宋体" w:cs="宋体" w:eastAsia="宋体" w:hint="default"/>
                <w:sz w:val="21"/>
                <w:szCs w:val="21"/>
              </w:rPr>
              <w:t>保户储金及投资款净增加</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exact"/>
              <w:ind w:left="12" w:right="0" w:firstLine="422"/>
              <w:jc w:val="left"/>
              <w:rPr>
                <w:rFonts w:ascii="宋体" w:hAnsi="宋体" w:cs="宋体" w:eastAsia="宋体" w:hint="default"/>
                <w:sz w:val="21"/>
                <w:szCs w:val="21"/>
              </w:rPr>
            </w:pPr>
            <w:r>
              <w:rPr>
                <w:rFonts w:ascii="宋体" w:hAnsi="宋体" w:cs="宋体" w:eastAsia="宋体" w:hint="default"/>
                <w:sz w:val="21"/>
                <w:szCs w:val="21"/>
              </w:rPr>
              <w:t>处置以公允价值计量且其</w:t>
            </w:r>
          </w:p>
          <w:p>
            <w:pPr>
              <w:pStyle w:val="TableParagraph"/>
              <w:spacing w:line="272" w:lineRule="exact" w:before="27"/>
              <w:ind w:left="12" w:right="186"/>
              <w:jc w:val="left"/>
              <w:rPr>
                <w:rFonts w:ascii="宋体" w:hAnsi="宋体" w:cs="宋体" w:eastAsia="宋体" w:hint="default"/>
                <w:sz w:val="21"/>
                <w:szCs w:val="21"/>
              </w:rPr>
            </w:pPr>
            <w:r>
              <w:rPr>
                <w:rFonts w:ascii="宋体" w:hAnsi="宋体" w:cs="宋体" w:eastAsia="宋体" w:hint="default"/>
                <w:spacing w:val="-2"/>
                <w:sz w:val="21"/>
                <w:szCs w:val="21"/>
              </w:rPr>
              <w:t>变动计入当期损益的金融资产</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净增加额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exact"/>
              <w:ind w:left="434" w:right="0"/>
              <w:jc w:val="left"/>
              <w:rPr>
                <w:rFonts w:ascii="宋体" w:hAnsi="宋体" w:cs="宋体" w:eastAsia="宋体" w:hint="default"/>
                <w:sz w:val="21"/>
                <w:szCs w:val="21"/>
              </w:rPr>
            </w:pPr>
            <w:r>
              <w:rPr>
                <w:rFonts w:ascii="宋体" w:hAnsi="宋体" w:cs="宋体" w:eastAsia="宋体" w:hint="default"/>
                <w:spacing w:val="-4"/>
                <w:sz w:val="21"/>
                <w:szCs w:val="21"/>
              </w:rPr>
              <w:t>收取利息、手续费及佣金的</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3,564,977.33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3,758,773.21</w:t>
            </w:r>
          </w:p>
        </w:tc>
      </w:tr>
      <w:tr>
        <w:trPr>
          <w:trHeight w:val="557"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收到其他与经营活动有关</w:t>
            </w:r>
          </w:p>
          <w:p>
            <w:pPr>
              <w:pStyle w:val="TableParagraph"/>
              <w:spacing w:line="273" w:lineRule="exact"/>
              <w:ind w:left="12"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1"/>
                <w:sz w:val="21"/>
              </w:rPr>
              <w:t>5,450,303.25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8,778,761.18</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104,668,374.97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89,336,932.73</w:t>
            </w:r>
          </w:p>
        </w:tc>
      </w:tr>
      <w:tr>
        <w:trPr>
          <w:trHeight w:val="557"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exact"/>
              <w:ind w:left="434" w:right="0"/>
              <w:jc w:val="left"/>
              <w:rPr>
                <w:rFonts w:ascii="宋体" w:hAnsi="宋体" w:cs="宋体" w:eastAsia="宋体" w:hint="default"/>
                <w:sz w:val="21"/>
                <w:szCs w:val="21"/>
              </w:rPr>
            </w:pPr>
            <w:r>
              <w:rPr>
                <w:rFonts w:ascii="宋体" w:hAnsi="宋体" w:cs="宋体" w:eastAsia="宋体" w:hint="default"/>
                <w:spacing w:val="-4"/>
                <w:sz w:val="21"/>
                <w:szCs w:val="21"/>
              </w:rPr>
              <w:t>购买商品、接受劳务支付的</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1"/>
                <w:sz w:val="21"/>
              </w:rPr>
              <w:t>26,452,071.09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21,211,381.65</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exact"/>
              <w:ind w:left="434" w:right="0"/>
              <w:jc w:val="left"/>
              <w:rPr>
                <w:rFonts w:ascii="宋体" w:hAnsi="宋体" w:cs="宋体" w:eastAsia="宋体" w:hint="default"/>
                <w:sz w:val="21"/>
                <w:szCs w:val="21"/>
              </w:rPr>
            </w:pPr>
            <w:r>
              <w:rPr>
                <w:rFonts w:ascii="宋体" w:hAnsi="宋体" w:cs="宋体" w:eastAsia="宋体" w:hint="default"/>
                <w:sz w:val="21"/>
                <w:szCs w:val="21"/>
              </w:rPr>
              <w:t>存放中央银行和同业款项</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净增加额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exact"/>
              <w:ind w:left="434" w:right="0"/>
              <w:jc w:val="left"/>
              <w:rPr>
                <w:rFonts w:ascii="宋体" w:hAnsi="宋体" w:cs="宋体" w:eastAsia="宋体" w:hint="default"/>
                <w:sz w:val="21"/>
                <w:szCs w:val="21"/>
              </w:rPr>
            </w:pPr>
            <w:r>
              <w:rPr>
                <w:rFonts w:ascii="宋体" w:hAnsi="宋体" w:cs="宋体" w:eastAsia="宋体" w:hint="default"/>
                <w:sz w:val="21"/>
                <w:szCs w:val="21"/>
              </w:rPr>
              <w:t>支付原保险合同赔付款项</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exact"/>
              <w:ind w:left="434" w:right="0"/>
              <w:jc w:val="left"/>
              <w:rPr>
                <w:rFonts w:ascii="宋体" w:hAnsi="宋体" w:cs="宋体" w:eastAsia="宋体" w:hint="default"/>
                <w:sz w:val="21"/>
                <w:szCs w:val="21"/>
              </w:rPr>
            </w:pPr>
            <w:r>
              <w:rPr>
                <w:rFonts w:ascii="宋体" w:hAnsi="宋体" w:cs="宋体" w:eastAsia="宋体" w:hint="default"/>
                <w:spacing w:val="-4"/>
                <w:sz w:val="21"/>
                <w:szCs w:val="21"/>
              </w:rPr>
              <w:t>支付利息、手续费及佣金的</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支付给职工以及为职工支</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25,002,405.97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19,409,335.90</w:t>
            </w:r>
          </w:p>
        </w:tc>
      </w:tr>
    </w:tbl>
    <w:p>
      <w:pPr>
        <w:spacing w:after="0" w:line="240" w:lineRule="auto"/>
        <w:jc w:val="right"/>
        <w:rPr>
          <w:rFonts w:ascii="Times New Roman" w:hAnsi="Times New Roman" w:cs="Times New Roman" w:eastAsia="Times New Roman" w:hint="default"/>
          <w:sz w:val="21"/>
          <w:szCs w:val="21"/>
        </w:rPr>
        <w:sectPr>
          <w:pgSz w:w="11910" w:h="16840"/>
          <w:pgMar w:header="880"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付的现金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13,397,392.86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13,279,168.44</w:t>
            </w:r>
          </w:p>
        </w:tc>
      </w:tr>
      <w:tr>
        <w:trPr>
          <w:trHeight w:val="554"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exact"/>
              <w:ind w:left="434" w:right="0"/>
              <w:jc w:val="left"/>
              <w:rPr>
                <w:rFonts w:ascii="宋体" w:hAnsi="宋体" w:cs="宋体" w:eastAsia="宋体" w:hint="default"/>
                <w:sz w:val="21"/>
                <w:szCs w:val="21"/>
              </w:rPr>
            </w:pPr>
            <w:r>
              <w:rPr>
                <w:rFonts w:ascii="宋体" w:hAnsi="宋体" w:cs="宋体" w:eastAsia="宋体" w:hint="default"/>
                <w:sz w:val="21"/>
                <w:szCs w:val="21"/>
              </w:rPr>
              <w:t>支付其他与经营活动有关</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19,178,659.30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17,639,741.29</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3" w:lineRule="exact"/>
              <w:ind w:left="12"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84,030,529.22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71,539,627.28</w:t>
            </w:r>
          </w:p>
        </w:tc>
      </w:tr>
      <w:tr>
        <w:trPr>
          <w:trHeight w:val="29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3" w:lineRule="exact"/>
              <w:ind w:left="12"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3311" w:type="dxa"/>
            <w:tcBorders>
              <w:top w:val="single" w:sz="4" w:space="0" w:color="000000"/>
              <w:left w:val="single" w:sz="9" w:space="0" w:color="D4D4D4"/>
              <w:bottom w:val="single" w:sz="7" w:space="0" w:color="D4D4D4"/>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20,637,845.75</w:t>
            </w:r>
          </w:p>
        </w:tc>
        <w:tc>
          <w:tcPr>
            <w:tcW w:w="3302" w:type="dxa"/>
            <w:tcBorders>
              <w:top w:val="single" w:sz="4" w:space="0" w:color="000000"/>
              <w:left w:val="single" w:sz="4" w:space="0" w:color="000000"/>
              <w:bottom w:val="single" w:sz="7" w:space="0" w:color="D4D4D4"/>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17,797,305.45</w:t>
            </w:r>
          </w:p>
        </w:tc>
      </w:tr>
      <w:tr>
        <w:trPr>
          <w:trHeight w:val="268"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ind w:left="12" w:right="-24"/>
              <w:jc w:val="left"/>
              <w:rPr>
                <w:rFonts w:ascii="宋体" w:hAnsi="宋体" w:cs="宋体" w:eastAsia="宋体" w:hint="default"/>
                <w:sz w:val="21"/>
                <w:szCs w:val="21"/>
              </w:rPr>
            </w:pPr>
            <w:r>
              <w:rPr>
                <w:rFonts w:ascii="宋体" w:hAnsi="宋体" w:cs="宋体" w:eastAsia="宋体" w:hint="default"/>
                <w:spacing w:val="-2"/>
                <w:sz w:val="21"/>
                <w:szCs w:val="21"/>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290"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8" w:lineRule="exact"/>
              <w:ind w:left="43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3311" w:type="dxa"/>
            <w:tcBorders>
              <w:top w:val="single" w:sz="10" w:space="0" w:color="D4D4D4"/>
              <w:left w:val="single" w:sz="9"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215,000,000.00</w:t>
            </w:r>
          </w:p>
        </w:tc>
        <w:tc>
          <w:tcPr>
            <w:tcW w:w="3302" w:type="dxa"/>
            <w:tcBorders>
              <w:top w:val="single" w:sz="10" w:space="0" w:color="D4D4D4"/>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334,000,000.00</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3,083,530.79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2,776,904.09</w:t>
            </w:r>
          </w:p>
        </w:tc>
      </w:tr>
      <w:tr>
        <w:trPr>
          <w:trHeight w:val="557"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exact"/>
              <w:ind w:left="434" w:right="0"/>
              <w:jc w:val="left"/>
              <w:rPr>
                <w:rFonts w:ascii="宋体" w:hAnsi="宋体" w:cs="宋体" w:eastAsia="宋体" w:hint="default"/>
                <w:sz w:val="21"/>
                <w:szCs w:val="21"/>
              </w:rPr>
            </w:pPr>
            <w:r>
              <w:rPr>
                <w:rFonts w:ascii="宋体" w:hAnsi="宋体" w:cs="宋体" w:eastAsia="宋体" w:hint="default"/>
                <w:spacing w:val="-4"/>
                <w:sz w:val="21"/>
                <w:szCs w:val="21"/>
              </w:rPr>
              <w:t>处置固定资产、无形资产和</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其他长期资产收回的现金净额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1"/>
                <w:sz w:val="21"/>
              </w:rPr>
              <w:t>850,800.00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z w:val="21"/>
              </w:rPr>
              <w:t>900.00</w:t>
            </w:r>
          </w:p>
        </w:tc>
      </w:tr>
      <w:tr>
        <w:trPr>
          <w:trHeight w:val="554"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exact"/>
              <w:ind w:left="434" w:right="0"/>
              <w:jc w:val="left"/>
              <w:rPr>
                <w:rFonts w:ascii="宋体" w:hAnsi="宋体" w:cs="宋体" w:eastAsia="宋体" w:hint="default"/>
                <w:sz w:val="21"/>
                <w:szCs w:val="21"/>
              </w:rPr>
            </w:pPr>
            <w:r>
              <w:rPr>
                <w:rFonts w:ascii="宋体" w:hAnsi="宋体" w:cs="宋体" w:eastAsia="宋体" w:hint="default"/>
                <w:sz w:val="21"/>
                <w:szCs w:val="21"/>
              </w:rPr>
              <w:t>处置子公司及其他营业单</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位收到的现金净额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收到其他与投资活动有关</w:t>
            </w:r>
          </w:p>
          <w:p>
            <w:pPr>
              <w:pStyle w:val="TableParagraph"/>
              <w:spacing w:line="273" w:lineRule="exact"/>
              <w:ind w:left="12"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218,934,330.79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336,777,804.09</w:t>
            </w:r>
          </w:p>
        </w:tc>
      </w:tr>
      <w:tr>
        <w:trPr>
          <w:trHeight w:val="557"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exact"/>
              <w:ind w:left="434" w:right="0"/>
              <w:jc w:val="left"/>
              <w:rPr>
                <w:rFonts w:ascii="宋体" w:hAnsi="宋体" w:cs="宋体" w:eastAsia="宋体" w:hint="default"/>
                <w:sz w:val="21"/>
                <w:szCs w:val="21"/>
              </w:rPr>
            </w:pPr>
            <w:r>
              <w:rPr>
                <w:rFonts w:ascii="宋体" w:hAnsi="宋体" w:cs="宋体" w:eastAsia="宋体" w:hint="default"/>
                <w:spacing w:val="-4"/>
                <w:sz w:val="21"/>
                <w:szCs w:val="21"/>
              </w:rPr>
              <w:t>购建固定资产、无形资产和</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其他长期资产支付的现金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1"/>
                <w:sz w:val="21"/>
              </w:rPr>
              <w:t>2,939,673.92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89,746,604.52</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235,000,000.00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360,000,000.00</w:t>
            </w:r>
          </w:p>
        </w:tc>
      </w:tr>
      <w:tr>
        <w:trPr>
          <w:trHeight w:val="28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取得子公司及其他营业单</w:t>
            </w:r>
          </w:p>
          <w:p>
            <w:pPr>
              <w:pStyle w:val="TableParagraph"/>
              <w:spacing w:line="273" w:lineRule="exact"/>
              <w:ind w:left="12" w:right="0"/>
              <w:jc w:val="left"/>
              <w:rPr>
                <w:rFonts w:ascii="宋体" w:hAnsi="宋体" w:cs="宋体" w:eastAsia="宋体" w:hint="default"/>
                <w:sz w:val="21"/>
                <w:szCs w:val="21"/>
              </w:rPr>
            </w:pPr>
            <w:r>
              <w:rPr>
                <w:rFonts w:ascii="宋体" w:hAnsi="宋体" w:cs="宋体" w:eastAsia="宋体" w:hint="default"/>
                <w:sz w:val="21"/>
                <w:szCs w:val="21"/>
              </w:rPr>
              <w:t>位支付的现金净额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1"/>
                <w:sz w:val="21"/>
              </w:rPr>
              <w:t>3,000,000.00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exact"/>
              <w:ind w:left="434" w:right="0"/>
              <w:jc w:val="left"/>
              <w:rPr>
                <w:rFonts w:ascii="宋体" w:hAnsi="宋体" w:cs="宋体" w:eastAsia="宋体" w:hint="default"/>
                <w:sz w:val="21"/>
                <w:szCs w:val="21"/>
              </w:rPr>
            </w:pPr>
            <w:r>
              <w:rPr>
                <w:rFonts w:ascii="宋体" w:hAnsi="宋体" w:cs="宋体" w:eastAsia="宋体" w:hint="default"/>
                <w:sz w:val="21"/>
                <w:szCs w:val="21"/>
              </w:rPr>
              <w:t>支付其他与投资活动有关</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240,939,673.92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449,746,604.52</w:t>
            </w:r>
          </w:p>
        </w:tc>
      </w:tr>
      <w:tr>
        <w:trPr>
          <w:trHeight w:val="290"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3311" w:type="dxa"/>
            <w:tcBorders>
              <w:top w:val="single" w:sz="4" w:space="0" w:color="000000"/>
              <w:left w:val="single" w:sz="9" w:space="0" w:color="D4D4D4"/>
              <w:bottom w:val="single" w:sz="10" w:space="0" w:color="D4D4D4"/>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-22,005,343.13</w:t>
            </w:r>
          </w:p>
        </w:tc>
        <w:tc>
          <w:tcPr>
            <w:tcW w:w="3302" w:type="dxa"/>
            <w:tcBorders>
              <w:top w:val="single" w:sz="4" w:space="0" w:color="000000"/>
              <w:left w:val="single" w:sz="4" w:space="0" w:color="000000"/>
              <w:bottom w:val="single" w:sz="10" w:space="0" w:color="D4D4D4"/>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-112,968,800.43</w:t>
            </w:r>
          </w:p>
        </w:tc>
      </w:tr>
      <w:tr>
        <w:trPr>
          <w:trHeight w:val="268"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4" w:lineRule="exact"/>
              <w:ind w:left="12" w:right="-24"/>
              <w:jc w:val="left"/>
              <w:rPr>
                <w:rFonts w:ascii="宋体" w:hAnsi="宋体" w:cs="宋体" w:eastAsia="宋体" w:hint="default"/>
                <w:sz w:val="21"/>
                <w:szCs w:val="21"/>
              </w:rPr>
            </w:pPr>
            <w:r>
              <w:rPr>
                <w:rFonts w:ascii="宋体" w:hAnsi="宋体" w:cs="宋体" w:eastAsia="宋体" w:hint="default"/>
                <w:spacing w:val="-2"/>
                <w:sz w:val="21"/>
                <w:szCs w:val="21"/>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289"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9" w:lineRule="exact"/>
              <w:ind w:left="43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3311" w:type="dxa"/>
            <w:tcBorders>
              <w:top w:val="single" w:sz="11" w:space="0" w:color="D4D4D4"/>
              <w:left w:val="single" w:sz="9" w:space="0" w:color="D4D4D4"/>
              <w:bottom w:val="single" w:sz="4" w:space="0" w:color="000000"/>
              <w:right w:val="single" w:sz="4" w:space="0" w:color="000000"/>
            </w:tcBorders>
          </w:tcPr>
          <w:p>
            <w:pPr/>
          </w:p>
        </w:tc>
        <w:tc>
          <w:tcPr>
            <w:tcW w:w="3302" w:type="dxa"/>
            <w:tcBorders>
              <w:top w:val="single" w:sz="11" w:space="0" w:color="D4D4D4"/>
              <w:left w:val="single" w:sz="4" w:space="0" w:color="000000"/>
              <w:bottom w:val="single" w:sz="4" w:space="0" w:color="000000"/>
              <w:right w:val="single" w:sz="4" w:space="0" w:color="000000"/>
            </w:tcBorders>
          </w:tcPr>
          <w:p>
            <w:pPr/>
          </w:p>
        </w:tc>
      </w:tr>
      <w:tr>
        <w:trPr>
          <w:trHeight w:val="557"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pacing w:val="-4"/>
                <w:sz w:val="21"/>
                <w:szCs w:val="21"/>
              </w:rPr>
              <w:t>其中：子公司吸收少数股东</w:t>
            </w:r>
          </w:p>
          <w:p>
            <w:pPr>
              <w:pStyle w:val="TableParagraph"/>
              <w:spacing w:line="273" w:lineRule="exact"/>
              <w:ind w:left="12" w:right="0"/>
              <w:jc w:val="left"/>
              <w:rPr>
                <w:rFonts w:ascii="宋体" w:hAnsi="宋体" w:cs="宋体" w:eastAsia="宋体" w:hint="default"/>
                <w:sz w:val="21"/>
                <w:szCs w:val="21"/>
              </w:rPr>
            </w:pPr>
            <w:r>
              <w:rPr>
                <w:rFonts w:ascii="宋体" w:hAnsi="宋体" w:cs="宋体" w:eastAsia="宋体" w:hint="default"/>
                <w:sz w:val="21"/>
                <w:szCs w:val="21"/>
              </w:rPr>
              <w:t>投资收到的现金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exact"/>
              <w:ind w:left="434" w:right="0"/>
              <w:jc w:val="left"/>
              <w:rPr>
                <w:rFonts w:ascii="宋体" w:hAnsi="宋体" w:cs="宋体" w:eastAsia="宋体" w:hint="default"/>
                <w:sz w:val="21"/>
                <w:szCs w:val="21"/>
              </w:rPr>
            </w:pPr>
            <w:r>
              <w:rPr>
                <w:rFonts w:ascii="宋体" w:hAnsi="宋体" w:cs="宋体" w:eastAsia="宋体" w:hint="default"/>
                <w:sz w:val="21"/>
                <w:szCs w:val="21"/>
              </w:rPr>
              <w:t>收到其他与筹资活动有关</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1"/>
                <w:sz w:val="21"/>
              </w:rPr>
              <w:t>1,560,939.09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2,847,652.27</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1,560,939.09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2,847,652.27</w:t>
            </w:r>
          </w:p>
        </w:tc>
      </w:tr>
      <w:tr>
        <w:trPr>
          <w:trHeight w:val="28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pacing w:val="-4"/>
                <w:sz w:val="21"/>
                <w:szCs w:val="21"/>
              </w:rPr>
              <w:t>分配股利、利润或偿付利息</w:t>
            </w:r>
          </w:p>
          <w:p>
            <w:pPr>
              <w:pStyle w:val="TableParagraph"/>
              <w:spacing w:line="273" w:lineRule="exact"/>
              <w:ind w:left="12" w:right="0"/>
              <w:jc w:val="left"/>
              <w:rPr>
                <w:rFonts w:ascii="宋体" w:hAnsi="宋体" w:cs="宋体" w:eastAsia="宋体" w:hint="default"/>
                <w:sz w:val="21"/>
                <w:szCs w:val="21"/>
              </w:rPr>
            </w:pPr>
            <w:r>
              <w:rPr>
                <w:rFonts w:ascii="宋体" w:hAnsi="宋体" w:cs="宋体" w:eastAsia="宋体" w:hint="default"/>
                <w:sz w:val="21"/>
                <w:szCs w:val="21"/>
              </w:rPr>
              <w:t>支付的现金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1"/>
                <w:sz w:val="21"/>
              </w:rPr>
              <w:t>5,278,773.20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exact"/>
              <w:ind w:left="434" w:right="0"/>
              <w:jc w:val="left"/>
              <w:rPr>
                <w:rFonts w:ascii="宋体" w:hAnsi="宋体" w:cs="宋体" w:eastAsia="宋体" w:hint="default"/>
                <w:sz w:val="21"/>
                <w:szCs w:val="21"/>
              </w:rPr>
            </w:pPr>
            <w:r>
              <w:rPr>
                <w:rFonts w:ascii="宋体" w:hAnsi="宋体" w:cs="宋体" w:eastAsia="宋体" w:hint="default"/>
                <w:spacing w:val="-4"/>
                <w:sz w:val="21"/>
                <w:szCs w:val="21"/>
              </w:rPr>
              <w:t>其中：子公司支付给少数股</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东的股利、利润</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exact"/>
              <w:ind w:left="434" w:right="0"/>
              <w:jc w:val="left"/>
              <w:rPr>
                <w:rFonts w:ascii="宋体" w:hAnsi="宋体" w:cs="宋体" w:eastAsia="宋体" w:hint="default"/>
                <w:sz w:val="21"/>
                <w:szCs w:val="21"/>
              </w:rPr>
            </w:pPr>
            <w:r>
              <w:rPr>
                <w:rFonts w:ascii="宋体" w:hAnsi="宋体" w:cs="宋体" w:eastAsia="宋体" w:hint="default"/>
                <w:sz w:val="21"/>
                <w:szCs w:val="21"/>
              </w:rPr>
              <w:t>支付其他与筹资活动有关</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1,205.06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3"/>
                <w:sz w:val="21"/>
              </w:rPr>
              <w:t>1,111.40</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3" w:lineRule="exact"/>
              <w:ind w:left="12"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5,279,978.26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3"/>
                <w:sz w:val="21"/>
              </w:rPr>
              <w:t>1,111.40</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3" w:lineRule="exact"/>
              <w:ind w:left="12"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-3,719,039.17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2,846,540.87</w:t>
            </w:r>
          </w:p>
        </w:tc>
      </w:tr>
      <w:tr>
        <w:trPr>
          <w:trHeight w:val="557"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exact"/>
              <w:ind w:left="12" w:right="0"/>
              <w:jc w:val="left"/>
              <w:rPr>
                <w:rFonts w:ascii="宋体" w:hAnsi="宋体" w:cs="宋体" w:eastAsia="宋体" w:hint="default"/>
                <w:sz w:val="21"/>
                <w:szCs w:val="21"/>
              </w:rPr>
            </w:pPr>
            <w:r>
              <w:rPr>
                <w:rFonts w:ascii="宋体" w:hAnsi="宋体" w:cs="宋体" w:eastAsia="宋体" w:hint="default"/>
                <w:spacing w:val="-4"/>
                <w:sz w:val="21"/>
                <w:szCs w:val="21"/>
              </w:rPr>
              <w:t>四、汇率变动对现金及现金等价</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物的影响</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pacing w:val="-4"/>
                <w:sz w:val="21"/>
                <w:szCs w:val="21"/>
              </w:rPr>
              <w:t>五、现金及现金等价物净增加额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-5,086,536.55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2"/>
                <w:sz w:val="21"/>
              </w:rPr>
              <w:t>-92,324,954.11</w:t>
            </w:r>
          </w:p>
        </w:tc>
      </w:tr>
      <w:tr>
        <w:trPr>
          <w:trHeight w:val="557"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exact"/>
              <w:ind w:left="434" w:right="0"/>
              <w:jc w:val="left"/>
              <w:rPr>
                <w:rFonts w:ascii="宋体" w:hAnsi="宋体" w:cs="宋体" w:eastAsia="宋体" w:hint="default"/>
                <w:sz w:val="21"/>
                <w:szCs w:val="21"/>
              </w:rPr>
            </w:pPr>
            <w:r>
              <w:rPr>
                <w:rFonts w:ascii="宋体" w:hAnsi="宋体" w:cs="宋体" w:eastAsia="宋体" w:hint="default"/>
                <w:spacing w:val="-4"/>
                <w:sz w:val="21"/>
                <w:szCs w:val="21"/>
              </w:rPr>
              <w:t>加：期初现金及现金等价物</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1"/>
                <w:sz w:val="21"/>
              </w:rPr>
              <w:t>126,386,318.45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218,711,272.56</w:t>
            </w:r>
          </w:p>
        </w:tc>
      </w:tr>
    </w:tbl>
    <w:p>
      <w:pPr>
        <w:spacing w:after="0" w:line="240" w:lineRule="auto"/>
        <w:jc w:val="right"/>
        <w:rPr>
          <w:rFonts w:ascii="Times New Roman" w:hAnsi="Times New Roman" w:cs="Times New Roman" w:eastAsia="Times New Roman" w:hint="default"/>
          <w:sz w:val="21"/>
          <w:szCs w:val="21"/>
        </w:rPr>
        <w:sectPr>
          <w:pgSz w:w="11910" w:h="16840"/>
          <w:pgMar w:header="880"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5"/>
        <w:gridCol w:w="3300"/>
        <w:gridCol w:w="3302"/>
      </w:tblGrid>
      <w:tr>
        <w:trPr>
          <w:trHeight w:val="28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pacing w:val="-4"/>
                <w:sz w:val="21"/>
                <w:szCs w:val="21"/>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956" w:right="0"/>
              <w:jc w:val="left"/>
              <w:rPr>
                <w:rFonts w:ascii="Times New Roman" w:hAnsi="Times New Roman" w:cs="Times New Roman" w:eastAsia="Times New Roman" w:hint="default"/>
                <w:sz w:val="21"/>
                <w:szCs w:val="21"/>
              </w:rPr>
            </w:pPr>
            <w:r>
              <w:rPr>
                <w:rFonts w:ascii="Times New Roman"/>
                <w:sz w:val="21"/>
              </w:rPr>
              <w:t>121,299,781.90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955" w:right="0"/>
              <w:jc w:val="left"/>
              <w:rPr>
                <w:rFonts w:ascii="Times New Roman" w:hAnsi="Times New Roman" w:cs="Times New Roman" w:eastAsia="Times New Roman" w:hint="default"/>
                <w:sz w:val="21"/>
                <w:szCs w:val="21"/>
              </w:rPr>
            </w:pPr>
            <w:r>
              <w:rPr>
                <w:rFonts w:ascii="Times New Roman"/>
                <w:sz w:val="21"/>
              </w:rPr>
              <w:t>126,386,318.45</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6"/>
        <w:ind w:right="0"/>
        <w:jc w:val="left"/>
        <w:rPr>
          <w:b w:val="0"/>
          <w:bCs w:val="0"/>
        </w:rPr>
      </w:pPr>
      <w:bookmarkStart w:name="6、母公司现金流量表" w:id="119"/>
      <w:bookmarkEnd w:id="119"/>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150"/>
        <w:jc w:val="right"/>
      </w:pPr>
      <w:r>
        <w:rPr>
          <w:spacing w:val="-1"/>
        </w:rPr>
        <w:t>单位：元</w:t>
      </w:r>
    </w:p>
    <w:p>
      <w:pPr>
        <w:spacing w:line="240" w:lineRule="auto" w:before="10"/>
        <w:rPr>
          <w:rFonts w:ascii="宋体" w:hAnsi="宋体" w:cs="宋体" w:eastAsia="宋体" w:hint="default"/>
          <w:sz w:val="3"/>
          <w:szCs w:val="3"/>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290"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5"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68"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4" w:lineRule="exact"/>
              <w:ind w:left="12" w:right="-23"/>
              <w:jc w:val="left"/>
              <w:rPr>
                <w:rFonts w:ascii="宋体" w:hAnsi="宋体" w:cs="宋体" w:eastAsia="宋体" w:hint="default"/>
                <w:sz w:val="21"/>
                <w:szCs w:val="21"/>
              </w:rPr>
            </w:pPr>
            <w:r>
              <w:rPr>
                <w:rFonts w:ascii="宋体" w:hAnsi="宋体" w:cs="宋体" w:eastAsia="宋体" w:hint="default"/>
                <w:spacing w:val="-2"/>
                <w:sz w:val="21"/>
                <w:szCs w:val="21"/>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56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72" w:lineRule="exact" w:before="2"/>
              <w:ind w:left="12" w:right="6" w:firstLine="422"/>
              <w:jc w:val="left"/>
              <w:rPr>
                <w:rFonts w:ascii="宋体" w:hAnsi="宋体" w:cs="宋体" w:eastAsia="宋体" w:hint="default"/>
                <w:sz w:val="21"/>
                <w:szCs w:val="21"/>
              </w:rPr>
            </w:pPr>
            <w:r>
              <w:rPr>
                <w:rFonts w:ascii="宋体" w:hAnsi="宋体" w:cs="宋体" w:eastAsia="宋体" w:hint="default"/>
                <w:spacing w:val="-4"/>
                <w:sz w:val="21"/>
                <w:szCs w:val="21"/>
              </w:rPr>
              <w:t>销售商品、提供劳务收到的</w:t>
            </w:r>
            <w:r>
              <w:rPr>
                <w:rFonts w:ascii="宋体" w:hAnsi="宋体" w:cs="宋体" w:eastAsia="宋体" w:hint="default"/>
                <w:w w:val="100"/>
                <w:sz w:val="21"/>
                <w:szCs w:val="21"/>
              </w:rPr>
              <w:t> </w:t>
            </w:r>
            <w:r>
              <w:rPr>
                <w:rFonts w:ascii="宋体" w:hAnsi="宋体" w:cs="宋体" w:eastAsia="宋体" w:hint="default"/>
                <w:sz w:val="21"/>
                <w:szCs w:val="21"/>
              </w:rPr>
              <w:t>现金</w:t>
            </w:r>
          </w:p>
        </w:tc>
        <w:tc>
          <w:tcPr>
            <w:tcW w:w="3311" w:type="dxa"/>
            <w:tcBorders>
              <w:top w:val="single" w:sz="10" w:space="0" w:color="D4D4D4"/>
              <w:left w:val="single" w:sz="9" w:space="0" w:color="D4D4D4"/>
              <w:bottom w:val="single" w:sz="4" w:space="0" w:color="000000"/>
              <w:right w:val="single" w:sz="4" w:space="0" w:color="000000"/>
            </w:tcBorders>
          </w:tcPr>
          <w:p>
            <w:pPr>
              <w:pStyle w:val="TableParagraph"/>
              <w:spacing w:line="240" w:lineRule="auto" w:before="146"/>
              <w:ind w:right="17"/>
              <w:jc w:val="right"/>
              <w:rPr>
                <w:rFonts w:ascii="Times New Roman" w:hAnsi="Times New Roman" w:cs="Times New Roman" w:eastAsia="Times New Roman" w:hint="default"/>
                <w:sz w:val="21"/>
                <w:szCs w:val="21"/>
              </w:rPr>
            </w:pPr>
            <w:r>
              <w:rPr>
                <w:rFonts w:ascii="Times New Roman"/>
                <w:spacing w:val="-1"/>
                <w:sz w:val="21"/>
              </w:rPr>
              <w:t>92,048,326.39</w:t>
            </w:r>
          </w:p>
        </w:tc>
        <w:tc>
          <w:tcPr>
            <w:tcW w:w="3302" w:type="dxa"/>
            <w:tcBorders>
              <w:top w:val="single" w:sz="10" w:space="0" w:color="D4D4D4"/>
              <w:left w:val="single" w:sz="4" w:space="0" w:color="000000"/>
              <w:bottom w:val="single" w:sz="4" w:space="0" w:color="000000"/>
              <w:right w:val="single" w:sz="4" w:space="0" w:color="000000"/>
            </w:tcBorders>
          </w:tcPr>
          <w:p>
            <w:pPr>
              <w:pStyle w:val="TableParagraph"/>
              <w:spacing w:line="240" w:lineRule="auto" w:before="146"/>
              <w:ind w:right="19"/>
              <w:jc w:val="right"/>
              <w:rPr>
                <w:rFonts w:ascii="Times New Roman" w:hAnsi="Times New Roman" w:cs="Times New Roman" w:eastAsia="Times New Roman" w:hint="default"/>
                <w:sz w:val="21"/>
                <w:szCs w:val="21"/>
              </w:rPr>
            </w:pPr>
            <w:r>
              <w:rPr>
                <w:rFonts w:ascii="Times New Roman"/>
                <w:spacing w:val="-1"/>
                <w:sz w:val="21"/>
              </w:rPr>
              <w:t>68,720,288.88</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3,564,977.33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3,758,773.21</w:t>
            </w:r>
          </w:p>
        </w:tc>
      </w:tr>
      <w:tr>
        <w:trPr>
          <w:trHeight w:val="557"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exact"/>
              <w:ind w:left="434" w:right="0"/>
              <w:jc w:val="left"/>
              <w:rPr>
                <w:rFonts w:ascii="宋体" w:hAnsi="宋体" w:cs="宋体" w:eastAsia="宋体" w:hint="default"/>
                <w:sz w:val="21"/>
                <w:szCs w:val="21"/>
              </w:rPr>
            </w:pPr>
            <w:r>
              <w:rPr>
                <w:rFonts w:ascii="宋体" w:hAnsi="宋体" w:cs="宋体" w:eastAsia="宋体" w:hint="default"/>
                <w:sz w:val="21"/>
                <w:szCs w:val="21"/>
              </w:rPr>
              <w:t>收到其他与经营活动有关</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1"/>
                <w:sz w:val="21"/>
              </w:rPr>
              <w:t>5,401,190.74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8,763,227.93</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101,014,494.46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81,242,290.02</w:t>
            </w:r>
          </w:p>
        </w:tc>
      </w:tr>
      <w:tr>
        <w:trPr>
          <w:trHeight w:val="554"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exact"/>
              <w:ind w:left="434" w:right="0"/>
              <w:jc w:val="left"/>
              <w:rPr>
                <w:rFonts w:ascii="宋体" w:hAnsi="宋体" w:cs="宋体" w:eastAsia="宋体" w:hint="default"/>
                <w:sz w:val="21"/>
                <w:szCs w:val="21"/>
              </w:rPr>
            </w:pPr>
            <w:r>
              <w:rPr>
                <w:rFonts w:ascii="宋体" w:hAnsi="宋体" w:cs="宋体" w:eastAsia="宋体" w:hint="default"/>
                <w:spacing w:val="-4"/>
                <w:sz w:val="21"/>
                <w:szCs w:val="21"/>
              </w:rPr>
              <w:t>购买商品、接受劳务支付的</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25,616,207.26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15,236,493.65</w:t>
            </w:r>
          </w:p>
        </w:tc>
      </w:tr>
      <w:tr>
        <w:trPr>
          <w:trHeight w:val="557"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exact"/>
              <w:ind w:left="434" w:right="0"/>
              <w:jc w:val="left"/>
              <w:rPr>
                <w:rFonts w:ascii="宋体" w:hAnsi="宋体" w:cs="宋体" w:eastAsia="宋体" w:hint="default"/>
                <w:sz w:val="21"/>
                <w:szCs w:val="21"/>
              </w:rPr>
            </w:pPr>
            <w:r>
              <w:rPr>
                <w:rFonts w:ascii="宋体" w:hAnsi="宋体" w:cs="宋体" w:eastAsia="宋体" w:hint="default"/>
                <w:sz w:val="21"/>
                <w:szCs w:val="21"/>
              </w:rPr>
              <w:t>支付给职工以及为职工支</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付的现金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1"/>
                <w:sz w:val="21"/>
              </w:rPr>
              <w:t>24,320,907.01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18,709,756.42</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12,804,578.41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12,534,582.36</w:t>
            </w:r>
          </w:p>
        </w:tc>
      </w:tr>
      <w:tr>
        <w:trPr>
          <w:trHeight w:val="557"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exact"/>
              <w:ind w:left="434" w:right="0"/>
              <w:jc w:val="left"/>
              <w:rPr>
                <w:rFonts w:ascii="宋体" w:hAnsi="宋体" w:cs="宋体" w:eastAsia="宋体" w:hint="default"/>
                <w:sz w:val="21"/>
                <w:szCs w:val="21"/>
              </w:rPr>
            </w:pPr>
            <w:r>
              <w:rPr>
                <w:rFonts w:ascii="宋体" w:hAnsi="宋体" w:cs="宋体" w:eastAsia="宋体" w:hint="default"/>
                <w:sz w:val="21"/>
                <w:szCs w:val="21"/>
              </w:rPr>
              <w:t>支付其他与经营活动有关</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1"/>
                <w:sz w:val="21"/>
              </w:rPr>
              <w:t>18,982,301.16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16,880,329.00</w:t>
            </w:r>
          </w:p>
        </w:tc>
      </w:tr>
      <w:tr>
        <w:trPr>
          <w:trHeight w:val="28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81,723,993.84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63,361,161.43</w:t>
            </w:r>
          </w:p>
        </w:tc>
      </w:tr>
      <w:tr>
        <w:trPr>
          <w:trHeight w:val="29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3" w:lineRule="exact"/>
              <w:ind w:left="12"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3311" w:type="dxa"/>
            <w:tcBorders>
              <w:top w:val="single" w:sz="4" w:space="0" w:color="000000"/>
              <w:left w:val="single" w:sz="9" w:space="0" w:color="D4D4D4"/>
              <w:bottom w:val="single" w:sz="11" w:space="0" w:color="D4D4D4"/>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19,290,500.62</w:t>
            </w:r>
          </w:p>
        </w:tc>
        <w:tc>
          <w:tcPr>
            <w:tcW w:w="3302" w:type="dxa"/>
            <w:tcBorders>
              <w:top w:val="single" w:sz="4" w:space="0" w:color="000000"/>
              <w:left w:val="single" w:sz="4" w:space="0" w:color="000000"/>
              <w:bottom w:val="single" w:sz="11" w:space="0" w:color="D4D4D4"/>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17,881,128.59</w:t>
            </w:r>
          </w:p>
        </w:tc>
      </w:tr>
      <w:tr>
        <w:trPr>
          <w:trHeight w:val="268"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5" w:lineRule="exact"/>
              <w:ind w:left="12" w:right="-24"/>
              <w:jc w:val="left"/>
              <w:rPr>
                <w:rFonts w:ascii="宋体" w:hAnsi="宋体" w:cs="宋体" w:eastAsia="宋体" w:hint="default"/>
                <w:sz w:val="21"/>
                <w:szCs w:val="21"/>
              </w:rPr>
            </w:pPr>
            <w:r>
              <w:rPr>
                <w:rFonts w:ascii="宋体" w:hAnsi="宋体" w:cs="宋体" w:eastAsia="宋体" w:hint="default"/>
                <w:spacing w:val="-2"/>
                <w:sz w:val="21"/>
                <w:szCs w:val="21"/>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290"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8" w:lineRule="exact"/>
              <w:ind w:left="43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3311" w:type="dxa"/>
            <w:tcBorders>
              <w:top w:val="single" w:sz="6" w:space="0" w:color="D4D4D4"/>
              <w:left w:val="single" w:sz="9" w:space="0" w:color="D4D4D4"/>
              <w:bottom w:val="single" w:sz="4" w:space="0" w:color="000000"/>
              <w:right w:val="single" w:sz="4" w:space="0" w:color="000000"/>
            </w:tcBorders>
          </w:tcPr>
          <w:p>
            <w:pPr>
              <w:pStyle w:val="TableParagraph"/>
              <w:spacing w:line="240" w:lineRule="auto" w:before="15"/>
              <w:ind w:right="17"/>
              <w:jc w:val="right"/>
              <w:rPr>
                <w:rFonts w:ascii="Times New Roman" w:hAnsi="Times New Roman" w:cs="Times New Roman" w:eastAsia="Times New Roman" w:hint="default"/>
                <w:sz w:val="21"/>
                <w:szCs w:val="21"/>
              </w:rPr>
            </w:pPr>
            <w:r>
              <w:rPr>
                <w:rFonts w:ascii="Times New Roman"/>
                <w:spacing w:val="-1"/>
                <w:sz w:val="21"/>
              </w:rPr>
              <w:t>215,000,000.00</w:t>
            </w:r>
          </w:p>
        </w:tc>
        <w:tc>
          <w:tcPr>
            <w:tcW w:w="3302" w:type="dxa"/>
            <w:tcBorders>
              <w:top w:val="single" w:sz="6" w:space="0" w:color="D4D4D4"/>
              <w:left w:val="single" w:sz="4" w:space="0" w:color="000000"/>
              <w:bottom w:val="single" w:sz="4" w:space="0" w:color="000000"/>
              <w:right w:val="single" w:sz="4" w:space="0" w:color="000000"/>
            </w:tcBorders>
          </w:tcPr>
          <w:p>
            <w:pPr>
              <w:pStyle w:val="TableParagraph"/>
              <w:spacing w:line="240" w:lineRule="auto" w:before="15"/>
              <w:ind w:right="19"/>
              <w:jc w:val="right"/>
              <w:rPr>
                <w:rFonts w:ascii="Times New Roman" w:hAnsi="Times New Roman" w:cs="Times New Roman" w:eastAsia="Times New Roman" w:hint="default"/>
                <w:sz w:val="21"/>
                <w:szCs w:val="21"/>
              </w:rPr>
            </w:pPr>
            <w:r>
              <w:rPr>
                <w:rFonts w:ascii="Times New Roman"/>
                <w:spacing w:val="-1"/>
                <w:sz w:val="21"/>
              </w:rPr>
              <w:t>334,000,000.00</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3,083,530.79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2,776,904.09</w:t>
            </w:r>
          </w:p>
        </w:tc>
      </w:tr>
      <w:tr>
        <w:trPr>
          <w:trHeight w:val="557"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exact"/>
              <w:ind w:left="434" w:right="0"/>
              <w:jc w:val="left"/>
              <w:rPr>
                <w:rFonts w:ascii="宋体" w:hAnsi="宋体" w:cs="宋体" w:eastAsia="宋体" w:hint="default"/>
                <w:sz w:val="21"/>
                <w:szCs w:val="21"/>
              </w:rPr>
            </w:pPr>
            <w:r>
              <w:rPr>
                <w:rFonts w:ascii="宋体" w:hAnsi="宋体" w:cs="宋体" w:eastAsia="宋体" w:hint="default"/>
                <w:spacing w:val="-4"/>
                <w:sz w:val="21"/>
                <w:szCs w:val="21"/>
              </w:rPr>
              <w:t>处置固定资产、无形资产和</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其他长期资产收回的现金净额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1"/>
                <w:sz w:val="21"/>
              </w:rPr>
              <w:t>850,720.00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z w:val="21"/>
              </w:rPr>
              <w:t>800.00</w:t>
            </w:r>
          </w:p>
        </w:tc>
      </w:tr>
      <w:tr>
        <w:trPr>
          <w:trHeight w:val="554"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exact"/>
              <w:ind w:left="434" w:right="0"/>
              <w:jc w:val="left"/>
              <w:rPr>
                <w:rFonts w:ascii="宋体" w:hAnsi="宋体" w:cs="宋体" w:eastAsia="宋体" w:hint="default"/>
                <w:sz w:val="21"/>
                <w:szCs w:val="21"/>
              </w:rPr>
            </w:pPr>
            <w:r>
              <w:rPr>
                <w:rFonts w:ascii="宋体" w:hAnsi="宋体" w:cs="宋体" w:eastAsia="宋体" w:hint="default"/>
                <w:sz w:val="21"/>
                <w:szCs w:val="21"/>
              </w:rPr>
              <w:t>处置子公司及其他营业单</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位收到的现金净额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收到其他与投资活动有关</w:t>
            </w:r>
          </w:p>
          <w:p>
            <w:pPr>
              <w:pStyle w:val="TableParagraph"/>
              <w:spacing w:line="273" w:lineRule="exact"/>
              <w:ind w:left="12"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218,934,250.79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336,777,704.09</w:t>
            </w:r>
          </w:p>
        </w:tc>
      </w:tr>
      <w:tr>
        <w:trPr>
          <w:trHeight w:val="557"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exact"/>
              <w:ind w:left="434" w:right="0"/>
              <w:jc w:val="left"/>
              <w:rPr>
                <w:rFonts w:ascii="宋体" w:hAnsi="宋体" w:cs="宋体" w:eastAsia="宋体" w:hint="default"/>
                <w:sz w:val="21"/>
                <w:szCs w:val="21"/>
              </w:rPr>
            </w:pPr>
            <w:r>
              <w:rPr>
                <w:rFonts w:ascii="宋体" w:hAnsi="宋体" w:cs="宋体" w:eastAsia="宋体" w:hint="default"/>
                <w:spacing w:val="-4"/>
                <w:sz w:val="21"/>
                <w:szCs w:val="21"/>
              </w:rPr>
              <w:t>购建固定资产、无形资产和</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其他长期资产支付的现金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1"/>
                <w:sz w:val="21"/>
              </w:rPr>
              <w:t>2,939,673.92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89,736,284.52</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235,000,000.00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360,000,000.00</w:t>
            </w:r>
          </w:p>
        </w:tc>
      </w:tr>
      <w:tr>
        <w:trPr>
          <w:trHeight w:val="554"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exact"/>
              <w:ind w:left="434" w:right="0"/>
              <w:jc w:val="left"/>
              <w:rPr>
                <w:rFonts w:ascii="宋体" w:hAnsi="宋体" w:cs="宋体" w:eastAsia="宋体" w:hint="default"/>
                <w:sz w:val="21"/>
                <w:szCs w:val="21"/>
              </w:rPr>
            </w:pPr>
            <w:r>
              <w:rPr>
                <w:rFonts w:ascii="宋体" w:hAnsi="宋体" w:cs="宋体" w:eastAsia="宋体" w:hint="default"/>
                <w:sz w:val="21"/>
                <w:szCs w:val="21"/>
              </w:rPr>
              <w:t>取得子公司及其他营业单</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位支付的现金净额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3,000,000.00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exact"/>
              <w:ind w:left="434" w:right="0"/>
              <w:jc w:val="left"/>
              <w:rPr>
                <w:rFonts w:ascii="宋体" w:hAnsi="宋体" w:cs="宋体" w:eastAsia="宋体" w:hint="default"/>
                <w:sz w:val="21"/>
                <w:szCs w:val="21"/>
              </w:rPr>
            </w:pPr>
            <w:r>
              <w:rPr>
                <w:rFonts w:ascii="宋体" w:hAnsi="宋体" w:cs="宋体" w:eastAsia="宋体" w:hint="default"/>
                <w:sz w:val="21"/>
                <w:szCs w:val="21"/>
              </w:rPr>
              <w:t>支付其他与投资活动有关</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240,939,673.92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449,736,284.52</w:t>
            </w:r>
          </w:p>
        </w:tc>
      </w:tr>
      <w:tr>
        <w:trPr>
          <w:trHeight w:val="290"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3311" w:type="dxa"/>
            <w:tcBorders>
              <w:top w:val="single" w:sz="4" w:space="0" w:color="000000"/>
              <w:left w:val="single" w:sz="9" w:space="0" w:color="D4D4D4"/>
              <w:bottom w:val="single" w:sz="6" w:space="0" w:color="D4D4D4"/>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-22,005,423.13</w:t>
            </w:r>
          </w:p>
        </w:tc>
        <w:tc>
          <w:tcPr>
            <w:tcW w:w="3302" w:type="dxa"/>
            <w:tcBorders>
              <w:top w:val="single" w:sz="4" w:space="0" w:color="000000"/>
              <w:left w:val="single" w:sz="4" w:space="0" w:color="000000"/>
              <w:bottom w:val="single" w:sz="6" w:space="0" w:color="D4D4D4"/>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-112,958,580.43</w:t>
            </w:r>
          </w:p>
        </w:tc>
      </w:tr>
      <w:tr>
        <w:trPr>
          <w:trHeight w:val="268"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4" w:lineRule="exact"/>
              <w:ind w:left="12" w:right="-24"/>
              <w:jc w:val="left"/>
              <w:rPr>
                <w:rFonts w:ascii="宋体" w:hAnsi="宋体" w:cs="宋体" w:eastAsia="宋体" w:hint="default"/>
                <w:sz w:val="21"/>
                <w:szCs w:val="21"/>
              </w:rPr>
            </w:pPr>
            <w:r>
              <w:rPr>
                <w:rFonts w:ascii="宋体" w:hAnsi="宋体" w:cs="宋体" w:eastAsia="宋体" w:hint="default"/>
                <w:spacing w:val="-2"/>
                <w:sz w:val="21"/>
                <w:szCs w:val="21"/>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29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9" w:lineRule="exact"/>
              <w:ind w:left="43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3311" w:type="dxa"/>
            <w:tcBorders>
              <w:top w:val="single" w:sz="7" w:space="0" w:color="D4D4D4"/>
              <w:left w:val="single" w:sz="9" w:space="0" w:color="D4D4D4"/>
              <w:bottom w:val="single" w:sz="4" w:space="0" w:color="000000"/>
              <w:right w:val="single" w:sz="4" w:space="0" w:color="000000"/>
            </w:tcBorders>
          </w:tcPr>
          <w:p>
            <w:pPr/>
          </w:p>
        </w:tc>
        <w:tc>
          <w:tcPr>
            <w:tcW w:w="3302" w:type="dxa"/>
            <w:tcBorders>
              <w:top w:val="single" w:sz="7" w:space="0" w:color="D4D4D4"/>
              <w:left w:val="single" w:sz="4" w:space="0" w:color="000000"/>
              <w:bottom w:val="single" w:sz="4" w:space="0" w:color="000000"/>
              <w:right w:val="single" w:sz="4" w:space="0" w:color="000000"/>
            </w:tcBorders>
          </w:tcPr>
          <w:p>
            <w:pP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收到其他与筹资活动有关</w:t>
            </w:r>
          </w:p>
          <w:p>
            <w:pPr>
              <w:pStyle w:val="TableParagraph"/>
              <w:spacing w:line="273" w:lineRule="exact"/>
              <w:ind w:left="12"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1"/>
                <w:sz w:val="21"/>
              </w:rPr>
              <w:t>1,560,939.09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2,847,652.27</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1,560,939.09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2,847,652.27</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979" w:top="1060" w:bottom="1160" w:left="980" w:right="98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965"/>
        <w:gridCol w:w="3300"/>
        <w:gridCol w:w="3302"/>
      </w:tblGrid>
      <w:tr>
        <w:trPr>
          <w:trHeight w:val="557"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exact"/>
              <w:ind w:left="445" w:right="0"/>
              <w:jc w:val="left"/>
              <w:rPr>
                <w:rFonts w:ascii="宋体" w:hAnsi="宋体" w:cs="宋体" w:eastAsia="宋体" w:hint="default"/>
                <w:sz w:val="21"/>
                <w:szCs w:val="21"/>
              </w:rPr>
            </w:pPr>
            <w:r>
              <w:rPr>
                <w:rFonts w:ascii="宋体" w:hAnsi="宋体" w:cs="宋体" w:eastAsia="宋体" w:hint="default"/>
                <w:spacing w:val="-4"/>
                <w:sz w:val="21"/>
                <w:szCs w:val="21"/>
              </w:rPr>
              <w:t>分配股利、利润或偿付利息</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1"/>
                <w:sz w:val="21"/>
              </w:rPr>
              <w:t>5,278,773.20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exact"/>
              <w:ind w:left="445" w:right="0"/>
              <w:jc w:val="left"/>
              <w:rPr>
                <w:rFonts w:ascii="宋体" w:hAnsi="宋体" w:cs="宋体" w:eastAsia="宋体" w:hint="default"/>
                <w:sz w:val="21"/>
                <w:szCs w:val="21"/>
              </w:rPr>
            </w:pPr>
            <w:r>
              <w:rPr>
                <w:rFonts w:ascii="宋体" w:hAnsi="宋体" w:cs="宋体" w:eastAsia="宋体" w:hint="default"/>
                <w:sz w:val="21"/>
                <w:szCs w:val="21"/>
              </w:rPr>
              <w:t>支付其他与筹资活动有关</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1,205.06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3"/>
                <w:sz w:val="21"/>
              </w:rPr>
              <w:t>1,111.40</w:t>
            </w:r>
          </w:p>
        </w:tc>
      </w:tr>
      <w:tr>
        <w:trPr>
          <w:trHeight w:val="28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5,279,978.26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3"/>
                <w:sz w:val="21"/>
              </w:rPr>
              <w:t>1,111.40</w:t>
            </w:r>
          </w:p>
        </w:tc>
      </w:tr>
      <w:tr>
        <w:trPr>
          <w:trHeight w:val="28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-3,719,039.17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2,846,540.87</w:t>
            </w:r>
          </w:p>
        </w:tc>
      </w:tr>
      <w:tr>
        <w:trPr>
          <w:trHeight w:val="557"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pacing w:val="-4"/>
                <w:sz w:val="21"/>
                <w:szCs w:val="21"/>
              </w:rPr>
              <w:t>四、汇率变动对现金及现金等价</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物的影响</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pacing w:val="-4"/>
                <w:sz w:val="21"/>
                <w:szCs w:val="21"/>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-6,433,961.68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-92,230,910.97</w:t>
            </w:r>
            <w:r>
              <w:rPr>
                <w:rFonts w:ascii="Times New Roman"/>
                <w:sz w:val="21"/>
              </w:rPr>
            </w:r>
          </w:p>
        </w:tc>
      </w:tr>
      <w:tr>
        <w:trPr>
          <w:trHeight w:val="554"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exact"/>
              <w:ind w:left="445" w:right="0"/>
              <w:jc w:val="left"/>
              <w:rPr>
                <w:rFonts w:ascii="宋体" w:hAnsi="宋体" w:cs="宋体" w:eastAsia="宋体" w:hint="default"/>
                <w:sz w:val="21"/>
                <w:szCs w:val="21"/>
              </w:rPr>
            </w:pPr>
            <w:r>
              <w:rPr>
                <w:rFonts w:ascii="宋体" w:hAnsi="宋体" w:cs="宋体" w:eastAsia="宋体" w:hint="default"/>
                <w:spacing w:val="-4"/>
                <w:sz w:val="21"/>
                <w:szCs w:val="21"/>
              </w:rPr>
              <w:t>加：期初现金及现金等价物</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122,502,939.84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214,733,850.81</w:t>
            </w:r>
          </w:p>
        </w:tc>
      </w:tr>
      <w:tr>
        <w:trPr>
          <w:trHeight w:val="28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3" w:lineRule="exact"/>
              <w:ind w:left="22" w:right="0"/>
              <w:jc w:val="left"/>
              <w:rPr>
                <w:rFonts w:ascii="宋体" w:hAnsi="宋体" w:cs="宋体" w:eastAsia="宋体" w:hint="default"/>
                <w:sz w:val="21"/>
                <w:szCs w:val="21"/>
              </w:rPr>
            </w:pPr>
            <w:r>
              <w:rPr>
                <w:rFonts w:ascii="宋体" w:hAnsi="宋体" w:cs="宋体" w:eastAsia="宋体" w:hint="default"/>
                <w:spacing w:val="-4"/>
                <w:sz w:val="21"/>
                <w:szCs w:val="21"/>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116,068,978.16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122,502,939.84</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bookmarkStart w:name="7、合并所有者权益变动表" w:id="120"/>
      <w:bookmarkEnd w:id="120"/>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right="0"/>
        <w:jc w:val="left"/>
      </w:pPr>
      <w:r>
        <w:rPr/>
        <w:t>本期金额</w:t>
      </w:r>
    </w:p>
    <w:p>
      <w:pPr>
        <w:pStyle w:val="BodyText"/>
        <w:spacing w:line="240" w:lineRule="auto" w:before="37"/>
        <w:ind w:left="0" w:right="150"/>
        <w:jc w:val="right"/>
      </w:pPr>
      <w:r>
        <w:rPr>
          <w:spacing w:val="-1"/>
        </w:rPr>
        <w:t>单位：元</w:t>
      </w:r>
    </w:p>
    <w:p>
      <w:pPr>
        <w:spacing w:line="240" w:lineRule="auto" w:before="10"/>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1438"/>
        <w:gridCol w:w="562"/>
        <w:gridCol w:w="533"/>
        <w:gridCol w:w="530"/>
        <w:gridCol w:w="530"/>
        <w:gridCol w:w="665"/>
        <w:gridCol w:w="665"/>
        <w:gridCol w:w="665"/>
        <w:gridCol w:w="665"/>
        <w:gridCol w:w="665"/>
        <w:gridCol w:w="665"/>
        <w:gridCol w:w="665"/>
        <w:gridCol w:w="665"/>
        <w:gridCol w:w="660"/>
      </w:tblGrid>
      <w:tr>
        <w:trPr>
          <w:trHeight w:val="283" w:hRule="exact"/>
        </w:trPr>
        <w:tc>
          <w:tcPr>
            <w:tcW w:w="1438" w:type="dxa"/>
            <w:vMerge w:val="restart"/>
            <w:tcBorders>
              <w:top w:val="single" w:sz="4" w:space="0" w:color="000000"/>
              <w:left w:val="single" w:sz="4" w:space="0" w:color="000000"/>
              <w:right w:val="single" w:sz="4" w:space="0" w:color="000000"/>
            </w:tcBorders>
            <w:shd w:val="clear" w:color="auto" w:fill="D4D4D4"/>
          </w:tcPr>
          <w:p>
            <w:pPr/>
          </w:p>
        </w:tc>
        <w:tc>
          <w:tcPr>
            <w:tcW w:w="8134" w:type="dxa"/>
            <w:gridSpan w:val="1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w:t>
            </w:r>
          </w:p>
        </w:tc>
      </w:tr>
      <w:tr>
        <w:trPr>
          <w:trHeight w:val="151" w:hRule="exact"/>
        </w:trPr>
        <w:tc>
          <w:tcPr>
            <w:tcW w:w="1438" w:type="dxa"/>
            <w:vMerge/>
            <w:tcBorders>
              <w:left w:val="single" w:sz="4" w:space="0" w:color="000000"/>
              <w:right w:val="single" w:sz="4" w:space="0" w:color="000000"/>
            </w:tcBorders>
            <w:shd w:val="clear" w:color="auto" w:fill="D4D4D4"/>
          </w:tcPr>
          <w:p>
            <w:pPr/>
          </w:p>
        </w:tc>
        <w:tc>
          <w:tcPr>
            <w:tcW w:w="6809" w:type="dxa"/>
            <w:gridSpan w:val="11"/>
            <w:vMerge w:val="restart"/>
            <w:tcBorders>
              <w:top w:val="single" w:sz="4" w:space="0" w:color="000000"/>
              <w:left w:val="single" w:sz="4" w:space="0" w:color="000000"/>
              <w:right w:val="single" w:sz="4" w:space="0" w:color="000000"/>
            </w:tcBorders>
            <w:shd w:val="clear" w:color="auto" w:fill="D4D4D4"/>
          </w:tcPr>
          <w:p>
            <w:pPr>
              <w:pStyle w:val="TableParagraph"/>
              <w:spacing w:line="241" w:lineRule="exact"/>
              <w:ind w:left="2243" w:right="0"/>
              <w:jc w:val="left"/>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0" w:type="dxa"/>
            <w:vMerge w:val="restart"/>
            <w:tcBorders>
              <w:top w:val="single" w:sz="4" w:space="0" w:color="000000"/>
              <w:left w:val="single" w:sz="4" w:space="0" w:color="000000"/>
              <w:right w:val="single" w:sz="4" w:space="0" w:color="000000"/>
            </w:tcBorders>
            <w:shd w:val="clear" w:color="auto" w:fill="D4D4D4"/>
          </w:tcPr>
          <w:p>
            <w:pPr>
              <w:pStyle w:val="TableParagraph"/>
              <w:spacing w:line="274" w:lineRule="exact" w:before="1"/>
              <w:ind w:left="115" w:right="110"/>
              <w:jc w:val="both"/>
              <w:rPr>
                <w:rFonts w:ascii="宋体" w:hAnsi="宋体" w:cs="宋体" w:eastAsia="宋体" w:hint="default"/>
                <w:sz w:val="21"/>
                <w:szCs w:val="21"/>
              </w:rPr>
            </w:pPr>
            <w:r>
              <w:rPr>
                <w:rFonts w:ascii="宋体" w:hAnsi="宋体" w:cs="宋体" w:eastAsia="宋体" w:hint="default"/>
                <w:sz w:val="21"/>
                <w:szCs w:val="21"/>
              </w:rPr>
              <w:t>所有</w:t>
            </w:r>
            <w:r>
              <w:rPr>
                <w:rFonts w:ascii="宋体" w:hAnsi="宋体" w:cs="宋体" w:eastAsia="宋体" w:hint="default"/>
                <w:spacing w:val="-103"/>
                <w:sz w:val="21"/>
                <w:szCs w:val="21"/>
              </w:rPr>
              <w:t> </w:t>
            </w:r>
            <w:r>
              <w:rPr>
                <w:rFonts w:ascii="宋体" w:hAnsi="宋体" w:cs="宋体" w:eastAsia="宋体" w:hint="default"/>
                <w:sz w:val="21"/>
                <w:szCs w:val="21"/>
              </w:rPr>
              <w:t>者权</w:t>
            </w:r>
            <w:r>
              <w:rPr>
                <w:rFonts w:ascii="宋体" w:hAnsi="宋体" w:cs="宋体" w:eastAsia="宋体" w:hint="default"/>
                <w:spacing w:val="-103"/>
                <w:sz w:val="21"/>
                <w:szCs w:val="21"/>
              </w:rPr>
              <w:t> </w:t>
            </w:r>
            <w:r>
              <w:rPr>
                <w:rFonts w:ascii="宋体" w:hAnsi="宋体" w:cs="宋体" w:eastAsia="宋体" w:hint="default"/>
                <w:sz w:val="21"/>
                <w:szCs w:val="21"/>
              </w:rPr>
              <w:t>益合</w:t>
            </w:r>
            <w:r>
              <w:rPr>
                <w:rFonts w:ascii="宋体" w:hAnsi="宋体" w:cs="宋体" w:eastAsia="宋体" w:hint="default"/>
                <w:spacing w:val="-103"/>
                <w:sz w:val="21"/>
                <w:szCs w:val="21"/>
              </w:rPr>
              <w:t> </w:t>
            </w:r>
            <w:r>
              <w:rPr>
                <w:rFonts w:ascii="宋体" w:hAnsi="宋体" w:cs="宋体" w:eastAsia="宋体" w:hint="default"/>
                <w:sz w:val="21"/>
                <w:szCs w:val="21"/>
              </w:rPr>
              <w:t>计</w:t>
            </w:r>
          </w:p>
        </w:tc>
      </w:tr>
      <w:tr>
        <w:trPr>
          <w:trHeight w:val="132" w:hRule="exact"/>
        </w:trPr>
        <w:tc>
          <w:tcPr>
            <w:tcW w:w="1438" w:type="dxa"/>
            <w:vMerge/>
            <w:tcBorders>
              <w:left w:val="single" w:sz="4" w:space="0" w:color="000000"/>
              <w:bottom w:val="nil" w:sz="6" w:space="0" w:color="auto"/>
              <w:right w:val="single" w:sz="4" w:space="0" w:color="000000"/>
            </w:tcBorders>
            <w:shd w:val="clear" w:color="auto" w:fill="D4D4D4"/>
          </w:tcPr>
          <w:p>
            <w:pPr/>
          </w:p>
        </w:tc>
        <w:tc>
          <w:tcPr>
            <w:tcW w:w="6809" w:type="dxa"/>
            <w:gridSpan w:val="11"/>
            <w:vMerge/>
            <w:tcBorders>
              <w:left w:val="single" w:sz="4" w:space="0" w:color="000000"/>
              <w:bottom w:val="single" w:sz="4" w:space="0" w:color="000000"/>
              <w:right w:val="single" w:sz="4" w:space="0" w:color="000000"/>
            </w:tcBorders>
            <w:shd w:val="clear" w:color="auto" w:fill="D4D4D4"/>
          </w:tcPr>
          <w:p>
            <w:pP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exact"/>
              <w:ind w:left="117" w:right="0"/>
              <w:jc w:val="left"/>
              <w:rPr>
                <w:rFonts w:ascii="宋体" w:hAnsi="宋体" w:cs="宋体" w:eastAsia="宋体" w:hint="default"/>
                <w:sz w:val="21"/>
                <w:szCs w:val="21"/>
              </w:rPr>
            </w:pPr>
            <w:r>
              <w:rPr>
                <w:rFonts w:ascii="宋体" w:hAnsi="宋体" w:cs="宋体" w:eastAsia="宋体" w:hint="default"/>
                <w:sz w:val="21"/>
                <w:szCs w:val="21"/>
              </w:rPr>
              <w:t>少数</w:t>
            </w:r>
          </w:p>
          <w:p>
            <w:pPr>
              <w:pStyle w:val="TableParagraph"/>
              <w:spacing w:line="240" w:lineRule="auto"/>
              <w:ind w:left="117" w:right="113"/>
              <w:jc w:val="left"/>
              <w:rPr>
                <w:rFonts w:ascii="宋体" w:hAnsi="宋体" w:cs="宋体" w:eastAsia="宋体" w:hint="default"/>
                <w:sz w:val="21"/>
                <w:szCs w:val="21"/>
              </w:rPr>
            </w:pPr>
            <w:r>
              <w:rPr>
                <w:rFonts w:ascii="宋体" w:hAnsi="宋体" w:cs="宋体" w:eastAsia="宋体" w:hint="default"/>
                <w:sz w:val="21"/>
                <w:szCs w:val="21"/>
              </w:rPr>
              <w:t>股东</w:t>
            </w:r>
            <w:r>
              <w:rPr>
                <w:rFonts w:ascii="宋体" w:hAnsi="宋体" w:cs="宋体" w:eastAsia="宋体" w:hint="default"/>
                <w:spacing w:val="-103"/>
                <w:sz w:val="21"/>
                <w:szCs w:val="21"/>
              </w:rPr>
              <w:t> </w:t>
            </w:r>
            <w:r>
              <w:rPr>
                <w:rFonts w:ascii="宋体" w:hAnsi="宋体" w:cs="宋体" w:eastAsia="宋体" w:hint="default"/>
                <w:sz w:val="21"/>
                <w:szCs w:val="21"/>
              </w:rPr>
              <w:t>权益</w:t>
            </w:r>
          </w:p>
        </w:tc>
        <w:tc>
          <w:tcPr>
            <w:tcW w:w="660" w:type="dxa"/>
            <w:vMerge/>
            <w:tcBorders>
              <w:left w:val="single" w:sz="4" w:space="0" w:color="000000"/>
              <w:right w:val="single" w:sz="4" w:space="0" w:color="000000"/>
            </w:tcBorders>
            <w:shd w:val="clear" w:color="auto" w:fill="D4D4D4"/>
          </w:tcPr>
          <w:p>
            <w:pPr/>
          </w:p>
        </w:tc>
      </w:tr>
      <w:tr>
        <w:trPr>
          <w:trHeight w:val="146" w:hRule="exact"/>
        </w:trPr>
        <w:tc>
          <w:tcPr>
            <w:tcW w:w="1438" w:type="dxa"/>
            <w:vMerge w:val="restart"/>
            <w:tcBorders>
              <w:top w:val="nil" w:sz="6" w:space="0" w:color="auto"/>
              <w:left w:val="single" w:sz="4" w:space="0" w:color="000000"/>
              <w:right w:val="single" w:sz="4" w:space="0" w:color="000000"/>
            </w:tcBorders>
            <w:shd w:val="clear" w:color="auto" w:fill="D4D4D4"/>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562" w:type="dxa"/>
            <w:vMerge w:val="restart"/>
            <w:tcBorders>
              <w:top w:val="single" w:sz="4" w:space="0" w:color="000000"/>
              <w:left w:val="single" w:sz="4" w:space="0" w:color="000000"/>
              <w:right w:val="single" w:sz="4" w:space="0" w:color="000000"/>
            </w:tcBorders>
            <w:shd w:val="clear" w:color="auto" w:fill="D4D4D4"/>
          </w:tcPr>
          <w:p>
            <w:pPr/>
          </w:p>
        </w:tc>
        <w:tc>
          <w:tcPr>
            <w:tcW w:w="1594"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1" w:lineRule="exact"/>
              <w:ind w:left="160"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vMerge w:val="restart"/>
            <w:tcBorders>
              <w:top w:val="single" w:sz="4" w:space="0" w:color="000000"/>
              <w:left w:val="single" w:sz="4" w:space="0" w:color="000000"/>
              <w:right w:val="single" w:sz="4" w:space="0" w:color="000000"/>
            </w:tcBorders>
            <w:shd w:val="clear" w:color="auto" w:fill="D4D4D4"/>
          </w:tcPr>
          <w:p>
            <w:pPr>
              <w:pStyle w:val="TableParagraph"/>
              <w:spacing w:line="245" w:lineRule="exact"/>
              <w:ind w:left="117" w:right="0"/>
              <w:jc w:val="left"/>
              <w:rPr>
                <w:rFonts w:ascii="宋体" w:hAnsi="宋体" w:cs="宋体" w:eastAsia="宋体" w:hint="default"/>
                <w:sz w:val="21"/>
                <w:szCs w:val="21"/>
              </w:rPr>
            </w:pPr>
            <w:r>
              <w:rPr>
                <w:rFonts w:ascii="宋体" w:hAnsi="宋体" w:cs="宋体" w:eastAsia="宋体" w:hint="default"/>
                <w:sz w:val="21"/>
                <w:szCs w:val="21"/>
              </w:rPr>
              <w:t>其他</w:t>
            </w:r>
          </w:p>
          <w:p>
            <w:pPr>
              <w:pStyle w:val="TableParagraph"/>
              <w:spacing w:line="240" w:lineRule="auto"/>
              <w:ind w:left="117" w:right="113"/>
              <w:jc w:val="left"/>
              <w:rPr>
                <w:rFonts w:ascii="宋体" w:hAnsi="宋体" w:cs="宋体" w:eastAsia="宋体" w:hint="default"/>
                <w:sz w:val="21"/>
                <w:szCs w:val="21"/>
              </w:rPr>
            </w:pPr>
            <w:r>
              <w:rPr>
                <w:rFonts w:ascii="宋体" w:hAnsi="宋体" w:cs="宋体" w:eastAsia="宋体" w:hint="default"/>
                <w:sz w:val="21"/>
                <w:szCs w:val="21"/>
              </w:rPr>
              <w:t>综合</w:t>
            </w:r>
            <w:r>
              <w:rPr>
                <w:rFonts w:ascii="宋体" w:hAnsi="宋体" w:cs="宋体" w:eastAsia="宋体" w:hint="default"/>
                <w:spacing w:val="-103"/>
                <w:sz w:val="21"/>
                <w:szCs w:val="21"/>
              </w:rPr>
              <w:t> </w:t>
            </w:r>
            <w:r>
              <w:rPr>
                <w:rFonts w:ascii="宋体" w:hAnsi="宋体" w:cs="宋体" w:eastAsia="宋体" w:hint="default"/>
                <w:sz w:val="21"/>
                <w:szCs w:val="21"/>
              </w:rPr>
              <w:t>收益</w:t>
            </w: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vMerge w:val="restart"/>
            <w:tcBorders>
              <w:top w:val="single" w:sz="4" w:space="0" w:color="000000"/>
              <w:left w:val="single" w:sz="4" w:space="0" w:color="000000"/>
              <w:right w:val="single" w:sz="4" w:space="0" w:color="000000"/>
            </w:tcBorders>
            <w:shd w:val="clear" w:color="auto" w:fill="D4D4D4"/>
          </w:tcPr>
          <w:p>
            <w:pPr>
              <w:pStyle w:val="TableParagraph"/>
              <w:spacing w:line="245" w:lineRule="exact"/>
              <w:ind w:left="117" w:right="0"/>
              <w:jc w:val="left"/>
              <w:rPr>
                <w:rFonts w:ascii="宋体" w:hAnsi="宋体" w:cs="宋体" w:eastAsia="宋体" w:hint="default"/>
                <w:sz w:val="21"/>
                <w:szCs w:val="21"/>
              </w:rPr>
            </w:pPr>
            <w:r>
              <w:rPr>
                <w:rFonts w:ascii="宋体" w:hAnsi="宋体" w:cs="宋体" w:eastAsia="宋体" w:hint="default"/>
                <w:sz w:val="21"/>
                <w:szCs w:val="21"/>
              </w:rPr>
              <w:t>一般</w:t>
            </w:r>
          </w:p>
          <w:p>
            <w:pPr>
              <w:pStyle w:val="TableParagraph"/>
              <w:spacing w:line="240" w:lineRule="auto"/>
              <w:ind w:left="117" w:right="113"/>
              <w:jc w:val="left"/>
              <w:rPr>
                <w:rFonts w:ascii="宋体" w:hAnsi="宋体" w:cs="宋体" w:eastAsia="宋体" w:hint="default"/>
                <w:sz w:val="21"/>
                <w:szCs w:val="21"/>
              </w:rPr>
            </w:pPr>
            <w:r>
              <w:rPr>
                <w:rFonts w:ascii="宋体" w:hAnsi="宋体" w:cs="宋体" w:eastAsia="宋体" w:hint="default"/>
                <w:sz w:val="21"/>
                <w:szCs w:val="21"/>
              </w:rPr>
              <w:t>风险</w:t>
            </w:r>
            <w:r>
              <w:rPr>
                <w:rFonts w:ascii="宋体" w:hAnsi="宋体" w:cs="宋体" w:eastAsia="宋体" w:hint="default"/>
                <w:spacing w:val="-103"/>
                <w:sz w:val="21"/>
                <w:szCs w:val="21"/>
              </w:rPr>
              <w:t> </w:t>
            </w:r>
            <w:r>
              <w:rPr>
                <w:rFonts w:ascii="宋体" w:hAnsi="宋体" w:cs="宋体" w:eastAsia="宋体" w:hint="default"/>
                <w:sz w:val="21"/>
                <w:szCs w:val="21"/>
              </w:rPr>
              <w:t>准备</w:t>
            </w:r>
          </w:p>
        </w:tc>
        <w:tc>
          <w:tcPr>
            <w:tcW w:w="665" w:type="dxa"/>
            <w:vMerge w:val="restart"/>
            <w:tcBorders>
              <w:top w:val="single" w:sz="4" w:space="0" w:color="000000"/>
              <w:left w:val="single" w:sz="4" w:space="0" w:color="000000"/>
              <w:right w:val="single" w:sz="4" w:space="0" w:color="000000"/>
            </w:tcBorders>
            <w:shd w:val="clear" w:color="auto" w:fill="D4D4D4"/>
          </w:tcPr>
          <w:p>
            <w:pPr>
              <w:pStyle w:val="TableParagraph"/>
              <w:spacing w:line="245" w:lineRule="exact"/>
              <w:ind w:left="117" w:right="0"/>
              <w:jc w:val="left"/>
              <w:rPr>
                <w:rFonts w:ascii="宋体" w:hAnsi="宋体" w:cs="宋体" w:eastAsia="宋体" w:hint="default"/>
                <w:sz w:val="21"/>
                <w:szCs w:val="21"/>
              </w:rPr>
            </w:pPr>
            <w:r>
              <w:rPr>
                <w:rFonts w:ascii="宋体" w:hAnsi="宋体" w:cs="宋体" w:eastAsia="宋体" w:hint="default"/>
                <w:sz w:val="21"/>
                <w:szCs w:val="21"/>
              </w:rPr>
              <w:t>未分</w:t>
            </w:r>
          </w:p>
          <w:p>
            <w:pPr>
              <w:pStyle w:val="TableParagraph"/>
              <w:spacing w:line="240" w:lineRule="auto"/>
              <w:ind w:left="223" w:right="113" w:hanging="106"/>
              <w:jc w:val="left"/>
              <w:rPr>
                <w:rFonts w:ascii="宋体" w:hAnsi="宋体" w:cs="宋体" w:eastAsia="宋体" w:hint="default"/>
                <w:sz w:val="21"/>
                <w:szCs w:val="21"/>
              </w:rPr>
            </w:pPr>
            <w:r>
              <w:rPr>
                <w:rFonts w:ascii="宋体" w:hAnsi="宋体" w:cs="宋体" w:eastAsia="宋体" w:hint="default"/>
                <w:sz w:val="21"/>
                <w:szCs w:val="21"/>
              </w:rPr>
              <w:t>配利</w:t>
            </w:r>
            <w:r>
              <w:rPr>
                <w:rFonts w:ascii="宋体" w:hAnsi="宋体" w:cs="宋体" w:eastAsia="宋体" w:hint="default"/>
                <w:spacing w:val="-103"/>
                <w:sz w:val="21"/>
                <w:szCs w:val="21"/>
              </w:rPr>
              <w:t> </w:t>
            </w:r>
            <w:r>
              <w:rPr>
                <w:rFonts w:ascii="宋体" w:hAnsi="宋体" w:cs="宋体" w:eastAsia="宋体" w:hint="default"/>
                <w:sz w:val="21"/>
                <w:szCs w:val="21"/>
              </w:rPr>
              <w:t>润</w:t>
            </w:r>
          </w:p>
        </w:tc>
        <w:tc>
          <w:tcPr>
            <w:tcW w:w="665" w:type="dxa"/>
            <w:vMerge/>
            <w:tcBorders>
              <w:left w:val="single" w:sz="4" w:space="0" w:color="000000"/>
              <w:right w:val="single" w:sz="4" w:space="0" w:color="000000"/>
            </w:tcBorders>
            <w:shd w:val="clear" w:color="auto" w:fill="D4D4D4"/>
          </w:tcPr>
          <w:p>
            <w:pPr/>
          </w:p>
        </w:tc>
        <w:tc>
          <w:tcPr>
            <w:tcW w:w="660" w:type="dxa"/>
            <w:vMerge/>
            <w:tcBorders>
              <w:left w:val="single" w:sz="4" w:space="0" w:color="000000"/>
              <w:right w:val="single" w:sz="4" w:space="0" w:color="000000"/>
            </w:tcBorders>
            <w:shd w:val="clear" w:color="auto" w:fill="D4D4D4"/>
          </w:tcPr>
          <w:p>
            <w:pPr/>
          </w:p>
        </w:tc>
      </w:tr>
      <w:tr>
        <w:trPr>
          <w:trHeight w:val="130" w:hRule="exact"/>
        </w:trPr>
        <w:tc>
          <w:tcPr>
            <w:tcW w:w="1438" w:type="dxa"/>
            <w:vMerge/>
            <w:tcBorders>
              <w:left w:val="single" w:sz="4" w:space="0" w:color="000000"/>
              <w:bottom w:val="nil" w:sz="6" w:space="0" w:color="auto"/>
              <w:right w:val="single" w:sz="4" w:space="0" w:color="000000"/>
            </w:tcBorders>
            <w:shd w:val="clear" w:color="auto" w:fill="D4D4D4"/>
          </w:tcPr>
          <w:p>
            <w:pPr/>
          </w:p>
        </w:tc>
        <w:tc>
          <w:tcPr>
            <w:tcW w:w="562" w:type="dxa"/>
            <w:vMerge/>
            <w:tcBorders>
              <w:left w:val="single" w:sz="4" w:space="0" w:color="000000"/>
              <w:bottom w:val="nil" w:sz="6" w:space="0" w:color="auto"/>
              <w:right w:val="single" w:sz="4" w:space="0" w:color="000000"/>
            </w:tcBorders>
            <w:shd w:val="clear" w:color="auto" w:fill="D4D4D4"/>
          </w:tcPr>
          <w:p>
            <w:pPr/>
          </w:p>
        </w:tc>
        <w:tc>
          <w:tcPr>
            <w:tcW w:w="1594" w:type="dxa"/>
            <w:gridSpan w:val="3"/>
            <w:vMerge/>
            <w:tcBorders>
              <w:left w:val="single" w:sz="4" w:space="0" w:color="000000"/>
              <w:bottom w:val="single" w:sz="4" w:space="0" w:color="000000"/>
              <w:right w:val="single" w:sz="4" w:space="0" w:color="000000"/>
            </w:tcBorders>
            <w:shd w:val="clear" w:color="auto" w:fill="D4D4D4"/>
          </w:tcPr>
          <w:p>
            <w:pP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exact"/>
              <w:ind w:left="117" w:right="0"/>
              <w:jc w:val="left"/>
              <w:rPr>
                <w:rFonts w:ascii="宋体" w:hAnsi="宋体" w:cs="宋体" w:eastAsia="宋体" w:hint="default"/>
                <w:sz w:val="21"/>
                <w:szCs w:val="21"/>
              </w:rPr>
            </w:pPr>
            <w:r>
              <w:rPr>
                <w:rFonts w:ascii="宋体" w:hAnsi="宋体" w:cs="宋体" w:eastAsia="宋体" w:hint="default"/>
                <w:sz w:val="21"/>
                <w:szCs w:val="21"/>
              </w:rPr>
              <w:t>资本</w:t>
            </w:r>
          </w:p>
          <w:p>
            <w:pPr>
              <w:pStyle w:val="TableParagraph"/>
              <w:spacing w:line="274" w:lineRule="exact"/>
              <w:ind w:left="117" w:right="0"/>
              <w:jc w:val="left"/>
              <w:rPr>
                <w:rFonts w:ascii="宋体" w:hAnsi="宋体" w:cs="宋体" w:eastAsia="宋体" w:hint="default"/>
                <w:sz w:val="21"/>
                <w:szCs w:val="21"/>
              </w:rPr>
            </w:pPr>
            <w:r>
              <w:rPr>
                <w:rFonts w:ascii="宋体" w:hAnsi="宋体" w:cs="宋体" w:eastAsia="宋体" w:hint="default"/>
                <w:sz w:val="21"/>
                <w:szCs w:val="21"/>
              </w:rPr>
              <w:t>公积</w:t>
            </w: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exact"/>
              <w:ind w:left="117" w:right="0" w:hanging="94"/>
              <w:jc w:val="left"/>
              <w:rPr>
                <w:rFonts w:ascii="宋体" w:hAnsi="宋体" w:cs="宋体" w:eastAsia="宋体" w:hint="default"/>
                <w:sz w:val="21"/>
                <w:szCs w:val="21"/>
              </w:rPr>
            </w:pPr>
            <w:r>
              <w:rPr>
                <w:rFonts w:ascii="宋体" w:hAnsi="宋体" w:cs="宋体" w:eastAsia="宋体" w:hint="default"/>
                <w:spacing w:val="-15"/>
                <w:sz w:val="21"/>
                <w:szCs w:val="21"/>
              </w:rPr>
              <w:t>减：库</w:t>
            </w:r>
            <w:r>
              <w:rPr>
                <w:rFonts w:ascii="宋体" w:hAnsi="宋体" w:cs="宋体" w:eastAsia="宋体" w:hint="default"/>
                <w:sz w:val="21"/>
                <w:szCs w:val="21"/>
              </w:rPr>
            </w:r>
          </w:p>
          <w:p>
            <w:pPr>
              <w:pStyle w:val="TableParagraph"/>
              <w:spacing w:line="274" w:lineRule="exact"/>
              <w:ind w:left="117" w:right="0"/>
              <w:jc w:val="left"/>
              <w:rPr>
                <w:rFonts w:ascii="宋体" w:hAnsi="宋体" w:cs="宋体" w:eastAsia="宋体" w:hint="default"/>
                <w:sz w:val="21"/>
                <w:szCs w:val="21"/>
              </w:rPr>
            </w:pPr>
            <w:r>
              <w:rPr>
                <w:rFonts w:ascii="宋体" w:hAnsi="宋体" w:cs="宋体" w:eastAsia="宋体" w:hint="default"/>
                <w:sz w:val="21"/>
                <w:szCs w:val="21"/>
              </w:rPr>
              <w:t>存股</w:t>
            </w:r>
          </w:p>
        </w:tc>
        <w:tc>
          <w:tcPr>
            <w:tcW w:w="665" w:type="dxa"/>
            <w:vMerge/>
            <w:tcBorders>
              <w:left w:val="single" w:sz="4" w:space="0" w:color="000000"/>
              <w:right w:val="single" w:sz="4" w:space="0" w:color="000000"/>
            </w:tcBorders>
            <w:shd w:val="clear" w:color="auto" w:fill="D4D4D4"/>
          </w:tcPr>
          <w:p>
            <w:pP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exact"/>
              <w:ind w:left="117" w:right="0"/>
              <w:jc w:val="left"/>
              <w:rPr>
                <w:rFonts w:ascii="宋体" w:hAnsi="宋体" w:cs="宋体" w:eastAsia="宋体" w:hint="default"/>
                <w:sz w:val="21"/>
                <w:szCs w:val="21"/>
              </w:rPr>
            </w:pPr>
            <w:r>
              <w:rPr>
                <w:rFonts w:ascii="宋体" w:hAnsi="宋体" w:cs="宋体" w:eastAsia="宋体" w:hint="default"/>
                <w:sz w:val="21"/>
                <w:szCs w:val="21"/>
              </w:rPr>
              <w:t>专项</w:t>
            </w:r>
          </w:p>
          <w:p>
            <w:pPr>
              <w:pStyle w:val="TableParagraph"/>
              <w:spacing w:line="274" w:lineRule="exact"/>
              <w:ind w:left="117" w:right="0"/>
              <w:jc w:val="left"/>
              <w:rPr>
                <w:rFonts w:ascii="宋体" w:hAnsi="宋体" w:cs="宋体" w:eastAsia="宋体" w:hint="default"/>
                <w:sz w:val="21"/>
                <w:szCs w:val="21"/>
              </w:rPr>
            </w:pPr>
            <w:r>
              <w:rPr>
                <w:rFonts w:ascii="宋体" w:hAnsi="宋体" w:cs="宋体" w:eastAsia="宋体" w:hint="default"/>
                <w:sz w:val="21"/>
                <w:szCs w:val="21"/>
              </w:rPr>
              <w:t>储备</w:t>
            </w: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exact"/>
              <w:ind w:left="117" w:right="0"/>
              <w:jc w:val="left"/>
              <w:rPr>
                <w:rFonts w:ascii="宋体" w:hAnsi="宋体" w:cs="宋体" w:eastAsia="宋体" w:hint="default"/>
                <w:sz w:val="21"/>
                <w:szCs w:val="21"/>
              </w:rPr>
            </w:pPr>
            <w:r>
              <w:rPr>
                <w:rFonts w:ascii="宋体" w:hAnsi="宋体" w:cs="宋体" w:eastAsia="宋体" w:hint="default"/>
                <w:sz w:val="21"/>
                <w:szCs w:val="21"/>
              </w:rPr>
              <w:t>盈余</w:t>
            </w:r>
          </w:p>
          <w:p>
            <w:pPr>
              <w:pStyle w:val="TableParagraph"/>
              <w:spacing w:line="274" w:lineRule="exact"/>
              <w:ind w:left="117" w:right="0"/>
              <w:jc w:val="left"/>
              <w:rPr>
                <w:rFonts w:ascii="宋体" w:hAnsi="宋体" w:cs="宋体" w:eastAsia="宋体" w:hint="default"/>
                <w:sz w:val="21"/>
                <w:szCs w:val="21"/>
              </w:rPr>
            </w:pPr>
            <w:r>
              <w:rPr>
                <w:rFonts w:ascii="宋体" w:hAnsi="宋体" w:cs="宋体" w:eastAsia="宋体" w:hint="default"/>
                <w:sz w:val="21"/>
                <w:szCs w:val="21"/>
              </w:rPr>
              <w:t>公积</w:t>
            </w: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0" w:type="dxa"/>
            <w:vMerge/>
            <w:tcBorders>
              <w:left w:val="single" w:sz="4" w:space="0" w:color="000000"/>
              <w:right w:val="single" w:sz="4" w:space="0" w:color="000000"/>
            </w:tcBorders>
            <w:shd w:val="clear" w:color="auto" w:fill="D4D4D4"/>
          </w:tcPr>
          <w:p>
            <w:pPr/>
          </w:p>
        </w:tc>
      </w:tr>
      <w:tr>
        <w:trPr>
          <w:trHeight w:val="149" w:hRule="exact"/>
        </w:trPr>
        <w:tc>
          <w:tcPr>
            <w:tcW w:w="1438" w:type="dxa"/>
            <w:vMerge w:val="restart"/>
            <w:tcBorders>
              <w:top w:val="nil" w:sz="6" w:space="0" w:color="auto"/>
              <w:left w:val="single" w:sz="4" w:space="0" w:color="000000"/>
              <w:right w:val="single" w:sz="4" w:space="0" w:color="000000"/>
            </w:tcBorders>
            <w:shd w:val="clear" w:color="auto" w:fill="D4D4D4"/>
          </w:tcPr>
          <w:p>
            <w:pPr/>
          </w:p>
        </w:tc>
        <w:tc>
          <w:tcPr>
            <w:tcW w:w="562" w:type="dxa"/>
            <w:vMerge w:val="restart"/>
            <w:tcBorders>
              <w:top w:val="nil" w:sz="6" w:space="0" w:color="auto"/>
              <w:left w:val="single" w:sz="13" w:space="0" w:color="D4D4D4"/>
              <w:right w:val="single" w:sz="22" w:space="0" w:color="D4D4D4"/>
            </w:tcBorders>
          </w:tcPr>
          <w:p>
            <w:pPr>
              <w:pStyle w:val="TableParagraph"/>
              <w:spacing w:line="248" w:lineRule="exact"/>
              <w:ind w:left="55"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4D4D4" w:color="auto" w:val="clear"/>
              </w:rPr>
              <w:t>股本</w:t>
            </w:r>
            <w:r>
              <w:rPr>
                <w:rFonts w:ascii="宋体" w:hAnsi="宋体" w:cs="宋体" w:eastAsia="宋体" w:hint="default"/>
                <w:sz w:val="21"/>
                <w:szCs w:val="21"/>
              </w:rPr>
            </w:r>
          </w:p>
        </w:tc>
        <w:tc>
          <w:tcPr>
            <w:tcW w:w="533" w:type="dxa"/>
            <w:vMerge w:val="restart"/>
            <w:tcBorders>
              <w:top w:val="single" w:sz="4" w:space="0" w:color="000000"/>
              <w:left w:val="single" w:sz="4" w:space="0" w:color="000000"/>
              <w:right w:val="single" w:sz="4" w:space="0" w:color="000000"/>
            </w:tcBorders>
            <w:shd w:val="clear" w:color="auto" w:fill="D4D4D4"/>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优先</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股</w:t>
            </w:r>
          </w:p>
        </w:tc>
        <w:tc>
          <w:tcPr>
            <w:tcW w:w="530" w:type="dxa"/>
            <w:vMerge w:val="restart"/>
            <w:tcBorders>
              <w:top w:val="single" w:sz="4" w:space="0" w:color="000000"/>
              <w:left w:val="single" w:sz="4" w:space="0" w:color="000000"/>
              <w:right w:val="single" w:sz="4" w:space="0" w:color="000000"/>
            </w:tcBorders>
            <w:shd w:val="clear" w:color="auto" w:fill="D4D4D4"/>
          </w:tcPr>
          <w:p>
            <w:pPr>
              <w:pStyle w:val="TableParagraph"/>
              <w:spacing w:line="247" w:lineRule="exact"/>
              <w:ind w:left="2" w:right="0"/>
              <w:jc w:val="center"/>
              <w:rPr>
                <w:rFonts w:ascii="宋体" w:hAnsi="宋体" w:cs="宋体" w:eastAsia="宋体" w:hint="default"/>
                <w:sz w:val="21"/>
                <w:szCs w:val="21"/>
              </w:rPr>
            </w:pPr>
            <w:r>
              <w:rPr>
                <w:rFonts w:ascii="宋体" w:hAnsi="宋体" w:cs="宋体" w:eastAsia="宋体" w:hint="default"/>
                <w:sz w:val="21"/>
                <w:szCs w:val="21"/>
              </w:rPr>
              <w:t>永续</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债</w:t>
            </w:r>
          </w:p>
        </w:tc>
        <w:tc>
          <w:tcPr>
            <w:tcW w:w="530"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0" w:type="dxa"/>
            <w:vMerge/>
            <w:tcBorders>
              <w:left w:val="single" w:sz="4" w:space="0" w:color="000000"/>
              <w:right w:val="single" w:sz="4" w:space="0" w:color="000000"/>
            </w:tcBorders>
            <w:shd w:val="clear" w:color="auto" w:fill="D4D4D4"/>
          </w:tcPr>
          <w:p>
            <w:pPr/>
          </w:p>
        </w:tc>
      </w:tr>
      <w:tr>
        <w:trPr>
          <w:trHeight w:val="132" w:hRule="exact"/>
        </w:trPr>
        <w:tc>
          <w:tcPr>
            <w:tcW w:w="1438" w:type="dxa"/>
            <w:vMerge/>
            <w:tcBorders>
              <w:left w:val="single" w:sz="4" w:space="0" w:color="000000"/>
              <w:right w:val="single" w:sz="4" w:space="0" w:color="000000"/>
            </w:tcBorders>
            <w:shd w:val="clear" w:color="auto" w:fill="D4D4D4"/>
          </w:tcPr>
          <w:p>
            <w:pPr/>
          </w:p>
        </w:tc>
        <w:tc>
          <w:tcPr>
            <w:tcW w:w="562" w:type="dxa"/>
            <w:vMerge/>
            <w:tcBorders>
              <w:left w:val="single" w:sz="13" w:space="0" w:color="D4D4D4"/>
              <w:bottom w:val="nil" w:sz="6" w:space="0" w:color="auto"/>
              <w:right w:val="single" w:sz="22" w:space="0" w:color="D4D4D4"/>
            </w:tcBorders>
          </w:tcPr>
          <w:p>
            <w:pPr/>
          </w:p>
        </w:tc>
        <w:tc>
          <w:tcPr>
            <w:tcW w:w="533" w:type="dxa"/>
            <w:vMerge/>
            <w:tcBorders>
              <w:left w:val="single" w:sz="4" w:space="0" w:color="000000"/>
              <w:right w:val="single" w:sz="4" w:space="0" w:color="000000"/>
            </w:tcBorders>
            <w:shd w:val="clear" w:color="auto" w:fill="D4D4D4"/>
          </w:tcPr>
          <w:p>
            <w:pPr/>
          </w:p>
        </w:tc>
        <w:tc>
          <w:tcPr>
            <w:tcW w:w="530" w:type="dxa"/>
            <w:vMerge/>
            <w:tcBorders>
              <w:left w:val="single" w:sz="4" w:space="0" w:color="000000"/>
              <w:right w:val="single" w:sz="4" w:space="0" w:color="000000"/>
            </w:tcBorders>
            <w:shd w:val="clear" w:color="auto" w:fill="D4D4D4"/>
          </w:tcPr>
          <w:p>
            <w:pPr/>
          </w:p>
        </w:tc>
        <w:tc>
          <w:tcPr>
            <w:tcW w:w="530" w:type="dxa"/>
            <w:vMerge w:val="restart"/>
            <w:tcBorders>
              <w:top w:val="nil" w:sz="6" w:space="0" w:color="auto"/>
              <w:left w:val="single" w:sz="4" w:space="0" w:color="000000"/>
              <w:right w:val="single" w:sz="4" w:space="0" w:color="000000"/>
            </w:tcBorders>
            <w:shd w:val="clear" w:color="auto" w:fill="D4D4D4"/>
          </w:tcPr>
          <w:p>
            <w:pPr>
              <w:pStyle w:val="TableParagraph"/>
              <w:spacing w:line="241" w:lineRule="exact"/>
              <w:ind w:left="5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0" w:type="dxa"/>
            <w:vMerge/>
            <w:tcBorders>
              <w:left w:val="single" w:sz="4" w:space="0" w:color="000000"/>
              <w:right w:val="single" w:sz="4" w:space="0" w:color="000000"/>
            </w:tcBorders>
            <w:shd w:val="clear" w:color="auto" w:fill="D4D4D4"/>
          </w:tcPr>
          <w:p>
            <w:pPr/>
          </w:p>
        </w:tc>
      </w:tr>
      <w:tr>
        <w:trPr>
          <w:trHeight w:val="134" w:hRule="exact"/>
        </w:trPr>
        <w:tc>
          <w:tcPr>
            <w:tcW w:w="1438" w:type="dxa"/>
            <w:vMerge/>
            <w:tcBorders>
              <w:left w:val="single" w:sz="4" w:space="0" w:color="000000"/>
              <w:right w:val="single" w:sz="4" w:space="0" w:color="000000"/>
            </w:tcBorders>
            <w:shd w:val="clear" w:color="auto" w:fill="D4D4D4"/>
          </w:tcPr>
          <w:p>
            <w:pPr/>
          </w:p>
        </w:tc>
        <w:tc>
          <w:tcPr>
            <w:tcW w:w="562" w:type="dxa"/>
            <w:vMerge w:val="restart"/>
            <w:tcBorders>
              <w:top w:val="nil" w:sz="6" w:space="0" w:color="auto"/>
              <w:left w:val="single" w:sz="4" w:space="0" w:color="000000"/>
              <w:right w:val="single" w:sz="4" w:space="0" w:color="000000"/>
            </w:tcBorders>
            <w:shd w:val="clear" w:color="auto" w:fill="D4D4D4"/>
          </w:tcPr>
          <w:p>
            <w:pPr/>
          </w:p>
        </w:tc>
        <w:tc>
          <w:tcPr>
            <w:tcW w:w="533" w:type="dxa"/>
            <w:vMerge/>
            <w:tcBorders>
              <w:left w:val="single" w:sz="4" w:space="0" w:color="000000"/>
              <w:right w:val="single" w:sz="4" w:space="0" w:color="000000"/>
            </w:tcBorders>
            <w:shd w:val="clear" w:color="auto" w:fill="D4D4D4"/>
          </w:tcPr>
          <w:p>
            <w:pPr/>
          </w:p>
        </w:tc>
        <w:tc>
          <w:tcPr>
            <w:tcW w:w="530" w:type="dxa"/>
            <w:vMerge/>
            <w:tcBorders>
              <w:left w:val="single" w:sz="4" w:space="0" w:color="000000"/>
              <w:right w:val="single" w:sz="4" w:space="0" w:color="000000"/>
            </w:tcBorders>
            <w:shd w:val="clear" w:color="auto" w:fill="D4D4D4"/>
          </w:tcPr>
          <w:p>
            <w:pPr/>
          </w:p>
        </w:tc>
        <w:tc>
          <w:tcPr>
            <w:tcW w:w="530"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0" w:type="dxa"/>
            <w:vMerge/>
            <w:tcBorders>
              <w:left w:val="single" w:sz="4" w:space="0" w:color="000000"/>
              <w:right w:val="single" w:sz="4" w:space="0" w:color="000000"/>
            </w:tcBorders>
            <w:shd w:val="clear" w:color="auto" w:fill="D4D4D4"/>
          </w:tcPr>
          <w:p>
            <w:pPr/>
          </w:p>
        </w:tc>
      </w:tr>
      <w:tr>
        <w:trPr>
          <w:trHeight w:val="149" w:hRule="exact"/>
        </w:trPr>
        <w:tc>
          <w:tcPr>
            <w:tcW w:w="1438" w:type="dxa"/>
            <w:vMerge/>
            <w:tcBorders>
              <w:left w:val="single" w:sz="4" w:space="0" w:color="000000"/>
              <w:bottom w:val="single" w:sz="4" w:space="0" w:color="000000"/>
              <w:right w:val="single" w:sz="4" w:space="0" w:color="000000"/>
            </w:tcBorders>
            <w:shd w:val="clear" w:color="auto" w:fill="D4D4D4"/>
          </w:tcPr>
          <w:p>
            <w:pPr/>
          </w:p>
        </w:tc>
        <w:tc>
          <w:tcPr>
            <w:tcW w:w="562" w:type="dxa"/>
            <w:vMerge/>
            <w:tcBorders>
              <w:left w:val="single" w:sz="4" w:space="0" w:color="000000"/>
              <w:bottom w:val="single" w:sz="4" w:space="0" w:color="000000"/>
              <w:right w:val="single" w:sz="4" w:space="0" w:color="000000"/>
            </w:tcBorders>
            <w:shd w:val="clear" w:color="auto" w:fill="D4D4D4"/>
          </w:tcPr>
          <w:p>
            <w:pPr/>
          </w:p>
        </w:tc>
        <w:tc>
          <w:tcPr>
            <w:tcW w:w="533" w:type="dxa"/>
            <w:vMerge/>
            <w:tcBorders>
              <w:left w:val="single" w:sz="4" w:space="0" w:color="000000"/>
              <w:bottom w:val="single" w:sz="4" w:space="0" w:color="000000"/>
              <w:right w:val="single" w:sz="4" w:space="0" w:color="000000"/>
            </w:tcBorders>
            <w:shd w:val="clear" w:color="auto" w:fill="D4D4D4"/>
          </w:tcPr>
          <w:p>
            <w:pPr/>
          </w:p>
        </w:tc>
        <w:tc>
          <w:tcPr>
            <w:tcW w:w="530" w:type="dxa"/>
            <w:vMerge/>
            <w:tcBorders>
              <w:left w:val="single" w:sz="4" w:space="0" w:color="000000"/>
              <w:bottom w:val="single" w:sz="4" w:space="0" w:color="000000"/>
              <w:right w:val="single" w:sz="4" w:space="0" w:color="000000"/>
            </w:tcBorders>
            <w:shd w:val="clear" w:color="auto" w:fill="D4D4D4"/>
          </w:tcPr>
          <w:p>
            <w:pPr/>
          </w:p>
        </w:tc>
        <w:tc>
          <w:tcPr>
            <w:tcW w:w="530"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vMerge/>
            <w:tcBorders>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vMerge/>
            <w:tcBorders>
              <w:left w:val="single" w:sz="4" w:space="0" w:color="000000"/>
              <w:bottom w:val="single" w:sz="4" w:space="0" w:color="000000"/>
              <w:right w:val="single" w:sz="4" w:space="0" w:color="000000"/>
            </w:tcBorders>
            <w:shd w:val="clear" w:color="auto" w:fill="D4D4D4"/>
          </w:tcPr>
          <w:p>
            <w:pPr/>
          </w:p>
        </w:tc>
        <w:tc>
          <w:tcPr>
            <w:tcW w:w="665" w:type="dxa"/>
            <w:vMerge/>
            <w:tcBorders>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0" w:type="dxa"/>
            <w:vMerge/>
            <w:tcBorders>
              <w:left w:val="single" w:sz="4" w:space="0" w:color="000000"/>
              <w:bottom w:val="single" w:sz="4" w:space="0" w:color="000000"/>
              <w:right w:val="single" w:sz="4" w:space="0" w:color="000000"/>
            </w:tcBorders>
            <w:shd w:val="clear" w:color="auto" w:fill="D4D4D4"/>
          </w:tcPr>
          <w:p>
            <w:pPr/>
          </w:p>
        </w:tc>
      </w:tr>
      <w:tr>
        <w:trPr>
          <w:trHeight w:val="96" w:hRule="exact"/>
        </w:trPr>
        <w:tc>
          <w:tcPr>
            <w:tcW w:w="1438" w:type="dxa"/>
            <w:tcBorders>
              <w:top w:val="single" w:sz="4" w:space="0" w:color="000000"/>
              <w:left w:val="single" w:sz="4" w:space="0" w:color="000000"/>
              <w:bottom w:val="nil" w:sz="6" w:space="0" w:color="auto"/>
              <w:right w:val="single" w:sz="4" w:space="0" w:color="000000"/>
            </w:tcBorders>
            <w:shd w:val="clear" w:color="auto" w:fill="D4D4D4"/>
          </w:tcPr>
          <w:p>
            <w:pPr/>
          </w:p>
        </w:tc>
        <w:tc>
          <w:tcPr>
            <w:tcW w:w="562" w:type="dxa"/>
            <w:vMerge w:val="restart"/>
            <w:tcBorders>
              <w:top w:val="single" w:sz="4" w:space="0" w:color="000000"/>
              <w:left w:val="single" w:sz="10" w:space="0" w:color="D4D4D4"/>
              <w:right w:val="single" w:sz="4" w:space="0" w:color="000000"/>
            </w:tcBorders>
          </w:tcPr>
          <w:p>
            <w:pPr>
              <w:pStyle w:val="TableParagraph"/>
              <w:spacing w:line="237" w:lineRule="exact"/>
              <w:ind w:left="50" w:right="0"/>
              <w:jc w:val="left"/>
              <w:rPr>
                <w:rFonts w:ascii="Times New Roman" w:hAnsi="Times New Roman" w:cs="Times New Roman" w:eastAsia="Times New Roman" w:hint="default"/>
                <w:sz w:val="21"/>
                <w:szCs w:val="21"/>
              </w:rPr>
            </w:pPr>
            <w:r>
              <w:rPr>
                <w:rFonts w:ascii="Times New Roman"/>
                <w:sz w:val="21"/>
              </w:rPr>
              <w:t>88,00</w:t>
            </w:r>
          </w:p>
          <w:p>
            <w:pPr>
              <w:pStyle w:val="TableParagraph"/>
              <w:spacing w:line="241" w:lineRule="exact"/>
              <w:ind w:left="50" w:right="0"/>
              <w:jc w:val="left"/>
              <w:rPr>
                <w:rFonts w:ascii="Times New Roman" w:hAnsi="Times New Roman" w:cs="Times New Roman" w:eastAsia="Times New Roman" w:hint="default"/>
                <w:sz w:val="21"/>
                <w:szCs w:val="21"/>
              </w:rPr>
            </w:pPr>
            <w:r>
              <w:rPr>
                <w:rFonts w:ascii="Times New Roman"/>
                <w:sz w:val="21"/>
              </w:rPr>
              <w:t>0,000</w:t>
            </w:r>
          </w:p>
          <w:p>
            <w:pPr>
              <w:pStyle w:val="TableParagraph"/>
              <w:spacing w:line="240" w:lineRule="auto" w:before="1"/>
              <w:ind w:left="261" w:right="0"/>
              <w:jc w:val="left"/>
              <w:rPr>
                <w:rFonts w:ascii="Times New Roman" w:hAnsi="Times New Roman" w:cs="Times New Roman" w:eastAsia="Times New Roman" w:hint="default"/>
                <w:sz w:val="21"/>
                <w:szCs w:val="21"/>
              </w:rPr>
            </w:pPr>
            <w:r>
              <w:rPr>
                <w:rFonts w:ascii="Times New Roman"/>
                <w:sz w:val="21"/>
              </w:rPr>
              <w:t>.00</w:t>
            </w:r>
          </w:p>
        </w:tc>
        <w:tc>
          <w:tcPr>
            <w:tcW w:w="533"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37" w:lineRule="exact"/>
              <w:ind w:left="52" w:right="0"/>
              <w:jc w:val="left"/>
              <w:rPr>
                <w:rFonts w:ascii="Times New Roman" w:hAnsi="Times New Roman" w:cs="Times New Roman" w:eastAsia="Times New Roman" w:hint="default"/>
                <w:sz w:val="21"/>
                <w:szCs w:val="21"/>
              </w:rPr>
            </w:pPr>
            <w:r>
              <w:rPr>
                <w:rFonts w:ascii="Times New Roman"/>
                <w:sz w:val="21"/>
              </w:rPr>
              <w:t>132,98</w:t>
            </w:r>
          </w:p>
          <w:p>
            <w:pPr>
              <w:pStyle w:val="TableParagraph"/>
              <w:spacing w:line="241" w:lineRule="exact"/>
              <w:ind w:left="105" w:right="0"/>
              <w:jc w:val="left"/>
              <w:rPr>
                <w:rFonts w:ascii="Times New Roman" w:hAnsi="Times New Roman" w:cs="Times New Roman" w:eastAsia="Times New Roman" w:hint="default"/>
                <w:sz w:val="21"/>
                <w:szCs w:val="21"/>
              </w:rPr>
            </w:pPr>
            <w:r>
              <w:rPr>
                <w:rFonts w:ascii="Times New Roman"/>
                <w:sz w:val="21"/>
              </w:rPr>
              <w:t>0,990.</w:t>
            </w:r>
          </w:p>
          <w:p>
            <w:pPr>
              <w:pStyle w:val="TableParagraph"/>
              <w:spacing w:line="240" w:lineRule="auto" w:before="1"/>
              <w:ind w:left="420" w:right="0"/>
              <w:jc w:val="left"/>
              <w:rPr>
                <w:rFonts w:ascii="Times New Roman" w:hAnsi="Times New Roman" w:cs="Times New Roman" w:eastAsia="Times New Roman" w:hint="default"/>
                <w:sz w:val="21"/>
                <w:szCs w:val="21"/>
              </w:rPr>
            </w:pPr>
            <w:r>
              <w:rPr>
                <w:rFonts w:ascii="Times New Roman"/>
                <w:sz w:val="21"/>
              </w:rPr>
              <w:t>76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2"/>
                <w:sz w:val="21"/>
              </w:rPr>
              <w:t>11,736</w:t>
            </w:r>
          </w:p>
          <w:p>
            <w:pPr>
              <w:pStyle w:val="TableParagraph"/>
              <w:spacing w:line="241" w:lineRule="exact"/>
              <w:ind w:right="19"/>
              <w:jc w:val="right"/>
              <w:rPr>
                <w:rFonts w:ascii="Times New Roman" w:hAnsi="Times New Roman" w:cs="Times New Roman" w:eastAsia="Times New Roman" w:hint="default"/>
                <w:sz w:val="21"/>
                <w:szCs w:val="21"/>
              </w:rPr>
            </w:pPr>
            <w:r>
              <w:rPr>
                <w:rFonts w:ascii="Times New Roman"/>
                <w:sz w:val="21"/>
              </w:rPr>
              <w:t>,079.4</w:t>
            </w:r>
          </w:p>
          <w:p>
            <w:pPr>
              <w:pStyle w:val="TableParagraph"/>
              <w:spacing w:line="240" w:lineRule="auto" w:before="1"/>
              <w:ind w:right="23"/>
              <w:jc w:val="right"/>
              <w:rPr>
                <w:rFonts w:ascii="Times New Roman" w:hAnsi="Times New Roman" w:cs="Times New Roman" w:eastAsia="Times New Roman" w:hint="default"/>
                <w:sz w:val="21"/>
                <w:szCs w:val="21"/>
              </w:rPr>
            </w:pPr>
            <w:r>
              <w:rPr>
                <w:rFonts w:ascii="Times New Roman"/>
                <w:w w:val="100"/>
                <w:sz w:val="21"/>
              </w:rPr>
              <w:t>7</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37" w:lineRule="exact"/>
              <w:ind w:right="17"/>
              <w:jc w:val="right"/>
              <w:rPr>
                <w:rFonts w:ascii="Times New Roman" w:hAnsi="Times New Roman" w:cs="Times New Roman" w:eastAsia="Times New Roman" w:hint="default"/>
                <w:sz w:val="21"/>
                <w:szCs w:val="21"/>
              </w:rPr>
            </w:pPr>
            <w:r>
              <w:rPr>
                <w:rFonts w:ascii="Times New Roman"/>
                <w:sz w:val="21"/>
              </w:rPr>
              <w:t>86,282</w:t>
            </w:r>
          </w:p>
          <w:p>
            <w:pPr>
              <w:pStyle w:val="TableParagraph"/>
              <w:spacing w:line="241" w:lineRule="exact"/>
              <w:ind w:right="17"/>
              <w:jc w:val="right"/>
              <w:rPr>
                <w:rFonts w:ascii="Times New Roman" w:hAnsi="Times New Roman" w:cs="Times New Roman" w:eastAsia="Times New Roman" w:hint="default"/>
                <w:sz w:val="21"/>
                <w:szCs w:val="21"/>
              </w:rPr>
            </w:pPr>
            <w:r>
              <w:rPr>
                <w:rFonts w:ascii="Times New Roman"/>
                <w:sz w:val="21"/>
              </w:rPr>
              <w:t>,907.8</w:t>
            </w:r>
          </w:p>
          <w:p>
            <w:pPr>
              <w:pStyle w:val="TableParagraph"/>
              <w:spacing w:line="240" w:lineRule="auto" w:before="1"/>
              <w:ind w:right="19"/>
              <w:jc w:val="right"/>
              <w:rPr>
                <w:rFonts w:ascii="Times New Roman" w:hAnsi="Times New Roman" w:cs="Times New Roman" w:eastAsia="Times New Roman" w:hint="default"/>
                <w:sz w:val="21"/>
                <w:szCs w:val="21"/>
              </w:rPr>
            </w:pPr>
            <w:r>
              <w:rPr>
                <w:rFonts w:ascii="Times New Roman"/>
                <w:w w:val="100"/>
                <w:sz w:val="21"/>
              </w:rPr>
              <w:t>6</w:t>
            </w:r>
          </w:p>
        </w:tc>
        <w:tc>
          <w:tcPr>
            <w:tcW w:w="665" w:type="dxa"/>
            <w:vMerge w:val="restart"/>
            <w:tcBorders>
              <w:top w:val="single" w:sz="4" w:space="0" w:color="000000"/>
              <w:left w:val="single" w:sz="4" w:space="0" w:color="000000"/>
              <w:right w:val="single" w:sz="4" w:space="0" w:color="000000"/>
            </w:tcBorders>
          </w:tcPr>
          <w:p>
            <w:pPr/>
          </w:p>
        </w:tc>
        <w:tc>
          <w:tcPr>
            <w:tcW w:w="660" w:type="dxa"/>
            <w:vMerge w:val="restart"/>
            <w:tcBorders>
              <w:top w:val="single" w:sz="4" w:space="0" w:color="000000"/>
              <w:left w:val="single" w:sz="4" w:space="0" w:color="000000"/>
              <w:right w:val="single" w:sz="4" w:space="0" w:color="000000"/>
            </w:tcBorders>
          </w:tcPr>
          <w:p>
            <w:pPr>
              <w:pStyle w:val="TableParagraph"/>
              <w:spacing w:line="237" w:lineRule="exact"/>
              <w:ind w:left="47" w:right="0"/>
              <w:jc w:val="left"/>
              <w:rPr>
                <w:rFonts w:ascii="Times New Roman" w:hAnsi="Times New Roman" w:cs="Times New Roman" w:eastAsia="Times New Roman" w:hint="default"/>
                <w:sz w:val="21"/>
                <w:szCs w:val="21"/>
              </w:rPr>
            </w:pPr>
            <w:r>
              <w:rPr>
                <w:rFonts w:ascii="Times New Roman"/>
                <w:sz w:val="21"/>
              </w:rPr>
              <w:t>318,99</w:t>
            </w:r>
          </w:p>
          <w:p>
            <w:pPr>
              <w:pStyle w:val="TableParagraph"/>
              <w:spacing w:line="241" w:lineRule="exact"/>
              <w:ind w:left="100" w:right="0"/>
              <w:jc w:val="left"/>
              <w:rPr>
                <w:rFonts w:ascii="Times New Roman" w:hAnsi="Times New Roman" w:cs="Times New Roman" w:eastAsia="Times New Roman" w:hint="default"/>
                <w:sz w:val="21"/>
                <w:szCs w:val="21"/>
              </w:rPr>
            </w:pPr>
            <w:r>
              <w:rPr>
                <w:rFonts w:ascii="Times New Roman"/>
                <w:sz w:val="21"/>
              </w:rPr>
              <w:t>9,978.</w:t>
            </w:r>
          </w:p>
          <w:p>
            <w:pPr>
              <w:pStyle w:val="TableParagraph"/>
              <w:spacing w:line="240" w:lineRule="auto" w:before="1"/>
              <w:ind w:left="415" w:right="0"/>
              <w:jc w:val="left"/>
              <w:rPr>
                <w:rFonts w:ascii="Times New Roman" w:hAnsi="Times New Roman" w:cs="Times New Roman" w:eastAsia="Times New Roman" w:hint="default"/>
                <w:sz w:val="21"/>
                <w:szCs w:val="21"/>
              </w:rPr>
            </w:pPr>
            <w:r>
              <w:rPr>
                <w:rFonts w:ascii="Times New Roman"/>
                <w:sz w:val="21"/>
              </w:rPr>
              <w:t>09</w:t>
            </w:r>
          </w:p>
        </w:tc>
      </w:tr>
      <w:tr>
        <w:trPr>
          <w:trHeight w:val="638" w:hRule="exact"/>
        </w:trPr>
        <w:tc>
          <w:tcPr>
            <w:tcW w:w="1438" w:type="dxa"/>
            <w:tcBorders>
              <w:top w:val="nil" w:sz="6" w:space="0" w:color="auto"/>
              <w:left w:val="single" w:sz="4" w:space="0" w:color="000000"/>
              <w:bottom w:val="single" w:sz="4" w:space="0" w:color="000000"/>
              <w:right w:val="single" w:sz="4" w:space="0" w:color="000000"/>
            </w:tcBorders>
            <w:shd w:val="clear" w:color="auto" w:fill="D4D4D4"/>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一</w:t>
            </w:r>
            <w:r>
              <w:rPr>
                <w:rFonts w:ascii="宋体" w:hAnsi="宋体" w:cs="宋体" w:eastAsia="宋体" w:hint="default"/>
                <w:spacing w:val="-89"/>
                <w:w w:val="100"/>
                <w:sz w:val="21"/>
                <w:szCs w:val="21"/>
              </w:rPr>
              <w:t>、</w:t>
            </w:r>
            <w:r>
              <w:rPr>
                <w:rFonts w:ascii="宋体" w:hAnsi="宋体" w:cs="宋体" w:eastAsia="宋体" w:hint="default"/>
                <w:spacing w:val="-3"/>
                <w:w w:val="100"/>
                <w:sz w:val="21"/>
                <w:szCs w:val="21"/>
              </w:rPr>
              <w:t>上</w:t>
            </w:r>
            <w:r>
              <w:rPr>
                <w:rFonts w:ascii="宋体" w:hAnsi="宋体" w:cs="宋体" w:eastAsia="宋体" w:hint="default"/>
                <w:w w:val="100"/>
                <w:sz w:val="21"/>
                <w:szCs w:val="21"/>
              </w:rPr>
              <w:t>年</w:t>
            </w:r>
            <w:r>
              <w:rPr>
                <w:rFonts w:ascii="宋体" w:hAnsi="宋体" w:cs="宋体" w:eastAsia="宋体" w:hint="default"/>
                <w:spacing w:val="-3"/>
                <w:w w:val="100"/>
                <w:sz w:val="21"/>
                <w:szCs w:val="21"/>
              </w:rPr>
              <w:t>期</w:t>
            </w:r>
            <w:r>
              <w:rPr>
                <w:rFonts w:ascii="宋体" w:hAnsi="宋体" w:cs="宋体" w:eastAsia="宋体" w:hint="default"/>
                <w:w w:val="100"/>
                <w:sz w:val="21"/>
                <w:szCs w:val="21"/>
              </w:rPr>
              <w:t>末余</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562" w:type="dxa"/>
            <w:vMerge/>
            <w:tcBorders>
              <w:left w:val="single" w:sz="10" w:space="0" w:color="D4D4D4"/>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557" w:hRule="exact"/>
        </w:trPr>
        <w:tc>
          <w:tcPr>
            <w:tcW w:w="14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exact"/>
              <w:ind w:left="446" w:right="0"/>
              <w:jc w:val="left"/>
              <w:rPr>
                <w:rFonts w:ascii="宋体" w:hAnsi="宋体" w:cs="宋体" w:eastAsia="宋体" w:hint="default"/>
                <w:sz w:val="21"/>
                <w:szCs w:val="21"/>
              </w:rPr>
            </w:pPr>
            <w:r>
              <w:rPr>
                <w:rFonts w:ascii="宋体" w:hAnsi="宋体" w:cs="宋体" w:eastAsia="宋体" w:hint="default"/>
                <w:spacing w:val="-3"/>
                <w:w w:val="100"/>
                <w:sz w:val="21"/>
                <w:szCs w:val="21"/>
              </w:rPr>
              <w:t>加</w:t>
            </w:r>
            <w:r>
              <w:rPr>
                <w:rFonts w:ascii="宋体" w:hAnsi="宋体" w:cs="宋体" w:eastAsia="宋体" w:hint="default"/>
                <w:spacing w:val="-89"/>
                <w:w w:val="100"/>
                <w:sz w:val="21"/>
                <w:szCs w:val="21"/>
              </w:rPr>
              <w:t>：</w:t>
            </w:r>
            <w:r>
              <w:rPr>
                <w:rFonts w:ascii="宋体" w:hAnsi="宋体" w:cs="宋体" w:eastAsia="宋体" w:hint="default"/>
                <w:spacing w:val="-3"/>
                <w:w w:val="100"/>
                <w:sz w:val="21"/>
                <w:szCs w:val="21"/>
              </w:rPr>
              <w:t>会</w:t>
            </w:r>
            <w:r>
              <w:rPr>
                <w:rFonts w:ascii="宋体" w:hAnsi="宋体" w:cs="宋体" w:eastAsia="宋体" w:hint="default"/>
                <w:w w:val="100"/>
                <w:sz w:val="21"/>
                <w:szCs w:val="21"/>
              </w:rPr>
              <w:t>计政</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策变更</w:t>
            </w:r>
          </w:p>
        </w:tc>
        <w:tc>
          <w:tcPr>
            <w:tcW w:w="562" w:type="dxa"/>
            <w:tcBorders>
              <w:top w:val="single" w:sz="4" w:space="0" w:color="000000"/>
              <w:left w:val="single" w:sz="10" w:space="0" w:color="D4D4D4"/>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exact"/>
              <w:ind w:left="866" w:right="0"/>
              <w:jc w:val="left"/>
              <w:rPr>
                <w:rFonts w:ascii="宋体" w:hAnsi="宋体" w:cs="宋体" w:eastAsia="宋体" w:hint="default"/>
                <w:sz w:val="21"/>
                <w:szCs w:val="21"/>
              </w:rPr>
            </w:pPr>
            <w:r>
              <w:rPr>
                <w:rFonts w:ascii="宋体" w:hAnsi="宋体" w:cs="宋体" w:eastAsia="宋体" w:hint="default"/>
                <w:spacing w:val="-3"/>
                <w:sz w:val="21"/>
                <w:szCs w:val="21"/>
              </w:rPr>
              <w:t>前期</w:t>
            </w:r>
            <w:r>
              <w:rPr>
                <w:rFonts w:ascii="宋体" w:hAnsi="宋体" w:cs="宋体" w:eastAsia="宋体" w:hint="default"/>
                <w:sz w:val="21"/>
                <w:szCs w:val="21"/>
              </w:rPr>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差错更正</w:t>
            </w:r>
          </w:p>
        </w:tc>
        <w:tc>
          <w:tcPr>
            <w:tcW w:w="562" w:type="dxa"/>
            <w:tcBorders>
              <w:top w:val="single" w:sz="4" w:space="0" w:color="000000"/>
              <w:left w:val="single" w:sz="10" w:space="0" w:color="D4D4D4"/>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4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9" w:lineRule="exact"/>
              <w:ind w:left="24" w:right="0" w:firstLine="842"/>
              <w:jc w:val="left"/>
              <w:rPr>
                <w:rFonts w:ascii="宋体" w:hAnsi="宋体" w:cs="宋体" w:eastAsia="宋体" w:hint="default"/>
                <w:sz w:val="21"/>
                <w:szCs w:val="21"/>
              </w:rPr>
            </w:pPr>
            <w:r>
              <w:rPr>
                <w:rFonts w:ascii="宋体" w:hAnsi="宋体" w:cs="宋体" w:eastAsia="宋体" w:hint="default"/>
                <w:spacing w:val="-3"/>
                <w:sz w:val="21"/>
                <w:szCs w:val="21"/>
              </w:rPr>
              <w:t>同一</w:t>
            </w:r>
            <w:r>
              <w:rPr>
                <w:rFonts w:ascii="宋体" w:hAnsi="宋体" w:cs="宋体" w:eastAsia="宋体" w:hint="default"/>
                <w:sz w:val="21"/>
                <w:szCs w:val="21"/>
              </w:rPr>
            </w:r>
          </w:p>
          <w:p>
            <w:pPr>
              <w:pStyle w:val="TableParagraph"/>
              <w:spacing w:line="240" w:lineRule="auto"/>
              <w:ind w:left="24" w:right="139"/>
              <w:jc w:val="left"/>
              <w:rPr>
                <w:rFonts w:ascii="宋体" w:hAnsi="宋体" w:cs="宋体" w:eastAsia="宋体" w:hint="default"/>
                <w:sz w:val="21"/>
                <w:szCs w:val="21"/>
              </w:rPr>
            </w:pPr>
            <w:r>
              <w:rPr>
                <w:rFonts w:ascii="宋体" w:hAnsi="宋体" w:cs="宋体" w:eastAsia="宋体" w:hint="default"/>
                <w:sz w:val="21"/>
                <w:szCs w:val="21"/>
              </w:rPr>
              <w:t>控制下企业合</w:t>
            </w:r>
            <w:r>
              <w:rPr>
                <w:rFonts w:ascii="宋体" w:hAnsi="宋体" w:cs="宋体" w:eastAsia="宋体" w:hint="default"/>
                <w:w w:val="100"/>
                <w:sz w:val="21"/>
                <w:szCs w:val="21"/>
              </w:rPr>
              <w:t> </w:t>
            </w:r>
            <w:r>
              <w:rPr>
                <w:rFonts w:ascii="宋体" w:hAnsi="宋体" w:cs="宋体" w:eastAsia="宋体" w:hint="default"/>
                <w:sz w:val="21"/>
                <w:szCs w:val="21"/>
              </w:rPr>
              <w:t>并</w:t>
            </w:r>
          </w:p>
        </w:tc>
        <w:tc>
          <w:tcPr>
            <w:tcW w:w="562" w:type="dxa"/>
            <w:tcBorders>
              <w:top w:val="single" w:sz="4" w:space="0" w:color="000000"/>
              <w:left w:val="single" w:sz="10" w:space="0" w:color="D4D4D4"/>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866" w:right="0"/>
              <w:jc w:val="left"/>
              <w:rPr>
                <w:rFonts w:ascii="宋体" w:hAnsi="宋体" w:cs="宋体" w:eastAsia="宋体" w:hint="default"/>
                <w:sz w:val="21"/>
                <w:szCs w:val="21"/>
              </w:rPr>
            </w:pPr>
            <w:r>
              <w:rPr>
                <w:rFonts w:ascii="宋体" w:hAnsi="宋体" w:cs="宋体" w:eastAsia="宋体" w:hint="default"/>
                <w:spacing w:val="-3"/>
                <w:sz w:val="21"/>
                <w:szCs w:val="21"/>
              </w:rPr>
              <w:t>其他</w:t>
            </w:r>
            <w:r>
              <w:rPr>
                <w:rFonts w:ascii="宋体" w:hAnsi="宋体" w:cs="宋体" w:eastAsia="宋体" w:hint="default"/>
                <w:sz w:val="21"/>
                <w:szCs w:val="21"/>
              </w:rPr>
            </w:r>
          </w:p>
        </w:tc>
        <w:tc>
          <w:tcPr>
            <w:tcW w:w="562" w:type="dxa"/>
            <w:tcBorders>
              <w:top w:val="single" w:sz="4" w:space="0" w:color="000000"/>
              <w:left w:val="single" w:sz="10" w:space="0" w:color="D4D4D4"/>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94" w:hRule="exact"/>
        </w:trPr>
        <w:tc>
          <w:tcPr>
            <w:tcW w:w="1438" w:type="dxa"/>
            <w:tcBorders>
              <w:top w:val="single" w:sz="4" w:space="0" w:color="000000"/>
              <w:left w:val="single" w:sz="4" w:space="0" w:color="000000"/>
              <w:bottom w:val="nil" w:sz="6" w:space="0" w:color="auto"/>
              <w:right w:val="single" w:sz="4" w:space="0" w:color="000000"/>
            </w:tcBorders>
            <w:shd w:val="clear" w:color="auto" w:fill="D4D4D4"/>
          </w:tcPr>
          <w:p>
            <w:pPr/>
          </w:p>
        </w:tc>
        <w:tc>
          <w:tcPr>
            <w:tcW w:w="562" w:type="dxa"/>
            <w:vMerge w:val="restart"/>
            <w:tcBorders>
              <w:top w:val="single" w:sz="4" w:space="0" w:color="000000"/>
              <w:left w:val="single" w:sz="10" w:space="0" w:color="D4D4D4"/>
              <w:right w:val="single" w:sz="4" w:space="0" w:color="000000"/>
            </w:tcBorders>
          </w:tcPr>
          <w:p>
            <w:pPr>
              <w:pStyle w:val="TableParagraph"/>
              <w:spacing w:line="235" w:lineRule="exact"/>
              <w:ind w:left="50" w:right="0"/>
              <w:jc w:val="left"/>
              <w:rPr>
                <w:rFonts w:ascii="Times New Roman" w:hAnsi="Times New Roman" w:cs="Times New Roman" w:eastAsia="Times New Roman" w:hint="default"/>
                <w:sz w:val="21"/>
                <w:szCs w:val="21"/>
              </w:rPr>
            </w:pPr>
            <w:r>
              <w:rPr>
                <w:rFonts w:ascii="Times New Roman"/>
                <w:sz w:val="21"/>
              </w:rPr>
              <w:t>88,00</w:t>
            </w:r>
          </w:p>
          <w:p>
            <w:pPr>
              <w:pStyle w:val="TableParagraph"/>
              <w:spacing w:line="241" w:lineRule="exact" w:before="1"/>
              <w:ind w:left="50" w:right="0"/>
              <w:jc w:val="left"/>
              <w:rPr>
                <w:rFonts w:ascii="Times New Roman" w:hAnsi="Times New Roman" w:cs="Times New Roman" w:eastAsia="Times New Roman" w:hint="default"/>
                <w:sz w:val="21"/>
                <w:szCs w:val="21"/>
              </w:rPr>
            </w:pPr>
            <w:r>
              <w:rPr>
                <w:rFonts w:ascii="Times New Roman"/>
                <w:sz w:val="21"/>
              </w:rPr>
              <w:t>0,000</w:t>
            </w:r>
          </w:p>
          <w:p>
            <w:pPr>
              <w:pStyle w:val="TableParagraph"/>
              <w:spacing w:line="241" w:lineRule="exact"/>
              <w:ind w:left="261" w:right="0"/>
              <w:jc w:val="left"/>
              <w:rPr>
                <w:rFonts w:ascii="Times New Roman" w:hAnsi="Times New Roman" w:cs="Times New Roman" w:eastAsia="Times New Roman" w:hint="default"/>
                <w:sz w:val="21"/>
                <w:szCs w:val="21"/>
              </w:rPr>
            </w:pPr>
            <w:r>
              <w:rPr>
                <w:rFonts w:ascii="Times New Roman"/>
                <w:sz w:val="21"/>
              </w:rPr>
              <w:t>.00</w:t>
            </w:r>
          </w:p>
        </w:tc>
        <w:tc>
          <w:tcPr>
            <w:tcW w:w="533"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35" w:lineRule="exact"/>
              <w:ind w:left="52" w:right="0"/>
              <w:jc w:val="left"/>
              <w:rPr>
                <w:rFonts w:ascii="Times New Roman" w:hAnsi="Times New Roman" w:cs="Times New Roman" w:eastAsia="Times New Roman" w:hint="default"/>
                <w:sz w:val="21"/>
                <w:szCs w:val="21"/>
              </w:rPr>
            </w:pPr>
            <w:r>
              <w:rPr>
                <w:rFonts w:ascii="Times New Roman"/>
                <w:sz w:val="21"/>
              </w:rPr>
              <w:t>132,98</w:t>
            </w:r>
          </w:p>
          <w:p>
            <w:pPr>
              <w:pStyle w:val="TableParagraph"/>
              <w:spacing w:line="241" w:lineRule="exact" w:before="1"/>
              <w:ind w:left="105" w:right="0"/>
              <w:jc w:val="left"/>
              <w:rPr>
                <w:rFonts w:ascii="Times New Roman" w:hAnsi="Times New Roman" w:cs="Times New Roman" w:eastAsia="Times New Roman" w:hint="default"/>
                <w:sz w:val="21"/>
                <w:szCs w:val="21"/>
              </w:rPr>
            </w:pPr>
            <w:r>
              <w:rPr>
                <w:rFonts w:ascii="Times New Roman"/>
                <w:sz w:val="21"/>
              </w:rPr>
              <w:t>0,990.</w:t>
            </w:r>
          </w:p>
          <w:p>
            <w:pPr>
              <w:pStyle w:val="TableParagraph"/>
              <w:spacing w:line="241" w:lineRule="exact"/>
              <w:ind w:left="420" w:right="0"/>
              <w:jc w:val="left"/>
              <w:rPr>
                <w:rFonts w:ascii="Times New Roman" w:hAnsi="Times New Roman" w:cs="Times New Roman" w:eastAsia="Times New Roman" w:hint="default"/>
                <w:sz w:val="21"/>
                <w:szCs w:val="21"/>
              </w:rPr>
            </w:pPr>
            <w:r>
              <w:rPr>
                <w:rFonts w:ascii="Times New Roman"/>
                <w:sz w:val="21"/>
              </w:rPr>
              <w:t>76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2"/>
                <w:sz w:val="21"/>
              </w:rPr>
              <w:t>11,736</w:t>
            </w:r>
          </w:p>
          <w:p>
            <w:pPr>
              <w:pStyle w:val="TableParagraph"/>
              <w:spacing w:line="241" w:lineRule="exact" w:before="1"/>
              <w:ind w:right="19"/>
              <w:jc w:val="right"/>
              <w:rPr>
                <w:rFonts w:ascii="Times New Roman" w:hAnsi="Times New Roman" w:cs="Times New Roman" w:eastAsia="Times New Roman" w:hint="default"/>
                <w:sz w:val="21"/>
                <w:szCs w:val="21"/>
              </w:rPr>
            </w:pPr>
            <w:r>
              <w:rPr>
                <w:rFonts w:ascii="Times New Roman"/>
                <w:sz w:val="21"/>
              </w:rPr>
              <w:t>,079.4</w:t>
            </w:r>
          </w:p>
          <w:p>
            <w:pPr>
              <w:pStyle w:val="TableParagraph"/>
              <w:spacing w:line="241" w:lineRule="exact"/>
              <w:ind w:right="23"/>
              <w:jc w:val="right"/>
              <w:rPr>
                <w:rFonts w:ascii="Times New Roman" w:hAnsi="Times New Roman" w:cs="Times New Roman" w:eastAsia="Times New Roman" w:hint="default"/>
                <w:sz w:val="21"/>
                <w:szCs w:val="21"/>
              </w:rPr>
            </w:pPr>
            <w:r>
              <w:rPr>
                <w:rFonts w:ascii="Times New Roman"/>
                <w:w w:val="100"/>
                <w:sz w:val="21"/>
              </w:rPr>
              <w:t>7</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z w:val="21"/>
              </w:rPr>
              <w:t>86,282</w:t>
            </w:r>
          </w:p>
          <w:p>
            <w:pPr>
              <w:pStyle w:val="TableParagraph"/>
              <w:spacing w:line="241" w:lineRule="exact" w:before="1"/>
              <w:ind w:right="17"/>
              <w:jc w:val="right"/>
              <w:rPr>
                <w:rFonts w:ascii="Times New Roman" w:hAnsi="Times New Roman" w:cs="Times New Roman" w:eastAsia="Times New Roman" w:hint="default"/>
                <w:sz w:val="21"/>
                <w:szCs w:val="21"/>
              </w:rPr>
            </w:pPr>
            <w:r>
              <w:rPr>
                <w:rFonts w:ascii="Times New Roman"/>
                <w:sz w:val="21"/>
              </w:rPr>
              <w:t>,907.8</w:t>
            </w:r>
          </w:p>
          <w:p>
            <w:pPr>
              <w:pStyle w:val="TableParagraph"/>
              <w:spacing w:line="241" w:lineRule="exact"/>
              <w:ind w:right="19"/>
              <w:jc w:val="right"/>
              <w:rPr>
                <w:rFonts w:ascii="Times New Roman" w:hAnsi="Times New Roman" w:cs="Times New Roman" w:eastAsia="Times New Roman" w:hint="default"/>
                <w:sz w:val="21"/>
                <w:szCs w:val="21"/>
              </w:rPr>
            </w:pPr>
            <w:r>
              <w:rPr>
                <w:rFonts w:ascii="Times New Roman"/>
                <w:w w:val="100"/>
                <w:sz w:val="21"/>
              </w:rPr>
              <w:t>6</w:t>
            </w:r>
          </w:p>
        </w:tc>
        <w:tc>
          <w:tcPr>
            <w:tcW w:w="665" w:type="dxa"/>
            <w:vMerge w:val="restart"/>
            <w:tcBorders>
              <w:top w:val="single" w:sz="4" w:space="0" w:color="000000"/>
              <w:left w:val="single" w:sz="4" w:space="0" w:color="000000"/>
              <w:right w:val="single" w:sz="4" w:space="0" w:color="000000"/>
            </w:tcBorders>
          </w:tcPr>
          <w:p>
            <w:pPr/>
          </w:p>
        </w:tc>
        <w:tc>
          <w:tcPr>
            <w:tcW w:w="660" w:type="dxa"/>
            <w:vMerge w:val="restart"/>
            <w:tcBorders>
              <w:top w:val="single" w:sz="4" w:space="0" w:color="000000"/>
              <w:left w:val="single" w:sz="4" w:space="0" w:color="000000"/>
              <w:right w:val="single" w:sz="4" w:space="0" w:color="000000"/>
            </w:tcBorders>
          </w:tcPr>
          <w:p>
            <w:pPr>
              <w:pStyle w:val="TableParagraph"/>
              <w:spacing w:line="235" w:lineRule="exact"/>
              <w:ind w:left="47" w:right="0"/>
              <w:jc w:val="left"/>
              <w:rPr>
                <w:rFonts w:ascii="Times New Roman" w:hAnsi="Times New Roman" w:cs="Times New Roman" w:eastAsia="Times New Roman" w:hint="default"/>
                <w:sz w:val="21"/>
                <w:szCs w:val="21"/>
              </w:rPr>
            </w:pPr>
            <w:r>
              <w:rPr>
                <w:rFonts w:ascii="Times New Roman"/>
                <w:sz w:val="21"/>
              </w:rPr>
              <w:t>318,99</w:t>
            </w:r>
          </w:p>
          <w:p>
            <w:pPr>
              <w:pStyle w:val="TableParagraph"/>
              <w:spacing w:line="241" w:lineRule="exact" w:before="1"/>
              <w:ind w:left="100" w:right="0"/>
              <w:jc w:val="left"/>
              <w:rPr>
                <w:rFonts w:ascii="Times New Roman" w:hAnsi="Times New Roman" w:cs="Times New Roman" w:eastAsia="Times New Roman" w:hint="default"/>
                <w:sz w:val="21"/>
                <w:szCs w:val="21"/>
              </w:rPr>
            </w:pPr>
            <w:r>
              <w:rPr>
                <w:rFonts w:ascii="Times New Roman"/>
                <w:sz w:val="21"/>
              </w:rPr>
              <w:t>9,978.</w:t>
            </w:r>
          </w:p>
          <w:p>
            <w:pPr>
              <w:pStyle w:val="TableParagraph"/>
              <w:spacing w:line="241" w:lineRule="exact"/>
              <w:ind w:left="415" w:right="0"/>
              <w:jc w:val="left"/>
              <w:rPr>
                <w:rFonts w:ascii="Times New Roman" w:hAnsi="Times New Roman" w:cs="Times New Roman" w:eastAsia="Times New Roman" w:hint="default"/>
                <w:sz w:val="21"/>
                <w:szCs w:val="21"/>
              </w:rPr>
            </w:pPr>
            <w:r>
              <w:rPr>
                <w:rFonts w:ascii="Times New Roman"/>
                <w:sz w:val="21"/>
              </w:rPr>
              <w:t>09</w:t>
            </w:r>
          </w:p>
        </w:tc>
      </w:tr>
      <w:tr>
        <w:trPr>
          <w:trHeight w:val="641" w:hRule="exact"/>
        </w:trPr>
        <w:tc>
          <w:tcPr>
            <w:tcW w:w="1438" w:type="dxa"/>
            <w:tcBorders>
              <w:top w:val="nil" w:sz="6" w:space="0" w:color="auto"/>
              <w:left w:val="single" w:sz="4" w:space="0" w:color="000000"/>
              <w:bottom w:val="single" w:sz="4" w:space="0" w:color="000000"/>
              <w:right w:val="single" w:sz="4" w:space="0" w:color="000000"/>
            </w:tcBorders>
            <w:shd w:val="clear" w:color="auto" w:fill="D4D4D4"/>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二</w:t>
            </w:r>
            <w:r>
              <w:rPr>
                <w:rFonts w:ascii="宋体" w:hAnsi="宋体" w:cs="宋体" w:eastAsia="宋体" w:hint="default"/>
                <w:spacing w:val="-89"/>
                <w:w w:val="100"/>
                <w:sz w:val="21"/>
                <w:szCs w:val="21"/>
              </w:rPr>
              <w:t>、</w:t>
            </w:r>
            <w:r>
              <w:rPr>
                <w:rFonts w:ascii="宋体" w:hAnsi="宋体" w:cs="宋体" w:eastAsia="宋体" w:hint="default"/>
                <w:spacing w:val="-3"/>
                <w:w w:val="100"/>
                <w:sz w:val="21"/>
                <w:szCs w:val="21"/>
              </w:rPr>
              <w:t>本</w:t>
            </w:r>
            <w:r>
              <w:rPr>
                <w:rFonts w:ascii="宋体" w:hAnsi="宋体" w:cs="宋体" w:eastAsia="宋体" w:hint="default"/>
                <w:w w:val="100"/>
                <w:sz w:val="21"/>
                <w:szCs w:val="21"/>
              </w:rPr>
              <w:t>年</w:t>
            </w:r>
            <w:r>
              <w:rPr>
                <w:rFonts w:ascii="宋体" w:hAnsi="宋体" w:cs="宋体" w:eastAsia="宋体" w:hint="default"/>
                <w:spacing w:val="-3"/>
                <w:w w:val="100"/>
                <w:sz w:val="21"/>
                <w:szCs w:val="21"/>
              </w:rPr>
              <w:t>期</w:t>
            </w:r>
            <w:r>
              <w:rPr>
                <w:rFonts w:ascii="宋体" w:hAnsi="宋体" w:cs="宋体" w:eastAsia="宋体" w:hint="default"/>
                <w:w w:val="100"/>
                <w:sz w:val="21"/>
                <w:szCs w:val="21"/>
              </w:rPr>
              <w:t>初余</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562" w:type="dxa"/>
            <w:vMerge/>
            <w:tcBorders>
              <w:left w:val="single" w:sz="10" w:space="0" w:color="D4D4D4"/>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828" w:hRule="exact"/>
        </w:trPr>
        <w:tc>
          <w:tcPr>
            <w:tcW w:w="14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三</w:t>
            </w:r>
            <w:r>
              <w:rPr>
                <w:rFonts w:ascii="宋体" w:hAnsi="宋体" w:cs="宋体" w:eastAsia="宋体" w:hint="default"/>
                <w:spacing w:val="-89"/>
                <w:w w:val="100"/>
                <w:sz w:val="21"/>
                <w:szCs w:val="21"/>
              </w:rPr>
              <w:t>、</w:t>
            </w:r>
            <w:r>
              <w:rPr>
                <w:rFonts w:ascii="宋体" w:hAnsi="宋体" w:cs="宋体" w:eastAsia="宋体" w:hint="default"/>
                <w:spacing w:val="-3"/>
                <w:w w:val="100"/>
                <w:sz w:val="21"/>
                <w:szCs w:val="21"/>
              </w:rPr>
              <w:t>本</w:t>
            </w:r>
            <w:r>
              <w:rPr>
                <w:rFonts w:ascii="宋体" w:hAnsi="宋体" w:cs="宋体" w:eastAsia="宋体" w:hint="default"/>
                <w:w w:val="100"/>
                <w:sz w:val="21"/>
                <w:szCs w:val="21"/>
              </w:rPr>
              <w:t>期</w:t>
            </w:r>
            <w:r>
              <w:rPr>
                <w:rFonts w:ascii="宋体" w:hAnsi="宋体" w:cs="宋体" w:eastAsia="宋体" w:hint="default"/>
                <w:spacing w:val="-3"/>
                <w:w w:val="100"/>
                <w:sz w:val="21"/>
                <w:szCs w:val="21"/>
              </w:rPr>
              <w:t>增</w:t>
            </w:r>
            <w:r>
              <w:rPr>
                <w:rFonts w:ascii="宋体" w:hAnsi="宋体" w:cs="宋体" w:eastAsia="宋体" w:hint="default"/>
                <w:w w:val="100"/>
                <w:sz w:val="21"/>
                <w:szCs w:val="21"/>
              </w:rPr>
              <w:t>减变</w:t>
            </w:r>
          </w:p>
          <w:p>
            <w:pPr>
              <w:pStyle w:val="TableParagraph"/>
              <w:spacing w:line="272"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动金</w:t>
            </w:r>
            <w:r>
              <w:rPr>
                <w:rFonts w:ascii="宋体" w:hAnsi="宋体" w:cs="宋体" w:eastAsia="宋体" w:hint="default"/>
                <w:spacing w:val="-92"/>
                <w:w w:val="100"/>
                <w:sz w:val="21"/>
                <w:szCs w:val="21"/>
              </w:rPr>
              <w:t>额</w:t>
            </w:r>
            <w:r>
              <w:rPr>
                <w:rFonts w:ascii="宋体" w:hAnsi="宋体" w:cs="宋体" w:eastAsia="宋体" w:hint="default"/>
                <w:w w:val="100"/>
                <w:sz w:val="21"/>
                <w:szCs w:val="21"/>
              </w:rPr>
              <w:t>（</w:t>
            </w:r>
            <w:r>
              <w:rPr>
                <w:rFonts w:ascii="宋体" w:hAnsi="宋体" w:cs="宋体" w:eastAsia="宋体" w:hint="default"/>
                <w:spacing w:val="-3"/>
                <w:w w:val="100"/>
                <w:sz w:val="21"/>
                <w:szCs w:val="21"/>
              </w:rPr>
              <w:t>减</w:t>
            </w:r>
            <w:r>
              <w:rPr>
                <w:rFonts w:ascii="宋体" w:hAnsi="宋体" w:cs="宋体" w:eastAsia="宋体" w:hint="default"/>
                <w:w w:val="100"/>
                <w:sz w:val="21"/>
                <w:szCs w:val="21"/>
              </w:rPr>
              <w:t>少以</w:t>
            </w:r>
          </w:p>
          <w:p>
            <w:pPr>
              <w:pStyle w:val="TableParagraph"/>
              <w:spacing w:line="289"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562" w:type="dxa"/>
            <w:tcBorders>
              <w:top w:val="single" w:sz="4" w:space="0" w:color="000000"/>
              <w:left w:val="single" w:sz="10" w:space="0" w:color="D4D4D4"/>
              <w:bottom w:val="single" w:sz="4" w:space="0" w:color="000000"/>
              <w:right w:val="single" w:sz="4" w:space="0" w:color="000000"/>
            </w:tcBorders>
          </w:tcPr>
          <w:p>
            <w:pPr>
              <w:pStyle w:val="TableParagraph"/>
              <w:spacing w:line="241" w:lineRule="exact" w:before="41"/>
              <w:ind w:left="50" w:right="0"/>
              <w:jc w:val="left"/>
              <w:rPr>
                <w:rFonts w:ascii="Times New Roman" w:hAnsi="Times New Roman" w:cs="Times New Roman" w:eastAsia="Times New Roman" w:hint="default"/>
                <w:sz w:val="21"/>
                <w:szCs w:val="21"/>
              </w:rPr>
            </w:pPr>
            <w:r>
              <w:rPr>
                <w:rFonts w:ascii="Times New Roman"/>
                <w:sz w:val="21"/>
              </w:rPr>
              <w:t>70,40</w:t>
            </w:r>
          </w:p>
          <w:p>
            <w:pPr>
              <w:pStyle w:val="TableParagraph"/>
              <w:spacing w:line="241" w:lineRule="exact"/>
              <w:ind w:left="50" w:right="0"/>
              <w:jc w:val="left"/>
              <w:rPr>
                <w:rFonts w:ascii="Times New Roman" w:hAnsi="Times New Roman" w:cs="Times New Roman" w:eastAsia="Times New Roman" w:hint="default"/>
                <w:sz w:val="21"/>
                <w:szCs w:val="21"/>
              </w:rPr>
            </w:pPr>
            <w:r>
              <w:rPr>
                <w:rFonts w:ascii="Times New Roman"/>
                <w:sz w:val="21"/>
              </w:rPr>
              <w:t>0,000</w:t>
            </w:r>
          </w:p>
          <w:p>
            <w:pPr>
              <w:pStyle w:val="TableParagraph"/>
              <w:spacing w:line="240" w:lineRule="auto" w:before="1"/>
              <w:ind w:left="261" w:right="0"/>
              <w:jc w:val="left"/>
              <w:rPr>
                <w:rFonts w:ascii="Times New Roman" w:hAnsi="Times New Roman" w:cs="Times New Roman" w:eastAsia="Times New Roman" w:hint="default"/>
                <w:sz w:val="21"/>
                <w:szCs w:val="21"/>
              </w:rPr>
            </w:pPr>
            <w:r>
              <w:rPr>
                <w:rFonts w:ascii="Times New Roman"/>
                <w:sz w:val="21"/>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41"/>
              <w:ind w:left="88" w:right="0"/>
              <w:jc w:val="left"/>
              <w:rPr>
                <w:rFonts w:ascii="Times New Roman" w:hAnsi="Times New Roman" w:cs="Times New Roman" w:eastAsia="Times New Roman" w:hint="default"/>
                <w:sz w:val="21"/>
                <w:szCs w:val="21"/>
              </w:rPr>
            </w:pPr>
            <w:r>
              <w:rPr>
                <w:rFonts w:ascii="Times New Roman"/>
                <w:sz w:val="21"/>
              </w:rPr>
              <w:t>-70,40</w:t>
            </w:r>
          </w:p>
          <w:p>
            <w:pPr>
              <w:pStyle w:val="TableParagraph"/>
              <w:spacing w:line="241" w:lineRule="exact"/>
              <w:ind w:left="105" w:right="0"/>
              <w:jc w:val="left"/>
              <w:rPr>
                <w:rFonts w:ascii="Times New Roman" w:hAnsi="Times New Roman" w:cs="Times New Roman" w:eastAsia="Times New Roman" w:hint="default"/>
                <w:sz w:val="21"/>
                <w:szCs w:val="21"/>
              </w:rPr>
            </w:pPr>
            <w:r>
              <w:rPr>
                <w:rFonts w:ascii="Times New Roman"/>
                <w:sz w:val="21"/>
              </w:rPr>
              <w:t>0,000.</w:t>
            </w:r>
          </w:p>
          <w:p>
            <w:pPr>
              <w:pStyle w:val="TableParagraph"/>
              <w:spacing w:line="240" w:lineRule="auto" w:before="1"/>
              <w:ind w:left="420" w:right="0"/>
              <w:jc w:val="left"/>
              <w:rPr>
                <w:rFonts w:ascii="Times New Roman" w:hAnsi="Times New Roman" w:cs="Times New Roman" w:eastAsia="Times New Roman" w:hint="default"/>
                <w:sz w:val="21"/>
                <w:szCs w:val="21"/>
              </w:rPr>
            </w:pPr>
            <w:r>
              <w:rPr>
                <w:rFonts w:ascii="Times New Roman"/>
                <w:sz w:val="21"/>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61"/>
              <w:ind w:left="105" w:right="0"/>
              <w:jc w:val="left"/>
              <w:rPr>
                <w:rFonts w:ascii="Times New Roman" w:hAnsi="Times New Roman" w:cs="Times New Roman" w:eastAsia="Times New Roman" w:hint="default"/>
                <w:sz w:val="21"/>
                <w:szCs w:val="21"/>
              </w:rPr>
            </w:pPr>
            <w:r>
              <w:rPr>
                <w:rFonts w:ascii="Times New Roman"/>
                <w:sz w:val="21"/>
              </w:rPr>
              <w:t>2,290,</w:t>
            </w:r>
          </w:p>
          <w:p>
            <w:pPr>
              <w:pStyle w:val="TableParagraph"/>
              <w:spacing w:line="241" w:lineRule="exact"/>
              <w:ind w:left="52" w:right="0"/>
              <w:jc w:val="left"/>
              <w:rPr>
                <w:rFonts w:ascii="Times New Roman" w:hAnsi="Times New Roman" w:cs="Times New Roman" w:eastAsia="Times New Roman" w:hint="default"/>
                <w:sz w:val="21"/>
                <w:szCs w:val="21"/>
              </w:rPr>
            </w:pPr>
            <w:r>
              <w:rPr>
                <w:rFonts w:ascii="Times New Roman"/>
                <w:sz w:val="21"/>
              </w:rPr>
              <w:t>759.50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41"/>
              <w:ind w:right="17"/>
              <w:jc w:val="right"/>
              <w:rPr>
                <w:rFonts w:ascii="Times New Roman" w:hAnsi="Times New Roman" w:cs="Times New Roman" w:eastAsia="Times New Roman" w:hint="default"/>
                <w:sz w:val="21"/>
                <w:szCs w:val="21"/>
              </w:rPr>
            </w:pPr>
            <w:r>
              <w:rPr>
                <w:rFonts w:ascii="Times New Roman"/>
                <w:sz w:val="21"/>
              </w:rPr>
              <w:t>14,953</w:t>
            </w:r>
          </w:p>
          <w:p>
            <w:pPr>
              <w:pStyle w:val="TableParagraph"/>
              <w:spacing w:line="241" w:lineRule="exact"/>
              <w:ind w:right="17"/>
              <w:jc w:val="right"/>
              <w:rPr>
                <w:rFonts w:ascii="Times New Roman" w:hAnsi="Times New Roman" w:cs="Times New Roman" w:eastAsia="Times New Roman" w:hint="default"/>
                <w:sz w:val="21"/>
                <w:szCs w:val="21"/>
              </w:rPr>
            </w:pPr>
            <w:r>
              <w:rPr>
                <w:rFonts w:ascii="Times New Roman"/>
                <w:sz w:val="21"/>
              </w:rPr>
              <w:t>,145.8</w:t>
            </w:r>
          </w:p>
          <w:p>
            <w:pPr>
              <w:pStyle w:val="TableParagraph"/>
              <w:spacing w:line="240" w:lineRule="auto" w:before="1"/>
              <w:ind w:right="19"/>
              <w:jc w:val="right"/>
              <w:rPr>
                <w:rFonts w:ascii="Times New Roman" w:hAnsi="Times New Roman" w:cs="Times New Roman" w:eastAsia="Times New Roman" w:hint="default"/>
                <w:sz w:val="21"/>
                <w:szCs w:val="21"/>
              </w:rPr>
            </w:pPr>
            <w:r>
              <w:rPr>
                <w:rFonts w:ascii="Times New Roman"/>
                <w:w w:val="100"/>
                <w:sz w:val="21"/>
              </w:rPr>
              <w:t>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41"/>
              <w:ind w:right="19"/>
              <w:jc w:val="right"/>
              <w:rPr>
                <w:rFonts w:ascii="Times New Roman" w:hAnsi="Times New Roman" w:cs="Times New Roman" w:eastAsia="Times New Roman" w:hint="default"/>
                <w:sz w:val="21"/>
                <w:szCs w:val="21"/>
              </w:rPr>
            </w:pPr>
            <w:r>
              <w:rPr>
                <w:rFonts w:ascii="Times New Roman"/>
                <w:sz w:val="21"/>
              </w:rPr>
              <w:t>17,243</w:t>
            </w:r>
          </w:p>
          <w:p>
            <w:pPr>
              <w:pStyle w:val="TableParagraph"/>
              <w:spacing w:line="241" w:lineRule="exact"/>
              <w:ind w:right="19"/>
              <w:jc w:val="right"/>
              <w:rPr>
                <w:rFonts w:ascii="Times New Roman" w:hAnsi="Times New Roman" w:cs="Times New Roman" w:eastAsia="Times New Roman" w:hint="default"/>
                <w:sz w:val="21"/>
                <w:szCs w:val="21"/>
              </w:rPr>
            </w:pPr>
            <w:r>
              <w:rPr>
                <w:rFonts w:ascii="Times New Roman"/>
                <w:sz w:val="21"/>
              </w:rPr>
              <w:t>,905.3</w:t>
            </w:r>
          </w:p>
          <w:p>
            <w:pPr>
              <w:pStyle w:val="TableParagraph"/>
              <w:spacing w:line="240" w:lineRule="auto" w:before="1"/>
              <w:ind w:right="23"/>
              <w:jc w:val="right"/>
              <w:rPr>
                <w:rFonts w:ascii="Times New Roman" w:hAnsi="Times New Roman" w:cs="Times New Roman" w:eastAsia="Times New Roman" w:hint="default"/>
                <w:sz w:val="21"/>
                <w:szCs w:val="21"/>
              </w:rPr>
            </w:pPr>
            <w:r>
              <w:rPr>
                <w:rFonts w:ascii="Times New Roman"/>
                <w:w w:val="100"/>
                <w:sz w:val="21"/>
              </w:rPr>
              <w:t>5</w:t>
            </w:r>
          </w:p>
        </w:tc>
      </w:tr>
      <w:tr>
        <w:trPr>
          <w:trHeight w:val="94" w:hRule="exact"/>
        </w:trPr>
        <w:tc>
          <w:tcPr>
            <w:tcW w:w="1438" w:type="dxa"/>
            <w:tcBorders>
              <w:top w:val="single" w:sz="4" w:space="0" w:color="000000"/>
              <w:left w:val="single" w:sz="4" w:space="0" w:color="000000"/>
              <w:bottom w:val="nil" w:sz="6" w:space="0" w:color="auto"/>
              <w:right w:val="single" w:sz="4" w:space="0" w:color="000000"/>
            </w:tcBorders>
            <w:shd w:val="clear" w:color="auto" w:fill="D4D4D4"/>
          </w:tcPr>
          <w:p>
            <w:pPr/>
          </w:p>
        </w:tc>
        <w:tc>
          <w:tcPr>
            <w:tcW w:w="562" w:type="dxa"/>
            <w:vMerge w:val="restart"/>
            <w:tcBorders>
              <w:top w:val="single" w:sz="4" w:space="0" w:color="000000"/>
              <w:left w:val="single" w:sz="10" w:space="0" w:color="D4D4D4"/>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z w:val="21"/>
              </w:rPr>
              <w:t>22,523</w:t>
            </w:r>
          </w:p>
          <w:p>
            <w:pPr>
              <w:pStyle w:val="TableParagraph"/>
              <w:spacing w:line="241" w:lineRule="exact" w:before="1"/>
              <w:ind w:right="17"/>
              <w:jc w:val="right"/>
              <w:rPr>
                <w:rFonts w:ascii="Times New Roman" w:hAnsi="Times New Roman" w:cs="Times New Roman" w:eastAsia="Times New Roman" w:hint="default"/>
                <w:sz w:val="21"/>
                <w:szCs w:val="21"/>
              </w:rPr>
            </w:pPr>
            <w:r>
              <w:rPr>
                <w:rFonts w:ascii="Times New Roman"/>
                <w:sz w:val="21"/>
              </w:rPr>
              <w:t>,905.3</w:t>
            </w:r>
          </w:p>
          <w:p>
            <w:pPr>
              <w:pStyle w:val="TableParagraph"/>
              <w:spacing w:line="241" w:lineRule="exact"/>
              <w:ind w:right="19"/>
              <w:jc w:val="right"/>
              <w:rPr>
                <w:rFonts w:ascii="Times New Roman" w:hAnsi="Times New Roman" w:cs="Times New Roman" w:eastAsia="Times New Roman" w:hint="default"/>
                <w:sz w:val="21"/>
                <w:szCs w:val="21"/>
              </w:rPr>
            </w:pPr>
            <w:r>
              <w:rPr>
                <w:rFonts w:ascii="Times New Roman"/>
                <w:w w:val="100"/>
                <w:sz w:val="21"/>
              </w:rPr>
              <w:t>5</w:t>
            </w:r>
          </w:p>
        </w:tc>
        <w:tc>
          <w:tcPr>
            <w:tcW w:w="665" w:type="dxa"/>
            <w:vMerge w:val="restart"/>
            <w:tcBorders>
              <w:top w:val="single" w:sz="4" w:space="0" w:color="000000"/>
              <w:left w:val="single" w:sz="4" w:space="0" w:color="000000"/>
              <w:right w:val="single" w:sz="4" w:space="0" w:color="000000"/>
            </w:tcBorders>
          </w:tcPr>
          <w:p>
            <w:pPr/>
          </w:p>
        </w:tc>
        <w:tc>
          <w:tcPr>
            <w:tcW w:w="660" w:type="dxa"/>
            <w:vMerge w:val="restart"/>
            <w:tcBorders>
              <w:top w:val="single" w:sz="4" w:space="0" w:color="000000"/>
              <w:left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z w:val="21"/>
              </w:rPr>
              <w:t>22,523</w:t>
            </w:r>
          </w:p>
          <w:p>
            <w:pPr>
              <w:pStyle w:val="TableParagraph"/>
              <w:spacing w:line="241" w:lineRule="exact" w:before="1"/>
              <w:ind w:right="19"/>
              <w:jc w:val="right"/>
              <w:rPr>
                <w:rFonts w:ascii="Times New Roman" w:hAnsi="Times New Roman" w:cs="Times New Roman" w:eastAsia="Times New Roman" w:hint="default"/>
                <w:sz w:val="21"/>
                <w:szCs w:val="21"/>
              </w:rPr>
            </w:pPr>
            <w:r>
              <w:rPr>
                <w:rFonts w:ascii="Times New Roman"/>
                <w:sz w:val="21"/>
              </w:rPr>
              <w:t>,905.3</w:t>
            </w:r>
          </w:p>
          <w:p>
            <w:pPr>
              <w:pStyle w:val="TableParagraph"/>
              <w:spacing w:line="241" w:lineRule="exact"/>
              <w:ind w:right="23"/>
              <w:jc w:val="right"/>
              <w:rPr>
                <w:rFonts w:ascii="Times New Roman" w:hAnsi="Times New Roman" w:cs="Times New Roman" w:eastAsia="Times New Roman" w:hint="default"/>
                <w:sz w:val="21"/>
                <w:szCs w:val="21"/>
              </w:rPr>
            </w:pPr>
            <w:r>
              <w:rPr>
                <w:rFonts w:ascii="Times New Roman"/>
                <w:w w:val="100"/>
                <w:sz w:val="21"/>
              </w:rPr>
              <w:t>5</w:t>
            </w:r>
          </w:p>
        </w:tc>
      </w:tr>
      <w:tr>
        <w:trPr>
          <w:trHeight w:val="641" w:hRule="exact"/>
        </w:trPr>
        <w:tc>
          <w:tcPr>
            <w:tcW w:w="1438" w:type="dxa"/>
            <w:tcBorders>
              <w:top w:val="nil" w:sz="6" w:space="0" w:color="auto"/>
              <w:left w:val="single" w:sz="4" w:space="0" w:color="000000"/>
              <w:bottom w:val="single" w:sz="4" w:space="0" w:color="000000"/>
              <w:right w:val="single" w:sz="4" w:space="0" w:color="000000"/>
            </w:tcBorders>
            <w:shd w:val="clear" w:color="auto" w:fill="D4D4D4"/>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（一</w:t>
            </w:r>
            <w:r>
              <w:rPr>
                <w:rFonts w:ascii="宋体" w:hAnsi="宋体" w:cs="宋体" w:eastAsia="宋体" w:hint="default"/>
                <w:spacing w:val="-92"/>
                <w:w w:val="100"/>
                <w:sz w:val="21"/>
                <w:szCs w:val="21"/>
              </w:rPr>
              <w:t>）</w:t>
            </w:r>
            <w:r>
              <w:rPr>
                <w:rFonts w:ascii="宋体" w:hAnsi="宋体" w:cs="宋体" w:eastAsia="宋体" w:hint="default"/>
                <w:w w:val="100"/>
                <w:sz w:val="21"/>
                <w:szCs w:val="21"/>
              </w:rPr>
              <w:t>综</w:t>
            </w:r>
            <w:r>
              <w:rPr>
                <w:rFonts w:ascii="宋体" w:hAnsi="宋体" w:cs="宋体" w:eastAsia="宋体" w:hint="default"/>
                <w:spacing w:val="-3"/>
                <w:w w:val="100"/>
                <w:sz w:val="21"/>
                <w:szCs w:val="21"/>
              </w:rPr>
              <w:t>合</w:t>
            </w:r>
            <w:r>
              <w:rPr>
                <w:rFonts w:ascii="宋体" w:hAnsi="宋体" w:cs="宋体" w:eastAsia="宋体" w:hint="default"/>
                <w:w w:val="100"/>
                <w:sz w:val="21"/>
                <w:szCs w:val="21"/>
              </w:rPr>
              <w:t>收益</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总额</w:t>
            </w:r>
          </w:p>
        </w:tc>
        <w:tc>
          <w:tcPr>
            <w:tcW w:w="562" w:type="dxa"/>
            <w:vMerge/>
            <w:tcBorders>
              <w:left w:val="single" w:sz="10" w:space="0" w:color="D4D4D4"/>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557" w:hRule="exact"/>
        </w:trPr>
        <w:tc>
          <w:tcPr>
            <w:tcW w:w="14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（二</w:t>
            </w:r>
            <w:r>
              <w:rPr>
                <w:rFonts w:ascii="宋体" w:hAnsi="宋体" w:cs="宋体" w:eastAsia="宋体" w:hint="default"/>
                <w:spacing w:val="-92"/>
                <w:w w:val="100"/>
                <w:sz w:val="21"/>
                <w:szCs w:val="21"/>
              </w:rPr>
              <w:t>）</w:t>
            </w:r>
            <w:r>
              <w:rPr>
                <w:rFonts w:ascii="宋体" w:hAnsi="宋体" w:cs="宋体" w:eastAsia="宋体" w:hint="default"/>
                <w:w w:val="100"/>
                <w:sz w:val="21"/>
                <w:szCs w:val="21"/>
              </w:rPr>
              <w:t>所</w:t>
            </w:r>
            <w:r>
              <w:rPr>
                <w:rFonts w:ascii="宋体" w:hAnsi="宋体" w:cs="宋体" w:eastAsia="宋体" w:hint="default"/>
                <w:spacing w:val="-3"/>
                <w:w w:val="100"/>
                <w:sz w:val="21"/>
                <w:szCs w:val="21"/>
              </w:rPr>
              <w:t>有</w:t>
            </w:r>
            <w:r>
              <w:rPr>
                <w:rFonts w:ascii="宋体" w:hAnsi="宋体" w:cs="宋体" w:eastAsia="宋体" w:hint="default"/>
                <w:w w:val="100"/>
                <w:sz w:val="21"/>
                <w:szCs w:val="21"/>
              </w:rPr>
              <w:t>者投</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入和减少资本</w:t>
            </w:r>
          </w:p>
        </w:tc>
        <w:tc>
          <w:tcPr>
            <w:tcW w:w="562" w:type="dxa"/>
            <w:tcBorders>
              <w:top w:val="single" w:sz="4" w:space="0" w:color="000000"/>
              <w:left w:val="single" w:sz="10" w:space="0" w:color="D4D4D4"/>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．股东投入的</w:t>
            </w:r>
          </w:p>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普通股</w:t>
            </w:r>
          </w:p>
        </w:tc>
        <w:tc>
          <w:tcPr>
            <w:tcW w:w="562" w:type="dxa"/>
            <w:tcBorders>
              <w:top w:val="single" w:sz="4" w:space="0" w:color="000000"/>
              <w:left w:val="single" w:sz="10" w:space="0" w:color="D4D4D4"/>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830" w:hRule="exact"/>
        </w:trPr>
        <w:tc>
          <w:tcPr>
            <w:tcW w:w="14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8"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．其他权益工</w:t>
            </w:r>
          </w:p>
          <w:p>
            <w:pPr>
              <w:pStyle w:val="TableParagraph"/>
              <w:spacing w:line="274" w:lineRule="exact" w:before="17"/>
              <w:ind w:left="24" w:right="139"/>
              <w:jc w:val="left"/>
              <w:rPr>
                <w:rFonts w:ascii="宋体" w:hAnsi="宋体" w:cs="宋体" w:eastAsia="宋体" w:hint="default"/>
                <w:sz w:val="21"/>
                <w:szCs w:val="21"/>
              </w:rPr>
            </w:pPr>
            <w:r>
              <w:rPr>
                <w:rFonts w:ascii="宋体" w:hAnsi="宋体" w:cs="宋体" w:eastAsia="宋体" w:hint="default"/>
                <w:sz w:val="21"/>
                <w:szCs w:val="21"/>
              </w:rPr>
              <w:t>具持有者投入</w:t>
            </w:r>
            <w:r>
              <w:rPr>
                <w:rFonts w:ascii="宋体" w:hAnsi="宋体" w:cs="宋体" w:eastAsia="宋体" w:hint="default"/>
                <w:w w:val="100"/>
                <w:sz w:val="21"/>
                <w:szCs w:val="21"/>
              </w:rPr>
              <w:t> </w:t>
            </w:r>
            <w:r>
              <w:rPr>
                <w:rFonts w:ascii="宋体" w:hAnsi="宋体" w:cs="宋体" w:eastAsia="宋体" w:hint="default"/>
                <w:sz w:val="21"/>
                <w:szCs w:val="21"/>
              </w:rPr>
              <w:t>资本</w:t>
            </w:r>
          </w:p>
        </w:tc>
        <w:tc>
          <w:tcPr>
            <w:tcW w:w="562" w:type="dxa"/>
            <w:tcBorders>
              <w:top w:val="single" w:sz="4" w:space="0" w:color="000000"/>
              <w:left w:val="single" w:sz="10" w:space="0" w:color="D4D4D4"/>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5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．股份支付计</w:t>
            </w:r>
          </w:p>
        </w:tc>
        <w:tc>
          <w:tcPr>
            <w:tcW w:w="562" w:type="dxa"/>
            <w:tcBorders>
              <w:top w:val="single" w:sz="4" w:space="0" w:color="000000"/>
              <w:left w:val="single" w:sz="10" w:space="0" w:color="D4D4D4"/>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979" w:top="1060" w:bottom="1160" w:left="980" w:right="98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6"/>
        <w:gridCol w:w="562"/>
        <w:gridCol w:w="533"/>
        <w:gridCol w:w="530"/>
        <w:gridCol w:w="530"/>
        <w:gridCol w:w="665"/>
        <w:gridCol w:w="665"/>
        <w:gridCol w:w="665"/>
        <w:gridCol w:w="665"/>
        <w:gridCol w:w="665"/>
        <w:gridCol w:w="665"/>
        <w:gridCol w:w="665"/>
        <w:gridCol w:w="665"/>
        <w:gridCol w:w="660"/>
      </w:tblGrid>
      <w:tr>
        <w:trPr>
          <w:trHeight w:val="557"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入所有者权益</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的金额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57"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92"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9"/>
              <w:ind w:left="22" w:right="0"/>
              <w:jc w:val="left"/>
              <w:rPr>
                <w:rFonts w:ascii="宋体" w:hAnsi="宋体" w:cs="宋体" w:eastAsia="宋体" w:hint="default"/>
                <w:sz w:val="21"/>
                <w:szCs w:val="21"/>
              </w:rPr>
            </w:pPr>
            <w:r>
              <w:rPr>
                <w:rFonts w:ascii="宋体" w:hAnsi="宋体" w:cs="宋体" w:eastAsia="宋体" w:hint="default"/>
                <w:w w:val="100"/>
                <w:sz w:val="21"/>
                <w:szCs w:val="21"/>
              </w:rPr>
              <w:t>（三</w:t>
            </w:r>
            <w:r>
              <w:rPr>
                <w:rFonts w:ascii="宋体" w:hAnsi="宋体" w:cs="宋体" w:eastAsia="宋体" w:hint="default"/>
                <w:spacing w:val="-92"/>
                <w:w w:val="100"/>
                <w:sz w:val="21"/>
                <w:szCs w:val="21"/>
              </w:rPr>
              <w:t>）</w:t>
            </w:r>
            <w:r>
              <w:rPr>
                <w:rFonts w:ascii="宋体" w:hAnsi="宋体" w:cs="宋体" w:eastAsia="宋体" w:hint="default"/>
                <w:w w:val="100"/>
                <w:sz w:val="21"/>
                <w:szCs w:val="21"/>
              </w:rPr>
              <w:t>利</w:t>
            </w:r>
            <w:r>
              <w:rPr>
                <w:rFonts w:ascii="宋体" w:hAnsi="宋体" w:cs="宋体" w:eastAsia="宋体" w:hint="default"/>
                <w:spacing w:val="-3"/>
                <w:w w:val="100"/>
                <w:sz w:val="21"/>
                <w:szCs w:val="21"/>
              </w:rPr>
              <w:t>润</w:t>
            </w:r>
            <w:r>
              <w:rPr>
                <w:rFonts w:ascii="宋体" w:hAnsi="宋体" w:cs="宋体" w:eastAsia="宋体" w:hint="default"/>
                <w:w w:val="100"/>
                <w:sz w:val="21"/>
                <w:szCs w:val="21"/>
              </w:rPr>
              <w:t>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5" w:right="0"/>
              <w:jc w:val="left"/>
              <w:rPr>
                <w:rFonts w:ascii="Times New Roman" w:hAnsi="Times New Roman" w:cs="Times New Roman" w:eastAsia="Times New Roman" w:hint="default"/>
                <w:sz w:val="21"/>
                <w:szCs w:val="21"/>
              </w:rPr>
            </w:pPr>
            <w:r>
              <w:rPr>
                <w:rFonts w:ascii="Times New Roman"/>
                <w:sz w:val="21"/>
              </w:rPr>
              <w:t>2,290,</w:t>
            </w:r>
          </w:p>
          <w:p>
            <w:pPr>
              <w:pStyle w:val="TableParagraph"/>
              <w:spacing w:line="241" w:lineRule="exact"/>
              <w:ind w:left="52" w:right="0"/>
              <w:jc w:val="left"/>
              <w:rPr>
                <w:rFonts w:ascii="Times New Roman" w:hAnsi="Times New Roman" w:cs="Times New Roman" w:eastAsia="Times New Roman" w:hint="default"/>
                <w:sz w:val="21"/>
                <w:szCs w:val="21"/>
              </w:rPr>
            </w:pPr>
            <w:r>
              <w:rPr>
                <w:rFonts w:ascii="Times New Roman"/>
                <w:sz w:val="21"/>
              </w:rPr>
              <w:t>759.50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38" w:right="0"/>
              <w:jc w:val="left"/>
              <w:rPr>
                <w:rFonts w:ascii="Times New Roman" w:hAnsi="Times New Roman" w:cs="Times New Roman" w:eastAsia="Times New Roman" w:hint="default"/>
                <w:sz w:val="21"/>
                <w:szCs w:val="21"/>
              </w:rPr>
            </w:pPr>
            <w:r>
              <w:rPr>
                <w:rFonts w:ascii="Times New Roman"/>
                <w:sz w:val="21"/>
              </w:rPr>
              <w:t>-7,570,</w:t>
            </w:r>
          </w:p>
          <w:p>
            <w:pPr>
              <w:pStyle w:val="TableParagraph"/>
              <w:spacing w:line="241" w:lineRule="exact"/>
              <w:ind w:left="55" w:right="0"/>
              <w:jc w:val="left"/>
              <w:rPr>
                <w:rFonts w:ascii="Times New Roman" w:hAnsi="Times New Roman" w:cs="Times New Roman" w:eastAsia="Times New Roman" w:hint="default"/>
                <w:sz w:val="21"/>
                <w:szCs w:val="21"/>
              </w:rPr>
            </w:pPr>
            <w:r>
              <w:rPr>
                <w:rFonts w:ascii="Times New Roman"/>
                <w:sz w:val="21"/>
              </w:rPr>
              <w:t>759.50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31" w:right="0"/>
              <w:jc w:val="left"/>
              <w:rPr>
                <w:rFonts w:ascii="Times New Roman" w:hAnsi="Times New Roman" w:cs="Times New Roman" w:eastAsia="Times New Roman" w:hint="default"/>
                <w:sz w:val="21"/>
                <w:szCs w:val="21"/>
              </w:rPr>
            </w:pPr>
            <w:r>
              <w:rPr>
                <w:rFonts w:ascii="Times New Roman"/>
                <w:sz w:val="21"/>
              </w:rPr>
              <w:t>-5,280,</w:t>
            </w:r>
          </w:p>
          <w:p>
            <w:pPr>
              <w:pStyle w:val="TableParagraph"/>
              <w:spacing w:line="241" w:lineRule="exact"/>
              <w:ind w:left="47" w:right="0"/>
              <w:jc w:val="left"/>
              <w:rPr>
                <w:rFonts w:ascii="Times New Roman" w:hAnsi="Times New Roman" w:cs="Times New Roman" w:eastAsia="Times New Roman" w:hint="default"/>
                <w:sz w:val="21"/>
                <w:szCs w:val="21"/>
              </w:rPr>
            </w:pPr>
            <w:r>
              <w:rPr>
                <w:rFonts w:ascii="Times New Roman"/>
                <w:sz w:val="21"/>
              </w:rPr>
              <w:t>000.00</w:t>
            </w:r>
          </w:p>
        </w:tc>
      </w:tr>
      <w:tr>
        <w:trPr>
          <w:trHeight w:val="554"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8"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．提取盈余公</w:t>
            </w:r>
          </w:p>
          <w:p>
            <w:pPr>
              <w:pStyle w:val="TableParagraph"/>
              <w:spacing w:line="266" w:lineRule="exact"/>
              <w:ind w:left="22" w:right="0"/>
              <w:jc w:val="left"/>
              <w:rPr>
                <w:rFonts w:ascii="宋体" w:hAnsi="宋体" w:cs="宋体" w:eastAsia="宋体" w:hint="default"/>
                <w:sz w:val="21"/>
                <w:szCs w:val="21"/>
              </w:rPr>
            </w:pPr>
            <w:r>
              <w:rPr>
                <w:rFonts w:ascii="宋体" w:hAnsi="宋体" w:cs="宋体" w:eastAsia="宋体" w:hint="default"/>
                <w:w w:val="100"/>
                <w:sz w:val="21"/>
                <w:szCs w:val="21"/>
              </w:rPr>
              <w:t>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5" w:right="0"/>
              <w:jc w:val="left"/>
              <w:rPr>
                <w:rFonts w:ascii="Times New Roman" w:hAnsi="Times New Roman" w:cs="Times New Roman" w:eastAsia="Times New Roman" w:hint="default"/>
                <w:sz w:val="21"/>
                <w:szCs w:val="21"/>
              </w:rPr>
            </w:pPr>
            <w:r>
              <w:rPr>
                <w:rFonts w:ascii="Times New Roman"/>
                <w:sz w:val="21"/>
              </w:rPr>
              <w:t>2,290,</w:t>
            </w:r>
          </w:p>
          <w:p>
            <w:pPr>
              <w:pStyle w:val="TableParagraph"/>
              <w:spacing w:line="240" w:lineRule="auto" w:before="1"/>
              <w:ind w:left="52" w:right="0"/>
              <w:jc w:val="left"/>
              <w:rPr>
                <w:rFonts w:ascii="Times New Roman" w:hAnsi="Times New Roman" w:cs="Times New Roman" w:eastAsia="Times New Roman" w:hint="default"/>
                <w:sz w:val="21"/>
                <w:szCs w:val="21"/>
              </w:rPr>
            </w:pPr>
            <w:r>
              <w:rPr>
                <w:rFonts w:ascii="Times New Roman"/>
                <w:sz w:val="21"/>
              </w:rPr>
              <w:t>759.50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38" w:right="0"/>
              <w:jc w:val="left"/>
              <w:rPr>
                <w:rFonts w:ascii="Times New Roman" w:hAnsi="Times New Roman" w:cs="Times New Roman" w:eastAsia="Times New Roman" w:hint="default"/>
                <w:sz w:val="21"/>
                <w:szCs w:val="21"/>
              </w:rPr>
            </w:pPr>
            <w:r>
              <w:rPr>
                <w:rFonts w:ascii="Times New Roman"/>
                <w:sz w:val="21"/>
              </w:rPr>
              <w:t>-2,290,</w:t>
            </w:r>
          </w:p>
          <w:p>
            <w:pPr>
              <w:pStyle w:val="TableParagraph"/>
              <w:spacing w:line="240" w:lineRule="auto" w:before="1"/>
              <w:ind w:left="55" w:right="0"/>
              <w:jc w:val="left"/>
              <w:rPr>
                <w:rFonts w:ascii="Times New Roman" w:hAnsi="Times New Roman" w:cs="Times New Roman" w:eastAsia="Times New Roman" w:hint="default"/>
                <w:sz w:val="21"/>
                <w:szCs w:val="21"/>
              </w:rPr>
            </w:pPr>
            <w:r>
              <w:rPr>
                <w:rFonts w:ascii="Times New Roman"/>
                <w:sz w:val="21"/>
              </w:rPr>
              <w:t>759.50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9"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．提取一般风</w:t>
            </w:r>
          </w:p>
          <w:p>
            <w:pPr>
              <w:pStyle w:val="TableParagraph"/>
              <w:spacing w:line="265" w:lineRule="exact"/>
              <w:ind w:left="22" w:right="0"/>
              <w:jc w:val="left"/>
              <w:rPr>
                <w:rFonts w:ascii="宋体" w:hAnsi="宋体" w:cs="宋体" w:eastAsia="宋体" w:hint="default"/>
                <w:sz w:val="21"/>
                <w:szCs w:val="21"/>
              </w:rPr>
            </w:pPr>
            <w:r>
              <w:rPr>
                <w:rFonts w:ascii="宋体" w:hAnsi="宋体" w:cs="宋体" w:eastAsia="宋体" w:hint="default"/>
                <w:sz w:val="21"/>
                <w:szCs w:val="21"/>
              </w:rPr>
              <w:t>险准备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8"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3</w:t>
            </w:r>
            <w:r>
              <w:rPr>
                <w:rFonts w:ascii="宋体" w:hAnsi="宋体" w:cs="宋体" w:eastAsia="宋体" w:hint="default"/>
                <w:spacing w:val="-97"/>
                <w:w w:val="100"/>
                <w:sz w:val="21"/>
                <w:szCs w:val="21"/>
              </w:rPr>
              <w:t>．</w:t>
            </w:r>
            <w:r>
              <w:rPr>
                <w:rFonts w:ascii="宋体" w:hAnsi="宋体" w:cs="宋体" w:eastAsia="宋体" w:hint="default"/>
                <w:spacing w:val="-3"/>
                <w:w w:val="100"/>
                <w:sz w:val="21"/>
                <w:szCs w:val="21"/>
              </w:rPr>
              <w:t>对</w:t>
            </w:r>
            <w:r>
              <w:rPr>
                <w:rFonts w:ascii="宋体" w:hAnsi="宋体" w:cs="宋体" w:eastAsia="宋体" w:hint="default"/>
                <w:w w:val="100"/>
                <w:sz w:val="21"/>
                <w:szCs w:val="21"/>
              </w:rPr>
              <w:t>所</w:t>
            </w:r>
            <w:r>
              <w:rPr>
                <w:rFonts w:ascii="宋体" w:hAnsi="宋体" w:cs="宋体" w:eastAsia="宋体" w:hint="default"/>
                <w:spacing w:val="-3"/>
                <w:w w:val="100"/>
                <w:sz w:val="21"/>
                <w:szCs w:val="21"/>
              </w:rPr>
              <w:t>有</w:t>
            </w:r>
            <w:r>
              <w:rPr>
                <w:rFonts w:ascii="宋体" w:hAnsi="宋体" w:cs="宋体" w:eastAsia="宋体" w:hint="default"/>
                <w:spacing w:val="-99"/>
                <w:w w:val="100"/>
                <w:sz w:val="21"/>
                <w:szCs w:val="21"/>
              </w:rPr>
              <w:t>者</w:t>
            </w:r>
            <w:r>
              <w:rPr>
                <w:rFonts w:ascii="宋体" w:hAnsi="宋体" w:cs="宋体" w:eastAsia="宋体" w:hint="default"/>
                <w:w w:val="100"/>
                <w:sz w:val="21"/>
                <w:szCs w:val="21"/>
              </w:rPr>
              <w:t>（或</w:t>
            </w:r>
          </w:p>
          <w:p>
            <w:pPr>
              <w:pStyle w:val="TableParagraph"/>
              <w:spacing w:line="266" w:lineRule="exact"/>
              <w:ind w:left="22" w:right="0"/>
              <w:jc w:val="left"/>
              <w:rPr>
                <w:rFonts w:ascii="宋体" w:hAnsi="宋体" w:cs="宋体" w:eastAsia="宋体" w:hint="default"/>
                <w:sz w:val="21"/>
                <w:szCs w:val="21"/>
              </w:rPr>
            </w:pPr>
            <w:r>
              <w:rPr>
                <w:rFonts w:ascii="宋体" w:hAnsi="宋体" w:cs="宋体" w:eastAsia="宋体" w:hint="default"/>
                <w:sz w:val="21"/>
                <w:szCs w:val="21"/>
              </w:rPr>
              <w:t>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7"/>
              <w:ind w:left="38" w:right="0"/>
              <w:jc w:val="left"/>
              <w:rPr>
                <w:rFonts w:ascii="Times New Roman" w:hAnsi="Times New Roman" w:cs="Times New Roman" w:eastAsia="Times New Roman" w:hint="default"/>
                <w:sz w:val="21"/>
                <w:szCs w:val="21"/>
              </w:rPr>
            </w:pPr>
            <w:r>
              <w:rPr>
                <w:rFonts w:ascii="Times New Roman"/>
                <w:sz w:val="21"/>
              </w:rPr>
              <w:t>-5,280,</w:t>
            </w:r>
          </w:p>
          <w:p>
            <w:pPr>
              <w:pStyle w:val="TableParagraph"/>
              <w:spacing w:line="241" w:lineRule="exact"/>
              <w:ind w:left="55" w:right="0"/>
              <w:jc w:val="left"/>
              <w:rPr>
                <w:rFonts w:ascii="Times New Roman" w:hAnsi="Times New Roman" w:cs="Times New Roman" w:eastAsia="Times New Roman" w:hint="default"/>
                <w:sz w:val="21"/>
                <w:szCs w:val="21"/>
              </w:rPr>
            </w:pPr>
            <w:r>
              <w:rPr>
                <w:rFonts w:ascii="Times New Roman"/>
                <w:sz w:val="21"/>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7"/>
              <w:ind w:left="31" w:right="0"/>
              <w:jc w:val="left"/>
              <w:rPr>
                <w:rFonts w:ascii="Times New Roman" w:hAnsi="Times New Roman" w:cs="Times New Roman" w:eastAsia="Times New Roman" w:hint="default"/>
                <w:sz w:val="21"/>
                <w:szCs w:val="21"/>
              </w:rPr>
            </w:pPr>
            <w:r>
              <w:rPr>
                <w:rFonts w:ascii="Times New Roman"/>
                <w:sz w:val="21"/>
              </w:rPr>
              <w:t>-5,280,</w:t>
            </w:r>
          </w:p>
          <w:p>
            <w:pPr>
              <w:pStyle w:val="TableParagraph"/>
              <w:spacing w:line="241" w:lineRule="exact"/>
              <w:ind w:left="47" w:right="0"/>
              <w:jc w:val="left"/>
              <w:rPr>
                <w:rFonts w:ascii="Times New Roman" w:hAnsi="Times New Roman" w:cs="Times New Roman" w:eastAsia="Times New Roman" w:hint="default"/>
                <w:sz w:val="21"/>
                <w:szCs w:val="21"/>
              </w:rPr>
            </w:pPr>
            <w:r>
              <w:rPr>
                <w:rFonts w:ascii="Times New Roman"/>
                <w:sz w:val="21"/>
              </w:rPr>
              <w:t>000.00</w:t>
            </w:r>
          </w:p>
        </w:tc>
      </w:tr>
      <w:tr>
        <w:trPr>
          <w:trHeight w:val="28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57"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34"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4"/>
              <w:ind w:left="22" w:right="17"/>
              <w:jc w:val="left"/>
              <w:rPr>
                <w:rFonts w:ascii="宋体" w:hAnsi="宋体" w:cs="宋体" w:eastAsia="宋体" w:hint="default"/>
                <w:sz w:val="21"/>
                <w:szCs w:val="21"/>
              </w:rPr>
            </w:pPr>
            <w:r>
              <w:rPr>
                <w:rFonts w:ascii="宋体" w:hAnsi="宋体" w:cs="宋体" w:eastAsia="宋体" w:hint="default"/>
                <w:spacing w:val="-14"/>
                <w:w w:val="100"/>
                <w:sz w:val="21"/>
                <w:szCs w:val="21"/>
              </w:rPr>
              <w:t>（四）所有者权</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益内部结转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57" w:right="0"/>
              <w:jc w:val="left"/>
              <w:rPr>
                <w:rFonts w:ascii="Times New Roman" w:hAnsi="Times New Roman" w:cs="Times New Roman" w:eastAsia="Times New Roman" w:hint="default"/>
                <w:sz w:val="21"/>
                <w:szCs w:val="21"/>
              </w:rPr>
            </w:pPr>
            <w:r>
              <w:rPr>
                <w:rFonts w:ascii="Times New Roman"/>
                <w:sz w:val="21"/>
              </w:rPr>
              <w:t>70,40</w:t>
            </w:r>
          </w:p>
          <w:p>
            <w:pPr>
              <w:pStyle w:val="TableParagraph"/>
              <w:spacing w:line="241" w:lineRule="exact"/>
              <w:ind w:left="57" w:right="0"/>
              <w:jc w:val="left"/>
              <w:rPr>
                <w:rFonts w:ascii="Times New Roman" w:hAnsi="Times New Roman" w:cs="Times New Roman" w:eastAsia="Times New Roman" w:hint="default"/>
                <w:sz w:val="21"/>
                <w:szCs w:val="21"/>
              </w:rPr>
            </w:pPr>
            <w:r>
              <w:rPr>
                <w:rFonts w:ascii="Times New Roman"/>
                <w:sz w:val="21"/>
              </w:rPr>
              <w:t>0,000</w:t>
            </w:r>
          </w:p>
          <w:p>
            <w:pPr>
              <w:pStyle w:val="TableParagraph"/>
              <w:spacing w:line="240" w:lineRule="auto" w:before="1"/>
              <w:ind w:left="268" w:right="0"/>
              <w:jc w:val="left"/>
              <w:rPr>
                <w:rFonts w:ascii="Times New Roman" w:hAnsi="Times New Roman" w:cs="Times New Roman" w:eastAsia="Times New Roman" w:hint="default"/>
                <w:sz w:val="21"/>
                <w:szCs w:val="21"/>
              </w:rPr>
            </w:pPr>
            <w:r>
              <w:rPr>
                <w:rFonts w:ascii="Times New Roman"/>
                <w:sz w:val="21"/>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88" w:right="0"/>
              <w:jc w:val="left"/>
              <w:rPr>
                <w:rFonts w:ascii="Times New Roman" w:hAnsi="Times New Roman" w:cs="Times New Roman" w:eastAsia="Times New Roman" w:hint="default"/>
                <w:sz w:val="21"/>
                <w:szCs w:val="21"/>
              </w:rPr>
            </w:pPr>
            <w:r>
              <w:rPr>
                <w:rFonts w:ascii="Times New Roman"/>
                <w:sz w:val="21"/>
              </w:rPr>
              <w:t>-70,40</w:t>
            </w:r>
          </w:p>
          <w:p>
            <w:pPr>
              <w:pStyle w:val="TableParagraph"/>
              <w:spacing w:line="241" w:lineRule="exact"/>
              <w:ind w:left="105" w:right="0"/>
              <w:jc w:val="left"/>
              <w:rPr>
                <w:rFonts w:ascii="Times New Roman" w:hAnsi="Times New Roman" w:cs="Times New Roman" w:eastAsia="Times New Roman" w:hint="default"/>
                <w:sz w:val="21"/>
                <w:szCs w:val="21"/>
              </w:rPr>
            </w:pPr>
            <w:r>
              <w:rPr>
                <w:rFonts w:ascii="Times New Roman"/>
                <w:sz w:val="21"/>
              </w:rPr>
              <w:t>0,000.</w:t>
            </w:r>
          </w:p>
          <w:p>
            <w:pPr>
              <w:pStyle w:val="TableParagraph"/>
              <w:spacing w:line="240" w:lineRule="auto" w:before="1"/>
              <w:ind w:left="420" w:right="0"/>
              <w:jc w:val="left"/>
              <w:rPr>
                <w:rFonts w:ascii="Times New Roman" w:hAnsi="Times New Roman" w:cs="Times New Roman" w:eastAsia="Times New Roman" w:hint="default"/>
                <w:sz w:val="21"/>
                <w:szCs w:val="21"/>
              </w:rPr>
            </w:pPr>
            <w:r>
              <w:rPr>
                <w:rFonts w:ascii="Times New Roman"/>
                <w:sz w:val="21"/>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7"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．资本公积转</w:t>
            </w:r>
          </w:p>
          <w:p>
            <w:pPr>
              <w:pStyle w:val="TableParagraph"/>
              <w:spacing w:line="274" w:lineRule="exact" w:before="16"/>
              <w:ind w:left="22" w:right="139"/>
              <w:jc w:val="left"/>
              <w:rPr>
                <w:rFonts w:ascii="宋体" w:hAnsi="宋体" w:cs="宋体" w:eastAsia="宋体" w:hint="default"/>
                <w:sz w:val="21"/>
                <w:szCs w:val="21"/>
              </w:rPr>
            </w:pPr>
            <w:r>
              <w:rPr>
                <w:rFonts w:ascii="宋体" w:hAnsi="宋体" w:cs="宋体" w:eastAsia="宋体" w:hint="default"/>
                <w:sz w:val="21"/>
                <w:szCs w:val="21"/>
              </w:rPr>
              <w:t>增资本（或股</w:t>
            </w:r>
            <w:r>
              <w:rPr>
                <w:rFonts w:ascii="宋体" w:hAnsi="宋体" w:cs="宋体" w:eastAsia="宋体" w:hint="default"/>
                <w:w w:val="100"/>
                <w:sz w:val="21"/>
                <w:szCs w:val="21"/>
              </w:rPr>
              <w:t> </w:t>
            </w:r>
            <w:r>
              <w:rPr>
                <w:rFonts w:ascii="宋体" w:hAnsi="宋体" w:cs="宋体" w:eastAsia="宋体" w:hint="default"/>
                <w:sz w:val="21"/>
                <w:szCs w:val="21"/>
              </w:rPr>
              <w:t>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57" w:right="0"/>
              <w:jc w:val="left"/>
              <w:rPr>
                <w:rFonts w:ascii="Times New Roman" w:hAnsi="Times New Roman" w:cs="Times New Roman" w:eastAsia="Times New Roman" w:hint="default"/>
                <w:sz w:val="21"/>
                <w:szCs w:val="21"/>
              </w:rPr>
            </w:pPr>
            <w:r>
              <w:rPr>
                <w:rFonts w:ascii="Times New Roman"/>
                <w:sz w:val="21"/>
              </w:rPr>
              <w:t>70,40</w:t>
            </w:r>
          </w:p>
          <w:p>
            <w:pPr>
              <w:pStyle w:val="TableParagraph"/>
              <w:spacing w:line="240" w:lineRule="auto" w:before="1"/>
              <w:ind w:left="57" w:right="0"/>
              <w:jc w:val="left"/>
              <w:rPr>
                <w:rFonts w:ascii="Times New Roman" w:hAnsi="Times New Roman" w:cs="Times New Roman" w:eastAsia="Times New Roman" w:hint="default"/>
                <w:sz w:val="21"/>
                <w:szCs w:val="21"/>
              </w:rPr>
            </w:pPr>
            <w:r>
              <w:rPr>
                <w:rFonts w:ascii="Times New Roman"/>
                <w:sz w:val="21"/>
              </w:rPr>
              <w:t>0,000</w:t>
            </w:r>
          </w:p>
          <w:p>
            <w:pPr>
              <w:pStyle w:val="TableParagraph"/>
              <w:spacing w:line="240" w:lineRule="auto" w:before="1"/>
              <w:ind w:left="268" w:right="0"/>
              <w:jc w:val="left"/>
              <w:rPr>
                <w:rFonts w:ascii="Times New Roman" w:hAnsi="Times New Roman" w:cs="Times New Roman" w:eastAsia="Times New Roman" w:hint="default"/>
                <w:sz w:val="21"/>
                <w:szCs w:val="21"/>
              </w:rPr>
            </w:pPr>
            <w:r>
              <w:rPr>
                <w:rFonts w:ascii="Times New Roman"/>
                <w:sz w:val="21"/>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8" w:right="0"/>
              <w:jc w:val="left"/>
              <w:rPr>
                <w:rFonts w:ascii="Times New Roman" w:hAnsi="Times New Roman" w:cs="Times New Roman" w:eastAsia="Times New Roman" w:hint="default"/>
                <w:sz w:val="21"/>
                <w:szCs w:val="21"/>
              </w:rPr>
            </w:pPr>
            <w:r>
              <w:rPr>
                <w:rFonts w:ascii="Times New Roman"/>
                <w:sz w:val="21"/>
              </w:rPr>
              <w:t>-70,40</w:t>
            </w:r>
          </w:p>
          <w:p>
            <w:pPr>
              <w:pStyle w:val="TableParagraph"/>
              <w:spacing w:line="240" w:lineRule="auto" w:before="1"/>
              <w:ind w:left="105" w:right="0"/>
              <w:jc w:val="left"/>
              <w:rPr>
                <w:rFonts w:ascii="Times New Roman" w:hAnsi="Times New Roman" w:cs="Times New Roman" w:eastAsia="Times New Roman" w:hint="default"/>
                <w:sz w:val="21"/>
                <w:szCs w:val="21"/>
              </w:rPr>
            </w:pPr>
            <w:r>
              <w:rPr>
                <w:rFonts w:ascii="Times New Roman"/>
                <w:sz w:val="21"/>
              </w:rPr>
              <w:t>0,000.</w:t>
            </w:r>
          </w:p>
          <w:p>
            <w:pPr>
              <w:pStyle w:val="TableParagraph"/>
              <w:spacing w:line="240" w:lineRule="auto" w:before="1"/>
              <w:ind w:left="420" w:right="0"/>
              <w:jc w:val="left"/>
              <w:rPr>
                <w:rFonts w:ascii="Times New Roman" w:hAnsi="Times New Roman" w:cs="Times New Roman" w:eastAsia="Times New Roman" w:hint="default"/>
                <w:sz w:val="21"/>
                <w:szCs w:val="21"/>
              </w:rPr>
            </w:pPr>
            <w:r>
              <w:rPr>
                <w:rFonts w:ascii="Times New Roman"/>
                <w:sz w:val="21"/>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8"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．盈余公积转</w:t>
            </w:r>
          </w:p>
          <w:p>
            <w:pPr>
              <w:pStyle w:val="TableParagraph"/>
              <w:spacing w:line="274" w:lineRule="exact" w:before="17"/>
              <w:ind w:left="22" w:right="139"/>
              <w:jc w:val="left"/>
              <w:rPr>
                <w:rFonts w:ascii="宋体" w:hAnsi="宋体" w:cs="宋体" w:eastAsia="宋体" w:hint="default"/>
                <w:sz w:val="21"/>
                <w:szCs w:val="21"/>
              </w:rPr>
            </w:pPr>
            <w:r>
              <w:rPr>
                <w:rFonts w:ascii="宋体" w:hAnsi="宋体" w:cs="宋体" w:eastAsia="宋体" w:hint="default"/>
                <w:sz w:val="21"/>
                <w:szCs w:val="21"/>
              </w:rPr>
              <w:t>增资本（或股</w:t>
            </w:r>
            <w:r>
              <w:rPr>
                <w:rFonts w:ascii="宋体" w:hAnsi="宋体" w:cs="宋体" w:eastAsia="宋体" w:hint="default"/>
                <w:w w:val="100"/>
                <w:sz w:val="21"/>
                <w:szCs w:val="21"/>
              </w:rPr>
              <w:t> </w:t>
            </w:r>
            <w:r>
              <w:rPr>
                <w:rFonts w:ascii="宋体" w:hAnsi="宋体" w:cs="宋体" w:eastAsia="宋体" w:hint="default"/>
                <w:sz w:val="21"/>
                <w:szCs w:val="21"/>
              </w:rPr>
              <w:t>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9"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．盈余公积弥</w:t>
            </w:r>
          </w:p>
          <w:p>
            <w:pPr>
              <w:pStyle w:val="TableParagraph"/>
              <w:spacing w:line="265" w:lineRule="exact"/>
              <w:ind w:left="22" w:right="0"/>
              <w:jc w:val="left"/>
              <w:rPr>
                <w:rFonts w:ascii="宋体" w:hAnsi="宋体" w:cs="宋体" w:eastAsia="宋体" w:hint="default"/>
                <w:sz w:val="21"/>
                <w:szCs w:val="21"/>
              </w:rPr>
            </w:pPr>
            <w:r>
              <w:rPr>
                <w:rFonts w:ascii="宋体" w:hAnsi="宋体" w:cs="宋体" w:eastAsia="宋体" w:hint="default"/>
                <w:sz w:val="21"/>
                <w:szCs w:val="21"/>
              </w:rPr>
              <w:t>补亏损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57"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w w:val="100"/>
                <w:sz w:val="21"/>
                <w:szCs w:val="21"/>
              </w:rPr>
              <w:t>（五</w:t>
            </w:r>
            <w:r>
              <w:rPr>
                <w:rFonts w:ascii="宋体" w:hAnsi="宋体" w:cs="宋体" w:eastAsia="宋体" w:hint="default"/>
                <w:spacing w:val="-92"/>
                <w:w w:val="100"/>
                <w:sz w:val="21"/>
                <w:szCs w:val="21"/>
              </w:rPr>
              <w:t>）</w:t>
            </w:r>
            <w:r>
              <w:rPr>
                <w:rFonts w:ascii="宋体" w:hAnsi="宋体" w:cs="宋体" w:eastAsia="宋体" w:hint="default"/>
                <w:w w:val="100"/>
                <w:sz w:val="21"/>
                <w:szCs w:val="21"/>
              </w:rPr>
              <w:t>专</w:t>
            </w:r>
            <w:r>
              <w:rPr>
                <w:rFonts w:ascii="宋体" w:hAnsi="宋体" w:cs="宋体" w:eastAsia="宋体" w:hint="default"/>
                <w:spacing w:val="-3"/>
                <w:w w:val="100"/>
                <w:sz w:val="21"/>
                <w:szCs w:val="21"/>
              </w:rPr>
              <w:t>项</w:t>
            </w:r>
            <w:r>
              <w:rPr>
                <w:rFonts w:ascii="宋体" w:hAnsi="宋体" w:cs="宋体" w:eastAsia="宋体" w:hint="default"/>
                <w:w w:val="100"/>
                <w:sz w:val="21"/>
                <w:szCs w:val="21"/>
              </w:rPr>
              <w:t>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57"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57"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34"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4"/>
              <w:ind w:left="22" w:right="17"/>
              <w:jc w:val="left"/>
              <w:rPr>
                <w:rFonts w:ascii="宋体" w:hAnsi="宋体" w:cs="宋体" w:eastAsia="宋体" w:hint="default"/>
                <w:sz w:val="21"/>
                <w:szCs w:val="21"/>
              </w:rPr>
            </w:pPr>
            <w:r>
              <w:rPr>
                <w:rFonts w:ascii="宋体" w:hAnsi="宋体" w:cs="宋体" w:eastAsia="宋体" w:hint="default"/>
                <w:spacing w:val="-14"/>
                <w:w w:val="100"/>
                <w:sz w:val="21"/>
                <w:szCs w:val="21"/>
              </w:rPr>
              <w:t>四、本期期末余</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38" w:right="0"/>
              <w:jc w:val="center"/>
              <w:rPr>
                <w:rFonts w:ascii="Times New Roman" w:hAnsi="Times New Roman" w:cs="Times New Roman" w:eastAsia="Times New Roman" w:hint="default"/>
                <w:sz w:val="21"/>
                <w:szCs w:val="21"/>
              </w:rPr>
            </w:pPr>
            <w:r>
              <w:rPr>
                <w:rFonts w:ascii="Times New Roman"/>
                <w:sz w:val="21"/>
              </w:rPr>
              <w:t>158,4</w:t>
            </w:r>
          </w:p>
          <w:p>
            <w:pPr>
              <w:pStyle w:val="TableParagraph"/>
              <w:spacing w:line="241" w:lineRule="exact"/>
              <w:ind w:left="38" w:right="0"/>
              <w:jc w:val="center"/>
              <w:rPr>
                <w:rFonts w:ascii="Times New Roman" w:hAnsi="Times New Roman" w:cs="Times New Roman" w:eastAsia="Times New Roman" w:hint="default"/>
                <w:sz w:val="21"/>
                <w:szCs w:val="21"/>
              </w:rPr>
            </w:pPr>
            <w:r>
              <w:rPr>
                <w:rFonts w:ascii="Times New Roman"/>
                <w:sz w:val="21"/>
              </w:rPr>
              <w:t>00,00</w:t>
            </w:r>
          </w:p>
          <w:p>
            <w:pPr>
              <w:pStyle w:val="TableParagraph"/>
              <w:spacing w:line="240" w:lineRule="auto" w:before="1"/>
              <w:ind w:left="143" w:right="0"/>
              <w:jc w:val="center"/>
              <w:rPr>
                <w:rFonts w:ascii="Times New Roman" w:hAnsi="Times New Roman" w:cs="Times New Roman" w:eastAsia="Times New Roman" w:hint="default"/>
                <w:sz w:val="21"/>
                <w:szCs w:val="21"/>
              </w:rPr>
            </w:pPr>
            <w:r>
              <w:rPr>
                <w:rFonts w:ascii="Times New Roman"/>
                <w:sz w:val="21"/>
              </w:rPr>
              <w:t>0.00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9"/>
              <w:jc w:val="right"/>
              <w:rPr>
                <w:rFonts w:ascii="Times New Roman" w:hAnsi="Times New Roman" w:cs="Times New Roman" w:eastAsia="Times New Roman" w:hint="default"/>
                <w:sz w:val="21"/>
                <w:szCs w:val="21"/>
              </w:rPr>
            </w:pPr>
            <w:r>
              <w:rPr>
                <w:rFonts w:ascii="Times New Roman"/>
                <w:sz w:val="21"/>
              </w:rPr>
              <w:t>62,580</w:t>
            </w:r>
          </w:p>
          <w:p>
            <w:pPr>
              <w:pStyle w:val="TableParagraph"/>
              <w:spacing w:line="241" w:lineRule="exact"/>
              <w:ind w:right="19"/>
              <w:jc w:val="right"/>
              <w:rPr>
                <w:rFonts w:ascii="Times New Roman" w:hAnsi="Times New Roman" w:cs="Times New Roman" w:eastAsia="Times New Roman" w:hint="default"/>
                <w:sz w:val="21"/>
                <w:szCs w:val="21"/>
              </w:rPr>
            </w:pPr>
            <w:r>
              <w:rPr>
                <w:rFonts w:ascii="Times New Roman"/>
                <w:sz w:val="21"/>
              </w:rPr>
              <w:t>,990.7</w:t>
            </w:r>
          </w:p>
          <w:p>
            <w:pPr>
              <w:pStyle w:val="TableParagraph"/>
              <w:spacing w:line="240" w:lineRule="auto" w:before="1"/>
              <w:ind w:right="23"/>
              <w:jc w:val="right"/>
              <w:rPr>
                <w:rFonts w:ascii="Times New Roman" w:hAnsi="Times New Roman" w:cs="Times New Roman" w:eastAsia="Times New Roman" w:hint="default"/>
                <w:sz w:val="21"/>
                <w:szCs w:val="21"/>
              </w:rPr>
            </w:pPr>
            <w:r>
              <w:rPr>
                <w:rFonts w:ascii="Times New Roman"/>
                <w:w w:val="100"/>
                <w:sz w:val="21"/>
              </w:rPr>
              <w:t>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9"/>
              <w:jc w:val="right"/>
              <w:rPr>
                <w:rFonts w:ascii="Times New Roman" w:hAnsi="Times New Roman" w:cs="Times New Roman" w:eastAsia="Times New Roman" w:hint="default"/>
                <w:sz w:val="21"/>
                <w:szCs w:val="21"/>
              </w:rPr>
            </w:pPr>
            <w:r>
              <w:rPr>
                <w:rFonts w:ascii="Times New Roman"/>
                <w:sz w:val="21"/>
              </w:rPr>
              <w:t>14,026</w:t>
            </w:r>
          </w:p>
          <w:p>
            <w:pPr>
              <w:pStyle w:val="TableParagraph"/>
              <w:spacing w:line="241" w:lineRule="exact"/>
              <w:ind w:right="19"/>
              <w:jc w:val="right"/>
              <w:rPr>
                <w:rFonts w:ascii="Times New Roman" w:hAnsi="Times New Roman" w:cs="Times New Roman" w:eastAsia="Times New Roman" w:hint="default"/>
                <w:sz w:val="21"/>
                <w:szCs w:val="21"/>
              </w:rPr>
            </w:pPr>
            <w:r>
              <w:rPr>
                <w:rFonts w:ascii="Times New Roman"/>
                <w:sz w:val="21"/>
              </w:rPr>
              <w:t>,838.9</w:t>
            </w:r>
          </w:p>
          <w:p>
            <w:pPr>
              <w:pStyle w:val="TableParagraph"/>
              <w:spacing w:line="240" w:lineRule="auto" w:before="1"/>
              <w:ind w:right="23"/>
              <w:jc w:val="right"/>
              <w:rPr>
                <w:rFonts w:ascii="Times New Roman" w:hAnsi="Times New Roman" w:cs="Times New Roman" w:eastAsia="Times New Roman" w:hint="default"/>
                <w:sz w:val="21"/>
                <w:szCs w:val="21"/>
              </w:rPr>
            </w:pPr>
            <w:r>
              <w:rPr>
                <w:rFonts w:ascii="Times New Roman"/>
                <w:w w:val="100"/>
                <w:sz w:val="21"/>
              </w:rPr>
              <w:t>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55" w:right="0"/>
              <w:jc w:val="left"/>
              <w:rPr>
                <w:rFonts w:ascii="Times New Roman" w:hAnsi="Times New Roman" w:cs="Times New Roman" w:eastAsia="Times New Roman" w:hint="default"/>
                <w:sz w:val="21"/>
                <w:szCs w:val="21"/>
              </w:rPr>
            </w:pPr>
            <w:r>
              <w:rPr>
                <w:rFonts w:ascii="Times New Roman"/>
                <w:sz w:val="21"/>
              </w:rPr>
              <w:t>101,23</w:t>
            </w:r>
          </w:p>
          <w:p>
            <w:pPr>
              <w:pStyle w:val="TableParagraph"/>
              <w:spacing w:line="241" w:lineRule="exact"/>
              <w:ind w:left="107" w:right="0"/>
              <w:jc w:val="left"/>
              <w:rPr>
                <w:rFonts w:ascii="Times New Roman" w:hAnsi="Times New Roman" w:cs="Times New Roman" w:eastAsia="Times New Roman" w:hint="default"/>
                <w:sz w:val="21"/>
                <w:szCs w:val="21"/>
              </w:rPr>
            </w:pPr>
            <w:r>
              <w:rPr>
                <w:rFonts w:ascii="Times New Roman"/>
                <w:sz w:val="21"/>
              </w:rPr>
              <w:t>6,053.</w:t>
            </w:r>
          </w:p>
          <w:p>
            <w:pPr>
              <w:pStyle w:val="TableParagraph"/>
              <w:spacing w:line="240" w:lineRule="auto" w:before="1"/>
              <w:ind w:left="422" w:right="0"/>
              <w:jc w:val="left"/>
              <w:rPr>
                <w:rFonts w:ascii="Times New Roman" w:hAnsi="Times New Roman" w:cs="Times New Roman" w:eastAsia="Times New Roman" w:hint="default"/>
                <w:sz w:val="21"/>
                <w:szCs w:val="21"/>
              </w:rPr>
            </w:pPr>
            <w:r>
              <w:rPr>
                <w:rFonts w:ascii="Times New Roman"/>
                <w:sz w:val="21"/>
              </w:rPr>
              <w:t>71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47" w:right="0"/>
              <w:jc w:val="left"/>
              <w:rPr>
                <w:rFonts w:ascii="Times New Roman" w:hAnsi="Times New Roman" w:cs="Times New Roman" w:eastAsia="Times New Roman" w:hint="default"/>
                <w:sz w:val="21"/>
                <w:szCs w:val="21"/>
              </w:rPr>
            </w:pPr>
            <w:r>
              <w:rPr>
                <w:rFonts w:ascii="Times New Roman"/>
                <w:sz w:val="21"/>
              </w:rPr>
              <w:t>336,24</w:t>
            </w:r>
          </w:p>
          <w:p>
            <w:pPr>
              <w:pStyle w:val="TableParagraph"/>
              <w:spacing w:line="241" w:lineRule="exact"/>
              <w:ind w:left="100" w:right="0"/>
              <w:jc w:val="left"/>
              <w:rPr>
                <w:rFonts w:ascii="Times New Roman" w:hAnsi="Times New Roman" w:cs="Times New Roman" w:eastAsia="Times New Roman" w:hint="default"/>
                <w:sz w:val="21"/>
                <w:szCs w:val="21"/>
              </w:rPr>
            </w:pPr>
            <w:r>
              <w:rPr>
                <w:rFonts w:ascii="Times New Roman"/>
                <w:sz w:val="21"/>
              </w:rPr>
              <w:t>3,883.</w:t>
            </w:r>
          </w:p>
          <w:p>
            <w:pPr>
              <w:pStyle w:val="TableParagraph"/>
              <w:spacing w:line="240" w:lineRule="auto" w:before="1"/>
              <w:ind w:left="415" w:right="0"/>
              <w:jc w:val="left"/>
              <w:rPr>
                <w:rFonts w:ascii="Times New Roman" w:hAnsi="Times New Roman" w:cs="Times New Roman" w:eastAsia="Times New Roman" w:hint="default"/>
                <w:sz w:val="21"/>
                <w:szCs w:val="21"/>
              </w:rPr>
            </w:pPr>
            <w:r>
              <w:rPr>
                <w:rFonts w:ascii="Times New Roman"/>
                <w:sz w:val="21"/>
              </w:rPr>
              <w:t>44</w:t>
            </w:r>
          </w:p>
        </w:tc>
      </w:tr>
    </w:tbl>
    <w:p>
      <w:pPr>
        <w:pStyle w:val="BodyText"/>
        <w:spacing w:line="262" w:lineRule="exact"/>
        <w:ind w:right="0"/>
        <w:jc w:val="left"/>
      </w:pPr>
      <w:r>
        <w:rPr/>
        <w:t>上期金额</w:t>
      </w:r>
    </w:p>
    <w:p>
      <w:pPr>
        <w:pStyle w:val="BodyText"/>
        <w:spacing w:line="240" w:lineRule="auto" w:before="37"/>
        <w:ind w:left="0" w:right="150"/>
        <w:jc w:val="right"/>
      </w:pPr>
      <w:r>
        <w:rPr>
          <w:spacing w:val="-1"/>
        </w:rPr>
        <w:t>单位：元</w:t>
      </w:r>
    </w:p>
    <w:p>
      <w:pPr>
        <w:spacing w:line="240" w:lineRule="auto" w:before="10"/>
        <w:rPr>
          <w:rFonts w:ascii="宋体" w:hAnsi="宋体" w:cs="宋体" w:eastAsia="宋体" w:hint="default"/>
          <w:sz w:val="3"/>
          <w:szCs w:val="3"/>
        </w:rPr>
      </w:pPr>
    </w:p>
    <w:tbl>
      <w:tblPr>
        <w:tblW w:w="0" w:type="auto"/>
        <w:jc w:val="left"/>
        <w:tblInd w:w="160" w:type="dxa"/>
        <w:tblLayout w:type="fixed"/>
        <w:tblCellMar>
          <w:top w:w="0" w:type="dxa"/>
          <w:left w:w="0" w:type="dxa"/>
          <w:bottom w:w="0" w:type="dxa"/>
          <w:right w:w="0" w:type="dxa"/>
        </w:tblCellMar>
        <w:tblLook w:val="01E0"/>
      </w:tblPr>
      <w:tblGrid>
        <w:gridCol w:w="1426"/>
        <w:gridCol w:w="562"/>
        <w:gridCol w:w="530"/>
        <w:gridCol w:w="530"/>
        <w:gridCol w:w="533"/>
        <w:gridCol w:w="662"/>
        <w:gridCol w:w="665"/>
        <w:gridCol w:w="667"/>
        <w:gridCol w:w="665"/>
        <w:gridCol w:w="662"/>
        <w:gridCol w:w="665"/>
        <w:gridCol w:w="679"/>
        <w:gridCol w:w="653"/>
        <w:gridCol w:w="658"/>
      </w:tblGrid>
      <w:tr>
        <w:trPr>
          <w:trHeight w:val="282" w:hRule="exact"/>
        </w:trPr>
        <w:tc>
          <w:tcPr>
            <w:tcW w:w="1426" w:type="dxa"/>
            <w:vMerge w:val="restart"/>
            <w:tcBorders>
              <w:top w:val="single" w:sz="4" w:space="0" w:color="000000"/>
              <w:left w:val="single" w:sz="4" w:space="0" w:color="000000"/>
              <w:right w:val="single" w:sz="4" w:space="0" w:color="000000"/>
            </w:tcBorders>
            <w:shd w:val="clear" w:color="auto" w:fill="D4D4D4"/>
          </w:tcPr>
          <w:p>
            <w:pPr/>
          </w:p>
        </w:tc>
        <w:tc>
          <w:tcPr>
            <w:tcW w:w="8131" w:type="dxa"/>
            <w:gridSpan w:val="1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152" w:hRule="exact"/>
        </w:trPr>
        <w:tc>
          <w:tcPr>
            <w:tcW w:w="1426" w:type="dxa"/>
            <w:vMerge/>
            <w:tcBorders>
              <w:left w:val="single" w:sz="4" w:space="0" w:color="000000"/>
              <w:right w:val="single" w:sz="4" w:space="0" w:color="000000"/>
            </w:tcBorders>
            <w:shd w:val="clear" w:color="auto" w:fill="D4D4D4"/>
          </w:tcPr>
          <w:p>
            <w:pPr/>
          </w:p>
        </w:tc>
        <w:tc>
          <w:tcPr>
            <w:tcW w:w="6821" w:type="dxa"/>
            <w:gridSpan w:val="11"/>
            <w:vMerge w:val="restart"/>
            <w:tcBorders>
              <w:top w:val="single" w:sz="4" w:space="0" w:color="000000"/>
              <w:left w:val="single" w:sz="4" w:space="0" w:color="000000"/>
              <w:right w:val="single" w:sz="4" w:space="0" w:color="000000"/>
            </w:tcBorders>
            <w:shd w:val="clear" w:color="auto" w:fill="D4D4D4"/>
          </w:tcPr>
          <w:p>
            <w:pPr>
              <w:pStyle w:val="TableParagraph"/>
              <w:spacing w:line="242" w:lineRule="exact"/>
              <w:ind w:left="2251" w:right="0"/>
              <w:jc w:val="left"/>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653" w:type="dxa"/>
            <w:tcBorders>
              <w:top w:val="single" w:sz="4" w:space="0" w:color="000000"/>
              <w:left w:val="single" w:sz="4" w:space="0" w:color="000000"/>
              <w:bottom w:val="nil" w:sz="6" w:space="0" w:color="auto"/>
              <w:right w:val="single" w:sz="4" w:space="0" w:color="000000"/>
            </w:tcBorders>
            <w:shd w:val="clear" w:color="auto" w:fill="D4D4D4"/>
          </w:tcPr>
          <w:p>
            <w:pPr/>
          </w:p>
        </w:tc>
        <w:tc>
          <w:tcPr>
            <w:tcW w:w="658" w:type="dxa"/>
            <w:vMerge w:val="restart"/>
            <w:tcBorders>
              <w:top w:val="single" w:sz="4" w:space="0" w:color="000000"/>
              <w:left w:val="single" w:sz="4" w:space="0" w:color="000000"/>
              <w:right w:val="single" w:sz="4" w:space="0" w:color="000000"/>
            </w:tcBorders>
            <w:shd w:val="clear" w:color="auto" w:fill="D4D4D4"/>
          </w:tcPr>
          <w:p>
            <w:pPr>
              <w:pStyle w:val="TableParagraph"/>
              <w:spacing w:line="251" w:lineRule="exact"/>
              <w:ind w:left="115" w:right="0"/>
              <w:jc w:val="both"/>
              <w:rPr>
                <w:rFonts w:ascii="宋体" w:hAnsi="宋体" w:cs="宋体" w:eastAsia="宋体" w:hint="default"/>
                <w:sz w:val="21"/>
                <w:szCs w:val="21"/>
              </w:rPr>
            </w:pPr>
            <w:r>
              <w:rPr>
                <w:rFonts w:ascii="宋体" w:hAnsi="宋体" w:cs="宋体" w:eastAsia="宋体" w:hint="default"/>
                <w:sz w:val="21"/>
                <w:szCs w:val="21"/>
              </w:rPr>
              <w:t>所有</w:t>
            </w:r>
          </w:p>
          <w:p>
            <w:pPr>
              <w:pStyle w:val="TableParagraph"/>
              <w:spacing w:line="237" w:lineRule="auto" w:before="2"/>
              <w:ind w:left="115" w:right="108"/>
              <w:jc w:val="both"/>
              <w:rPr>
                <w:rFonts w:ascii="宋体" w:hAnsi="宋体" w:cs="宋体" w:eastAsia="宋体" w:hint="default"/>
                <w:sz w:val="21"/>
                <w:szCs w:val="21"/>
              </w:rPr>
            </w:pPr>
            <w:r>
              <w:rPr>
                <w:rFonts w:ascii="宋体" w:hAnsi="宋体" w:cs="宋体" w:eastAsia="宋体" w:hint="default"/>
                <w:sz w:val="21"/>
                <w:szCs w:val="21"/>
              </w:rPr>
              <w:t>者权</w:t>
            </w:r>
            <w:r>
              <w:rPr>
                <w:rFonts w:ascii="宋体" w:hAnsi="宋体" w:cs="宋体" w:eastAsia="宋体" w:hint="default"/>
                <w:spacing w:val="-103"/>
                <w:sz w:val="21"/>
                <w:szCs w:val="21"/>
              </w:rPr>
              <w:t> </w:t>
            </w:r>
            <w:r>
              <w:rPr>
                <w:rFonts w:ascii="宋体" w:hAnsi="宋体" w:cs="宋体" w:eastAsia="宋体" w:hint="default"/>
                <w:sz w:val="21"/>
                <w:szCs w:val="21"/>
              </w:rPr>
              <w:t>益合</w:t>
            </w:r>
            <w:r>
              <w:rPr>
                <w:rFonts w:ascii="宋体" w:hAnsi="宋体" w:cs="宋体" w:eastAsia="宋体" w:hint="default"/>
                <w:spacing w:val="-103"/>
                <w:sz w:val="21"/>
                <w:szCs w:val="21"/>
              </w:rPr>
              <w:t> </w:t>
            </w:r>
            <w:r>
              <w:rPr>
                <w:rFonts w:ascii="宋体" w:hAnsi="宋体" w:cs="宋体" w:eastAsia="宋体" w:hint="default"/>
                <w:sz w:val="21"/>
                <w:szCs w:val="21"/>
              </w:rPr>
              <w:t>计</w:t>
            </w:r>
          </w:p>
        </w:tc>
      </w:tr>
      <w:tr>
        <w:trPr>
          <w:trHeight w:val="130" w:hRule="exact"/>
        </w:trPr>
        <w:tc>
          <w:tcPr>
            <w:tcW w:w="1426" w:type="dxa"/>
            <w:vMerge/>
            <w:tcBorders>
              <w:left w:val="single" w:sz="4" w:space="0" w:color="000000"/>
              <w:bottom w:val="nil" w:sz="6" w:space="0" w:color="auto"/>
              <w:right w:val="single" w:sz="4" w:space="0" w:color="000000"/>
            </w:tcBorders>
            <w:shd w:val="clear" w:color="auto" w:fill="D4D4D4"/>
          </w:tcPr>
          <w:p>
            <w:pPr/>
          </w:p>
        </w:tc>
        <w:tc>
          <w:tcPr>
            <w:tcW w:w="6821" w:type="dxa"/>
            <w:gridSpan w:val="11"/>
            <w:vMerge/>
            <w:tcBorders>
              <w:left w:val="single" w:sz="4" w:space="0" w:color="000000"/>
              <w:bottom w:val="single" w:sz="4" w:space="0" w:color="000000"/>
              <w:right w:val="single" w:sz="4" w:space="0" w:color="000000"/>
            </w:tcBorders>
            <w:shd w:val="clear" w:color="auto" w:fill="D4D4D4"/>
          </w:tcPr>
          <w:p>
            <w:pPr/>
          </w:p>
        </w:tc>
        <w:tc>
          <w:tcPr>
            <w:tcW w:w="653" w:type="dxa"/>
            <w:vMerge w:val="restart"/>
            <w:tcBorders>
              <w:top w:val="nil" w:sz="6" w:space="0" w:color="auto"/>
              <w:left w:val="single" w:sz="4" w:space="0" w:color="000000"/>
              <w:right w:val="single" w:sz="4" w:space="0" w:color="000000"/>
            </w:tcBorders>
            <w:shd w:val="clear" w:color="auto" w:fill="D4D4D4"/>
          </w:tcPr>
          <w:p>
            <w:pPr>
              <w:pStyle w:val="TableParagraph"/>
              <w:spacing w:line="239" w:lineRule="exact"/>
              <w:ind w:left="110" w:right="0"/>
              <w:jc w:val="left"/>
              <w:rPr>
                <w:rFonts w:ascii="宋体" w:hAnsi="宋体" w:cs="宋体" w:eastAsia="宋体" w:hint="default"/>
                <w:sz w:val="21"/>
                <w:szCs w:val="21"/>
              </w:rPr>
            </w:pPr>
            <w:r>
              <w:rPr>
                <w:rFonts w:ascii="宋体" w:hAnsi="宋体" w:cs="宋体" w:eastAsia="宋体" w:hint="default"/>
                <w:sz w:val="21"/>
                <w:szCs w:val="21"/>
              </w:rPr>
              <w:t>少数</w:t>
            </w:r>
          </w:p>
          <w:p>
            <w:pPr>
              <w:pStyle w:val="TableParagraph"/>
              <w:spacing w:line="240" w:lineRule="auto"/>
              <w:ind w:left="110" w:right="108"/>
              <w:jc w:val="left"/>
              <w:rPr>
                <w:rFonts w:ascii="宋体" w:hAnsi="宋体" w:cs="宋体" w:eastAsia="宋体" w:hint="default"/>
                <w:sz w:val="21"/>
                <w:szCs w:val="21"/>
              </w:rPr>
            </w:pPr>
            <w:r>
              <w:rPr>
                <w:rFonts w:ascii="宋体" w:hAnsi="宋体" w:cs="宋体" w:eastAsia="宋体" w:hint="default"/>
                <w:sz w:val="21"/>
                <w:szCs w:val="21"/>
              </w:rPr>
              <w:t>股东</w:t>
            </w:r>
            <w:r>
              <w:rPr>
                <w:rFonts w:ascii="宋体" w:hAnsi="宋体" w:cs="宋体" w:eastAsia="宋体" w:hint="default"/>
                <w:spacing w:val="-103"/>
                <w:sz w:val="21"/>
                <w:szCs w:val="21"/>
              </w:rPr>
              <w:t> </w:t>
            </w:r>
            <w:r>
              <w:rPr>
                <w:rFonts w:ascii="宋体" w:hAnsi="宋体" w:cs="宋体" w:eastAsia="宋体" w:hint="default"/>
                <w:sz w:val="21"/>
                <w:szCs w:val="21"/>
              </w:rPr>
              <w:t>权益</w:t>
            </w:r>
          </w:p>
        </w:tc>
        <w:tc>
          <w:tcPr>
            <w:tcW w:w="658" w:type="dxa"/>
            <w:vMerge/>
            <w:tcBorders>
              <w:left w:val="single" w:sz="4" w:space="0" w:color="000000"/>
              <w:right w:val="single" w:sz="4" w:space="0" w:color="000000"/>
            </w:tcBorders>
            <w:shd w:val="clear" w:color="auto" w:fill="D4D4D4"/>
          </w:tcPr>
          <w:p>
            <w:pPr/>
          </w:p>
        </w:tc>
      </w:tr>
      <w:tr>
        <w:trPr>
          <w:trHeight w:val="146" w:hRule="exact"/>
        </w:trPr>
        <w:tc>
          <w:tcPr>
            <w:tcW w:w="1426" w:type="dxa"/>
            <w:vMerge w:val="restart"/>
            <w:tcBorders>
              <w:top w:val="nil" w:sz="6" w:space="0" w:color="auto"/>
              <w:left w:val="single" w:sz="4" w:space="0" w:color="000000"/>
              <w:right w:val="single" w:sz="4" w:space="0" w:color="000000"/>
            </w:tcBorders>
            <w:shd w:val="clear" w:color="auto" w:fill="D4D4D4"/>
          </w:tcPr>
          <w:p>
            <w:pPr>
              <w:pStyle w:val="TableParagraph"/>
              <w:spacing w:line="241" w:lineRule="exact"/>
              <w:ind w:right="7"/>
              <w:jc w:val="center"/>
              <w:rPr>
                <w:rFonts w:ascii="宋体" w:hAnsi="宋体" w:cs="宋体" w:eastAsia="宋体" w:hint="default"/>
                <w:sz w:val="21"/>
                <w:szCs w:val="21"/>
              </w:rPr>
            </w:pPr>
            <w:r>
              <w:rPr>
                <w:rFonts w:ascii="宋体" w:hAnsi="宋体" w:cs="宋体" w:eastAsia="宋体" w:hint="default"/>
                <w:sz w:val="21"/>
                <w:szCs w:val="21"/>
              </w:rPr>
              <w:t>项目</w:t>
            </w:r>
          </w:p>
        </w:tc>
        <w:tc>
          <w:tcPr>
            <w:tcW w:w="562" w:type="dxa"/>
            <w:vMerge w:val="restart"/>
            <w:tcBorders>
              <w:top w:val="single" w:sz="4" w:space="0" w:color="000000"/>
              <w:left w:val="single" w:sz="4" w:space="0" w:color="000000"/>
              <w:right w:val="single" w:sz="4" w:space="0" w:color="000000"/>
            </w:tcBorders>
            <w:shd w:val="clear" w:color="auto" w:fill="D4D4D4"/>
          </w:tcPr>
          <w:p>
            <w:pPr/>
          </w:p>
        </w:tc>
        <w:tc>
          <w:tcPr>
            <w:tcW w:w="1594"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3" w:lineRule="exact"/>
              <w:ind w:left="160"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662"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7" w:type="dxa"/>
            <w:vMerge w:val="restart"/>
            <w:tcBorders>
              <w:top w:val="single" w:sz="4" w:space="0" w:color="000000"/>
              <w:left w:val="single" w:sz="4" w:space="0" w:color="000000"/>
              <w:right w:val="single" w:sz="4" w:space="0" w:color="000000"/>
            </w:tcBorders>
            <w:shd w:val="clear" w:color="auto" w:fill="D4D4D4"/>
          </w:tcPr>
          <w:p>
            <w:pPr>
              <w:pStyle w:val="TableParagraph"/>
              <w:spacing w:line="272" w:lineRule="exact"/>
              <w:ind w:left="120" w:right="113"/>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综合</w:t>
            </w:r>
          </w:p>
          <w:p>
            <w:pPr>
              <w:pStyle w:val="TableParagraph"/>
              <w:spacing w:line="249" w:lineRule="exact"/>
              <w:ind w:left="12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2"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vMerge w:val="restart"/>
            <w:tcBorders>
              <w:top w:val="single" w:sz="4" w:space="0" w:color="000000"/>
              <w:left w:val="single" w:sz="4" w:space="0" w:color="000000"/>
              <w:right w:val="single" w:sz="4" w:space="0" w:color="000000"/>
            </w:tcBorders>
            <w:shd w:val="clear" w:color="auto" w:fill="D4D4D4"/>
          </w:tcPr>
          <w:p>
            <w:pPr>
              <w:pStyle w:val="TableParagraph"/>
              <w:spacing w:line="272" w:lineRule="exact"/>
              <w:ind w:left="117" w:right="113"/>
              <w:jc w:val="left"/>
              <w:rPr>
                <w:rFonts w:ascii="宋体" w:hAnsi="宋体" w:cs="宋体" w:eastAsia="宋体" w:hint="default"/>
                <w:sz w:val="21"/>
                <w:szCs w:val="21"/>
              </w:rPr>
            </w:pPr>
            <w:r>
              <w:rPr>
                <w:rFonts w:ascii="宋体" w:hAnsi="宋体" w:cs="宋体" w:eastAsia="宋体" w:hint="default"/>
                <w:sz w:val="21"/>
                <w:szCs w:val="21"/>
              </w:rPr>
              <w:t>一般</w:t>
            </w:r>
            <w:r>
              <w:rPr>
                <w:rFonts w:ascii="宋体" w:hAnsi="宋体" w:cs="宋体" w:eastAsia="宋体" w:hint="default"/>
                <w:spacing w:val="-103"/>
                <w:sz w:val="21"/>
                <w:szCs w:val="21"/>
              </w:rPr>
              <w:t> </w:t>
            </w:r>
            <w:r>
              <w:rPr>
                <w:rFonts w:ascii="宋体" w:hAnsi="宋体" w:cs="宋体" w:eastAsia="宋体" w:hint="default"/>
                <w:sz w:val="21"/>
                <w:szCs w:val="21"/>
              </w:rPr>
              <w:t>风险</w:t>
            </w:r>
          </w:p>
          <w:p>
            <w:pPr>
              <w:pStyle w:val="TableParagraph"/>
              <w:spacing w:line="249" w:lineRule="exact"/>
              <w:ind w:left="117"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679" w:type="dxa"/>
            <w:vMerge w:val="restart"/>
            <w:tcBorders>
              <w:top w:val="single" w:sz="4" w:space="0" w:color="000000"/>
              <w:left w:val="single" w:sz="4" w:space="0" w:color="000000"/>
              <w:right w:val="single" w:sz="4" w:space="0" w:color="000000"/>
            </w:tcBorders>
            <w:shd w:val="clear" w:color="auto" w:fill="D4D4D4"/>
          </w:tcPr>
          <w:p>
            <w:pPr>
              <w:pStyle w:val="TableParagraph"/>
              <w:spacing w:line="272" w:lineRule="exact"/>
              <w:ind w:left="124" w:right="120"/>
              <w:jc w:val="center"/>
              <w:rPr>
                <w:rFonts w:ascii="宋体" w:hAnsi="宋体" w:cs="宋体" w:eastAsia="宋体" w:hint="default"/>
                <w:sz w:val="21"/>
                <w:szCs w:val="21"/>
              </w:rPr>
            </w:pPr>
            <w:r>
              <w:rPr>
                <w:rFonts w:ascii="宋体" w:hAnsi="宋体" w:cs="宋体" w:eastAsia="宋体" w:hint="default"/>
                <w:sz w:val="21"/>
                <w:szCs w:val="21"/>
              </w:rPr>
              <w:t>未分</w:t>
            </w:r>
            <w:r>
              <w:rPr>
                <w:rFonts w:ascii="宋体" w:hAnsi="宋体" w:cs="宋体" w:eastAsia="宋体" w:hint="default"/>
                <w:w w:val="100"/>
                <w:sz w:val="21"/>
                <w:szCs w:val="21"/>
              </w:rPr>
              <w:t> </w:t>
            </w:r>
            <w:r>
              <w:rPr>
                <w:rFonts w:ascii="宋体" w:hAnsi="宋体" w:cs="宋体" w:eastAsia="宋体" w:hint="default"/>
                <w:sz w:val="21"/>
                <w:szCs w:val="21"/>
              </w:rPr>
              <w:t>配利</w:t>
            </w:r>
          </w:p>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润</w:t>
            </w:r>
          </w:p>
        </w:tc>
        <w:tc>
          <w:tcPr>
            <w:tcW w:w="653" w:type="dxa"/>
            <w:vMerge/>
            <w:tcBorders>
              <w:left w:val="single" w:sz="4" w:space="0" w:color="000000"/>
              <w:right w:val="single" w:sz="4" w:space="0" w:color="000000"/>
            </w:tcBorders>
            <w:shd w:val="clear" w:color="auto" w:fill="D4D4D4"/>
          </w:tcPr>
          <w:p>
            <w:pPr/>
          </w:p>
        </w:tc>
        <w:tc>
          <w:tcPr>
            <w:tcW w:w="658" w:type="dxa"/>
            <w:vMerge/>
            <w:tcBorders>
              <w:left w:val="single" w:sz="4" w:space="0" w:color="000000"/>
              <w:right w:val="single" w:sz="4" w:space="0" w:color="000000"/>
            </w:tcBorders>
            <w:shd w:val="clear" w:color="auto" w:fill="D4D4D4"/>
          </w:tcPr>
          <w:p>
            <w:pPr/>
          </w:p>
        </w:tc>
      </w:tr>
      <w:tr>
        <w:trPr>
          <w:trHeight w:val="130" w:hRule="exact"/>
        </w:trPr>
        <w:tc>
          <w:tcPr>
            <w:tcW w:w="1426" w:type="dxa"/>
            <w:vMerge/>
            <w:tcBorders>
              <w:left w:val="single" w:sz="4" w:space="0" w:color="000000"/>
              <w:bottom w:val="single" w:sz="2" w:space="0" w:color="FFFFFF"/>
              <w:right w:val="single" w:sz="4" w:space="0" w:color="000000"/>
            </w:tcBorders>
            <w:shd w:val="clear" w:color="auto" w:fill="D4D4D4"/>
          </w:tcPr>
          <w:p>
            <w:pPr/>
          </w:p>
        </w:tc>
        <w:tc>
          <w:tcPr>
            <w:tcW w:w="562" w:type="dxa"/>
            <w:vMerge/>
            <w:tcBorders>
              <w:left w:val="single" w:sz="4" w:space="0" w:color="000000"/>
              <w:bottom w:val="single" w:sz="2" w:space="0" w:color="FFFFFF"/>
              <w:right w:val="single" w:sz="4" w:space="0" w:color="000000"/>
            </w:tcBorders>
            <w:shd w:val="clear" w:color="auto" w:fill="D4D4D4"/>
          </w:tcPr>
          <w:p>
            <w:pPr/>
          </w:p>
        </w:tc>
        <w:tc>
          <w:tcPr>
            <w:tcW w:w="1594" w:type="dxa"/>
            <w:gridSpan w:val="3"/>
            <w:vMerge/>
            <w:tcBorders>
              <w:left w:val="single" w:sz="4" w:space="0" w:color="000000"/>
              <w:bottom w:val="single" w:sz="2" w:space="0" w:color="FFFFFF"/>
              <w:right w:val="single" w:sz="4" w:space="0" w:color="000000"/>
            </w:tcBorders>
            <w:shd w:val="clear" w:color="auto" w:fill="D4D4D4"/>
          </w:tcPr>
          <w:p>
            <w:pPr/>
          </w:p>
        </w:tc>
        <w:tc>
          <w:tcPr>
            <w:tcW w:w="66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exact"/>
              <w:ind w:left="117" w:right="0"/>
              <w:jc w:val="left"/>
              <w:rPr>
                <w:rFonts w:ascii="宋体" w:hAnsi="宋体" w:cs="宋体" w:eastAsia="宋体" w:hint="default"/>
                <w:sz w:val="21"/>
                <w:szCs w:val="21"/>
              </w:rPr>
            </w:pPr>
            <w:r>
              <w:rPr>
                <w:rFonts w:ascii="宋体" w:hAnsi="宋体" w:cs="宋体" w:eastAsia="宋体" w:hint="default"/>
                <w:sz w:val="21"/>
                <w:szCs w:val="21"/>
              </w:rPr>
              <w:t>资本</w:t>
            </w:r>
          </w:p>
          <w:p>
            <w:pPr>
              <w:pStyle w:val="TableParagraph"/>
              <w:spacing w:line="274" w:lineRule="exact"/>
              <w:ind w:left="117" w:right="0"/>
              <w:jc w:val="left"/>
              <w:rPr>
                <w:rFonts w:ascii="宋体" w:hAnsi="宋体" w:cs="宋体" w:eastAsia="宋体" w:hint="default"/>
                <w:sz w:val="21"/>
                <w:szCs w:val="21"/>
              </w:rPr>
            </w:pPr>
            <w:r>
              <w:rPr>
                <w:rFonts w:ascii="宋体" w:hAnsi="宋体" w:cs="宋体" w:eastAsia="宋体" w:hint="default"/>
                <w:sz w:val="21"/>
                <w:szCs w:val="21"/>
              </w:rPr>
              <w:t>公积</w:t>
            </w: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exact"/>
              <w:ind w:left="117" w:right="0" w:hanging="94"/>
              <w:jc w:val="left"/>
              <w:rPr>
                <w:rFonts w:ascii="宋体" w:hAnsi="宋体" w:cs="宋体" w:eastAsia="宋体" w:hint="default"/>
                <w:sz w:val="21"/>
                <w:szCs w:val="21"/>
              </w:rPr>
            </w:pPr>
            <w:r>
              <w:rPr>
                <w:rFonts w:ascii="宋体" w:hAnsi="宋体" w:cs="宋体" w:eastAsia="宋体" w:hint="default"/>
                <w:spacing w:val="-15"/>
                <w:sz w:val="21"/>
                <w:szCs w:val="21"/>
              </w:rPr>
              <w:t>减：库</w:t>
            </w:r>
            <w:r>
              <w:rPr>
                <w:rFonts w:ascii="宋体" w:hAnsi="宋体" w:cs="宋体" w:eastAsia="宋体" w:hint="default"/>
                <w:sz w:val="21"/>
                <w:szCs w:val="21"/>
              </w:rPr>
            </w:r>
          </w:p>
          <w:p>
            <w:pPr>
              <w:pStyle w:val="TableParagraph"/>
              <w:spacing w:line="274" w:lineRule="exact"/>
              <w:ind w:left="117" w:right="0"/>
              <w:jc w:val="left"/>
              <w:rPr>
                <w:rFonts w:ascii="宋体" w:hAnsi="宋体" w:cs="宋体" w:eastAsia="宋体" w:hint="default"/>
                <w:sz w:val="21"/>
                <w:szCs w:val="21"/>
              </w:rPr>
            </w:pPr>
            <w:r>
              <w:rPr>
                <w:rFonts w:ascii="宋体" w:hAnsi="宋体" w:cs="宋体" w:eastAsia="宋体" w:hint="default"/>
                <w:sz w:val="21"/>
                <w:szCs w:val="21"/>
              </w:rPr>
              <w:t>存股</w:t>
            </w:r>
          </w:p>
        </w:tc>
        <w:tc>
          <w:tcPr>
            <w:tcW w:w="667" w:type="dxa"/>
            <w:vMerge/>
            <w:tcBorders>
              <w:left w:val="single" w:sz="4" w:space="0" w:color="000000"/>
              <w:right w:val="single" w:sz="4" w:space="0" w:color="000000"/>
            </w:tcBorders>
            <w:shd w:val="clear" w:color="auto" w:fill="D4D4D4"/>
          </w:tcPr>
          <w:p>
            <w:pP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exact"/>
              <w:ind w:left="117" w:right="0"/>
              <w:jc w:val="left"/>
              <w:rPr>
                <w:rFonts w:ascii="宋体" w:hAnsi="宋体" w:cs="宋体" w:eastAsia="宋体" w:hint="default"/>
                <w:sz w:val="21"/>
                <w:szCs w:val="21"/>
              </w:rPr>
            </w:pPr>
            <w:r>
              <w:rPr>
                <w:rFonts w:ascii="宋体" w:hAnsi="宋体" w:cs="宋体" w:eastAsia="宋体" w:hint="default"/>
                <w:sz w:val="21"/>
                <w:szCs w:val="21"/>
              </w:rPr>
              <w:t>专项</w:t>
            </w:r>
          </w:p>
          <w:p>
            <w:pPr>
              <w:pStyle w:val="TableParagraph"/>
              <w:spacing w:line="274" w:lineRule="exact"/>
              <w:ind w:left="117" w:right="0"/>
              <w:jc w:val="left"/>
              <w:rPr>
                <w:rFonts w:ascii="宋体" w:hAnsi="宋体" w:cs="宋体" w:eastAsia="宋体" w:hint="default"/>
                <w:sz w:val="21"/>
                <w:szCs w:val="21"/>
              </w:rPr>
            </w:pPr>
            <w:r>
              <w:rPr>
                <w:rFonts w:ascii="宋体" w:hAnsi="宋体" w:cs="宋体" w:eastAsia="宋体" w:hint="default"/>
                <w:sz w:val="21"/>
                <w:szCs w:val="21"/>
              </w:rPr>
              <w:t>储备</w:t>
            </w:r>
          </w:p>
        </w:tc>
        <w:tc>
          <w:tcPr>
            <w:tcW w:w="66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exact"/>
              <w:ind w:left="117" w:right="0"/>
              <w:jc w:val="left"/>
              <w:rPr>
                <w:rFonts w:ascii="宋体" w:hAnsi="宋体" w:cs="宋体" w:eastAsia="宋体" w:hint="default"/>
                <w:sz w:val="21"/>
                <w:szCs w:val="21"/>
              </w:rPr>
            </w:pPr>
            <w:r>
              <w:rPr>
                <w:rFonts w:ascii="宋体" w:hAnsi="宋体" w:cs="宋体" w:eastAsia="宋体" w:hint="default"/>
                <w:sz w:val="21"/>
                <w:szCs w:val="21"/>
              </w:rPr>
              <w:t>盈余</w:t>
            </w:r>
          </w:p>
          <w:p>
            <w:pPr>
              <w:pStyle w:val="TableParagraph"/>
              <w:spacing w:line="274" w:lineRule="exact"/>
              <w:ind w:left="117" w:right="0"/>
              <w:jc w:val="left"/>
              <w:rPr>
                <w:rFonts w:ascii="宋体" w:hAnsi="宋体" w:cs="宋体" w:eastAsia="宋体" w:hint="default"/>
                <w:sz w:val="21"/>
                <w:szCs w:val="21"/>
              </w:rPr>
            </w:pPr>
            <w:r>
              <w:rPr>
                <w:rFonts w:ascii="宋体" w:hAnsi="宋体" w:cs="宋体" w:eastAsia="宋体" w:hint="default"/>
                <w:sz w:val="21"/>
                <w:szCs w:val="21"/>
              </w:rPr>
              <w:t>公积</w:t>
            </w:r>
          </w:p>
        </w:tc>
        <w:tc>
          <w:tcPr>
            <w:tcW w:w="665" w:type="dxa"/>
            <w:vMerge/>
            <w:tcBorders>
              <w:left w:val="single" w:sz="4" w:space="0" w:color="000000"/>
              <w:right w:val="single" w:sz="4" w:space="0" w:color="000000"/>
            </w:tcBorders>
            <w:shd w:val="clear" w:color="auto" w:fill="D4D4D4"/>
          </w:tcPr>
          <w:p>
            <w:pPr/>
          </w:p>
        </w:tc>
        <w:tc>
          <w:tcPr>
            <w:tcW w:w="679" w:type="dxa"/>
            <w:vMerge/>
            <w:tcBorders>
              <w:left w:val="single" w:sz="4" w:space="0" w:color="000000"/>
              <w:right w:val="single" w:sz="4" w:space="0" w:color="000000"/>
            </w:tcBorders>
            <w:shd w:val="clear" w:color="auto" w:fill="D4D4D4"/>
          </w:tcPr>
          <w:p>
            <w:pPr/>
          </w:p>
        </w:tc>
        <w:tc>
          <w:tcPr>
            <w:tcW w:w="653" w:type="dxa"/>
            <w:vMerge/>
            <w:tcBorders>
              <w:left w:val="single" w:sz="4" w:space="0" w:color="000000"/>
              <w:right w:val="single" w:sz="4" w:space="0" w:color="000000"/>
            </w:tcBorders>
            <w:shd w:val="clear" w:color="auto" w:fill="D4D4D4"/>
          </w:tcPr>
          <w:p>
            <w:pPr/>
          </w:p>
        </w:tc>
        <w:tc>
          <w:tcPr>
            <w:tcW w:w="658" w:type="dxa"/>
            <w:vMerge/>
            <w:tcBorders>
              <w:left w:val="single" w:sz="4" w:space="0" w:color="000000"/>
              <w:right w:val="single" w:sz="4" w:space="0" w:color="000000"/>
            </w:tcBorders>
            <w:shd w:val="clear" w:color="auto" w:fill="D4D4D4"/>
          </w:tcPr>
          <w:p>
            <w:pPr/>
          </w:p>
        </w:tc>
      </w:tr>
      <w:tr>
        <w:trPr>
          <w:trHeight w:val="149" w:hRule="exact"/>
        </w:trPr>
        <w:tc>
          <w:tcPr>
            <w:tcW w:w="1426" w:type="dxa"/>
            <w:vMerge w:val="restart"/>
            <w:tcBorders>
              <w:top w:val="single" w:sz="2" w:space="0" w:color="FFFFFF"/>
              <w:left w:val="single" w:sz="4" w:space="0" w:color="000000"/>
              <w:right w:val="single" w:sz="4" w:space="0" w:color="000000"/>
            </w:tcBorders>
            <w:shd w:val="clear" w:color="auto" w:fill="D4D4D4"/>
          </w:tcPr>
          <w:p>
            <w:pPr/>
          </w:p>
        </w:tc>
        <w:tc>
          <w:tcPr>
            <w:tcW w:w="562" w:type="dxa"/>
            <w:vMerge w:val="restart"/>
            <w:tcBorders>
              <w:top w:val="single" w:sz="2" w:space="0" w:color="FFFFFF"/>
              <w:left w:val="single" w:sz="10" w:space="0" w:color="D4D4D4"/>
              <w:right w:val="single" w:sz="22" w:space="0" w:color="D4D4D4"/>
            </w:tcBorders>
          </w:tcPr>
          <w:p>
            <w:pPr>
              <w:pStyle w:val="TableParagraph"/>
              <w:spacing w:line="246" w:lineRule="exact"/>
              <w:ind w:left="59"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4D4D4" w:color="auto" w:val="clear"/>
              </w:rPr>
              <w:t>股本</w:t>
            </w:r>
            <w:r>
              <w:rPr>
                <w:rFonts w:ascii="宋体" w:hAnsi="宋体" w:cs="宋体" w:eastAsia="宋体" w:hint="default"/>
                <w:sz w:val="21"/>
                <w:szCs w:val="21"/>
              </w:rPr>
            </w:r>
          </w:p>
        </w:tc>
        <w:tc>
          <w:tcPr>
            <w:tcW w:w="530" w:type="dxa"/>
            <w:vMerge w:val="restart"/>
            <w:tcBorders>
              <w:top w:val="single" w:sz="2" w:space="0" w:color="FFFFFF"/>
              <w:left w:val="single" w:sz="4" w:space="0" w:color="000000"/>
              <w:right w:val="single" w:sz="4" w:space="0" w:color="000000"/>
            </w:tcBorders>
            <w:shd w:val="clear" w:color="auto" w:fill="D4D4D4"/>
          </w:tcPr>
          <w:p>
            <w:pPr>
              <w:pStyle w:val="TableParagraph"/>
              <w:spacing w:line="274" w:lineRule="exact" w:before="1"/>
              <w:ind w:left="155" w:right="47" w:hanging="106"/>
              <w:jc w:val="left"/>
              <w:rPr>
                <w:rFonts w:ascii="宋体" w:hAnsi="宋体" w:cs="宋体" w:eastAsia="宋体" w:hint="default"/>
                <w:sz w:val="21"/>
                <w:szCs w:val="21"/>
              </w:rPr>
            </w:pPr>
            <w:r>
              <w:rPr>
                <w:rFonts w:ascii="宋体" w:hAnsi="宋体" w:cs="宋体" w:eastAsia="宋体" w:hint="default"/>
                <w:sz w:val="21"/>
                <w:szCs w:val="21"/>
              </w:rPr>
              <w:t>优先</w:t>
            </w:r>
            <w:r>
              <w:rPr>
                <w:rFonts w:ascii="宋体" w:hAnsi="宋体" w:cs="宋体" w:eastAsia="宋体" w:hint="default"/>
                <w:spacing w:val="-103"/>
                <w:sz w:val="21"/>
                <w:szCs w:val="21"/>
              </w:rPr>
              <w:t> </w:t>
            </w:r>
            <w:r>
              <w:rPr>
                <w:rFonts w:ascii="宋体" w:hAnsi="宋体" w:cs="宋体" w:eastAsia="宋体" w:hint="default"/>
                <w:sz w:val="21"/>
                <w:szCs w:val="21"/>
              </w:rPr>
              <w:t>股</w:t>
            </w:r>
          </w:p>
        </w:tc>
        <w:tc>
          <w:tcPr>
            <w:tcW w:w="530" w:type="dxa"/>
            <w:vMerge w:val="restart"/>
            <w:tcBorders>
              <w:top w:val="single" w:sz="2" w:space="0" w:color="FFFFFF"/>
              <w:left w:val="single" w:sz="4" w:space="0" w:color="000000"/>
              <w:right w:val="single" w:sz="4" w:space="0" w:color="000000"/>
            </w:tcBorders>
            <w:shd w:val="clear" w:color="auto" w:fill="D4D4D4"/>
          </w:tcPr>
          <w:p>
            <w:pPr>
              <w:pStyle w:val="TableParagraph"/>
              <w:spacing w:line="274" w:lineRule="exact" w:before="1"/>
              <w:ind w:left="155" w:right="47" w:hanging="106"/>
              <w:jc w:val="left"/>
              <w:rPr>
                <w:rFonts w:ascii="宋体" w:hAnsi="宋体" w:cs="宋体" w:eastAsia="宋体" w:hint="default"/>
                <w:sz w:val="21"/>
                <w:szCs w:val="21"/>
              </w:rPr>
            </w:pPr>
            <w:r>
              <w:rPr>
                <w:rFonts w:ascii="宋体" w:hAnsi="宋体" w:cs="宋体" w:eastAsia="宋体" w:hint="default"/>
                <w:sz w:val="21"/>
                <w:szCs w:val="21"/>
              </w:rPr>
              <w:t>永续</w:t>
            </w:r>
            <w:r>
              <w:rPr>
                <w:rFonts w:ascii="宋体" w:hAnsi="宋体" w:cs="宋体" w:eastAsia="宋体" w:hint="default"/>
                <w:spacing w:val="-103"/>
                <w:sz w:val="21"/>
                <w:szCs w:val="21"/>
              </w:rPr>
              <w:t> </w:t>
            </w:r>
            <w:r>
              <w:rPr>
                <w:rFonts w:ascii="宋体" w:hAnsi="宋体" w:cs="宋体" w:eastAsia="宋体" w:hint="default"/>
                <w:sz w:val="21"/>
                <w:szCs w:val="21"/>
              </w:rPr>
              <w:t>债</w:t>
            </w:r>
          </w:p>
        </w:tc>
        <w:tc>
          <w:tcPr>
            <w:tcW w:w="533" w:type="dxa"/>
            <w:tcBorders>
              <w:top w:val="single" w:sz="2" w:space="0" w:color="FFFFFF"/>
              <w:left w:val="single" w:sz="4" w:space="0" w:color="000000"/>
              <w:bottom w:val="nil" w:sz="6" w:space="0" w:color="auto"/>
              <w:right w:val="single" w:sz="4" w:space="0" w:color="000000"/>
            </w:tcBorders>
            <w:shd w:val="clear" w:color="auto" w:fill="D4D4D4"/>
          </w:tcPr>
          <w:p>
            <w:pPr/>
          </w:p>
        </w:tc>
        <w:tc>
          <w:tcPr>
            <w:tcW w:w="662"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7"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2"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79" w:type="dxa"/>
            <w:vMerge/>
            <w:tcBorders>
              <w:left w:val="single" w:sz="4" w:space="0" w:color="000000"/>
              <w:right w:val="single" w:sz="4" w:space="0" w:color="000000"/>
            </w:tcBorders>
            <w:shd w:val="clear" w:color="auto" w:fill="D4D4D4"/>
          </w:tcPr>
          <w:p>
            <w:pPr/>
          </w:p>
        </w:tc>
        <w:tc>
          <w:tcPr>
            <w:tcW w:w="653" w:type="dxa"/>
            <w:vMerge/>
            <w:tcBorders>
              <w:left w:val="single" w:sz="4" w:space="0" w:color="000000"/>
              <w:right w:val="single" w:sz="4" w:space="0" w:color="000000"/>
            </w:tcBorders>
            <w:shd w:val="clear" w:color="auto" w:fill="D4D4D4"/>
          </w:tcPr>
          <w:p>
            <w:pPr/>
          </w:p>
        </w:tc>
        <w:tc>
          <w:tcPr>
            <w:tcW w:w="658" w:type="dxa"/>
            <w:vMerge/>
            <w:tcBorders>
              <w:left w:val="single" w:sz="4" w:space="0" w:color="000000"/>
              <w:right w:val="single" w:sz="4" w:space="0" w:color="000000"/>
            </w:tcBorders>
            <w:shd w:val="clear" w:color="auto" w:fill="D4D4D4"/>
          </w:tcPr>
          <w:p>
            <w:pPr/>
          </w:p>
        </w:tc>
      </w:tr>
      <w:tr>
        <w:trPr>
          <w:trHeight w:val="132" w:hRule="exact"/>
        </w:trPr>
        <w:tc>
          <w:tcPr>
            <w:tcW w:w="1426" w:type="dxa"/>
            <w:vMerge/>
            <w:tcBorders>
              <w:left w:val="single" w:sz="4" w:space="0" w:color="000000"/>
              <w:right w:val="single" w:sz="4" w:space="0" w:color="000000"/>
            </w:tcBorders>
            <w:shd w:val="clear" w:color="auto" w:fill="D4D4D4"/>
          </w:tcPr>
          <w:p>
            <w:pPr/>
          </w:p>
        </w:tc>
        <w:tc>
          <w:tcPr>
            <w:tcW w:w="562" w:type="dxa"/>
            <w:vMerge/>
            <w:tcBorders>
              <w:left w:val="single" w:sz="10" w:space="0" w:color="D4D4D4"/>
              <w:bottom w:val="nil" w:sz="6" w:space="0" w:color="auto"/>
              <w:right w:val="single" w:sz="22" w:space="0" w:color="D4D4D4"/>
            </w:tcBorders>
          </w:tcPr>
          <w:p>
            <w:pPr/>
          </w:p>
        </w:tc>
        <w:tc>
          <w:tcPr>
            <w:tcW w:w="530" w:type="dxa"/>
            <w:vMerge/>
            <w:tcBorders>
              <w:left w:val="single" w:sz="4" w:space="0" w:color="000000"/>
              <w:right w:val="single" w:sz="4" w:space="0" w:color="000000"/>
            </w:tcBorders>
            <w:shd w:val="clear" w:color="auto" w:fill="D4D4D4"/>
          </w:tcPr>
          <w:p>
            <w:pPr/>
          </w:p>
        </w:tc>
        <w:tc>
          <w:tcPr>
            <w:tcW w:w="530" w:type="dxa"/>
            <w:vMerge/>
            <w:tcBorders>
              <w:left w:val="single" w:sz="4" w:space="0" w:color="000000"/>
              <w:right w:val="single" w:sz="4" w:space="0" w:color="000000"/>
            </w:tcBorders>
            <w:shd w:val="clear" w:color="auto" w:fill="D4D4D4"/>
          </w:tcPr>
          <w:p>
            <w:pPr/>
          </w:p>
        </w:tc>
        <w:tc>
          <w:tcPr>
            <w:tcW w:w="533" w:type="dxa"/>
            <w:vMerge w:val="restart"/>
            <w:tcBorders>
              <w:top w:val="nil" w:sz="6" w:space="0" w:color="auto"/>
              <w:left w:val="single" w:sz="23" w:space="0" w:color="D4D4D4"/>
              <w:right w:val="single" w:sz="23" w:space="0" w:color="D4D4D4"/>
            </w:tcBorders>
          </w:tcPr>
          <w:p>
            <w:pPr>
              <w:pStyle w:val="TableParagraph"/>
              <w:spacing w:line="241" w:lineRule="exact"/>
              <w:ind w:left="28"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4D4D4" w:color="auto" w:val="clear"/>
              </w:rPr>
              <w:t>其他</w:t>
            </w:r>
            <w:r>
              <w:rPr>
                <w:rFonts w:ascii="宋体" w:hAnsi="宋体" w:cs="宋体" w:eastAsia="宋体" w:hint="default"/>
                <w:sz w:val="21"/>
                <w:szCs w:val="21"/>
              </w:rPr>
            </w:r>
          </w:p>
        </w:tc>
        <w:tc>
          <w:tcPr>
            <w:tcW w:w="662"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7"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2"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79" w:type="dxa"/>
            <w:vMerge/>
            <w:tcBorders>
              <w:left w:val="single" w:sz="4" w:space="0" w:color="000000"/>
              <w:right w:val="single" w:sz="4" w:space="0" w:color="000000"/>
            </w:tcBorders>
            <w:shd w:val="clear" w:color="auto" w:fill="D4D4D4"/>
          </w:tcPr>
          <w:p>
            <w:pPr/>
          </w:p>
        </w:tc>
        <w:tc>
          <w:tcPr>
            <w:tcW w:w="653" w:type="dxa"/>
            <w:vMerge/>
            <w:tcBorders>
              <w:left w:val="single" w:sz="4" w:space="0" w:color="000000"/>
              <w:right w:val="single" w:sz="4" w:space="0" w:color="000000"/>
            </w:tcBorders>
            <w:shd w:val="clear" w:color="auto" w:fill="D4D4D4"/>
          </w:tcPr>
          <w:p>
            <w:pPr/>
          </w:p>
        </w:tc>
        <w:tc>
          <w:tcPr>
            <w:tcW w:w="658" w:type="dxa"/>
            <w:vMerge/>
            <w:tcBorders>
              <w:left w:val="single" w:sz="4" w:space="0" w:color="000000"/>
              <w:right w:val="single" w:sz="4" w:space="0" w:color="000000"/>
            </w:tcBorders>
            <w:shd w:val="clear" w:color="auto" w:fill="D4D4D4"/>
          </w:tcPr>
          <w:p>
            <w:pPr/>
          </w:p>
        </w:tc>
      </w:tr>
      <w:tr>
        <w:trPr>
          <w:trHeight w:val="137" w:hRule="exact"/>
        </w:trPr>
        <w:tc>
          <w:tcPr>
            <w:tcW w:w="1426" w:type="dxa"/>
            <w:vMerge/>
            <w:tcBorders>
              <w:left w:val="single" w:sz="4" w:space="0" w:color="000000"/>
              <w:right w:val="single" w:sz="4" w:space="0" w:color="000000"/>
            </w:tcBorders>
            <w:shd w:val="clear" w:color="auto" w:fill="D4D4D4"/>
          </w:tcPr>
          <w:p>
            <w:pPr/>
          </w:p>
        </w:tc>
        <w:tc>
          <w:tcPr>
            <w:tcW w:w="562" w:type="dxa"/>
            <w:vMerge w:val="restart"/>
            <w:tcBorders>
              <w:top w:val="nil" w:sz="6" w:space="0" w:color="auto"/>
              <w:left w:val="single" w:sz="4" w:space="0" w:color="000000"/>
              <w:right w:val="single" w:sz="4" w:space="0" w:color="000000"/>
            </w:tcBorders>
            <w:shd w:val="clear" w:color="auto" w:fill="D4D4D4"/>
          </w:tcPr>
          <w:p>
            <w:pPr/>
          </w:p>
        </w:tc>
        <w:tc>
          <w:tcPr>
            <w:tcW w:w="530" w:type="dxa"/>
            <w:vMerge/>
            <w:tcBorders>
              <w:left w:val="single" w:sz="4" w:space="0" w:color="000000"/>
              <w:right w:val="single" w:sz="4" w:space="0" w:color="000000"/>
            </w:tcBorders>
            <w:shd w:val="clear" w:color="auto" w:fill="D4D4D4"/>
          </w:tcPr>
          <w:p>
            <w:pPr/>
          </w:p>
        </w:tc>
        <w:tc>
          <w:tcPr>
            <w:tcW w:w="530" w:type="dxa"/>
            <w:vMerge/>
            <w:tcBorders>
              <w:left w:val="single" w:sz="4" w:space="0" w:color="000000"/>
              <w:right w:val="single" w:sz="4" w:space="0" w:color="000000"/>
            </w:tcBorders>
            <w:shd w:val="clear" w:color="auto" w:fill="D4D4D4"/>
          </w:tcPr>
          <w:p>
            <w:pPr/>
          </w:p>
        </w:tc>
        <w:tc>
          <w:tcPr>
            <w:tcW w:w="533" w:type="dxa"/>
            <w:vMerge/>
            <w:tcBorders>
              <w:left w:val="single" w:sz="23" w:space="0" w:color="D4D4D4"/>
              <w:bottom w:val="nil" w:sz="6" w:space="0" w:color="auto"/>
              <w:right w:val="single" w:sz="23" w:space="0" w:color="D4D4D4"/>
            </w:tcBorders>
          </w:tcPr>
          <w:p>
            <w:pPr/>
          </w:p>
        </w:tc>
        <w:tc>
          <w:tcPr>
            <w:tcW w:w="662"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7" w:type="dxa"/>
            <w:vMerge/>
            <w:tcBorders>
              <w:left w:val="single" w:sz="4" w:space="0" w:color="000000"/>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2"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79" w:type="dxa"/>
            <w:vMerge/>
            <w:tcBorders>
              <w:left w:val="single" w:sz="4" w:space="0" w:color="000000"/>
              <w:right w:val="single" w:sz="4" w:space="0" w:color="000000"/>
            </w:tcBorders>
            <w:shd w:val="clear" w:color="auto" w:fill="D4D4D4"/>
          </w:tcPr>
          <w:p>
            <w:pPr/>
          </w:p>
        </w:tc>
        <w:tc>
          <w:tcPr>
            <w:tcW w:w="653" w:type="dxa"/>
            <w:vMerge/>
            <w:tcBorders>
              <w:left w:val="single" w:sz="4" w:space="0" w:color="000000"/>
              <w:bottom w:val="nil" w:sz="6" w:space="0" w:color="auto"/>
              <w:right w:val="single" w:sz="4" w:space="0" w:color="000000"/>
            </w:tcBorders>
            <w:shd w:val="clear" w:color="auto" w:fill="D4D4D4"/>
          </w:tcPr>
          <w:p>
            <w:pPr/>
          </w:p>
        </w:tc>
        <w:tc>
          <w:tcPr>
            <w:tcW w:w="658" w:type="dxa"/>
            <w:vMerge/>
            <w:tcBorders>
              <w:left w:val="single" w:sz="4" w:space="0" w:color="000000"/>
              <w:right w:val="single" w:sz="4" w:space="0" w:color="000000"/>
            </w:tcBorders>
            <w:shd w:val="clear" w:color="auto" w:fill="D4D4D4"/>
          </w:tcPr>
          <w:p>
            <w:pPr/>
          </w:p>
        </w:tc>
      </w:tr>
      <w:tr>
        <w:trPr>
          <w:trHeight w:val="149" w:hRule="exact"/>
        </w:trPr>
        <w:tc>
          <w:tcPr>
            <w:tcW w:w="1426" w:type="dxa"/>
            <w:vMerge/>
            <w:tcBorders>
              <w:left w:val="single" w:sz="4" w:space="0" w:color="000000"/>
              <w:bottom w:val="single" w:sz="4" w:space="0" w:color="000000"/>
              <w:right w:val="single" w:sz="4" w:space="0" w:color="000000"/>
            </w:tcBorders>
            <w:shd w:val="clear" w:color="auto" w:fill="D4D4D4"/>
          </w:tcPr>
          <w:p>
            <w:pPr/>
          </w:p>
        </w:tc>
        <w:tc>
          <w:tcPr>
            <w:tcW w:w="562" w:type="dxa"/>
            <w:vMerge/>
            <w:tcBorders>
              <w:left w:val="single" w:sz="4" w:space="0" w:color="000000"/>
              <w:bottom w:val="single" w:sz="4" w:space="0" w:color="000000"/>
              <w:right w:val="single" w:sz="4" w:space="0" w:color="000000"/>
            </w:tcBorders>
            <w:shd w:val="clear" w:color="auto" w:fill="D4D4D4"/>
          </w:tcPr>
          <w:p>
            <w:pPr/>
          </w:p>
        </w:tc>
        <w:tc>
          <w:tcPr>
            <w:tcW w:w="530" w:type="dxa"/>
            <w:vMerge/>
            <w:tcBorders>
              <w:left w:val="single" w:sz="4" w:space="0" w:color="000000"/>
              <w:bottom w:val="single" w:sz="4" w:space="0" w:color="000000"/>
              <w:right w:val="single" w:sz="4" w:space="0" w:color="000000"/>
            </w:tcBorders>
            <w:shd w:val="clear" w:color="auto" w:fill="D4D4D4"/>
          </w:tcPr>
          <w:p>
            <w:pPr/>
          </w:p>
        </w:tc>
        <w:tc>
          <w:tcPr>
            <w:tcW w:w="530" w:type="dxa"/>
            <w:vMerge/>
            <w:tcBorders>
              <w:left w:val="single" w:sz="4" w:space="0" w:color="000000"/>
              <w:bottom w:val="single" w:sz="4" w:space="0" w:color="000000"/>
              <w:right w:val="single" w:sz="4" w:space="0" w:color="000000"/>
            </w:tcBorders>
            <w:shd w:val="clear" w:color="auto" w:fill="D4D4D4"/>
          </w:tcPr>
          <w:p>
            <w:pPr/>
          </w:p>
        </w:tc>
        <w:tc>
          <w:tcPr>
            <w:tcW w:w="533" w:type="dxa"/>
            <w:tcBorders>
              <w:top w:val="nil" w:sz="6" w:space="0" w:color="auto"/>
              <w:left w:val="single" w:sz="4" w:space="0" w:color="000000"/>
              <w:bottom w:val="single" w:sz="4" w:space="0" w:color="000000"/>
              <w:right w:val="single" w:sz="4" w:space="0" w:color="000000"/>
            </w:tcBorders>
            <w:shd w:val="clear" w:color="auto" w:fill="D4D4D4"/>
          </w:tcPr>
          <w:p>
            <w:pPr/>
          </w:p>
        </w:tc>
        <w:tc>
          <w:tcPr>
            <w:tcW w:w="662"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7" w:type="dxa"/>
            <w:vMerge/>
            <w:tcBorders>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2"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vMerge/>
            <w:tcBorders>
              <w:left w:val="single" w:sz="4" w:space="0" w:color="000000"/>
              <w:bottom w:val="single" w:sz="4" w:space="0" w:color="000000"/>
              <w:right w:val="single" w:sz="4" w:space="0" w:color="000000"/>
            </w:tcBorders>
            <w:shd w:val="clear" w:color="auto" w:fill="D4D4D4"/>
          </w:tcPr>
          <w:p>
            <w:pPr/>
          </w:p>
        </w:tc>
        <w:tc>
          <w:tcPr>
            <w:tcW w:w="679" w:type="dxa"/>
            <w:vMerge/>
            <w:tcBorders>
              <w:left w:val="single" w:sz="4" w:space="0" w:color="000000"/>
              <w:bottom w:val="single" w:sz="4" w:space="0" w:color="000000"/>
              <w:right w:val="single" w:sz="4" w:space="0" w:color="000000"/>
            </w:tcBorders>
            <w:shd w:val="clear" w:color="auto" w:fill="D4D4D4"/>
          </w:tcPr>
          <w:p>
            <w:pPr/>
          </w:p>
        </w:tc>
        <w:tc>
          <w:tcPr>
            <w:tcW w:w="653" w:type="dxa"/>
            <w:tcBorders>
              <w:top w:val="nil" w:sz="6" w:space="0" w:color="auto"/>
              <w:left w:val="single" w:sz="4" w:space="0" w:color="000000"/>
              <w:bottom w:val="single" w:sz="4" w:space="0" w:color="000000"/>
              <w:right w:val="single" w:sz="4" w:space="0" w:color="000000"/>
            </w:tcBorders>
            <w:shd w:val="clear" w:color="auto" w:fill="D4D4D4"/>
          </w:tcPr>
          <w:p>
            <w:pPr/>
          </w:p>
        </w:tc>
        <w:tc>
          <w:tcPr>
            <w:tcW w:w="658" w:type="dxa"/>
            <w:vMerge/>
            <w:tcBorders>
              <w:left w:val="single" w:sz="4" w:space="0" w:color="000000"/>
              <w:bottom w:val="single" w:sz="4" w:space="0" w:color="000000"/>
              <w:right w:val="single" w:sz="4" w:space="0" w:color="000000"/>
            </w:tcBorders>
            <w:shd w:val="clear" w:color="auto" w:fill="D4D4D4"/>
          </w:tcPr>
          <w:p>
            <w:pPr/>
          </w:p>
        </w:tc>
      </w:tr>
      <w:tr>
        <w:trPr>
          <w:trHeight w:val="94" w:hRule="exact"/>
        </w:trPr>
        <w:tc>
          <w:tcPr>
            <w:tcW w:w="1426" w:type="dxa"/>
            <w:tcBorders>
              <w:top w:val="single" w:sz="4" w:space="0" w:color="000000"/>
              <w:left w:val="single" w:sz="4" w:space="0" w:color="000000"/>
              <w:bottom w:val="nil" w:sz="6" w:space="0" w:color="auto"/>
              <w:right w:val="single" w:sz="4" w:space="0" w:color="000000"/>
            </w:tcBorders>
            <w:shd w:val="clear" w:color="auto" w:fill="D4D4D4"/>
          </w:tcPr>
          <w:p>
            <w:pPr/>
          </w:p>
        </w:tc>
        <w:tc>
          <w:tcPr>
            <w:tcW w:w="562" w:type="dxa"/>
            <w:vMerge w:val="restart"/>
            <w:tcBorders>
              <w:top w:val="single" w:sz="4" w:space="0" w:color="000000"/>
              <w:left w:val="single" w:sz="12" w:space="0" w:color="D4D4D4"/>
              <w:right w:val="single" w:sz="4" w:space="0" w:color="000000"/>
            </w:tcBorders>
          </w:tcPr>
          <w:p>
            <w:pPr>
              <w:pStyle w:val="TableParagraph"/>
              <w:spacing w:line="235" w:lineRule="exact"/>
              <w:ind w:left="46" w:right="0"/>
              <w:jc w:val="left"/>
              <w:rPr>
                <w:rFonts w:ascii="Times New Roman" w:hAnsi="Times New Roman" w:cs="Times New Roman" w:eastAsia="Times New Roman" w:hint="default"/>
                <w:sz w:val="21"/>
                <w:szCs w:val="21"/>
              </w:rPr>
            </w:pPr>
            <w:r>
              <w:rPr>
                <w:rFonts w:ascii="Times New Roman"/>
                <w:sz w:val="21"/>
              </w:rPr>
              <w:t>88,00</w:t>
            </w:r>
          </w:p>
          <w:p>
            <w:pPr>
              <w:pStyle w:val="TableParagraph"/>
              <w:spacing w:line="241" w:lineRule="exact" w:before="1"/>
              <w:ind w:left="46" w:right="0"/>
              <w:jc w:val="left"/>
              <w:rPr>
                <w:rFonts w:ascii="Times New Roman" w:hAnsi="Times New Roman" w:cs="Times New Roman" w:eastAsia="Times New Roman" w:hint="default"/>
                <w:sz w:val="21"/>
                <w:szCs w:val="21"/>
              </w:rPr>
            </w:pPr>
            <w:r>
              <w:rPr>
                <w:rFonts w:ascii="Times New Roman"/>
                <w:sz w:val="21"/>
              </w:rPr>
              <w:t>0,000</w:t>
            </w:r>
          </w:p>
          <w:p>
            <w:pPr>
              <w:pStyle w:val="TableParagraph"/>
              <w:spacing w:line="241" w:lineRule="exact"/>
              <w:ind w:left="257" w:right="0"/>
              <w:jc w:val="left"/>
              <w:rPr>
                <w:rFonts w:ascii="Times New Roman" w:hAnsi="Times New Roman" w:cs="Times New Roman" w:eastAsia="Times New Roman" w:hint="default"/>
                <w:sz w:val="21"/>
                <w:szCs w:val="21"/>
              </w:rPr>
            </w:pPr>
            <w:r>
              <w:rPr>
                <w:rFonts w:ascii="Times New Roman"/>
                <w:sz w:val="21"/>
              </w:rPr>
              <w:t>.00</w:t>
            </w:r>
          </w:p>
        </w:tc>
        <w:tc>
          <w:tcPr>
            <w:tcW w:w="530"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35" w:lineRule="exact"/>
              <w:ind w:left="52" w:right="0"/>
              <w:jc w:val="left"/>
              <w:rPr>
                <w:rFonts w:ascii="Times New Roman" w:hAnsi="Times New Roman" w:cs="Times New Roman" w:eastAsia="Times New Roman" w:hint="default"/>
                <w:sz w:val="21"/>
                <w:szCs w:val="21"/>
              </w:rPr>
            </w:pPr>
            <w:r>
              <w:rPr>
                <w:rFonts w:ascii="Times New Roman"/>
                <w:sz w:val="21"/>
              </w:rPr>
              <w:t>132,98</w:t>
            </w:r>
          </w:p>
          <w:p>
            <w:pPr>
              <w:pStyle w:val="TableParagraph"/>
              <w:spacing w:line="241" w:lineRule="exact" w:before="1"/>
              <w:ind w:left="105" w:right="0"/>
              <w:jc w:val="left"/>
              <w:rPr>
                <w:rFonts w:ascii="Times New Roman" w:hAnsi="Times New Roman" w:cs="Times New Roman" w:eastAsia="Times New Roman" w:hint="default"/>
                <w:sz w:val="21"/>
                <w:szCs w:val="21"/>
              </w:rPr>
            </w:pPr>
            <w:r>
              <w:rPr>
                <w:rFonts w:ascii="Times New Roman"/>
                <w:sz w:val="21"/>
              </w:rPr>
              <w:t>0,990.</w:t>
            </w:r>
          </w:p>
          <w:p>
            <w:pPr>
              <w:pStyle w:val="TableParagraph"/>
              <w:spacing w:line="241" w:lineRule="exact"/>
              <w:ind w:left="420" w:right="0"/>
              <w:jc w:val="left"/>
              <w:rPr>
                <w:rFonts w:ascii="Times New Roman" w:hAnsi="Times New Roman" w:cs="Times New Roman" w:eastAsia="Times New Roman" w:hint="default"/>
                <w:sz w:val="21"/>
                <w:szCs w:val="21"/>
              </w:rPr>
            </w:pPr>
            <w:r>
              <w:rPr>
                <w:rFonts w:ascii="Times New Roman"/>
                <w:sz w:val="21"/>
              </w:rPr>
              <w:t>76</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13"/>
              <w:ind w:left="105" w:right="0"/>
              <w:jc w:val="left"/>
              <w:rPr>
                <w:rFonts w:ascii="Times New Roman" w:hAnsi="Times New Roman" w:cs="Times New Roman" w:eastAsia="Times New Roman" w:hint="default"/>
                <w:sz w:val="21"/>
                <w:szCs w:val="21"/>
              </w:rPr>
            </w:pPr>
            <w:r>
              <w:rPr>
                <w:rFonts w:ascii="Times New Roman"/>
                <w:sz w:val="21"/>
              </w:rPr>
              <w:t>9,498,</w:t>
            </w:r>
          </w:p>
          <w:p>
            <w:pPr>
              <w:pStyle w:val="TableParagraph"/>
              <w:spacing w:line="240" w:lineRule="auto" w:before="1"/>
              <w:ind w:left="52" w:right="0"/>
              <w:jc w:val="left"/>
              <w:rPr>
                <w:rFonts w:ascii="Times New Roman" w:hAnsi="Times New Roman" w:cs="Times New Roman" w:eastAsia="Times New Roman" w:hint="default"/>
                <w:sz w:val="21"/>
                <w:szCs w:val="21"/>
              </w:rPr>
            </w:pPr>
            <w:r>
              <w:rPr>
                <w:rFonts w:ascii="Times New Roman"/>
                <w:sz w:val="21"/>
              </w:rPr>
              <w:t>391.39</w:t>
            </w:r>
          </w:p>
        </w:tc>
        <w:tc>
          <w:tcPr>
            <w:tcW w:w="665" w:type="dxa"/>
            <w:vMerge w:val="restart"/>
            <w:tcBorders>
              <w:top w:val="single" w:sz="4" w:space="0" w:color="000000"/>
              <w:left w:val="single" w:sz="4" w:space="0" w:color="000000"/>
              <w:right w:val="single" w:sz="4" w:space="0" w:color="000000"/>
            </w:tcBorders>
          </w:tcPr>
          <w:p>
            <w:pPr/>
          </w:p>
        </w:tc>
        <w:tc>
          <w:tcPr>
            <w:tcW w:w="679" w:type="dxa"/>
            <w:vMerge w:val="restart"/>
            <w:tcBorders>
              <w:top w:val="single" w:sz="4" w:space="0" w:color="000000"/>
              <w:left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z w:val="21"/>
              </w:rPr>
              <w:t>65,208</w:t>
            </w:r>
          </w:p>
          <w:p>
            <w:pPr>
              <w:pStyle w:val="TableParagraph"/>
              <w:spacing w:line="241" w:lineRule="exact" w:before="1"/>
              <w:ind w:right="19"/>
              <w:jc w:val="right"/>
              <w:rPr>
                <w:rFonts w:ascii="Times New Roman" w:hAnsi="Times New Roman" w:cs="Times New Roman" w:eastAsia="Times New Roman" w:hint="default"/>
                <w:sz w:val="21"/>
                <w:szCs w:val="21"/>
              </w:rPr>
            </w:pPr>
            <w:r>
              <w:rPr>
                <w:rFonts w:ascii="Times New Roman"/>
                <w:sz w:val="21"/>
              </w:rPr>
              <w:t>,605.6</w:t>
            </w:r>
          </w:p>
          <w:p>
            <w:pPr>
              <w:pStyle w:val="TableParagraph"/>
              <w:spacing w:line="241" w:lineRule="exact"/>
              <w:ind w:right="23"/>
              <w:jc w:val="right"/>
              <w:rPr>
                <w:rFonts w:ascii="Times New Roman" w:hAnsi="Times New Roman" w:cs="Times New Roman" w:eastAsia="Times New Roman" w:hint="default"/>
                <w:sz w:val="21"/>
                <w:szCs w:val="21"/>
              </w:rPr>
            </w:pPr>
            <w:r>
              <w:rPr>
                <w:rFonts w:ascii="Times New Roman"/>
                <w:w w:val="100"/>
                <w:sz w:val="21"/>
              </w:rPr>
              <w:t>2</w:t>
            </w:r>
          </w:p>
        </w:tc>
        <w:tc>
          <w:tcPr>
            <w:tcW w:w="653" w:type="dxa"/>
            <w:vMerge w:val="restart"/>
            <w:tcBorders>
              <w:top w:val="single" w:sz="4" w:space="0" w:color="000000"/>
              <w:left w:val="single" w:sz="4" w:space="0" w:color="000000"/>
              <w:right w:val="single" w:sz="4" w:space="0" w:color="000000"/>
            </w:tcBorders>
          </w:tcPr>
          <w:p>
            <w:pPr/>
          </w:p>
        </w:tc>
        <w:tc>
          <w:tcPr>
            <w:tcW w:w="658" w:type="dxa"/>
            <w:vMerge w:val="restart"/>
            <w:tcBorders>
              <w:top w:val="single" w:sz="4" w:space="0" w:color="000000"/>
              <w:left w:val="single" w:sz="4" w:space="0" w:color="000000"/>
              <w:right w:val="single" w:sz="4" w:space="0" w:color="000000"/>
            </w:tcBorders>
          </w:tcPr>
          <w:p>
            <w:pPr>
              <w:pStyle w:val="TableParagraph"/>
              <w:spacing w:line="235" w:lineRule="exact"/>
              <w:ind w:left="47" w:right="0"/>
              <w:jc w:val="left"/>
              <w:rPr>
                <w:rFonts w:ascii="Times New Roman" w:hAnsi="Times New Roman" w:cs="Times New Roman" w:eastAsia="Times New Roman" w:hint="default"/>
                <w:sz w:val="21"/>
                <w:szCs w:val="21"/>
              </w:rPr>
            </w:pPr>
            <w:r>
              <w:rPr>
                <w:rFonts w:ascii="Times New Roman"/>
                <w:sz w:val="21"/>
              </w:rPr>
              <w:t>295,68</w:t>
            </w:r>
          </w:p>
          <w:p>
            <w:pPr>
              <w:pStyle w:val="TableParagraph"/>
              <w:spacing w:line="241" w:lineRule="exact" w:before="1"/>
              <w:ind w:left="100" w:right="0"/>
              <w:jc w:val="left"/>
              <w:rPr>
                <w:rFonts w:ascii="Times New Roman" w:hAnsi="Times New Roman" w:cs="Times New Roman" w:eastAsia="Times New Roman" w:hint="default"/>
                <w:sz w:val="21"/>
                <w:szCs w:val="21"/>
              </w:rPr>
            </w:pPr>
            <w:r>
              <w:rPr>
                <w:rFonts w:ascii="Times New Roman"/>
                <w:sz w:val="21"/>
              </w:rPr>
              <w:t>7,987.</w:t>
            </w:r>
          </w:p>
          <w:p>
            <w:pPr>
              <w:pStyle w:val="TableParagraph"/>
              <w:spacing w:line="241" w:lineRule="exact"/>
              <w:ind w:left="415" w:right="0"/>
              <w:jc w:val="left"/>
              <w:rPr>
                <w:rFonts w:ascii="Times New Roman" w:hAnsi="Times New Roman" w:cs="Times New Roman" w:eastAsia="Times New Roman" w:hint="default"/>
                <w:sz w:val="21"/>
                <w:szCs w:val="21"/>
              </w:rPr>
            </w:pPr>
            <w:r>
              <w:rPr>
                <w:rFonts w:ascii="Times New Roman"/>
                <w:sz w:val="21"/>
              </w:rPr>
              <w:t>77</w:t>
            </w:r>
          </w:p>
        </w:tc>
      </w:tr>
      <w:tr>
        <w:trPr>
          <w:trHeight w:val="641" w:hRule="exact"/>
        </w:trPr>
        <w:tc>
          <w:tcPr>
            <w:tcW w:w="1426" w:type="dxa"/>
            <w:tcBorders>
              <w:top w:val="nil" w:sz="6" w:space="0" w:color="auto"/>
              <w:left w:val="single" w:sz="4" w:space="0" w:color="000000"/>
              <w:bottom w:val="single" w:sz="4" w:space="0" w:color="000000"/>
              <w:right w:val="single" w:sz="4" w:space="0" w:color="000000"/>
            </w:tcBorders>
            <w:shd w:val="clear" w:color="auto" w:fill="D4D4D4"/>
          </w:tcPr>
          <w:p>
            <w:pPr>
              <w:pStyle w:val="TableParagraph"/>
              <w:spacing w:line="240" w:lineRule="exact"/>
              <w:ind w:left="12" w:right="0"/>
              <w:jc w:val="left"/>
              <w:rPr>
                <w:rFonts w:ascii="宋体" w:hAnsi="宋体" w:cs="宋体" w:eastAsia="宋体" w:hint="default"/>
                <w:sz w:val="21"/>
                <w:szCs w:val="21"/>
              </w:rPr>
            </w:pPr>
            <w:r>
              <w:rPr>
                <w:rFonts w:ascii="宋体" w:hAnsi="宋体" w:cs="宋体" w:eastAsia="宋体" w:hint="default"/>
                <w:w w:val="100"/>
                <w:sz w:val="21"/>
                <w:szCs w:val="21"/>
              </w:rPr>
              <w:t>一</w:t>
            </w:r>
            <w:r>
              <w:rPr>
                <w:rFonts w:ascii="宋体" w:hAnsi="宋体" w:cs="宋体" w:eastAsia="宋体" w:hint="default"/>
                <w:spacing w:val="-92"/>
                <w:w w:val="100"/>
                <w:sz w:val="21"/>
                <w:szCs w:val="21"/>
              </w:rPr>
              <w:t>、</w:t>
            </w:r>
            <w:r>
              <w:rPr>
                <w:rFonts w:ascii="宋体" w:hAnsi="宋体" w:cs="宋体" w:eastAsia="宋体" w:hint="default"/>
                <w:w w:val="100"/>
                <w:sz w:val="21"/>
                <w:szCs w:val="21"/>
              </w:rPr>
              <w:t>上</w:t>
            </w:r>
            <w:r>
              <w:rPr>
                <w:rFonts w:ascii="宋体" w:hAnsi="宋体" w:cs="宋体" w:eastAsia="宋体" w:hint="default"/>
                <w:spacing w:val="-3"/>
                <w:w w:val="100"/>
                <w:sz w:val="21"/>
                <w:szCs w:val="21"/>
              </w:rPr>
              <w:t>年</w:t>
            </w:r>
            <w:r>
              <w:rPr>
                <w:rFonts w:ascii="宋体" w:hAnsi="宋体" w:cs="宋体" w:eastAsia="宋体" w:hint="default"/>
                <w:w w:val="100"/>
                <w:sz w:val="21"/>
                <w:szCs w:val="21"/>
              </w:rPr>
              <w:t>期</w:t>
            </w:r>
            <w:r>
              <w:rPr>
                <w:rFonts w:ascii="宋体" w:hAnsi="宋体" w:cs="宋体" w:eastAsia="宋体" w:hint="default"/>
                <w:spacing w:val="-3"/>
                <w:w w:val="100"/>
                <w:sz w:val="21"/>
                <w:szCs w:val="21"/>
              </w:rPr>
              <w:t>末</w:t>
            </w:r>
            <w:r>
              <w:rPr>
                <w:rFonts w:ascii="宋体" w:hAnsi="宋体" w:cs="宋体" w:eastAsia="宋体" w:hint="default"/>
                <w:w w:val="100"/>
                <w:sz w:val="21"/>
                <w:szCs w:val="21"/>
              </w:rPr>
              <w:t>余</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562" w:type="dxa"/>
            <w:vMerge/>
            <w:tcBorders>
              <w:left w:val="single" w:sz="12" w:space="0" w:color="D4D4D4"/>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9"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554" w:hRule="exact"/>
        </w:trPr>
        <w:tc>
          <w:tcPr>
            <w:tcW w:w="14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exact"/>
              <w:ind w:left="434" w:right="0"/>
              <w:jc w:val="left"/>
              <w:rPr>
                <w:rFonts w:ascii="宋体" w:hAnsi="宋体" w:cs="宋体" w:eastAsia="宋体" w:hint="default"/>
                <w:sz w:val="21"/>
                <w:szCs w:val="21"/>
              </w:rPr>
            </w:pPr>
            <w:r>
              <w:rPr>
                <w:rFonts w:ascii="宋体" w:hAnsi="宋体" w:cs="宋体" w:eastAsia="宋体" w:hint="default"/>
                <w:spacing w:val="-3"/>
                <w:w w:val="100"/>
                <w:sz w:val="21"/>
                <w:szCs w:val="21"/>
              </w:rPr>
              <w:t>加</w:t>
            </w:r>
            <w:r>
              <w:rPr>
                <w:rFonts w:ascii="宋体" w:hAnsi="宋体" w:cs="宋体" w:eastAsia="宋体" w:hint="default"/>
                <w:spacing w:val="-92"/>
                <w:w w:val="100"/>
                <w:sz w:val="21"/>
                <w:szCs w:val="21"/>
              </w:rPr>
              <w:t>：</w:t>
            </w:r>
            <w:r>
              <w:rPr>
                <w:rFonts w:ascii="宋体" w:hAnsi="宋体" w:cs="宋体" w:eastAsia="宋体" w:hint="default"/>
                <w:w w:val="100"/>
                <w:sz w:val="21"/>
                <w:szCs w:val="21"/>
              </w:rPr>
              <w:t>会</w:t>
            </w:r>
            <w:r>
              <w:rPr>
                <w:rFonts w:ascii="宋体" w:hAnsi="宋体" w:cs="宋体" w:eastAsia="宋体" w:hint="default"/>
                <w:spacing w:val="-3"/>
                <w:w w:val="100"/>
                <w:sz w:val="21"/>
                <w:szCs w:val="21"/>
              </w:rPr>
              <w:t>计政</w:t>
            </w:r>
            <w:r>
              <w:rPr>
                <w:rFonts w:ascii="宋体" w:hAnsi="宋体" w:cs="宋体" w:eastAsia="宋体" w:hint="default"/>
                <w:w w:val="100"/>
                <w:sz w:val="21"/>
                <w:szCs w:val="21"/>
              </w:rPr>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策变更</w:t>
            </w:r>
          </w:p>
        </w:tc>
        <w:tc>
          <w:tcPr>
            <w:tcW w:w="562" w:type="dxa"/>
            <w:tcBorders>
              <w:top w:val="single" w:sz="4" w:space="0" w:color="000000"/>
              <w:left w:val="single" w:sz="12" w:space="0" w:color="D4D4D4"/>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854" w:right="0"/>
              <w:jc w:val="left"/>
              <w:rPr>
                <w:rFonts w:ascii="宋体" w:hAnsi="宋体" w:cs="宋体" w:eastAsia="宋体" w:hint="default"/>
                <w:sz w:val="21"/>
                <w:szCs w:val="21"/>
              </w:rPr>
            </w:pPr>
            <w:r>
              <w:rPr>
                <w:rFonts w:ascii="宋体" w:hAnsi="宋体" w:cs="宋体" w:eastAsia="宋体" w:hint="default"/>
                <w:spacing w:val="-3"/>
                <w:sz w:val="21"/>
                <w:szCs w:val="21"/>
              </w:rPr>
              <w:t>前期</w:t>
            </w:r>
            <w:r>
              <w:rPr>
                <w:rFonts w:ascii="宋体" w:hAnsi="宋体" w:cs="宋体" w:eastAsia="宋体" w:hint="default"/>
                <w:sz w:val="21"/>
                <w:szCs w:val="21"/>
              </w:rPr>
            </w:r>
          </w:p>
          <w:p>
            <w:pPr>
              <w:pStyle w:val="TableParagraph"/>
              <w:spacing w:line="273" w:lineRule="exact"/>
              <w:ind w:left="12" w:right="0"/>
              <w:jc w:val="left"/>
              <w:rPr>
                <w:rFonts w:ascii="宋体" w:hAnsi="宋体" w:cs="宋体" w:eastAsia="宋体" w:hint="default"/>
                <w:sz w:val="21"/>
                <w:szCs w:val="21"/>
              </w:rPr>
            </w:pPr>
            <w:r>
              <w:rPr>
                <w:rFonts w:ascii="宋体" w:hAnsi="宋体" w:cs="宋体" w:eastAsia="宋体" w:hint="default"/>
                <w:sz w:val="21"/>
                <w:szCs w:val="21"/>
              </w:rPr>
              <w:t>差错更正</w:t>
            </w:r>
          </w:p>
        </w:tc>
        <w:tc>
          <w:tcPr>
            <w:tcW w:w="562" w:type="dxa"/>
            <w:tcBorders>
              <w:top w:val="single" w:sz="4" w:space="0" w:color="000000"/>
              <w:left w:val="single" w:sz="12" w:space="0" w:color="D4D4D4"/>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4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exact"/>
              <w:ind w:left="12" w:right="0" w:firstLine="842"/>
              <w:jc w:val="left"/>
              <w:rPr>
                <w:rFonts w:ascii="宋体" w:hAnsi="宋体" w:cs="宋体" w:eastAsia="宋体" w:hint="default"/>
                <w:sz w:val="21"/>
                <w:szCs w:val="21"/>
              </w:rPr>
            </w:pPr>
            <w:r>
              <w:rPr>
                <w:rFonts w:ascii="宋体" w:hAnsi="宋体" w:cs="宋体" w:eastAsia="宋体" w:hint="default"/>
                <w:spacing w:val="-3"/>
                <w:sz w:val="21"/>
                <w:szCs w:val="21"/>
              </w:rPr>
              <w:t>同一</w:t>
            </w:r>
            <w:r>
              <w:rPr>
                <w:rFonts w:ascii="宋体" w:hAnsi="宋体" w:cs="宋体" w:eastAsia="宋体" w:hint="default"/>
                <w:sz w:val="21"/>
                <w:szCs w:val="21"/>
              </w:rPr>
            </w:r>
          </w:p>
          <w:p>
            <w:pPr>
              <w:pStyle w:val="TableParagraph"/>
              <w:spacing w:line="240" w:lineRule="auto"/>
              <w:ind w:left="12" w:right="139"/>
              <w:jc w:val="left"/>
              <w:rPr>
                <w:rFonts w:ascii="宋体" w:hAnsi="宋体" w:cs="宋体" w:eastAsia="宋体" w:hint="default"/>
                <w:sz w:val="21"/>
                <w:szCs w:val="21"/>
              </w:rPr>
            </w:pPr>
            <w:r>
              <w:rPr>
                <w:rFonts w:ascii="宋体" w:hAnsi="宋体" w:cs="宋体" w:eastAsia="宋体" w:hint="default"/>
                <w:sz w:val="21"/>
                <w:szCs w:val="21"/>
              </w:rPr>
              <w:t>控制下企业合</w:t>
            </w:r>
            <w:r>
              <w:rPr>
                <w:rFonts w:ascii="宋体" w:hAnsi="宋体" w:cs="宋体" w:eastAsia="宋体" w:hint="default"/>
                <w:w w:val="100"/>
                <w:sz w:val="21"/>
                <w:szCs w:val="21"/>
              </w:rPr>
              <w:t> </w:t>
            </w:r>
            <w:r>
              <w:rPr>
                <w:rFonts w:ascii="宋体" w:hAnsi="宋体" w:cs="宋体" w:eastAsia="宋体" w:hint="default"/>
                <w:sz w:val="21"/>
                <w:szCs w:val="21"/>
              </w:rPr>
              <w:t>并</w:t>
            </w:r>
          </w:p>
        </w:tc>
        <w:tc>
          <w:tcPr>
            <w:tcW w:w="562" w:type="dxa"/>
            <w:tcBorders>
              <w:top w:val="single" w:sz="4" w:space="0" w:color="000000"/>
              <w:left w:val="single" w:sz="12" w:space="0" w:color="D4D4D4"/>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3" w:lineRule="exact"/>
              <w:ind w:left="854" w:right="0"/>
              <w:jc w:val="left"/>
              <w:rPr>
                <w:rFonts w:ascii="宋体" w:hAnsi="宋体" w:cs="宋体" w:eastAsia="宋体" w:hint="default"/>
                <w:sz w:val="21"/>
                <w:szCs w:val="21"/>
              </w:rPr>
            </w:pPr>
            <w:r>
              <w:rPr>
                <w:rFonts w:ascii="宋体" w:hAnsi="宋体" w:cs="宋体" w:eastAsia="宋体" w:hint="default"/>
                <w:spacing w:val="-3"/>
                <w:sz w:val="21"/>
                <w:szCs w:val="21"/>
              </w:rPr>
              <w:t>其他</w:t>
            </w:r>
            <w:r>
              <w:rPr>
                <w:rFonts w:ascii="宋体" w:hAnsi="宋体" w:cs="宋体" w:eastAsia="宋体" w:hint="default"/>
                <w:sz w:val="21"/>
                <w:szCs w:val="21"/>
              </w:rPr>
            </w:r>
          </w:p>
        </w:tc>
        <w:tc>
          <w:tcPr>
            <w:tcW w:w="562" w:type="dxa"/>
            <w:tcBorders>
              <w:top w:val="single" w:sz="4" w:space="0" w:color="000000"/>
              <w:left w:val="single" w:sz="12" w:space="0" w:color="D4D4D4"/>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w w:val="100"/>
                <w:sz w:val="21"/>
                <w:szCs w:val="21"/>
              </w:rPr>
              <w:t>二</w:t>
            </w:r>
            <w:r>
              <w:rPr>
                <w:rFonts w:ascii="宋体" w:hAnsi="宋体" w:cs="宋体" w:eastAsia="宋体" w:hint="default"/>
                <w:spacing w:val="-92"/>
                <w:w w:val="100"/>
                <w:sz w:val="21"/>
                <w:szCs w:val="21"/>
              </w:rPr>
              <w:t>、</w:t>
            </w:r>
            <w:r>
              <w:rPr>
                <w:rFonts w:ascii="宋体" w:hAnsi="宋体" w:cs="宋体" w:eastAsia="宋体" w:hint="default"/>
                <w:w w:val="100"/>
                <w:sz w:val="21"/>
                <w:szCs w:val="21"/>
              </w:rPr>
              <w:t>本</w:t>
            </w:r>
            <w:r>
              <w:rPr>
                <w:rFonts w:ascii="宋体" w:hAnsi="宋体" w:cs="宋体" w:eastAsia="宋体" w:hint="default"/>
                <w:spacing w:val="-3"/>
                <w:w w:val="100"/>
                <w:sz w:val="21"/>
                <w:szCs w:val="21"/>
              </w:rPr>
              <w:t>年</w:t>
            </w:r>
            <w:r>
              <w:rPr>
                <w:rFonts w:ascii="宋体" w:hAnsi="宋体" w:cs="宋体" w:eastAsia="宋体" w:hint="default"/>
                <w:w w:val="100"/>
                <w:sz w:val="21"/>
                <w:szCs w:val="21"/>
              </w:rPr>
              <w:t>期</w:t>
            </w:r>
            <w:r>
              <w:rPr>
                <w:rFonts w:ascii="宋体" w:hAnsi="宋体" w:cs="宋体" w:eastAsia="宋体" w:hint="default"/>
                <w:spacing w:val="-3"/>
                <w:w w:val="100"/>
                <w:sz w:val="21"/>
                <w:szCs w:val="21"/>
              </w:rPr>
              <w:t>初</w:t>
            </w:r>
            <w:r>
              <w:rPr>
                <w:rFonts w:ascii="宋体" w:hAnsi="宋体" w:cs="宋体" w:eastAsia="宋体" w:hint="default"/>
                <w:w w:val="100"/>
                <w:sz w:val="21"/>
                <w:szCs w:val="21"/>
              </w:rPr>
              <w:t>余</w:t>
            </w:r>
          </w:p>
          <w:p>
            <w:pPr>
              <w:pStyle w:val="TableParagraph"/>
              <w:spacing w:line="273" w:lineRule="exact"/>
              <w:ind w:left="12"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562" w:type="dxa"/>
            <w:tcBorders>
              <w:top w:val="single" w:sz="4" w:space="0" w:color="000000"/>
              <w:left w:val="single" w:sz="12" w:space="0" w:color="D4D4D4"/>
              <w:bottom w:val="single" w:sz="4" w:space="0" w:color="000000"/>
              <w:right w:val="single" w:sz="4" w:space="0" w:color="000000"/>
            </w:tcBorders>
          </w:tcPr>
          <w:p>
            <w:pPr>
              <w:pStyle w:val="TableParagraph"/>
              <w:spacing w:line="241" w:lineRule="exact" w:before="27"/>
              <w:ind w:left="46" w:right="0"/>
              <w:jc w:val="left"/>
              <w:rPr>
                <w:rFonts w:ascii="Times New Roman" w:hAnsi="Times New Roman" w:cs="Times New Roman" w:eastAsia="Times New Roman" w:hint="default"/>
                <w:sz w:val="21"/>
                <w:szCs w:val="21"/>
              </w:rPr>
            </w:pPr>
            <w:r>
              <w:rPr>
                <w:rFonts w:ascii="Times New Roman"/>
                <w:sz w:val="21"/>
              </w:rPr>
              <w:t>88,00</w:t>
            </w:r>
          </w:p>
          <w:p>
            <w:pPr>
              <w:pStyle w:val="TableParagraph"/>
              <w:spacing w:line="241" w:lineRule="exact"/>
              <w:ind w:left="46" w:right="0"/>
              <w:jc w:val="left"/>
              <w:rPr>
                <w:rFonts w:ascii="Times New Roman" w:hAnsi="Times New Roman" w:cs="Times New Roman" w:eastAsia="Times New Roman" w:hint="default"/>
                <w:sz w:val="21"/>
                <w:szCs w:val="21"/>
              </w:rPr>
            </w:pPr>
            <w:r>
              <w:rPr>
                <w:rFonts w:ascii="Times New Roman"/>
                <w:sz w:val="21"/>
              </w:rPr>
              <w:t>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7"/>
              <w:ind w:left="52" w:right="0"/>
              <w:jc w:val="left"/>
              <w:rPr>
                <w:rFonts w:ascii="Times New Roman" w:hAnsi="Times New Roman" w:cs="Times New Roman" w:eastAsia="Times New Roman" w:hint="default"/>
                <w:sz w:val="21"/>
                <w:szCs w:val="21"/>
              </w:rPr>
            </w:pPr>
            <w:r>
              <w:rPr>
                <w:rFonts w:ascii="Times New Roman"/>
                <w:sz w:val="21"/>
              </w:rPr>
              <w:t>132,98</w:t>
            </w:r>
          </w:p>
          <w:p>
            <w:pPr>
              <w:pStyle w:val="TableParagraph"/>
              <w:spacing w:line="241" w:lineRule="exact"/>
              <w:ind w:left="105" w:right="0"/>
              <w:jc w:val="left"/>
              <w:rPr>
                <w:rFonts w:ascii="Times New Roman" w:hAnsi="Times New Roman" w:cs="Times New Roman" w:eastAsia="Times New Roman" w:hint="default"/>
                <w:sz w:val="21"/>
                <w:szCs w:val="21"/>
              </w:rPr>
            </w:pPr>
            <w:r>
              <w:rPr>
                <w:rFonts w:ascii="Times New Roman"/>
                <w:sz w:val="21"/>
              </w:rPr>
              <w:t>0,990.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7"/>
              <w:ind w:left="105" w:right="0"/>
              <w:jc w:val="left"/>
              <w:rPr>
                <w:rFonts w:ascii="Times New Roman" w:hAnsi="Times New Roman" w:cs="Times New Roman" w:eastAsia="Times New Roman" w:hint="default"/>
                <w:sz w:val="21"/>
                <w:szCs w:val="21"/>
              </w:rPr>
            </w:pPr>
            <w:r>
              <w:rPr>
                <w:rFonts w:ascii="Times New Roman"/>
                <w:sz w:val="21"/>
              </w:rPr>
              <w:t>9,498,</w:t>
            </w:r>
          </w:p>
          <w:p>
            <w:pPr>
              <w:pStyle w:val="TableParagraph"/>
              <w:spacing w:line="241" w:lineRule="exact"/>
              <w:ind w:left="52" w:right="0"/>
              <w:jc w:val="left"/>
              <w:rPr>
                <w:rFonts w:ascii="Times New Roman" w:hAnsi="Times New Roman" w:cs="Times New Roman" w:eastAsia="Times New Roman" w:hint="default"/>
                <w:sz w:val="21"/>
                <w:szCs w:val="21"/>
              </w:rPr>
            </w:pPr>
            <w:r>
              <w:rPr>
                <w:rFonts w:ascii="Times New Roman"/>
                <w:sz w:val="21"/>
              </w:rPr>
              <w:t>391.39</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7"/>
              <w:ind w:left="67" w:right="0"/>
              <w:jc w:val="left"/>
              <w:rPr>
                <w:rFonts w:ascii="Times New Roman" w:hAnsi="Times New Roman" w:cs="Times New Roman" w:eastAsia="Times New Roman" w:hint="default"/>
                <w:sz w:val="21"/>
                <w:szCs w:val="21"/>
              </w:rPr>
            </w:pPr>
            <w:r>
              <w:rPr>
                <w:rFonts w:ascii="Times New Roman"/>
                <w:sz w:val="21"/>
              </w:rPr>
              <w:t>65,208</w:t>
            </w:r>
          </w:p>
          <w:p>
            <w:pPr>
              <w:pStyle w:val="TableParagraph"/>
              <w:spacing w:line="241" w:lineRule="exact"/>
              <w:ind w:left="119" w:right="0"/>
              <w:jc w:val="left"/>
              <w:rPr>
                <w:rFonts w:ascii="Times New Roman" w:hAnsi="Times New Roman" w:cs="Times New Roman" w:eastAsia="Times New Roman" w:hint="default"/>
                <w:sz w:val="21"/>
                <w:szCs w:val="21"/>
              </w:rPr>
            </w:pPr>
            <w:r>
              <w:rPr>
                <w:rFonts w:ascii="Times New Roman"/>
                <w:sz w:val="21"/>
              </w:rPr>
              <w:t>,605.6</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7"/>
              <w:ind w:left="47" w:right="0"/>
              <w:jc w:val="left"/>
              <w:rPr>
                <w:rFonts w:ascii="Times New Roman" w:hAnsi="Times New Roman" w:cs="Times New Roman" w:eastAsia="Times New Roman" w:hint="default"/>
                <w:sz w:val="21"/>
                <w:szCs w:val="21"/>
              </w:rPr>
            </w:pPr>
            <w:r>
              <w:rPr>
                <w:rFonts w:ascii="Times New Roman"/>
                <w:sz w:val="21"/>
              </w:rPr>
              <w:t>295,68</w:t>
            </w:r>
          </w:p>
          <w:p>
            <w:pPr>
              <w:pStyle w:val="TableParagraph"/>
              <w:spacing w:line="241" w:lineRule="exact"/>
              <w:ind w:left="100" w:right="0"/>
              <w:jc w:val="left"/>
              <w:rPr>
                <w:rFonts w:ascii="Times New Roman" w:hAnsi="Times New Roman" w:cs="Times New Roman" w:eastAsia="Times New Roman" w:hint="default"/>
                <w:sz w:val="21"/>
                <w:szCs w:val="21"/>
              </w:rPr>
            </w:pPr>
            <w:r>
              <w:rPr>
                <w:rFonts w:ascii="Times New Roman"/>
                <w:sz w:val="21"/>
              </w:rPr>
              <w:t>7,987.</w:t>
            </w:r>
          </w:p>
        </w:tc>
      </w:tr>
    </w:tbl>
    <w:p>
      <w:pPr>
        <w:spacing w:after="0" w:line="241" w:lineRule="exact"/>
        <w:jc w:val="left"/>
        <w:rPr>
          <w:rFonts w:ascii="Times New Roman" w:hAnsi="Times New Roman" w:cs="Times New Roman" w:eastAsia="Times New Roman" w:hint="default"/>
          <w:sz w:val="21"/>
          <w:szCs w:val="21"/>
        </w:rPr>
        <w:sectPr>
          <w:pgSz w:w="11910" w:h="16840"/>
          <w:pgMar w:header="880" w:footer="979" w:top="1060" w:bottom="1160" w:left="980" w:right="98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6"/>
        <w:gridCol w:w="562"/>
        <w:gridCol w:w="530"/>
        <w:gridCol w:w="530"/>
        <w:gridCol w:w="533"/>
        <w:gridCol w:w="662"/>
        <w:gridCol w:w="665"/>
        <w:gridCol w:w="667"/>
        <w:gridCol w:w="665"/>
        <w:gridCol w:w="662"/>
        <w:gridCol w:w="665"/>
        <w:gridCol w:w="679"/>
        <w:gridCol w:w="653"/>
        <w:gridCol w:w="658"/>
      </w:tblGrid>
      <w:tr>
        <w:trPr>
          <w:trHeight w:val="252"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8" w:right="0"/>
              <w:jc w:val="left"/>
              <w:rPr>
                <w:rFonts w:ascii="Times New Roman" w:hAnsi="Times New Roman" w:cs="Times New Roman" w:eastAsia="Times New Roman" w:hint="default"/>
                <w:sz w:val="21"/>
                <w:szCs w:val="21"/>
              </w:rPr>
            </w:pPr>
            <w:r>
              <w:rPr>
                <w:rFonts w:ascii="Times New Roman"/>
                <w:sz w:val="21"/>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20" w:right="0"/>
              <w:jc w:val="left"/>
              <w:rPr>
                <w:rFonts w:ascii="Times New Roman" w:hAnsi="Times New Roman" w:cs="Times New Roman" w:eastAsia="Times New Roman" w:hint="default"/>
                <w:sz w:val="21"/>
                <w:szCs w:val="21"/>
              </w:rPr>
            </w:pPr>
            <w:r>
              <w:rPr>
                <w:rFonts w:ascii="Times New Roman"/>
                <w:sz w:val="21"/>
              </w:rPr>
              <w:t>76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w w:val="100"/>
                <w:sz w:val="21"/>
              </w:rPr>
              <w:t>2</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15" w:right="0"/>
              <w:jc w:val="left"/>
              <w:rPr>
                <w:rFonts w:ascii="Times New Roman" w:hAnsi="Times New Roman" w:cs="Times New Roman" w:eastAsia="Times New Roman" w:hint="default"/>
                <w:sz w:val="21"/>
                <w:szCs w:val="21"/>
              </w:rPr>
            </w:pPr>
            <w:r>
              <w:rPr>
                <w:rFonts w:ascii="Times New Roman"/>
                <w:sz w:val="21"/>
              </w:rPr>
              <w:t>77</w:t>
            </w:r>
          </w:p>
        </w:tc>
      </w:tr>
      <w:tr>
        <w:trPr>
          <w:trHeight w:val="828"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w w:val="100"/>
                <w:sz w:val="21"/>
                <w:szCs w:val="21"/>
              </w:rPr>
              <w:t>三</w:t>
            </w:r>
            <w:r>
              <w:rPr>
                <w:rFonts w:ascii="宋体" w:hAnsi="宋体" w:cs="宋体" w:eastAsia="宋体" w:hint="default"/>
                <w:spacing w:val="-92"/>
                <w:w w:val="100"/>
                <w:sz w:val="21"/>
                <w:szCs w:val="21"/>
              </w:rPr>
              <w:t>、</w:t>
            </w:r>
            <w:r>
              <w:rPr>
                <w:rFonts w:ascii="宋体" w:hAnsi="宋体" w:cs="宋体" w:eastAsia="宋体" w:hint="default"/>
                <w:w w:val="100"/>
                <w:sz w:val="21"/>
                <w:szCs w:val="21"/>
              </w:rPr>
              <w:t>本</w:t>
            </w:r>
            <w:r>
              <w:rPr>
                <w:rFonts w:ascii="宋体" w:hAnsi="宋体" w:cs="宋体" w:eastAsia="宋体" w:hint="default"/>
                <w:spacing w:val="-3"/>
                <w:w w:val="100"/>
                <w:sz w:val="21"/>
                <w:szCs w:val="21"/>
              </w:rPr>
              <w:t>期</w:t>
            </w:r>
            <w:r>
              <w:rPr>
                <w:rFonts w:ascii="宋体" w:hAnsi="宋体" w:cs="宋体" w:eastAsia="宋体" w:hint="default"/>
                <w:w w:val="100"/>
                <w:sz w:val="21"/>
                <w:szCs w:val="21"/>
              </w:rPr>
              <w:t>增</w:t>
            </w:r>
            <w:r>
              <w:rPr>
                <w:rFonts w:ascii="宋体" w:hAnsi="宋体" w:cs="宋体" w:eastAsia="宋体" w:hint="default"/>
                <w:spacing w:val="-3"/>
                <w:w w:val="100"/>
                <w:sz w:val="21"/>
                <w:szCs w:val="21"/>
              </w:rPr>
              <w:t>减</w:t>
            </w:r>
            <w:r>
              <w:rPr>
                <w:rFonts w:ascii="宋体" w:hAnsi="宋体" w:cs="宋体" w:eastAsia="宋体" w:hint="default"/>
                <w:w w:val="100"/>
                <w:sz w:val="21"/>
                <w:szCs w:val="21"/>
              </w:rPr>
              <w:t>变</w:t>
            </w:r>
          </w:p>
          <w:p>
            <w:pPr>
              <w:pStyle w:val="TableParagraph"/>
              <w:spacing w:line="272" w:lineRule="exact"/>
              <w:ind w:left="22" w:right="0"/>
              <w:jc w:val="left"/>
              <w:rPr>
                <w:rFonts w:ascii="宋体" w:hAnsi="宋体" w:cs="宋体" w:eastAsia="宋体" w:hint="default"/>
                <w:sz w:val="21"/>
                <w:szCs w:val="21"/>
              </w:rPr>
            </w:pPr>
            <w:r>
              <w:rPr>
                <w:rFonts w:ascii="宋体" w:hAnsi="宋体" w:cs="宋体" w:eastAsia="宋体" w:hint="default"/>
                <w:w w:val="100"/>
                <w:sz w:val="21"/>
                <w:szCs w:val="21"/>
              </w:rPr>
              <w:t>动金</w:t>
            </w:r>
            <w:r>
              <w:rPr>
                <w:rFonts w:ascii="宋体" w:hAnsi="宋体" w:cs="宋体" w:eastAsia="宋体" w:hint="default"/>
                <w:spacing w:val="-92"/>
                <w:w w:val="100"/>
                <w:sz w:val="21"/>
                <w:szCs w:val="21"/>
              </w:rPr>
              <w:t>额</w:t>
            </w:r>
            <w:r>
              <w:rPr>
                <w:rFonts w:ascii="宋体" w:hAnsi="宋体" w:cs="宋体" w:eastAsia="宋体" w:hint="default"/>
                <w:spacing w:val="-3"/>
                <w:w w:val="100"/>
                <w:sz w:val="21"/>
                <w:szCs w:val="21"/>
              </w:rPr>
              <w:t>（</w:t>
            </w:r>
            <w:r>
              <w:rPr>
                <w:rFonts w:ascii="宋体" w:hAnsi="宋体" w:cs="宋体" w:eastAsia="宋体" w:hint="default"/>
                <w:w w:val="100"/>
                <w:sz w:val="21"/>
                <w:szCs w:val="21"/>
              </w:rPr>
              <w:t>减</w:t>
            </w:r>
            <w:r>
              <w:rPr>
                <w:rFonts w:ascii="宋体" w:hAnsi="宋体" w:cs="宋体" w:eastAsia="宋体" w:hint="default"/>
                <w:spacing w:val="-3"/>
                <w:w w:val="100"/>
                <w:sz w:val="21"/>
                <w:szCs w:val="21"/>
              </w:rPr>
              <w:t>少</w:t>
            </w:r>
            <w:r>
              <w:rPr>
                <w:rFonts w:ascii="宋体" w:hAnsi="宋体" w:cs="宋体" w:eastAsia="宋体" w:hint="default"/>
                <w:w w:val="100"/>
                <w:sz w:val="21"/>
                <w:szCs w:val="21"/>
              </w:rPr>
              <w:t>以</w:t>
            </w:r>
          </w:p>
          <w:p>
            <w:pPr>
              <w:pStyle w:val="TableParagraph"/>
              <w:spacing w:line="289"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61"/>
              <w:ind w:left="105" w:right="0"/>
              <w:jc w:val="left"/>
              <w:rPr>
                <w:rFonts w:ascii="Times New Roman" w:hAnsi="Times New Roman" w:cs="Times New Roman" w:eastAsia="Times New Roman" w:hint="default"/>
                <w:sz w:val="21"/>
                <w:szCs w:val="21"/>
              </w:rPr>
            </w:pPr>
            <w:r>
              <w:rPr>
                <w:rFonts w:ascii="Times New Roman"/>
                <w:sz w:val="21"/>
              </w:rPr>
              <w:t>2,237,</w:t>
            </w:r>
          </w:p>
          <w:p>
            <w:pPr>
              <w:pStyle w:val="TableParagraph"/>
              <w:spacing w:line="241" w:lineRule="exact"/>
              <w:ind w:left="52" w:right="0"/>
              <w:jc w:val="left"/>
              <w:rPr>
                <w:rFonts w:ascii="Times New Roman" w:hAnsi="Times New Roman" w:cs="Times New Roman" w:eastAsia="Times New Roman" w:hint="default"/>
                <w:sz w:val="21"/>
                <w:szCs w:val="21"/>
              </w:rPr>
            </w:pPr>
            <w:r>
              <w:rPr>
                <w:rFonts w:ascii="Times New Roman"/>
                <w:sz w:val="21"/>
              </w:rPr>
              <w:t>688.08</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41"/>
              <w:ind w:right="19"/>
              <w:jc w:val="right"/>
              <w:rPr>
                <w:rFonts w:ascii="Times New Roman" w:hAnsi="Times New Roman" w:cs="Times New Roman" w:eastAsia="Times New Roman" w:hint="default"/>
                <w:sz w:val="21"/>
                <w:szCs w:val="21"/>
              </w:rPr>
            </w:pPr>
            <w:r>
              <w:rPr>
                <w:rFonts w:ascii="Times New Roman"/>
                <w:sz w:val="21"/>
              </w:rPr>
              <w:t>21,074</w:t>
            </w:r>
          </w:p>
          <w:p>
            <w:pPr>
              <w:pStyle w:val="TableParagraph"/>
              <w:spacing w:line="241" w:lineRule="exact"/>
              <w:ind w:right="19"/>
              <w:jc w:val="right"/>
              <w:rPr>
                <w:rFonts w:ascii="Times New Roman" w:hAnsi="Times New Roman" w:cs="Times New Roman" w:eastAsia="Times New Roman" w:hint="default"/>
                <w:sz w:val="21"/>
                <w:szCs w:val="21"/>
              </w:rPr>
            </w:pPr>
            <w:r>
              <w:rPr>
                <w:rFonts w:ascii="Times New Roman"/>
                <w:sz w:val="21"/>
              </w:rPr>
              <w:t>,302.2</w:t>
            </w:r>
          </w:p>
          <w:p>
            <w:pPr>
              <w:pStyle w:val="TableParagraph"/>
              <w:spacing w:line="240" w:lineRule="auto" w:before="1"/>
              <w:ind w:right="23"/>
              <w:jc w:val="right"/>
              <w:rPr>
                <w:rFonts w:ascii="Times New Roman" w:hAnsi="Times New Roman" w:cs="Times New Roman" w:eastAsia="Times New Roman" w:hint="default"/>
                <w:sz w:val="21"/>
                <w:szCs w:val="21"/>
              </w:rPr>
            </w:pPr>
            <w:r>
              <w:rPr>
                <w:rFonts w:ascii="Times New Roman"/>
                <w:w w:val="100"/>
                <w:sz w:val="21"/>
              </w:rPr>
              <w:t>4</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41"/>
              <w:ind w:right="17"/>
              <w:jc w:val="right"/>
              <w:rPr>
                <w:rFonts w:ascii="Times New Roman" w:hAnsi="Times New Roman" w:cs="Times New Roman" w:eastAsia="Times New Roman" w:hint="default"/>
                <w:sz w:val="21"/>
                <w:szCs w:val="21"/>
              </w:rPr>
            </w:pPr>
            <w:r>
              <w:rPr>
                <w:rFonts w:ascii="Times New Roman"/>
                <w:spacing w:val="-2"/>
                <w:sz w:val="21"/>
              </w:rPr>
              <w:t>23,311</w:t>
            </w:r>
          </w:p>
          <w:p>
            <w:pPr>
              <w:pStyle w:val="TableParagraph"/>
              <w:spacing w:line="241" w:lineRule="exact"/>
              <w:ind w:right="17"/>
              <w:jc w:val="right"/>
              <w:rPr>
                <w:rFonts w:ascii="Times New Roman" w:hAnsi="Times New Roman" w:cs="Times New Roman" w:eastAsia="Times New Roman" w:hint="default"/>
                <w:sz w:val="21"/>
                <w:szCs w:val="21"/>
              </w:rPr>
            </w:pPr>
            <w:r>
              <w:rPr>
                <w:rFonts w:ascii="Times New Roman"/>
                <w:sz w:val="21"/>
              </w:rPr>
              <w:t>,990.3</w:t>
            </w:r>
          </w:p>
          <w:p>
            <w:pPr>
              <w:pStyle w:val="TableParagraph"/>
              <w:spacing w:line="240" w:lineRule="auto" w:before="1"/>
              <w:ind w:right="19"/>
              <w:jc w:val="right"/>
              <w:rPr>
                <w:rFonts w:ascii="Times New Roman" w:hAnsi="Times New Roman" w:cs="Times New Roman" w:eastAsia="Times New Roman" w:hint="default"/>
                <w:sz w:val="21"/>
                <w:szCs w:val="21"/>
              </w:rPr>
            </w:pPr>
            <w:r>
              <w:rPr>
                <w:rFonts w:ascii="Times New Roman"/>
                <w:w w:val="100"/>
                <w:sz w:val="21"/>
              </w:rPr>
              <w:t>2</w:t>
            </w:r>
          </w:p>
        </w:tc>
      </w:tr>
      <w:tr>
        <w:trPr>
          <w:trHeight w:val="734"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4"/>
              <w:ind w:left="22" w:right="21"/>
              <w:jc w:val="left"/>
              <w:rPr>
                <w:rFonts w:ascii="宋体" w:hAnsi="宋体" w:cs="宋体" w:eastAsia="宋体" w:hint="default"/>
                <w:sz w:val="21"/>
                <w:szCs w:val="21"/>
              </w:rPr>
            </w:pPr>
            <w:r>
              <w:rPr>
                <w:rFonts w:ascii="宋体" w:hAnsi="宋体" w:cs="宋体" w:eastAsia="宋体" w:hint="default"/>
                <w:spacing w:val="-15"/>
                <w:w w:val="100"/>
                <w:sz w:val="21"/>
                <w:szCs w:val="21"/>
              </w:rPr>
              <w:t>（一）综合收益</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z w:val="21"/>
                <w:szCs w:val="21"/>
              </w:rPr>
              <w:t>总额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2"/>
                <w:sz w:val="21"/>
              </w:rPr>
              <w:t>23,311</w:t>
            </w:r>
          </w:p>
          <w:p>
            <w:pPr>
              <w:pStyle w:val="TableParagraph"/>
              <w:spacing w:line="241" w:lineRule="exact" w:before="1"/>
              <w:ind w:right="19"/>
              <w:jc w:val="right"/>
              <w:rPr>
                <w:rFonts w:ascii="Times New Roman" w:hAnsi="Times New Roman" w:cs="Times New Roman" w:eastAsia="Times New Roman" w:hint="default"/>
                <w:sz w:val="21"/>
                <w:szCs w:val="21"/>
              </w:rPr>
            </w:pPr>
            <w:r>
              <w:rPr>
                <w:rFonts w:ascii="Times New Roman"/>
                <w:sz w:val="21"/>
              </w:rPr>
              <w:t>,990.3</w:t>
            </w:r>
          </w:p>
          <w:p>
            <w:pPr>
              <w:pStyle w:val="TableParagraph"/>
              <w:spacing w:line="241" w:lineRule="exact"/>
              <w:ind w:right="23"/>
              <w:jc w:val="right"/>
              <w:rPr>
                <w:rFonts w:ascii="Times New Roman" w:hAnsi="Times New Roman" w:cs="Times New Roman" w:eastAsia="Times New Roman" w:hint="default"/>
                <w:sz w:val="21"/>
                <w:szCs w:val="21"/>
              </w:rPr>
            </w:pPr>
            <w:r>
              <w:rPr>
                <w:rFonts w:ascii="Times New Roman"/>
                <w:w w:val="100"/>
                <w:sz w:val="21"/>
              </w:rPr>
              <w:t>2</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2"/>
                <w:sz w:val="21"/>
              </w:rPr>
              <w:t>23,311</w:t>
            </w:r>
          </w:p>
          <w:p>
            <w:pPr>
              <w:pStyle w:val="TableParagraph"/>
              <w:spacing w:line="241" w:lineRule="exact" w:before="1"/>
              <w:ind w:right="17"/>
              <w:jc w:val="right"/>
              <w:rPr>
                <w:rFonts w:ascii="Times New Roman" w:hAnsi="Times New Roman" w:cs="Times New Roman" w:eastAsia="Times New Roman" w:hint="default"/>
                <w:sz w:val="21"/>
                <w:szCs w:val="21"/>
              </w:rPr>
            </w:pPr>
            <w:r>
              <w:rPr>
                <w:rFonts w:ascii="Times New Roman"/>
                <w:sz w:val="21"/>
              </w:rPr>
              <w:t>,990.3</w:t>
            </w:r>
          </w:p>
          <w:p>
            <w:pPr>
              <w:pStyle w:val="TableParagraph"/>
              <w:spacing w:line="241" w:lineRule="exact"/>
              <w:ind w:right="19"/>
              <w:jc w:val="right"/>
              <w:rPr>
                <w:rFonts w:ascii="Times New Roman" w:hAnsi="Times New Roman" w:cs="Times New Roman" w:eastAsia="Times New Roman" w:hint="default"/>
                <w:sz w:val="21"/>
                <w:szCs w:val="21"/>
              </w:rPr>
            </w:pPr>
            <w:r>
              <w:rPr>
                <w:rFonts w:ascii="Times New Roman"/>
                <w:w w:val="100"/>
                <w:sz w:val="21"/>
              </w:rPr>
              <w:t>2</w:t>
            </w:r>
          </w:p>
        </w:tc>
      </w:tr>
      <w:tr>
        <w:trPr>
          <w:trHeight w:val="557"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spacing w:val="-3"/>
                <w:w w:val="100"/>
                <w:sz w:val="21"/>
                <w:szCs w:val="21"/>
              </w:rPr>
              <w:t>二</w:t>
            </w:r>
            <w:r>
              <w:rPr>
                <w:rFonts w:ascii="宋体" w:hAnsi="宋体" w:cs="宋体" w:eastAsia="宋体" w:hint="default"/>
                <w:spacing w:val="-89"/>
                <w:w w:val="100"/>
                <w:sz w:val="21"/>
                <w:szCs w:val="21"/>
              </w:rPr>
              <w:t>）</w:t>
            </w:r>
            <w:r>
              <w:rPr>
                <w:rFonts w:ascii="宋体" w:hAnsi="宋体" w:cs="宋体" w:eastAsia="宋体" w:hint="default"/>
                <w:spacing w:val="-3"/>
                <w:w w:val="100"/>
                <w:sz w:val="21"/>
                <w:szCs w:val="21"/>
              </w:rPr>
              <w:t>所</w:t>
            </w:r>
            <w:r>
              <w:rPr>
                <w:rFonts w:ascii="宋体" w:hAnsi="宋体" w:cs="宋体" w:eastAsia="宋体" w:hint="default"/>
                <w:w w:val="100"/>
                <w:sz w:val="21"/>
                <w:szCs w:val="21"/>
              </w:rPr>
              <w:t>有</w:t>
            </w:r>
            <w:r>
              <w:rPr>
                <w:rFonts w:ascii="宋体" w:hAnsi="宋体" w:cs="宋体" w:eastAsia="宋体" w:hint="default"/>
                <w:spacing w:val="-3"/>
                <w:w w:val="100"/>
                <w:sz w:val="21"/>
                <w:szCs w:val="21"/>
              </w:rPr>
              <w:t>者投</w:t>
            </w:r>
            <w:r>
              <w:rPr>
                <w:rFonts w:ascii="宋体" w:hAnsi="宋体" w:cs="宋体" w:eastAsia="宋体" w:hint="default"/>
                <w:w w:val="100"/>
                <w:sz w:val="21"/>
                <w:szCs w:val="21"/>
              </w:rPr>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入和减少资本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7"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．股东投入的</w:t>
            </w:r>
          </w:p>
          <w:p>
            <w:pPr>
              <w:pStyle w:val="TableParagraph"/>
              <w:spacing w:line="265" w:lineRule="exact"/>
              <w:ind w:left="22" w:right="0"/>
              <w:jc w:val="left"/>
              <w:rPr>
                <w:rFonts w:ascii="宋体" w:hAnsi="宋体" w:cs="宋体" w:eastAsia="宋体" w:hint="default"/>
                <w:sz w:val="21"/>
                <w:szCs w:val="21"/>
              </w:rPr>
            </w:pPr>
            <w:r>
              <w:rPr>
                <w:rFonts w:ascii="宋体" w:hAnsi="宋体" w:cs="宋体" w:eastAsia="宋体" w:hint="default"/>
                <w:sz w:val="21"/>
                <w:szCs w:val="21"/>
              </w:rPr>
              <w:t>普通股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830"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8"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．其他权益工</w:t>
            </w:r>
          </w:p>
          <w:p>
            <w:pPr>
              <w:pStyle w:val="TableParagraph"/>
              <w:spacing w:line="274" w:lineRule="exact" w:before="17"/>
              <w:ind w:left="22" w:right="139"/>
              <w:jc w:val="left"/>
              <w:rPr>
                <w:rFonts w:ascii="宋体" w:hAnsi="宋体" w:cs="宋体" w:eastAsia="宋体" w:hint="default"/>
                <w:sz w:val="21"/>
                <w:szCs w:val="21"/>
              </w:rPr>
            </w:pPr>
            <w:r>
              <w:rPr>
                <w:rFonts w:ascii="宋体" w:hAnsi="宋体" w:cs="宋体" w:eastAsia="宋体" w:hint="default"/>
                <w:sz w:val="21"/>
                <w:szCs w:val="21"/>
              </w:rPr>
              <w:t>具持有者投入</w:t>
            </w:r>
            <w:r>
              <w:rPr>
                <w:rFonts w:ascii="宋体" w:hAnsi="宋体" w:cs="宋体" w:eastAsia="宋体" w:hint="default"/>
                <w:w w:val="100"/>
                <w:sz w:val="21"/>
                <w:szCs w:val="21"/>
              </w:rPr>
              <w:t> </w:t>
            </w:r>
            <w:r>
              <w:rPr>
                <w:rFonts w:ascii="宋体" w:hAnsi="宋体" w:cs="宋体" w:eastAsia="宋体" w:hint="default"/>
                <w:sz w:val="21"/>
                <w:szCs w:val="21"/>
              </w:rPr>
              <w:t>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8"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．股份支付计</w:t>
            </w:r>
          </w:p>
          <w:p>
            <w:pPr>
              <w:pStyle w:val="TableParagraph"/>
              <w:spacing w:line="272" w:lineRule="exact" w:before="19"/>
              <w:ind w:left="22" w:right="139"/>
              <w:jc w:val="left"/>
              <w:rPr>
                <w:rFonts w:ascii="宋体" w:hAnsi="宋体" w:cs="宋体" w:eastAsia="宋体" w:hint="default"/>
                <w:sz w:val="21"/>
                <w:szCs w:val="21"/>
              </w:rPr>
            </w:pPr>
            <w:r>
              <w:rPr>
                <w:rFonts w:ascii="宋体" w:hAnsi="宋体" w:cs="宋体" w:eastAsia="宋体" w:hint="default"/>
                <w:sz w:val="21"/>
                <w:szCs w:val="21"/>
              </w:rPr>
              <w:t>入所有者权益</w:t>
            </w:r>
            <w:r>
              <w:rPr>
                <w:rFonts w:ascii="宋体" w:hAnsi="宋体" w:cs="宋体" w:eastAsia="宋体" w:hint="default"/>
                <w:w w:val="100"/>
                <w:sz w:val="21"/>
                <w:szCs w:val="21"/>
              </w:rPr>
              <w:t> </w:t>
            </w:r>
            <w:r>
              <w:rPr>
                <w:rFonts w:ascii="宋体" w:hAnsi="宋体" w:cs="宋体" w:eastAsia="宋体" w:hint="default"/>
                <w:sz w:val="21"/>
                <w:szCs w:val="21"/>
              </w:rPr>
              <w:t>的金额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57"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92"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1"/>
              <w:ind w:left="22" w:right="0"/>
              <w:jc w:val="left"/>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spacing w:val="-3"/>
                <w:w w:val="100"/>
                <w:sz w:val="21"/>
                <w:szCs w:val="21"/>
              </w:rPr>
              <w:t>三</w:t>
            </w:r>
            <w:r>
              <w:rPr>
                <w:rFonts w:ascii="宋体" w:hAnsi="宋体" w:cs="宋体" w:eastAsia="宋体" w:hint="default"/>
                <w:spacing w:val="-89"/>
                <w:w w:val="100"/>
                <w:sz w:val="21"/>
                <w:szCs w:val="21"/>
              </w:rPr>
              <w:t>）</w:t>
            </w:r>
            <w:r>
              <w:rPr>
                <w:rFonts w:ascii="宋体" w:hAnsi="宋体" w:cs="宋体" w:eastAsia="宋体" w:hint="default"/>
                <w:spacing w:val="-3"/>
                <w:w w:val="100"/>
                <w:sz w:val="21"/>
                <w:szCs w:val="21"/>
              </w:rPr>
              <w:t>利</w:t>
            </w:r>
            <w:r>
              <w:rPr>
                <w:rFonts w:ascii="宋体" w:hAnsi="宋体" w:cs="宋体" w:eastAsia="宋体" w:hint="default"/>
                <w:w w:val="100"/>
                <w:sz w:val="21"/>
                <w:szCs w:val="21"/>
              </w:rPr>
              <w:t>润</w:t>
            </w:r>
            <w:r>
              <w:rPr>
                <w:rFonts w:ascii="宋体" w:hAnsi="宋体" w:cs="宋体" w:eastAsia="宋体" w:hint="default"/>
                <w:spacing w:val="-3"/>
                <w:w w:val="100"/>
                <w:sz w:val="21"/>
                <w:szCs w:val="21"/>
              </w:rPr>
              <w:t>分配</w:t>
            </w:r>
            <w:r>
              <w:rPr>
                <w:rFonts w:ascii="宋体" w:hAnsi="宋体" w:cs="宋体" w:eastAsia="宋体" w:hint="default"/>
                <w:w w:val="100"/>
                <w:sz w:val="21"/>
                <w:szCs w:val="21"/>
              </w:rPr>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2,237,</w:t>
            </w:r>
          </w:p>
          <w:p>
            <w:pPr>
              <w:pStyle w:val="TableParagraph"/>
              <w:spacing w:line="240" w:lineRule="auto" w:before="1"/>
              <w:ind w:left="52" w:right="0"/>
              <w:jc w:val="left"/>
              <w:rPr>
                <w:rFonts w:ascii="Times New Roman" w:hAnsi="Times New Roman" w:cs="Times New Roman" w:eastAsia="Times New Roman" w:hint="default"/>
                <w:sz w:val="21"/>
                <w:szCs w:val="21"/>
              </w:rPr>
            </w:pPr>
            <w:r>
              <w:rPr>
                <w:rFonts w:ascii="Times New Roman"/>
                <w:sz w:val="21"/>
              </w:rPr>
              <w:t>688.08</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0" w:right="0"/>
              <w:jc w:val="left"/>
              <w:rPr>
                <w:rFonts w:ascii="Times New Roman" w:hAnsi="Times New Roman" w:cs="Times New Roman" w:eastAsia="Times New Roman" w:hint="default"/>
                <w:sz w:val="21"/>
                <w:szCs w:val="21"/>
              </w:rPr>
            </w:pPr>
            <w:r>
              <w:rPr>
                <w:rFonts w:ascii="Times New Roman"/>
                <w:sz w:val="21"/>
              </w:rPr>
              <w:t>-2,237,</w:t>
            </w:r>
          </w:p>
          <w:p>
            <w:pPr>
              <w:pStyle w:val="TableParagraph"/>
              <w:spacing w:line="240" w:lineRule="auto" w:before="1"/>
              <w:ind w:left="67" w:right="0"/>
              <w:jc w:val="left"/>
              <w:rPr>
                <w:rFonts w:ascii="Times New Roman" w:hAnsi="Times New Roman" w:cs="Times New Roman" w:eastAsia="Times New Roman" w:hint="default"/>
                <w:sz w:val="21"/>
                <w:szCs w:val="21"/>
              </w:rPr>
            </w:pPr>
            <w:r>
              <w:rPr>
                <w:rFonts w:ascii="Times New Roman"/>
                <w:sz w:val="21"/>
              </w:rPr>
              <w:t>688.08</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8"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．提取盈余公</w:t>
            </w:r>
          </w:p>
          <w:p>
            <w:pPr>
              <w:pStyle w:val="TableParagraph"/>
              <w:spacing w:line="266" w:lineRule="exact"/>
              <w:ind w:left="22" w:right="0"/>
              <w:jc w:val="left"/>
              <w:rPr>
                <w:rFonts w:ascii="宋体" w:hAnsi="宋体" w:cs="宋体" w:eastAsia="宋体" w:hint="default"/>
                <w:sz w:val="21"/>
                <w:szCs w:val="21"/>
              </w:rPr>
            </w:pPr>
            <w:r>
              <w:rPr>
                <w:rFonts w:ascii="宋体" w:hAnsi="宋体" w:cs="宋体" w:eastAsia="宋体" w:hint="default"/>
                <w:w w:val="100"/>
                <w:sz w:val="21"/>
                <w:szCs w:val="21"/>
              </w:rPr>
              <w:t>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7"/>
              <w:ind w:left="105" w:right="0"/>
              <w:jc w:val="left"/>
              <w:rPr>
                <w:rFonts w:ascii="Times New Roman" w:hAnsi="Times New Roman" w:cs="Times New Roman" w:eastAsia="Times New Roman" w:hint="default"/>
                <w:sz w:val="21"/>
                <w:szCs w:val="21"/>
              </w:rPr>
            </w:pPr>
            <w:r>
              <w:rPr>
                <w:rFonts w:ascii="Times New Roman"/>
                <w:sz w:val="21"/>
              </w:rPr>
              <w:t>2,237,</w:t>
            </w:r>
          </w:p>
          <w:p>
            <w:pPr>
              <w:pStyle w:val="TableParagraph"/>
              <w:spacing w:line="241" w:lineRule="exact"/>
              <w:ind w:left="52" w:right="0"/>
              <w:jc w:val="left"/>
              <w:rPr>
                <w:rFonts w:ascii="Times New Roman" w:hAnsi="Times New Roman" w:cs="Times New Roman" w:eastAsia="Times New Roman" w:hint="default"/>
                <w:sz w:val="21"/>
                <w:szCs w:val="21"/>
              </w:rPr>
            </w:pPr>
            <w:r>
              <w:rPr>
                <w:rFonts w:ascii="Times New Roman"/>
                <w:sz w:val="21"/>
              </w:rPr>
              <w:t>688.08</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7"/>
              <w:ind w:left="50" w:right="0"/>
              <w:jc w:val="left"/>
              <w:rPr>
                <w:rFonts w:ascii="Times New Roman" w:hAnsi="Times New Roman" w:cs="Times New Roman" w:eastAsia="Times New Roman" w:hint="default"/>
                <w:sz w:val="21"/>
                <w:szCs w:val="21"/>
              </w:rPr>
            </w:pPr>
            <w:r>
              <w:rPr>
                <w:rFonts w:ascii="Times New Roman"/>
                <w:sz w:val="21"/>
              </w:rPr>
              <w:t>-2,237,</w:t>
            </w:r>
          </w:p>
          <w:p>
            <w:pPr>
              <w:pStyle w:val="TableParagraph"/>
              <w:spacing w:line="241" w:lineRule="exact"/>
              <w:ind w:left="67" w:right="0"/>
              <w:jc w:val="left"/>
              <w:rPr>
                <w:rFonts w:ascii="Times New Roman" w:hAnsi="Times New Roman" w:cs="Times New Roman" w:eastAsia="Times New Roman" w:hint="default"/>
                <w:sz w:val="21"/>
                <w:szCs w:val="21"/>
              </w:rPr>
            </w:pPr>
            <w:r>
              <w:rPr>
                <w:rFonts w:ascii="Times New Roman"/>
                <w:sz w:val="21"/>
              </w:rPr>
              <w:t>688.08</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8"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．提取一般风</w:t>
            </w:r>
          </w:p>
          <w:p>
            <w:pPr>
              <w:pStyle w:val="TableParagraph"/>
              <w:spacing w:line="266" w:lineRule="exact"/>
              <w:ind w:left="22" w:right="0"/>
              <w:jc w:val="left"/>
              <w:rPr>
                <w:rFonts w:ascii="宋体" w:hAnsi="宋体" w:cs="宋体" w:eastAsia="宋体" w:hint="default"/>
                <w:sz w:val="21"/>
                <w:szCs w:val="21"/>
              </w:rPr>
            </w:pPr>
            <w:r>
              <w:rPr>
                <w:rFonts w:ascii="宋体" w:hAnsi="宋体" w:cs="宋体" w:eastAsia="宋体" w:hint="default"/>
                <w:sz w:val="21"/>
                <w:szCs w:val="21"/>
              </w:rPr>
              <w:t>险准备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7"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3</w:t>
            </w:r>
            <w:r>
              <w:rPr>
                <w:rFonts w:ascii="宋体" w:hAnsi="宋体" w:cs="宋体" w:eastAsia="宋体" w:hint="default"/>
                <w:spacing w:val="-99"/>
                <w:w w:val="100"/>
                <w:sz w:val="21"/>
                <w:szCs w:val="21"/>
              </w:rPr>
              <w:t>．</w:t>
            </w:r>
            <w:r>
              <w:rPr>
                <w:rFonts w:ascii="宋体" w:hAnsi="宋体" w:cs="宋体" w:eastAsia="宋体" w:hint="default"/>
                <w:w w:val="100"/>
                <w:sz w:val="21"/>
                <w:szCs w:val="21"/>
              </w:rPr>
              <w:t>对</w:t>
            </w:r>
            <w:r>
              <w:rPr>
                <w:rFonts w:ascii="宋体" w:hAnsi="宋体" w:cs="宋体" w:eastAsia="宋体" w:hint="default"/>
                <w:spacing w:val="-3"/>
                <w:w w:val="100"/>
                <w:sz w:val="21"/>
                <w:szCs w:val="21"/>
              </w:rPr>
              <w:t>所</w:t>
            </w:r>
            <w:r>
              <w:rPr>
                <w:rFonts w:ascii="宋体" w:hAnsi="宋体" w:cs="宋体" w:eastAsia="宋体" w:hint="default"/>
                <w:w w:val="100"/>
                <w:sz w:val="21"/>
                <w:szCs w:val="21"/>
              </w:rPr>
              <w:t>有</w:t>
            </w:r>
            <w:r>
              <w:rPr>
                <w:rFonts w:ascii="宋体" w:hAnsi="宋体" w:cs="宋体" w:eastAsia="宋体" w:hint="default"/>
                <w:spacing w:val="-99"/>
                <w:w w:val="100"/>
                <w:sz w:val="21"/>
                <w:szCs w:val="21"/>
              </w:rPr>
              <w:t>者</w:t>
            </w:r>
            <w:r>
              <w:rPr>
                <w:rFonts w:ascii="宋体" w:hAnsi="宋体" w:cs="宋体" w:eastAsia="宋体" w:hint="default"/>
                <w:spacing w:val="-3"/>
                <w:w w:val="100"/>
                <w:sz w:val="21"/>
                <w:szCs w:val="21"/>
              </w:rPr>
              <w:t>（</w:t>
            </w:r>
            <w:r>
              <w:rPr>
                <w:rFonts w:ascii="宋体" w:hAnsi="宋体" w:cs="宋体" w:eastAsia="宋体" w:hint="default"/>
                <w:w w:val="100"/>
                <w:sz w:val="21"/>
                <w:szCs w:val="21"/>
              </w:rPr>
              <w:t>或</w:t>
            </w:r>
          </w:p>
          <w:p>
            <w:pPr>
              <w:pStyle w:val="TableParagraph"/>
              <w:spacing w:line="265" w:lineRule="exact"/>
              <w:ind w:left="22" w:right="0"/>
              <w:jc w:val="left"/>
              <w:rPr>
                <w:rFonts w:ascii="宋体" w:hAnsi="宋体" w:cs="宋体" w:eastAsia="宋体" w:hint="default"/>
                <w:sz w:val="21"/>
                <w:szCs w:val="21"/>
              </w:rPr>
            </w:pPr>
            <w:r>
              <w:rPr>
                <w:rFonts w:ascii="宋体" w:hAnsi="宋体" w:cs="宋体" w:eastAsia="宋体" w:hint="default"/>
                <w:sz w:val="21"/>
                <w:szCs w:val="21"/>
              </w:rPr>
              <w:t>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57"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spacing w:val="-3"/>
                <w:w w:val="100"/>
                <w:sz w:val="21"/>
                <w:szCs w:val="21"/>
              </w:rPr>
              <w:t>四</w:t>
            </w:r>
            <w:r>
              <w:rPr>
                <w:rFonts w:ascii="宋体" w:hAnsi="宋体" w:cs="宋体" w:eastAsia="宋体" w:hint="default"/>
                <w:spacing w:val="-89"/>
                <w:w w:val="100"/>
                <w:sz w:val="21"/>
                <w:szCs w:val="21"/>
              </w:rPr>
              <w:t>）</w:t>
            </w:r>
            <w:r>
              <w:rPr>
                <w:rFonts w:ascii="宋体" w:hAnsi="宋体" w:cs="宋体" w:eastAsia="宋体" w:hint="default"/>
                <w:spacing w:val="-3"/>
                <w:w w:val="100"/>
                <w:sz w:val="21"/>
                <w:szCs w:val="21"/>
              </w:rPr>
              <w:t>所</w:t>
            </w:r>
            <w:r>
              <w:rPr>
                <w:rFonts w:ascii="宋体" w:hAnsi="宋体" w:cs="宋体" w:eastAsia="宋体" w:hint="default"/>
                <w:w w:val="100"/>
                <w:sz w:val="21"/>
                <w:szCs w:val="21"/>
              </w:rPr>
              <w:t>有</w:t>
            </w:r>
            <w:r>
              <w:rPr>
                <w:rFonts w:ascii="宋体" w:hAnsi="宋体" w:cs="宋体" w:eastAsia="宋体" w:hint="default"/>
                <w:spacing w:val="-3"/>
                <w:w w:val="100"/>
                <w:sz w:val="21"/>
                <w:szCs w:val="21"/>
              </w:rPr>
              <w:t>者权</w:t>
            </w:r>
            <w:r>
              <w:rPr>
                <w:rFonts w:ascii="宋体" w:hAnsi="宋体" w:cs="宋体" w:eastAsia="宋体" w:hint="default"/>
                <w:w w:val="100"/>
                <w:sz w:val="21"/>
                <w:szCs w:val="21"/>
              </w:rPr>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益内部结转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8"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．资本公积转</w:t>
            </w:r>
          </w:p>
          <w:p>
            <w:pPr>
              <w:pStyle w:val="TableParagraph"/>
              <w:spacing w:line="272" w:lineRule="exact" w:before="19"/>
              <w:ind w:left="22" w:right="139"/>
              <w:jc w:val="left"/>
              <w:rPr>
                <w:rFonts w:ascii="宋体" w:hAnsi="宋体" w:cs="宋体" w:eastAsia="宋体" w:hint="default"/>
                <w:sz w:val="21"/>
                <w:szCs w:val="21"/>
              </w:rPr>
            </w:pPr>
            <w:r>
              <w:rPr>
                <w:rFonts w:ascii="宋体" w:hAnsi="宋体" w:cs="宋体" w:eastAsia="宋体" w:hint="default"/>
                <w:sz w:val="21"/>
                <w:szCs w:val="21"/>
              </w:rPr>
              <w:t>增资本（或股</w:t>
            </w:r>
            <w:r>
              <w:rPr>
                <w:rFonts w:ascii="宋体" w:hAnsi="宋体" w:cs="宋体" w:eastAsia="宋体" w:hint="default"/>
                <w:w w:val="100"/>
                <w:sz w:val="21"/>
                <w:szCs w:val="21"/>
              </w:rPr>
              <w:t> </w:t>
            </w:r>
            <w:r>
              <w:rPr>
                <w:rFonts w:ascii="宋体" w:hAnsi="宋体" w:cs="宋体" w:eastAsia="宋体" w:hint="default"/>
                <w:sz w:val="21"/>
                <w:szCs w:val="21"/>
              </w:rPr>
              <w:t>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830"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8"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．盈余公积转</w:t>
            </w:r>
          </w:p>
          <w:p>
            <w:pPr>
              <w:pStyle w:val="TableParagraph"/>
              <w:spacing w:line="274" w:lineRule="exact" w:before="17"/>
              <w:ind w:left="22" w:right="139"/>
              <w:jc w:val="left"/>
              <w:rPr>
                <w:rFonts w:ascii="宋体" w:hAnsi="宋体" w:cs="宋体" w:eastAsia="宋体" w:hint="default"/>
                <w:sz w:val="21"/>
                <w:szCs w:val="21"/>
              </w:rPr>
            </w:pPr>
            <w:r>
              <w:rPr>
                <w:rFonts w:ascii="宋体" w:hAnsi="宋体" w:cs="宋体" w:eastAsia="宋体" w:hint="default"/>
                <w:sz w:val="21"/>
                <w:szCs w:val="21"/>
              </w:rPr>
              <w:t>增资本（或股</w:t>
            </w:r>
            <w:r>
              <w:rPr>
                <w:rFonts w:ascii="宋体" w:hAnsi="宋体" w:cs="宋体" w:eastAsia="宋体" w:hint="default"/>
                <w:w w:val="100"/>
                <w:sz w:val="21"/>
                <w:szCs w:val="21"/>
              </w:rPr>
              <w:t> </w:t>
            </w:r>
            <w:r>
              <w:rPr>
                <w:rFonts w:ascii="宋体" w:hAnsi="宋体" w:cs="宋体" w:eastAsia="宋体" w:hint="default"/>
                <w:sz w:val="21"/>
                <w:szCs w:val="21"/>
              </w:rPr>
              <w:t>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8"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．盈余公积弥</w:t>
            </w:r>
          </w:p>
          <w:p>
            <w:pPr>
              <w:pStyle w:val="TableParagraph"/>
              <w:spacing w:line="266" w:lineRule="exact"/>
              <w:ind w:left="22" w:right="0"/>
              <w:jc w:val="left"/>
              <w:rPr>
                <w:rFonts w:ascii="宋体" w:hAnsi="宋体" w:cs="宋体" w:eastAsia="宋体" w:hint="default"/>
                <w:sz w:val="21"/>
                <w:szCs w:val="21"/>
              </w:rPr>
            </w:pPr>
            <w:r>
              <w:rPr>
                <w:rFonts w:ascii="宋体" w:hAnsi="宋体" w:cs="宋体" w:eastAsia="宋体" w:hint="default"/>
                <w:sz w:val="21"/>
                <w:szCs w:val="21"/>
              </w:rPr>
              <w:t>补亏损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57"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spacing w:val="-3"/>
                <w:w w:val="100"/>
                <w:sz w:val="21"/>
                <w:szCs w:val="21"/>
              </w:rPr>
              <w:t>五</w:t>
            </w:r>
            <w:r>
              <w:rPr>
                <w:rFonts w:ascii="宋体" w:hAnsi="宋体" w:cs="宋体" w:eastAsia="宋体" w:hint="default"/>
                <w:spacing w:val="-89"/>
                <w:w w:val="100"/>
                <w:sz w:val="21"/>
                <w:szCs w:val="21"/>
              </w:rPr>
              <w:t>）</w:t>
            </w:r>
            <w:r>
              <w:rPr>
                <w:rFonts w:ascii="宋体" w:hAnsi="宋体" w:cs="宋体" w:eastAsia="宋体" w:hint="default"/>
                <w:spacing w:val="-3"/>
                <w:w w:val="100"/>
                <w:sz w:val="21"/>
                <w:szCs w:val="21"/>
              </w:rPr>
              <w:t>专</w:t>
            </w:r>
            <w:r>
              <w:rPr>
                <w:rFonts w:ascii="宋体" w:hAnsi="宋体" w:cs="宋体" w:eastAsia="宋体" w:hint="default"/>
                <w:w w:val="100"/>
                <w:sz w:val="21"/>
                <w:szCs w:val="21"/>
              </w:rPr>
              <w:t>项</w:t>
            </w:r>
            <w:r>
              <w:rPr>
                <w:rFonts w:ascii="宋体" w:hAnsi="宋体" w:cs="宋体" w:eastAsia="宋体" w:hint="default"/>
                <w:spacing w:val="-3"/>
                <w:w w:val="100"/>
                <w:sz w:val="21"/>
                <w:szCs w:val="21"/>
              </w:rPr>
              <w:t>储备</w:t>
            </w:r>
            <w:r>
              <w:rPr>
                <w:rFonts w:ascii="宋体" w:hAnsi="宋体" w:cs="宋体" w:eastAsia="宋体" w:hint="default"/>
                <w:w w:val="100"/>
                <w:sz w:val="21"/>
                <w:szCs w:val="21"/>
              </w:rPr>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57"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57"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34"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4"/>
              <w:ind w:left="22" w:right="19"/>
              <w:jc w:val="left"/>
              <w:rPr>
                <w:rFonts w:ascii="宋体" w:hAnsi="宋体" w:cs="宋体" w:eastAsia="宋体" w:hint="default"/>
                <w:sz w:val="21"/>
                <w:szCs w:val="21"/>
              </w:rPr>
            </w:pPr>
            <w:r>
              <w:rPr>
                <w:rFonts w:ascii="宋体" w:hAnsi="宋体" w:cs="宋体" w:eastAsia="宋体" w:hint="default"/>
                <w:spacing w:val="-14"/>
                <w:w w:val="100"/>
                <w:sz w:val="21"/>
                <w:szCs w:val="21"/>
              </w:rPr>
              <w:t>四、本期期末余</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7" w:right="0"/>
              <w:jc w:val="left"/>
              <w:rPr>
                <w:rFonts w:ascii="Times New Roman" w:hAnsi="Times New Roman" w:cs="Times New Roman" w:eastAsia="Times New Roman" w:hint="default"/>
                <w:sz w:val="21"/>
                <w:szCs w:val="21"/>
              </w:rPr>
            </w:pPr>
            <w:r>
              <w:rPr>
                <w:rFonts w:ascii="Times New Roman"/>
                <w:sz w:val="21"/>
              </w:rPr>
              <w:t>88,00</w:t>
            </w:r>
          </w:p>
          <w:p>
            <w:pPr>
              <w:pStyle w:val="TableParagraph"/>
              <w:spacing w:line="241" w:lineRule="exact" w:before="1"/>
              <w:ind w:left="57" w:right="0"/>
              <w:jc w:val="left"/>
              <w:rPr>
                <w:rFonts w:ascii="Times New Roman" w:hAnsi="Times New Roman" w:cs="Times New Roman" w:eastAsia="Times New Roman" w:hint="default"/>
                <w:sz w:val="21"/>
                <w:szCs w:val="21"/>
              </w:rPr>
            </w:pPr>
            <w:r>
              <w:rPr>
                <w:rFonts w:ascii="Times New Roman"/>
                <w:sz w:val="21"/>
              </w:rPr>
              <w:t>0,000</w:t>
            </w:r>
          </w:p>
          <w:p>
            <w:pPr>
              <w:pStyle w:val="TableParagraph"/>
              <w:spacing w:line="241" w:lineRule="exact"/>
              <w:ind w:left="268" w:right="0"/>
              <w:jc w:val="left"/>
              <w:rPr>
                <w:rFonts w:ascii="Times New Roman" w:hAnsi="Times New Roman" w:cs="Times New Roman" w:eastAsia="Times New Roman" w:hint="default"/>
                <w:sz w:val="21"/>
                <w:szCs w:val="21"/>
              </w:rPr>
            </w:pPr>
            <w:r>
              <w:rPr>
                <w:rFonts w:ascii="Times New Roman"/>
                <w:sz w:val="21"/>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2" w:right="0"/>
              <w:jc w:val="left"/>
              <w:rPr>
                <w:rFonts w:ascii="Times New Roman" w:hAnsi="Times New Roman" w:cs="Times New Roman" w:eastAsia="Times New Roman" w:hint="default"/>
                <w:sz w:val="21"/>
                <w:szCs w:val="21"/>
              </w:rPr>
            </w:pPr>
            <w:r>
              <w:rPr>
                <w:rFonts w:ascii="Times New Roman"/>
                <w:sz w:val="21"/>
              </w:rPr>
              <w:t>132,98</w:t>
            </w:r>
          </w:p>
          <w:p>
            <w:pPr>
              <w:pStyle w:val="TableParagraph"/>
              <w:spacing w:line="241" w:lineRule="exact" w:before="1"/>
              <w:ind w:left="105" w:right="0"/>
              <w:jc w:val="left"/>
              <w:rPr>
                <w:rFonts w:ascii="Times New Roman" w:hAnsi="Times New Roman" w:cs="Times New Roman" w:eastAsia="Times New Roman" w:hint="default"/>
                <w:sz w:val="21"/>
                <w:szCs w:val="21"/>
              </w:rPr>
            </w:pPr>
            <w:r>
              <w:rPr>
                <w:rFonts w:ascii="Times New Roman"/>
                <w:sz w:val="21"/>
              </w:rPr>
              <w:t>0,990.</w:t>
            </w:r>
          </w:p>
          <w:p>
            <w:pPr>
              <w:pStyle w:val="TableParagraph"/>
              <w:spacing w:line="241" w:lineRule="exact"/>
              <w:ind w:left="420" w:right="0"/>
              <w:jc w:val="left"/>
              <w:rPr>
                <w:rFonts w:ascii="Times New Roman" w:hAnsi="Times New Roman" w:cs="Times New Roman" w:eastAsia="Times New Roman" w:hint="default"/>
                <w:sz w:val="21"/>
                <w:szCs w:val="21"/>
              </w:rPr>
            </w:pPr>
            <w:r>
              <w:rPr>
                <w:rFonts w:ascii="Times New Roman"/>
                <w:sz w:val="21"/>
              </w:rPr>
              <w:t>76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2"/>
                <w:sz w:val="21"/>
              </w:rPr>
              <w:t>11,736</w:t>
            </w:r>
          </w:p>
          <w:p>
            <w:pPr>
              <w:pStyle w:val="TableParagraph"/>
              <w:spacing w:line="241" w:lineRule="exact" w:before="1"/>
              <w:ind w:right="17"/>
              <w:jc w:val="right"/>
              <w:rPr>
                <w:rFonts w:ascii="Times New Roman" w:hAnsi="Times New Roman" w:cs="Times New Roman" w:eastAsia="Times New Roman" w:hint="default"/>
                <w:sz w:val="21"/>
                <w:szCs w:val="21"/>
              </w:rPr>
            </w:pPr>
            <w:r>
              <w:rPr>
                <w:rFonts w:ascii="Times New Roman"/>
                <w:sz w:val="21"/>
              </w:rPr>
              <w:t>,079.4</w:t>
            </w:r>
          </w:p>
          <w:p>
            <w:pPr>
              <w:pStyle w:val="TableParagraph"/>
              <w:spacing w:line="241" w:lineRule="exact"/>
              <w:ind w:right="19"/>
              <w:jc w:val="right"/>
              <w:rPr>
                <w:rFonts w:ascii="Times New Roman" w:hAnsi="Times New Roman" w:cs="Times New Roman" w:eastAsia="Times New Roman" w:hint="default"/>
                <w:sz w:val="21"/>
                <w:szCs w:val="21"/>
              </w:rPr>
            </w:pPr>
            <w:r>
              <w:rPr>
                <w:rFonts w:ascii="Times New Roman"/>
                <w:w w:val="100"/>
                <w:sz w:val="21"/>
              </w:rPr>
              <w:t>7</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z w:val="21"/>
              </w:rPr>
              <w:t>86,282</w:t>
            </w:r>
          </w:p>
          <w:p>
            <w:pPr>
              <w:pStyle w:val="TableParagraph"/>
              <w:spacing w:line="241" w:lineRule="exact" w:before="1"/>
              <w:ind w:right="19"/>
              <w:jc w:val="right"/>
              <w:rPr>
                <w:rFonts w:ascii="Times New Roman" w:hAnsi="Times New Roman" w:cs="Times New Roman" w:eastAsia="Times New Roman" w:hint="default"/>
                <w:sz w:val="21"/>
                <w:szCs w:val="21"/>
              </w:rPr>
            </w:pPr>
            <w:r>
              <w:rPr>
                <w:rFonts w:ascii="Times New Roman"/>
                <w:sz w:val="21"/>
              </w:rPr>
              <w:t>,907.8</w:t>
            </w:r>
          </w:p>
          <w:p>
            <w:pPr>
              <w:pStyle w:val="TableParagraph"/>
              <w:spacing w:line="241" w:lineRule="exact"/>
              <w:ind w:right="23"/>
              <w:jc w:val="right"/>
              <w:rPr>
                <w:rFonts w:ascii="Times New Roman" w:hAnsi="Times New Roman" w:cs="Times New Roman" w:eastAsia="Times New Roman" w:hint="default"/>
                <w:sz w:val="21"/>
                <w:szCs w:val="21"/>
              </w:rPr>
            </w:pPr>
            <w:r>
              <w:rPr>
                <w:rFonts w:ascii="Times New Roman"/>
                <w:w w:val="100"/>
                <w:sz w:val="21"/>
              </w:rPr>
              <w:t>6</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7" w:right="0"/>
              <w:jc w:val="left"/>
              <w:rPr>
                <w:rFonts w:ascii="Times New Roman" w:hAnsi="Times New Roman" w:cs="Times New Roman" w:eastAsia="Times New Roman" w:hint="default"/>
                <w:sz w:val="21"/>
                <w:szCs w:val="21"/>
              </w:rPr>
            </w:pPr>
            <w:r>
              <w:rPr>
                <w:rFonts w:ascii="Times New Roman"/>
                <w:sz w:val="21"/>
              </w:rPr>
              <w:t>318,99</w:t>
            </w:r>
          </w:p>
          <w:p>
            <w:pPr>
              <w:pStyle w:val="TableParagraph"/>
              <w:spacing w:line="241" w:lineRule="exact" w:before="1"/>
              <w:ind w:left="100" w:right="0"/>
              <w:jc w:val="left"/>
              <w:rPr>
                <w:rFonts w:ascii="Times New Roman" w:hAnsi="Times New Roman" w:cs="Times New Roman" w:eastAsia="Times New Roman" w:hint="default"/>
                <w:sz w:val="21"/>
                <w:szCs w:val="21"/>
              </w:rPr>
            </w:pPr>
            <w:r>
              <w:rPr>
                <w:rFonts w:ascii="Times New Roman"/>
                <w:sz w:val="21"/>
              </w:rPr>
              <w:t>9,978.</w:t>
            </w:r>
          </w:p>
          <w:p>
            <w:pPr>
              <w:pStyle w:val="TableParagraph"/>
              <w:spacing w:line="241" w:lineRule="exact"/>
              <w:ind w:left="415" w:right="0"/>
              <w:jc w:val="left"/>
              <w:rPr>
                <w:rFonts w:ascii="Times New Roman" w:hAnsi="Times New Roman" w:cs="Times New Roman" w:eastAsia="Times New Roman" w:hint="default"/>
                <w:sz w:val="21"/>
                <w:szCs w:val="21"/>
              </w:rPr>
            </w:pPr>
            <w:r>
              <w:rPr>
                <w:rFonts w:ascii="Times New Roman"/>
                <w:sz w:val="21"/>
              </w:rPr>
              <w:t>09</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bookmarkStart w:name="8、母公司所有者权益变动表" w:id="121"/>
      <w:bookmarkEnd w:id="121"/>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36"/>
        <w:ind w:right="0"/>
        <w:jc w:val="left"/>
      </w:pPr>
      <w:r>
        <w:rPr/>
        <w:t>本期金额</w:t>
      </w:r>
    </w:p>
    <w:p>
      <w:pPr>
        <w:pStyle w:val="BodyText"/>
        <w:spacing w:line="240" w:lineRule="auto" w:before="37"/>
        <w:ind w:left="0" w:right="150"/>
        <w:jc w:val="right"/>
      </w:pPr>
      <w:r>
        <w:rPr>
          <w:spacing w:val="-1"/>
        </w:rPr>
        <w:t>单位：元</w:t>
      </w:r>
    </w:p>
    <w:p>
      <w:pPr>
        <w:spacing w:after="0" w:line="240" w:lineRule="auto"/>
        <w:jc w:val="right"/>
        <w:sectPr>
          <w:pgSz w:w="11910" w:h="16840"/>
          <w:pgMar w:header="880"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36" w:type="dxa"/>
        <w:tblLayout w:type="fixed"/>
        <w:tblCellMar>
          <w:top w:w="0" w:type="dxa"/>
          <w:left w:w="0" w:type="dxa"/>
          <w:bottom w:w="0" w:type="dxa"/>
          <w:right w:w="0" w:type="dxa"/>
        </w:tblCellMar>
        <w:tblLook w:val="01E0"/>
      </w:tblPr>
      <w:tblGrid>
        <w:gridCol w:w="1440"/>
        <w:gridCol w:w="691"/>
        <w:gridCol w:w="665"/>
        <w:gridCol w:w="667"/>
        <w:gridCol w:w="665"/>
        <w:gridCol w:w="797"/>
        <w:gridCol w:w="797"/>
        <w:gridCol w:w="797"/>
        <w:gridCol w:w="799"/>
        <w:gridCol w:w="797"/>
        <w:gridCol w:w="677"/>
        <w:gridCol w:w="780"/>
      </w:tblGrid>
      <w:tr>
        <w:trPr>
          <w:trHeight w:val="283" w:hRule="exact"/>
        </w:trPr>
        <w:tc>
          <w:tcPr>
            <w:tcW w:w="1440" w:type="dxa"/>
            <w:vMerge w:val="restart"/>
            <w:tcBorders>
              <w:top w:val="single" w:sz="4" w:space="0" w:color="000000"/>
              <w:left w:val="single" w:sz="4" w:space="0" w:color="000000"/>
              <w:right w:val="single" w:sz="4" w:space="0" w:color="000000"/>
            </w:tcBorders>
            <w:shd w:val="clear" w:color="auto" w:fill="D4D4D4"/>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本期</w:t>
            </w:r>
          </w:p>
        </w:tc>
      </w:tr>
      <w:tr>
        <w:trPr>
          <w:trHeight w:val="144" w:hRule="exact"/>
        </w:trPr>
        <w:tc>
          <w:tcPr>
            <w:tcW w:w="1440" w:type="dxa"/>
            <w:vMerge/>
            <w:tcBorders>
              <w:left w:val="single" w:sz="4" w:space="0" w:color="000000"/>
              <w:bottom w:val="nil" w:sz="6" w:space="0" w:color="auto"/>
              <w:right w:val="single" w:sz="4" w:space="0" w:color="000000"/>
            </w:tcBorders>
            <w:shd w:val="clear" w:color="auto" w:fill="D4D4D4"/>
          </w:tcPr>
          <w:p>
            <w:pPr/>
          </w:p>
        </w:tc>
        <w:tc>
          <w:tcPr>
            <w:tcW w:w="691" w:type="dxa"/>
            <w:vMerge w:val="restart"/>
            <w:tcBorders>
              <w:top w:val="single" w:sz="4" w:space="0" w:color="000000"/>
              <w:left w:val="single" w:sz="4" w:space="0" w:color="000000"/>
              <w:right w:val="single" w:sz="4" w:space="0" w:color="000000"/>
            </w:tcBorders>
            <w:shd w:val="clear" w:color="auto" w:fill="D4D4D4"/>
          </w:tcPr>
          <w:p>
            <w:pPr/>
          </w:p>
        </w:tc>
        <w:tc>
          <w:tcPr>
            <w:tcW w:w="1997"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1" w:lineRule="exact"/>
              <w:ind w:left="362"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4D4D4"/>
          </w:tcPr>
          <w:p>
            <w:pPr/>
          </w:p>
        </w:tc>
        <w:tc>
          <w:tcPr>
            <w:tcW w:w="797" w:type="dxa"/>
            <w:tcBorders>
              <w:top w:val="single" w:sz="4" w:space="0" w:color="000000"/>
              <w:left w:val="single" w:sz="4" w:space="0" w:color="000000"/>
              <w:bottom w:val="nil" w:sz="6" w:space="0" w:color="auto"/>
              <w:right w:val="single" w:sz="4" w:space="0" w:color="000000"/>
            </w:tcBorders>
            <w:shd w:val="clear" w:color="auto" w:fill="D4D4D4"/>
          </w:tcPr>
          <w:p>
            <w:pPr/>
          </w:p>
        </w:tc>
        <w:tc>
          <w:tcPr>
            <w:tcW w:w="797" w:type="dxa"/>
            <w:tcBorders>
              <w:top w:val="single" w:sz="4" w:space="0" w:color="000000"/>
              <w:left w:val="single" w:sz="4" w:space="0" w:color="000000"/>
              <w:bottom w:val="nil" w:sz="6" w:space="0" w:color="auto"/>
              <w:right w:val="single" w:sz="4" w:space="0" w:color="000000"/>
            </w:tcBorders>
            <w:shd w:val="clear" w:color="auto" w:fill="D4D4D4"/>
          </w:tcPr>
          <w:p>
            <w:pPr/>
          </w:p>
        </w:tc>
        <w:tc>
          <w:tcPr>
            <w:tcW w:w="799" w:type="dxa"/>
            <w:tcBorders>
              <w:top w:val="single" w:sz="4" w:space="0" w:color="000000"/>
              <w:left w:val="single" w:sz="4" w:space="0" w:color="000000"/>
              <w:bottom w:val="nil" w:sz="6" w:space="0" w:color="auto"/>
              <w:right w:val="single" w:sz="4" w:space="0" w:color="000000"/>
            </w:tcBorders>
            <w:shd w:val="clear" w:color="auto" w:fill="D4D4D4"/>
          </w:tcPr>
          <w:p>
            <w:pPr/>
          </w:p>
        </w:tc>
        <w:tc>
          <w:tcPr>
            <w:tcW w:w="797" w:type="dxa"/>
            <w:tcBorders>
              <w:top w:val="single" w:sz="4" w:space="0" w:color="000000"/>
              <w:left w:val="single" w:sz="4" w:space="0" w:color="000000"/>
              <w:bottom w:val="nil" w:sz="6" w:space="0" w:color="auto"/>
              <w:right w:val="single" w:sz="4" w:space="0" w:color="000000"/>
            </w:tcBorders>
            <w:shd w:val="clear" w:color="auto" w:fill="D4D4D4"/>
          </w:tcPr>
          <w:p>
            <w:pPr/>
          </w:p>
        </w:tc>
        <w:tc>
          <w:tcPr>
            <w:tcW w:w="677" w:type="dxa"/>
            <w:vMerge w:val="restart"/>
            <w:tcBorders>
              <w:top w:val="single" w:sz="4" w:space="0" w:color="000000"/>
              <w:left w:val="single" w:sz="4" w:space="0" w:color="000000"/>
              <w:right w:val="single" w:sz="4" w:space="0" w:color="000000"/>
            </w:tcBorders>
            <w:shd w:val="clear" w:color="auto" w:fill="D4D4D4"/>
          </w:tcPr>
          <w:p>
            <w:pPr>
              <w:pStyle w:val="TableParagraph"/>
              <w:spacing w:line="245" w:lineRule="exact"/>
              <w:ind w:left="122" w:right="0"/>
              <w:jc w:val="left"/>
              <w:rPr>
                <w:rFonts w:ascii="宋体" w:hAnsi="宋体" w:cs="宋体" w:eastAsia="宋体" w:hint="default"/>
                <w:sz w:val="21"/>
                <w:szCs w:val="21"/>
              </w:rPr>
            </w:pPr>
            <w:r>
              <w:rPr>
                <w:rFonts w:ascii="宋体" w:hAnsi="宋体" w:cs="宋体" w:eastAsia="宋体" w:hint="default"/>
                <w:sz w:val="21"/>
                <w:szCs w:val="21"/>
              </w:rPr>
              <w:t>未分</w:t>
            </w:r>
          </w:p>
          <w:p>
            <w:pPr>
              <w:pStyle w:val="TableParagraph"/>
              <w:spacing w:line="240" w:lineRule="auto"/>
              <w:ind w:left="227" w:right="120" w:hanging="106"/>
              <w:jc w:val="left"/>
              <w:rPr>
                <w:rFonts w:ascii="宋体" w:hAnsi="宋体" w:cs="宋体" w:eastAsia="宋体" w:hint="default"/>
                <w:sz w:val="21"/>
                <w:szCs w:val="21"/>
              </w:rPr>
            </w:pPr>
            <w:r>
              <w:rPr>
                <w:rFonts w:ascii="宋体" w:hAnsi="宋体" w:cs="宋体" w:eastAsia="宋体" w:hint="default"/>
                <w:sz w:val="21"/>
                <w:szCs w:val="21"/>
              </w:rPr>
              <w:t>配利</w:t>
            </w:r>
            <w:r>
              <w:rPr>
                <w:rFonts w:ascii="宋体" w:hAnsi="宋体" w:cs="宋体" w:eastAsia="宋体" w:hint="default"/>
                <w:spacing w:val="-103"/>
                <w:sz w:val="21"/>
                <w:szCs w:val="21"/>
              </w:rPr>
              <w:t> </w:t>
            </w:r>
            <w:r>
              <w:rPr>
                <w:rFonts w:ascii="宋体" w:hAnsi="宋体" w:cs="宋体" w:eastAsia="宋体" w:hint="default"/>
                <w:sz w:val="21"/>
                <w:szCs w:val="21"/>
              </w:rPr>
              <w:t>润</w:t>
            </w:r>
          </w:p>
        </w:tc>
        <w:tc>
          <w:tcPr>
            <w:tcW w:w="780" w:type="dxa"/>
            <w:vMerge w:val="restart"/>
            <w:tcBorders>
              <w:top w:val="single" w:sz="4" w:space="0" w:color="000000"/>
              <w:left w:val="single" w:sz="4" w:space="0" w:color="000000"/>
              <w:right w:val="single" w:sz="4" w:space="0" w:color="000000"/>
            </w:tcBorders>
            <w:shd w:val="clear" w:color="auto" w:fill="D4D4D4"/>
          </w:tcPr>
          <w:p>
            <w:pPr>
              <w:pStyle w:val="TableParagraph"/>
              <w:spacing w:line="245" w:lineRule="exact"/>
              <w:ind w:left="69" w:right="0"/>
              <w:jc w:val="left"/>
              <w:rPr>
                <w:rFonts w:ascii="宋体" w:hAnsi="宋体" w:cs="宋体" w:eastAsia="宋体" w:hint="default"/>
                <w:sz w:val="21"/>
                <w:szCs w:val="21"/>
              </w:rPr>
            </w:pPr>
            <w:r>
              <w:rPr>
                <w:rFonts w:ascii="宋体" w:hAnsi="宋体" w:cs="宋体" w:eastAsia="宋体" w:hint="default"/>
                <w:sz w:val="21"/>
                <w:szCs w:val="21"/>
              </w:rPr>
              <w:t>所有者</w:t>
            </w:r>
          </w:p>
          <w:p>
            <w:pPr>
              <w:pStyle w:val="TableParagraph"/>
              <w:spacing w:line="240" w:lineRule="auto"/>
              <w:ind w:left="280" w:right="65" w:hanging="212"/>
              <w:jc w:val="left"/>
              <w:rPr>
                <w:rFonts w:ascii="宋体" w:hAnsi="宋体" w:cs="宋体" w:eastAsia="宋体" w:hint="default"/>
                <w:sz w:val="21"/>
                <w:szCs w:val="21"/>
              </w:rPr>
            </w:pPr>
            <w:r>
              <w:rPr>
                <w:rFonts w:ascii="宋体" w:hAnsi="宋体" w:cs="宋体" w:eastAsia="宋体" w:hint="default"/>
                <w:sz w:val="21"/>
                <w:szCs w:val="21"/>
              </w:rPr>
              <w:t>权益合</w:t>
            </w:r>
            <w:r>
              <w:rPr>
                <w:rFonts w:ascii="宋体" w:hAnsi="宋体" w:cs="宋体" w:eastAsia="宋体" w:hint="default"/>
                <w:spacing w:val="-102"/>
                <w:sz w:val="21"/>
                <w:szCs w:val="21"/>
              </w:rPr>
              <w:t> </w:t>
            </w:r>
            <w:r>
              <w:rPr>
                <w:rFonts w:ascii="宋体" w:hAnsi="宋体" w:cs="宋体" w:eastAsia="宋体" w:hint="default"/>
                <w:sz w:val="21"/>
                <w:szCs w:val="21"/>
              </w:rPr>
              <w:t>计</w:t>
            </w:r>
          </w:p>
        </w:tc>
      </w:tr>
      <w:tr>
        <w:trPr>
          <w:trHeight w:val="139" w:hRule="exact"/>
        </w:trPr>
        <w:tc>
          <w:tcPr>
            <w:tcW w:w="1440" w:type="dxa"/>
            <w:vMerge w:val="restart"/>
            <w:tcBorders>
              <w:top w:val="nil" w:sz="6" w:space="0" w:color="auto"/>
              <w:left w:val="single" w:sz="4" w:space="0" w:color="000000"/>
              <w:right w:val="single" w:sz="4" w:space="0" w:color="000000"/>
            </w:tcBorders>
            <w:shd w:val="clear" w:color="auto" w:fill="D4D4D4"/>
          </w:tcPr>
          <w:p>
            <w:pPr>
              <w:pStyle w:val="TableParagraph"/>
              <w:spacing w:line="238"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691" w:type="dxa"/>
            <w:vMerge/>
            <w:tcBorders>
              <w:left w:val="single" w:sz="4" w:space="0" w:color="000000"/>
              <w:bottom w:val="nil" w:sz="6" w:space="0" w:color="auto"/>
              <w:right w:val="single" w:sz="4" w:space="0" w:color="000000"/>
            </w:tcBorders>
            <w:shd w:val="clear" w:color="auto" w:fill="D4D4D4"/>
          </w:tcPr>
          <w:p>
            <w:pPr/>
          </w:p>
        </w:tc>
        <w:tc>
          <w:tcPr>
            <w:tcW w:w="1997" w:type="dxa"/>
            <w:gridSpan w:val="3"/>
            <w:vMerge/>
            <w:tcBorders>
              <w:left w:val="single" w:sz="4" w:space="0" w:color="000000"/>
              <w:bottom w:val="single" w:sz="4" w:space="0" w:color="000000"/>
              <w:right w:val="single" w:sz="4" w:space="0" w:color="000000"/>
            </w:tcBorders>
            <w:shd w:val="clear" w:color="auto" w:fill="D4D4D4"/>
          </w:tcPr>
          <w:p>
            <w:pPr/>
          </w:p>
        </w:tc>
        <w:tc>
          <w:tcPr>
            <w:tcW w:w="797" w:type="dxa"/>
            <w:vMerge w:val="restart"/>
            <w:tcBorders>
              <w:top w:val="nil" w:sz="6" w:space="0" w:color="auto"/>
              <w:left w:val="single" w:sz="4" w:space="0" w:color="000000"/>
              <w:right w:val="single" w:sz="4" w:space="0" w:color="000000"/>
            </w:tcBorders>
            <w:shd w:val="clear" w:color="auto" w:fill="D4D4D4"/>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资本公</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积</w:t>
            </w:r>
          </w:p>
        </w:tc>
        <w:tc>
          <w:tcPr>
            <w:tcW w:w="797" w:type="dxa"/>
            <w:vMerge w:val="restart"/>
            <w:tcBorders>
              <w:top w:val="nil" w:sz="6" w:space="0" w:color="auto"/>
              <w:left w:val="single" w:sz="4" w:space="0" w:color="000000"/>
              <w:right w:val="single" w:sz="4" w:space="0" w:color="000000"/>
            </w:tcBorders>
            <w:shd w:val="clear" w:color="auto" w:fill="D4D4D4"/>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减</w:t>
            </w:r>
            <w:r>
              <w:rPr>
                <w:rFonts w:ascii="宋体" w:hAnsi="宋体" w:cs="宋体" w:eastAsia="宋体" w:hint="default"/>
                <w:spacing w:val="-99"/>
                <w:w w:val="100"/>
                <w:sz w:val="21"/>
                <w:szCs w:val="21"/>
              </w:rPr>
              <w:t>：</w:t>
            </w:r>
            <w:r>
              <w:rPr>
                <w:rFonts w:ascii="宋体" w:hAnsi="宋体" w:cs="宋体" w:eastAsia="宋体" w:hint="default"/>
                <w:spacing w:val="-3"/>
                <w:w w:val="100"/>
                <w:sz w:val="21"/>
                <w:szCs w:val="21"/>
              </w:rPr>
              <w:t>库</w:t>
            </w:r>
            <w:r>
              <w:rPr>
                <w:rFonts w:ascii="宋体" w:hAnsi="宋体" w:cs="宋体" w:eastAsia="宋体" w:hint="default"/>
                <w:w w:val="100"/>
                <w:sz w:val="21"/>
                <w:szCs w:val="21"/>
              </w:rPr>
              <w:t>存</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股</w:t>
            </w:r>
          </w:p>
        </w:tc>
        <w:tc>
          <w:tcPr>
            <w:tcW w:w="797" w:type="dxa"/>
            <w:vMerge w:val="restart"/>
            <w:tcBorders>
              <w:top w:val="nil" w:sz="6" w:space="0" w:color="auto"/>
              <w:left w:val="single" w:sz="4" w:space="0" w:color="000000"/>
              <w:right w:val="single" w:sz="4" w:space="0" w:color="000000"/>
            </w:tcBorders>
            <w:shd w:val="clear" w:color="auto" w:fill="D4D4D4"/>
          </w:tcPr>
          <w:p>
            <w:pPr>
              <w:pStyle w:val="TableParagraph"/>
              <w:spacing w:line="243" w:lineRule="exact"/>
              <w:ind w:left="79" w:right="0"/>
              <w:jc w:val="left"/>
              <w:rPr>
                <w:rFonts w:ascii="宋体" w:hAnsi="宋体" w:cs="宋体" w:eastAsia="宋体" w:hint="default"/>
                <w:sz w:val="21"/>
                <w:szCs w:val="21"/>
              </w:rPr>
            </w:pPr>
            <w:r>
              <w:rPr>
                <w:rFonts w:ascii="宋体" w:hAnsi="宋体" w:cs="宋体" w:eastAsia="宋体" w:hint="default"/>
                <w:sz w:val="21"/>
                <w:szCs w:val="21"/>
              </w:rPr>
              <w:t>其他综</w:t>
            </w:r>
          </w:p>
          <w:p>
            <w:pPr>
              <w:pStyle w:val="TableParagraph"/>
              <w:spacing w:line="274" w:lineRule="exact"/>
              <w:ind w:left="79"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799" w:type="dxa"/>
            <w:vMerge w:val="restart"/>
            <w:tcBorders>
              <w:top w:val="nil" w:sz="6" w:space="0" w:color="auto"/>
              <w:left w:val="single" w:sz="4" w:space="0" w:color="000000"/>
              <w:right w:val="single" w:sz="4" w:space="0" w:color="000000"/>
            </w:tcBorders>
            <w:shd w:val="clear" w:color="auto" w:fill="D4D4D4"/>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专项储</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备</w:t>
            </w:r>
          </w:p>
        </w:tc>
        <w:tc>
          <w:tcPr>
            <w:tcW w:w="797" w:type="dxa"/>
            <w:vMerge w:val="restart"/>
            <w:tcBorders>
              <w:top w:val="nil" w:sz="6" w:space="0" w:color="auto"/>
              <w:left w:val="single" w:sz="4" w:space="0" w:color="000000"/>
              <w:right w:val="single" w:sz="4" w:space="0" w:color="000000"/>
            </w:tcBorders>
            <w:shd w:val="clear" w:color="auto" w:fill="D4D4D4"/>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盈余公</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积</w:t>
            </w:r>
          </w:p>
        </w:tc>
        <w:tc>
          <w:tcPr>
            <w:tcW w:w="677" w:type="dxa"/>
            <w:vMerge/>
            <w:tcBorders>
              <w:left w:val="single" w:sz="4" w:space="0" w:color="000000"/>
              <w:right w:val="single" w:sz="4" w:space="0" w:color="000000"/>
            </w:tcBorders>
            <w:shd w:val="clear" w:color="auto" w:fill="D4D4D4"/>
          </w:tcPr>
          <w:p>
            <w:pPr/>
          </w:p>
        </w:tc>
        <w:tc>
          <w:tcPr>
            <w:tcW w:w="780" w:type="dxa"/>
            <w:vMerge/>
            <w:tcBorders>
              <w:left w:val="single" w:sz="4" w:space="0" w:color="000000"/>
              <w:right w:val="single" w:sz="4" w:space="0" w:color="000000"/>
            </w:tcBorders>
            <w:shd w:val="clear" w:color="auto" w:fill="D4D4D4"/>
          </w:tcPr>
          <w:p>
            <w:pPr/>
          </w:p>
        </w:tc>
      </w:tr>
      <w:tr>
        <w:trPr>
          <w:trHeight w:val="137" w:hRule="exact"/>
        </w:trPr>
        <w:tc>
          <w:tcPr>
            <w:tcW w:w="1440" w:type="dxa"/>
            <w:vMerge/>
            <w:tcBorders>
              <w:left w:val="single" w:sz="4" w:space="0" w:color="000000"/>
              <w:bottom w:val="nil" w:sz="6" w:space="0" w:color="auto"/>
              <w:right w:val="single" w:sz="4" w:space="0" w:color="000000"/>
            </w:tcBorders>
            <w:shd w:val="clear" w:color="auto" w:fill="D4D4D4"/>
          </w:tcPr>
          <w:p>
            <w:pPr/>
          </w:p>
        </w:tc>
        <w:tc>
          <w:tcPr>
            <w:tcW w:w="691" w:type="dxa"/>
            <w:vMerge w:val="restart"/>
            <w:tcBorders>
              <w:top w:val="nil" w:sz="6" w:space="0" w:color="auto"/>
              <w:left w:val="single" w:sz="4" w:space="0" w:color="000000"/>
              <w:right w:val="single" w:sz="4" w:space="0" w:color="000000"/>
            </w:tcBorders>
            <w:shd w:val="clear" w:color="auto" w:fill="D4D4D4"/>
          </w:tcPr>
          <w:p>
            <w:pPr>
              <w:pStyle w:val="TableParagraph"/>
              <w:spacing w:line="241" w:lineRule="exact"/>
              <w:ind w:left="134"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66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优先</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股</w:t>
            </w:r>
          </w:p>
        </w:tc>
        <w:tc>
          <w:tcPr>
            <w:tcW w:w="66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永续</w:t>
            </w:r>
          </w:p>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债</w:t>
            </w: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797" w:type="dxa"/>
            <w:vMerge/>
            <w:tcBorders>
              <w:left w:val="single" w:sz="4" w:space="0" w:color="000000"/>
              <w:right w:val="single" w:sz="4" w:space="0" w:color="000000"/>
            </w:tcBorders>
            <w:shd w:val="clear" w:color="auto" w:fill="D4D4D4"/>
          </w:tcPr>
          <w:p>
            <w:pPr/>
          </w:p>
        </w:tc>
        <w:tc>
          <w:tcPr>
            <w:tcW w:w="797" w:type="dxa"/>
            <w:vMerge/>
            <w:tcBorders>
              <w:left w:val="single" w:sz="4" w:space="0" w:color="000000"/>
              <w:right w:val="single" w:sz="4" w:space="0" w:color="000000"/>
            </w:tcBorders>
            <w:shd w:val="clear" w:color="auto" w:fill="D4D4D4"/>
          </w:tcPr>
          <w:p>
            <w:pPr/>
          </w:p>
        </w:tc>
        <w:tc>
          <w:tcPr>
            <w:tcW w:w="797" w:type="dxa"/>
            <w:vMerge/>
            <w:tcBorders>
              <w:left w:val="single" w:sz="4" w:space="0" w:color="000000"/>
              <w:right w:val="single" w:sz="4" w:space="0" w:color="000000"/>
            </w:tcBorders>
            <w:shd w:val="clear" w:color="auto" w:fill="D4D4D4"/>
          </w:tcPr>
          <w:p>
            <w:pPr/>
          </w:p>
        </w:tc>
        <w:tc>
          <w:tcPr>
            <w:tcW w:w="799" w:type="dxa"/>
            <w:vMerge/>
            <w:tcBorders>
              <w:left w:val="single" w:sz="4" w:space="0" w:color="000000"/>
              <w:right w:val="single" w:sz="4" w:space="0" w:color="000000"/>
            </w:tcBorders>
            <w:shd w:val="clear" w:color="auto" w:fill="D4D4D4"/>
          </w:tcPr>
          <w:p>
            <w:pPr/>
          </w:p>
        </w:tc>
        <w:tc>
          <w:tcPr>
            <w:tcW w:w="797" w:type="dxa"/>
            <w:vMerge/>
            <w:tcBorders>
              <w:left w:val="single" w:sz="4" w:space="0" w:color="000000"/>
              <w:right w:val="single" w:sz="4" w:space="0" w:color="000000"/>
            </w:tcBorders>
            <w:shd w:val="clear" w:color="auto" w:fill="D4D4D4"/>
          </w:tcPr>
          <w:p>
            <w:pPr/>
          </w:p>
        </w:tc>
        <w:tc>
          <w:tcPr>
            <w:tcW w:w="677" w:type="dxa"/>
            <w:vMerge/>
            <w:tcBorders>
              <w:left w:val="single" w:sz="4" w:space="0" w:color="000000"/>
              <w:right w:val="single" w:sz="4" w:space="0" w:color="000000"/>
            </w:tcBorders>
            <w:shd w:val="clear" w:color="auto" w:fill="D4D4D4"/>
          </w:tcPr>
          <w:p>
            <w:pPr/>
          </w:p>
        </w:tc>
        <w:tc>
          <w:tcPr>
            <w:tcW w:w="780" w:type="dxa"/>
            <w:vMerge/>
            <w:tcBorders>
              <w:left w:val="single" w:sz="4" w:space="0" w:color="000000"/>
              <w:right w:val="single" w:sz="4" w:space="0" w:color="000000"/>
            </w:tcBorders>
            <w:shd w:val="clear" w:color="auto" w:fill="D4D4D4"/>
          </w:tcPr>
          <w:p>
            <w:pPr/>
          </w:p>
        </w:tc>
      </w:tr>
      <w:tr>
        <w:trPr>
          <w:trHeight w:val="137" w:hRule="exact"/>
        </w:trPr>
        <w:tc>
          <w:tcPr>
            <w:tcW w:w="1440" w:type="dxa"/>
            <w:vMerge w:val="restart"/>
            <w:tcBorders>
              <w:top w:val="nil" w:sz="6" w:space="0" w:color="auto"/>
              <w:left w:val="single" w:sz="4" w:space="0" w:color="000000"/>
              <w:right w:val="single" w:sz="4" w:space="0" w:color="000000"/>
            </w:tcBorders>
            <w:shd w:val="clear" w:color="auto" w:fill="D4D4D4"/>
          </w:tcPr>
          <w:p>
            <w:pPr/>
          </w:p>
        </w:tc>
        <w:tc>
          <w:tcPr>
            <w:tcW w:w="691"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7" w:type="dxa"/>
            <w:vMerge/>
            <w:tcBorders>
              <w:left w:val="single" w:sz="4" w:space="0" w:color="000000"/>
              <w:right w:val="single" w:sz="4" w:space="0" w:color="000000"/>
            </w:tcBorders>
            <w:shd w:val="clear" w:color="auto" w:fill="D4D4D4"/>
          </w:tcPr>
          <w:p>
            <w:pP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246" w:lineRule="exact"/>
              <w:ind w:left="11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97" w:type="dxa"/>
            <w:vMerge/>
            <w:tcBorders>
              <w:left w:val="single" w:sz="4" w:space="0" w:color="000000"/>
              <w:right w:val="single" w:sz="4" w:space="0" w:color="000000"/>
            </w:tcBorders>
            <w:shd w:val="clear" w:color="auto" w:fill="D4D4D4"/>
          </w:tcPr>
          <w:p>
            <w:pPr/>
          </w:p>
        </w:tc>
        <w:tc>
          <w:tcPr>
            <w:tcW w:w="797" w:type="dxa"/>
            <w:vMerge/>
            <w:tcBorders>
              <w:left w:val="single" w:sz="4" w:space="0" w:color="000000"/>
              <w:right w:val="single" w:sz="4" w:space="0" w:color="000000"/>
            </w:tcBorders>
            <w:shd w:val="clear" w:color="auto" w:fill="D4D4D4"/>
          </w:tcPr>
          <w:p>
            <w:pPr/>
          </w:p>
        </w:tc>
        <w:tc>
          <w:tcPr>
            <w:tcW w:w="797" w:type="dxa"/>
            <w:vMerge/>
            <w:tcBorders>
              <w:left w:val="single" w:sz="4" w:space="0" w:color="000000"/>
              <w:right w:val="single" w:sz="4" w:space="0" w:color="000000"/>
            </w:tcBorders>
            <w:shd w:val="clear" w:color="auto" w:fill="D4D4D4"/>
          </w:tcPr>
          <w:p>
            <w:pPr/>
          </w:p>
        </w:tc>
        <w:tc>
          <w:tcPr>
            <w:tcW w:w="799" w:type="dxa"/>
            <w:vMerge/>
            <w:tcBorders>
              <w:left w:val="single" w:sz="4" w:space="0" w:color="000000"/>
              <w:right w:val="single" w:sz="4" w:space="0" w:color="000000"/>
            </w:tcBorders>
            <w:shd w:val="clear" w:color="auto" w:fill="D4D4D4"/>
          </w:tcPr>
          <w:p>
            <w:pPr/>
          </w:p>
        </w:tc>
        <w:tc>
          <w:tcPr>
            <w:tcW w:w="797" w:type="dxa"/>
            <w:vMerge/>
            <w:tcBorders>
              <w:left w:val="single" w:sz="4" w:space="0" w:color="000000"/>
              <w:right w:val="single" w:sz="4" w:space="0" w:color="000000"/>
            </w:tcBorders>
            <w:shd w:val="clear" w:color="auto" w:fill="D4D4D4"/>
          </w:tcPr>
          <w:p>
            <w:pPr/>
          </w:p>
        </w:tc>
        <w:tc>
          <w:tcPr>
            <w:tcW w:w="677" w:type="dxa"/>
            <w:vMerge/>
            <w:tcBorders>
              <w:left w:val="single" w:sz="4" w:space="0" w:color="000000"/>
              <w:right w:val="single" w:sz="4" w:space="0" w:color="000000"/>
            </w:tcBorders>
            <w:shd w:val="clear" w:color="auto" w:fill="D4D4D4"/>
          </w:tcPr>
          <w:p>
            <w:pPr/>
          </w:p>
        </w:tc>
        <w:tc>
          <w:tcPr>
            <w:tcW w:w="780" w:type="dxa"/>
            <w:vMerge/>
            <w:tcBorders>
              <w:left w:val="single" w:sz="4" w:space="0" w:color="000000"/>
              <w:right w:val="single" w:sz="4" w:space="0" w:color="000000"/>
            </w:tcBorders>
            <w:shd w:val="clear" w:color="auto" w:fill="D4D4D4"/>
          </w:tcPr>
          <w:p>
            <w:pPr/>
          </w:p>
        </w:tc>
      </w:tr>
      <w:tr>
        <w:trPr>
          <w:trHeight w:val="137" w:hRule="exact"/>
        </w:trPr>
        <w:tc>
          <w:tcPr>
            <w:tcW w:w="1440" w:type="dxa"/>
            <w:vMerge/>
            <w:tcBorders>
              <w:left w:val="single" w:sz="4" w:space="0" w:color="000000"/>
              <w:right w:val="single" w:sz="4" w:space="0" w:color="000000"/>
            </w:tcBorders>
            <w:shd w:val="clear" w:color="auto" w:fill="D4D4D4"/>
          </w:tcPr>
          <w:p>
            <w:pPr/>
          </w:p>
        </w:tc>
        <w:tc>
          <w:tcPr>
            <w:tcW w:w="691" w:type="dxa"/>
            <w:vMerge w:val="restart"/>
            <w:tcBorders>
              <w:top w:val="nil" w:sz="6" w:space="0" w:color="auto"/>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7" w:type="dxa"/>
            <w:vMerge/>
            <w:tcBorders>
              <w:left w:val="single" w:sz="4" w:space="0" w:color="000000"/>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797" w:type="dxa"/>
            <w:vMerge/>
            <w:tcBorders>
              <w:left w:val="single" w:sz="4" w:space="0" w:color="000000"/>
              <w:bottom w:val="nil" w:sz="6" w:space="0" w:color="auto"/>
              <w:right w:val="single" w:sz="4" w:space="0" w:color="000000"/>
            </w:tcBorders>
            <w:shd w:val="clear" w:color="auto" w:fill="D4D4D4"/>
          </w:tcPr>
          <w:p>
            <w:pPr/>
          </w:p>
        </w:tc>
        <w:tc>
          <w:tcPr>
            <w:tcW w:w="797" w:type="dxa"/>
            <w:vMerge/>
            <w:tcBorders>
              <w:left w:val="single" w:sz="4" w:space="0" w:color="000000"/>
              <w:bottom w:val="nil" w:sz="6" w:space="0" w:color="auto"/>
              <w:right w:val="single" w:sz="4" w:space="0" w:color="000000"/>
            </w:tcBorders>
            <w:shd w:val="clear" w:color="auto" w:fill="D4D4D4"/>
          </w:tcPr>
          <w:p>
            <w:pPr/>
          </w:p>
        </w:tc>
        <w:tc>
          <w:tcPr>
            <w:tcW w:w="797" w:type="dxa"/>
            <w:vMerge/>
            <w:tcBorders>
              <w:left w:val="single" w:sz="4" w:space="0" w:color="000000"/>
              <w:bottom w:val="nil" w:sz="6" w:space="0" w:color="auto"/>
              <w:right w:val="single" w:sz="4" w:space="0" w:color="000000"/>
            </w:tcBorders>
            <w:shd w:val="clear" w:color="auto" w:fill="D4D4D4"/>
          </w:tcPr>
          <w:p>
            <w:pPr/>
          </w:p>
        </w:tc>
        <w:tc>
          <w:tcPr>
            <w:tcW w:w="799" w:type="dxa"/>
            <w:vMerge/>
            <w:tcBorders>
              <w:left w:val="single" w:sz="4" w:space="0" w:color="000000"/>
              <w:bottom w:val="nil" w:sz="6" w:space="0" w:color="auto"/>
              <w:right w:val="single" w:sz="4" w:space="0" w:color="000000"/>
            </w:tcBorders>
            <w:shd w:val="clear" w:color="auto" w:fill="D4D4D4"/>
          </w:tcPr>
          <w:p>
            <w:pPr/>
          </w:p>
        </w:tc>
        <w:tc>
          <w:tcPr>
            <w:tcW w:w="797" w:type="dxa"/>
            <w:vMerge/>
            <w:tcBorders>
              <w:left w:val="single" w:sz="4" w:space="0" w:color="000000"/>
              <w:bottom w:val="nil" w:sz="6" w:space="0" w:color="auto"/>
              <w:right w:val="single" w:sz="4" w:space="0" w:color="000000"/>
            </w:tcBorders>
            <w:shd w:val="clear" w:color="auto" w:fill="D4D4D4"/>
          </w:tcPr>
          <w:p>
            <w:pPr/>
          </w:p>
        </w:tc>
        <w:tc>
          <w:tcPr>
            <w:tcW w:w="677" w:type="dxa"/>
            <w:vMerge/>
            <w:tcBorders>
              <w:left w:val="single" w:sz="4" w:space="0" w:color="000000"/>
              <w:right w:val="single" w:sz="4" w:space="0" w:color="000000"/>
            </w:tcBorders>
            <w:shd w:val="clear" w:color="auto" w:fill="D4D4D4"/>
          </w:tcPr>
          <w:p>
            <w:pPr/>
          </w:p>
        </w:tc>
        <w:tc>
          <w:tcPr>
            <w:tcW w:w="780" w:type="dxa"/>
            <w:vMerge/>
            <w:tcBorders>
              <w:left w:val="single" w:sz="4" w:space="0" w:color="000000"/>
              <w:right w:val="single" w:sz="4" w:space="0" w:color="000000"/>
            </w:tcBorders>
            <w:shd w:val="clear" w:color="auto" w:fill="D4D4D4"/>
          </w:tcPr>
          <w:p>
            <w:pPr/>
          </w:p>
        </w:tc>
      </w:tr>
      <w:tr>
        <w:trPr>
          <w:trHeight w:val="144" w:hRule="exact"/>
        </w:trPr>
        <w:tc>
          <w:tcPr>
            <w:tcW w:w="1440" w:type="dxa"/>
            <w:vMerge/>
            <w:tcBorders>
              <w:left w:val="single" w:sz="4" w:space="0" w:color="000000"/>
              <w:bottom w:val="single" w:sz="4" w:space="0" w:color="000000"/>
              <w:right w:val="single" w:sz="4" w:space="0" w:color="000000"/>
            </w:tcBorders>
            <w:shd w:val="clear" w:color="auto" w:fill="D4D4D4"/>
          </w:tcPr>
          <w:p>
            <w:pPr/>
          </w:p>
        </w:tc>
        <w:tc>
          <w:tcPr>
            <w:tcW w:w="691" w:type="dxa"/>
            <w:vMerge/>
            <w:tcBorders>
              <w:left w:val="single" w:sz="4" w:space="0" w:color="000000"/>
              <w:bottom w:val="single" w:sz="4" w:space="0" w:color="000000"/>
              <w:right w:val="single" w:sz="4" w:space="0" w:color="000000"/>
            </w:tcBorders>
            <w:shd w:val="clear" w:color="auto" w:fill="D4D4D4"/>
          </w:tcPr>
          <w:p>
            <w:pPr/>
          </w:p>
        </w:tc>
        <w:tc>
          <w:tcPr>
            <w:tcW w:w="665" w:type="dxa"/>
            <w:vMerge/>
            <w:tcBorders>
              <w:left w:val="single" w:sz="4" w:space="0" w:color="000000"/>
              <w:bottom w:val="single" w:sz="4" w:space="0" w:color="000000"/>
              <w:right w:val="single" w:sz="4" w:space="0" w:color="000000"/>
            </w:tcBorders>
            <w:shd w:val="clear" w:color="auto" w:fill="D4D4D4"/>
          </w:tcPr>
          <w:p>
            <w:pPr/>
          </w:p>
        </w:tc>
        <w:tc>
          <w:tcPr>
            <w:tcW w:w="667" w:type="dxa"/>
            <w:vMerge/>
            <w:tcBorders>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797" w:type="dxa"/>
            <w:tcBorders>
              <w:top w:val="nil" w:sz="6" w:space="0" w:color="auto"/>
              <w:left w:val="single" w:sz="4" w:space="0" w:color="000000"/>
              <w:bottom w:val="single" w:sz="4" w:space="0" w:color="000000"/>
              <w:right w:val="single" w:sz="4" w:space="0" w:color="000000"/>
            </w:tcBorders>
            <w:shd w:val="clear" w:color="auto" w:fill="D4D4D4"/>
          </w:tcPr>
          <w:p>
            <w:pPr/>
          </w:p>
        </w:tc>
        <w:tc>
          <w:tcPr>
            <w:tcW w:w="797" w:type="dxa"/>
            <w:tcBorders>
              <w:top w:val="nil" w:sz="6" w:space="0" w:color="auto"/>
              <w:left w:val="single" w:sz="4" w:space="0" w:color="000000"/>
              <w:bottom w:val="single" w:sz="4" w:space="0" w:color="000000"/>
              <w:right w:val="single" w:sz="4" w:space="0" w:color="000000"/>
            </w:tcBorders>
            <w:shd w:val="clear" w:color="auto" w:fill="D4D4D4"/>
          </w:tcPr>
          <w:p>
            <w:pPr/>
          </w:p>
        </w:tc>
        <w:tc>
          <w:tcPr>
            <w:tcW w:w="797" w:type="dxa"/>
            <w:tcBorders>
              <w:top w:val="nil" w:sz="6" w:space="0" w:color="auto"/>
              <w:left w:val="single" w:sz="4" w:space="0" w:color="000000"/>
              <w:bottom w:val="single" w:sz="4" w:space="0" w:color="000000"/>
              <w:right w:val="single" w:sz="4" w:space="0" w:color="000000"/>
            </w:tcBorders>
            <w:shd w:val="clear" w:color="auto" w:fill="D4D4D4"/>
          </w:tcPr>
          <w:p>
            <w:pPr/>
          </w:p>
        </w:tc>
        <w:tc>
          <w:tcPr>
            <w:tcW w:w="799" w:type="dxa"/>
            <w:tcBorders>
              <w:top w:val="nil" w:sz="6" w:space="0" w:color="auto"/>
              <w:left w:val="single" w:sz="4" w:space="0" w:color="000000"/>
              <w:bottom w:val="single" w:sz="4" w:space="0" w:color="000000"/>
              <w:right w:val="single" w:sz="4" w:space="0" w:color="000000"/>
            </w:tcBorders>
            <w:shd w:val="clear" w:color="auto" w:fill="D4D4D4"/>
          </w:tcPr>
          <w:p>
            <w:pPr/>
          </w:p>
        </w:tc>
        <w:tc>
          <w:tcPr>
            <w:tcW w:w="797" w:type="dxa"/>
            <w:tcBorders>
              <w:top w:val="nil" w:sz="6" w:space="0" w:color="auto"/>
              <w:left w:val="single" w:sz="4" w:space="0" w:color="000000"/>
              <w:bottom w:val="single" w:sz="4" w:space="0" w:color="000000"/>
              <w:right w:val="single" w:sz="4" w:space="0" w:color="000000"/>
            </w:tcBorders>
            <w:shd w:val="clear" w:color="auto" w:fill="D4D4D4"/>
          </w:tcPr>
          <w:p>
            <w:pPr/>
          </w:p>
        </w:tc>
        <w:tc>
          <w:tcPr>
            <w:tcW w:w="677" w:type="dxa"/>
            <w:vMerge/>
            <w:tcBorders>
              <w:left w:val="single" w:sz="4" w:space="0" w:color="000000"/>
              <w:bottom w:val="single" w:sz="4" w:space="0" w:color="000000"/>
              <w:right w:val="single" w:sz="4" w:space="0" w:color="000000"/>
            </w:tcBorders>
            <w:shd w:val="clear" w:color="auto" w:fill="D4D4D4"/>
          </w:tcPr>
          <w:p>
            <w:pPr/>
          </w:p>
        </w:tc>
        <w:tc>
          <w:tcPr>
            <w:tcW w:w="780" w:type="dxa"/>
            <w:vMerge/>
            <w:tcBorders>
              <w:left w:val="single" w:sz="4" w:space="0" w:color="000000"/>
              <w:bottom w:val="single" w:sz="4" w:space="0" w:color="000000"/>
              <w:right w:val="single" w:sz="4" w:space="0" w:color="000000"/>
            </w:tcBorders>
            <w:shd w:val="clear" w:color="auto" w:fill="D4D4D4"/>
          </w:tcPr>
          <w:p>
            <w:pPr/>
          </w:p>
        </w:tc>
      </w:tr>
      <w:tr>
        <w:trPr>
          <w:trHeight w:val="96" w:hRule="exact"/>
        </w:trPr>
        <w:tc>
          <w:tcPr>
            <w:tcW w:w="1440" w:type="dxa"/>
            <w:tcBorders>
              <w:top w:val="single" w:sz="4" w:space="0" w:color="000000"/>
              <w:left w:val="single" w:sz="4" w:space="0" w:color="000000"/>
              <w:bottom w:val="nil" w:sz="6" w:space="0" w:color="auto"/>
              <w:right w:val="single" w:sz="4" w:space="0" w:color="000000"/>
            </w:tcBorders>
            <w:shd w:val="clear" w:color="auto" w:fill="D4D4D4"/>
          </w:tcPr>
          <w:p>
            <w:pPr/>
          </w:p>
        </w:tc>
        <w:tc>
          <w:tcPr>
            <w:tcW w:w="691" w:type="dxa"/>
            <w:vMerge w:val="restart"/>
            <w:tcBorders>
              <w:top w:val="single" w:sz="4" w:space="0" w:color="000000"/>
              <w:left w:val="single" w:sz="10" w:space="0" w:color="D4D4D4"/>
              <w:right w:val="single" w:sz="4" w:space="0" w:color="000000"/>
            </w:tcBorders>
          </w:tcPr>
          <w:p>
            <w:pPr>
              <w:pStyle w:val="TableParagraph"/>
              <w:spacing w:line="241" w:lineRule="exact" w:before="116"/>
              <w:ind w:left="24" w:right="0"/>
              <w:jc w:val="left"/>
              <w:rPr>
                <w:rFonts w:ascii="Times New Roman" w:hAnsi="Times New Roman" w:cs="Times New Roman" w:eastAsia="Times New Roman" w:hint="default"/>
                <w:sz w:val="21"/>
                <w:szCs w:val="21"/>
              </w:rPr>
            </w:pPr>
            <w:r>
              <w:rPr>
                <w:rFonts w:ascii="Times New Roman"/>
                <w:sz w:val="21"/>
              </w:rPr>
              <w:t>88,000,</w:t>
            </w:r>
          </w:p>
          <w:p>
            <w:pPr>
              <w:pStyle w:val="TableParagraph"/>
              <w:spacing w:line="241" w:lineRule="exact"/>
              <w:ind w:left="76" w:right="0"/>
              <w:jc w:val="left"/>
              <w:rPr>
                <w:rFonts w:ascii="Times New Roman" w:hAnsi="Times New Roman" w:cs="Times New Roman" w:eastAsia="Times New Roman" w:hint="default"/>
                <w:sz w:val="21"/>
                <w:szCs w:val="21"/>
              </w:rPr>
            </w:pPr>
            <w:r>
              <w:rPr>
                <w:rFonts w:ascii="Times New Roman"/>
                <w:sz w:val="21"/>
              </w:rPr>
              <w:t>000.00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1" w:lineRule="exact" w:before="116"/>
              <w:ind w:left="12" w:right="0"/>
              <w:jc w:val="center"/>
              <w:rPr>
                <w:rFonts w:ascii="Times New Roman" w:hAnsi="Times New Roman" w:cs="Times New Roman" w:eastAsia="Times New Roman" w:hint="default"/>
                <w:sz w:val="21"/>
                <w:szCs w:val="21"/>
              </w:rPr>
            </w:pPr>
            <w:r>
              <w:rPr>
                <w:rFonts w:ascii="Times New Roman"/>
                <w:sz w:val="21"/>
              </w:rPr>
              <w:t>132,980,</w:t>
            </w:r>
          </w:p>
          <w:p>
            <w:pPr>
              <w:pStyle w:val="TableParagraph"/>
              <w:spacing w:line="241" w:lineRule="exact"/>
              <w:ind w:left="168" w:right="0"/>
              <w:jc w:val="center"/>
              <w:rPr>
                <w:rFonts w:ascii="Times New Roman" w:hAnsi="Times New Roman" w:cs="Times New Roman" w:eastAsia="Times New Roman" w:hint="default"/>
                <w:sz w:val="21"/>
                <w:szCs w:val="21"/>
              </w:rPr>
            </w:pPr>
            <w:r>
              <w:rPr>
                <w:rFonts w:ascii="Times New Roman"/>
                <w:sz w:val="21"/>
              </w:rPr>
              <w:t>990.76</w:t>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1" w:lineRule="exact" w:before="116"/>
              <w:ind w:left="38" w:right="0"/>
              <w:jc w:val="left"/>
              <w:rPr>
                <w:rFonts w:ascii="Times New Roman" w:hAnsi="Times New Roman" w:cs="Times New Roman" w:eastAsia="Times New Roman" w:hint="default"/>
                <w:sz w:val="21"/>
                <w:szCs w:val="21"/>
              </w:rPr>
            </w:pPr>
            <w:r>
              <w:rPr>
                <w:rFonts w:ascii="Times New Roman"/>
                <w:sz w:val="21"/>
              </w:rPr>
              <w:t>11,736,0</w:t>
            </w:r>
          </w:p>
          <w:p>
            <w:pPr>
              <w:pStyle w:val="TableParagraph"/>
              <w:spacing w:line="241" w:lineRule="exact"/>
              <w:ind w:left="292" w:right="0"/>
              <w:jc w:val="left"/>
              <w:rPr>
                <w:rFonts w:ascii="Times New Roman" w:hAnsi="Times New Roman" w:cs="Times New Roman" w:eastAsia="Times New Roman" w:hint="default"/>
                <w:sz w:val="21"/>
                <w:szCs w:val="21"/>
              </w:rPr>
            </w:pPr>
            <w:r>
              <w:rPr>
                <w:rFonts w:ascii="Times New Roman"/>
                <w:sz w:val="21"/>
              </w:rPr>
              <w:t>79.47</w:t>
            </w:r>
          </w:p>
        </w:tc>
        <w:tc>
          <w:tcPr>
            <w:tcW w:w="677" w:type="dxa"/>
            <w:vMerge w:val="restart"/>
            <w:tcBorders>
              <w:top w:val="single" w:sz="6" w:space="0" w:color="000000"/>
              <w:left w:val="single" w:sz="4" w:space="0" w:color="000000"/>
              <w:right w:val="single" w:sz="4" w:space="0" w:color="000000"/>
            </w:tcBorders>
          </w:tcPr>
          <w:p>
            <w:pPr>
              <w:pStyle w:val="TableParagraph"/>
              <w:spacing w:line="234" w:lineRule="exact"/>
              <w:ind w:right="19"/>
              <w:jc w:val="right"/>
              <w:rPr>
                <w:rFonts w:ascii="Times New Roman" w:hAnsi="Times New Roman" w:cs="Times New Roman" w:eastAsia="Times New Roman" w:hint="default"/>
                <w:sz w:val="21"/>
                <w:szCs w:val="21"/>
              </w:rPr>
            </w:pPr>
            <w:r>
              <w:rPr>
                <w:rFonts w:ascii="Times New Roman"/>
                <w:sz w:val="21"/>
              </w:rPr>
              <w:t>81,024</w:t>
            </w:r>
          </w:p>
          <w:p>
            <w:pPr>
              <w:pStyle w:val="TableParagraph"/>
              <w:spacing w:line="241" w:lineRule="exact"/>
              <w:ind w:right="19"/>
              <w:jc w:val="right"/>
              <w:rPr>
                <w:rFonts w:ascii="Times New Roman" w:hAnsi="Times New Roman" w:cs="Times New Roman" w:eastAsia="Times New Roman" w:hint="default"/>
                <w:sz w:val="21"/>
                <w:szCs w:val="21"/>
              </w:rPr>
            </w:pPr>
            <w:r>
              <w:rPr>
                <w:rFonts w:ascii="Times New Roman"/>
                <w:sz w:val="21"/>
              </w:rPr>
              <w:t>,715.2</w:t>
            </w:r>
          </w:p>
          <w:p>
            <w:pPr>
              <w:pStyle w:val="TableParagraph"/>
              <w:spacing w:line="240" w:lineRule="auto" w:before="1"/>
              <w:ind w:right="23"/>
              <w:jc w:val="right"/>
              <w:rPr>
                <w:rFonts w:ascii="Times New Roman" w:hAnsi="Times New Roman" w:cs="Times New Roman" w:eastAsia="Times New Roman" w:hint="default"/>
                <w:sz w:val="21"/>
                <w:szCs w:val="21"/>
              </w:rPr>
            </w:pPr>
            <w:r>
              <w:rPr>
                <w:rFonts w:ascii="Times New Roman"/>
                <w:w w:val="100"/>
                <w:sz w:val="21"/>
              </w:rPr>
              <w:t>7</w:t>
            </w:r>
          </w:p>
        </w:tc>
        <w:tc>
          <w:tcPr>
            <w:tcW w:w="780" w:type="dxa"/>
            <w:vMerge w:val="restart"/>
            <w:tcBorders>
              <w:top w:val="single" w:sz="6" w:space="0" w:color="000000"/>
              <w:left w:val="single" w:sz="4" w:space="0" w:color="000000"/>
              <w:right w:val="single" w:sz="4" w:space="0" w:color="000000"/>
            </w:tcBorders>
          </w:tcPr>
          <w:p>
            <w:pPr>
              <w:pStyle w:val="TableParagraph"/>
              <w:spacing w:line="241" w:lineRule="exact" w:before="113"/>
              <w:ind w:left="67" w:right="0"/>
              <w:jc w:val="left"/>
              <w:rPr>
                <w:rFonts w:ascii="Times New Roman" w:hAnsi="Times New Roman" w:cs="Times New Roman" w:eastAsia="Times New Roman" w:hint="default"/>
                <w:sz w:val="21"/>
                <w:szCs w:val="21"/>
              </w:rPr>
            </w:pPr>
            <w:r>
              <w:rPr>
                <w:rFonts w:ascii="Times New Roman"/>
                <w:sz w:val="21"/>
              </w:rPr>
              <w:t>313,741</w:t>
            </w:r>
          </w:p>
          <w:p>
            <w:pPr>
              <w:pStyle w:val="TableParagraph"/>
              <w:spacing w:line="241" w:lineRule="exact"/>
              <w:ind w:left="117" w:right="0"/>
              <w:jc w:val="left"/>
              <w:rPr>
                <w:rFonts w:ascii="Times New Roman" w:hAnsi="Times New Roman" w:cs="Times New Roman" w:eastAsia="Times New Roman" w:hint="default"/>
                <w:sz w:val="21"/>
                <w:szCs w:val="21"/>
              </w:rPr>
            </w:pPr>
            <w:r>
              <w:rPr>
                <w:rFonts w:ascii="Times New Roman"/>
                <w:sz w:val="21"/>
              </w:rPr>
              <w:t>,785.50</w:t>
            </w:r>
          </w:p>
        </w:tc>
      </w:tr>
      <w:tr>
        <w:trPr>
          <w:trHeight w:val="638" w:hRule="exact"/>
        </w:trPr>
        <w:tc>
          <w:tcPr>
            <w:tcW w:w="1440" w:type="dxa"/>
            <w:tcBorders>
              <w:top w:val="nil" w:sz="6" w:space="0" w:color="auto"/>
              <w:left w:val="single" w:sz="4" w:space="0" w:color="000000"/>
              <w:bottom w:val="single" w:sz="4" w:space="0" w:color="000000"/>
              <w:right w:val="single" w:sz="4" w:space="0" w:color="000000"/>
            </w:tcBorders>
            <w:shd w:val="clear" w:color="auto" w:fill="D4D4D4"/>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一</w:t>
            </w:r>
            <w:r>
              <w:rPr>
                <w:rFonts w:ascii="宋体" w:hAnsi="宋体" w:cs="宋体" w:eastAsia="宋体" w:hint="default"/>
                <w:spacing w:val="-87"/>
                <w:w w:val="100"/>
                <w:sz w:val="21"/>
                <w:szCs w:val="21"/>
              </w:rPr>
              <w:t>、</w:t>
            </w:r>
            <w:r>
              <w:rPr>
                <w:rFonts w:ascii="宋体" w:hAnsi="宋体" w:cs="宋体" w:eastAsia="宋体" w:hint="default"/>
                <w:w w:val="100"/>
                <w:sz w:val="21"/>
                <w:szCs w:val="21"/>
              </w:rPr>
              <w:t>上</w:t>
            </w:r>
            <w:r>
              <w:rPr>
                <w:rFonts w:ascii="宋体" w:hAnsi="宋体" w:cs="宋体" w:eastAsia="宋体" w:hint="default"/>
                <w:spacing w:val="-3"/>
                <w:w w:val="100"/>
                <w:sz w:val="21"/>
                <w:szCs w:val="21"/>
              </w:rPr>
              <w:t>年</w:t>
            </w:r>
            <w:r>
              <w:rPr>
                <w:rFonts w:ascii="宋体" w:hAnsi="宋体" w:cs="宋体" w:eastAsia="宋体" w:hint="default"/>
                <w:w w:val="100"/>
                <w:sz w:val="21"/>
                <w:szCs w:val="21"/>
              </w:rPr>
              <w:t>期</w:t>
            </w:r>
            <w:r>
              <w:rPr>
                <w:rFonts w:ascii="宋体" w:hAnsi="宋体" w:cs="宋体" w:eastAsia="宋体" w:hint="default"/>
                <w:spacing w:val="-3"/>
                <w:w w:val="100"/>
                <w:sz w:val="21"/>
                <w:szCs w:val="21"/>
              </w:rPr>
              <w:t>末</w:t>
            </w:r>
            <w:r>
              <w:rPr>
                <w:rFonts w:ascii="宋体" w:hAnsi="宋体" w:cs="宋体" w:eastAsia="宋体" w:hint="default"/>
                <w:w w:val="100"/>
                <w:sz w:val="21"/>
                <w:szCs w:val="21"/>
              </w:rPr>
              <w:t>余</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691" w:type="dxa"/>
            <w:vMerge/>
            <w:tcBorders>
              <w:left w:val="single" w:sz="10" w:space="0" w:color="D4D4D4"/>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557" w:hRule="exact"/>
        </w:trPr>
        <w:tc>
          <w:tcPr>
            <w:tcW w:w="14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exact"/>
              <w:ind w:left="446" w:right="0"/>
              <w:jc w:val="left"/>
              <w:rPr>
                <w:rFonts w:ascii="宋体" w:hAnsi="宋体" w:cs="宋体" w:eastAsia="宋体" w:hint="default"/>
                <w:sz w:val="21"/>
                <w:szCs w:val="21"/>
              </w:rPr>
            </w:pPr>
            <w:r>
              <w:rPr>
                <w:rFonts w:ascii="宋体" w:hAnsi="宋体" w:cs="宋体" w:eastAsia="宋体" w:hint="default"/>
                <w:spacing w:val="-3"/>
                <w:w w:val="100"/>
                <w:sz w:val="21"/>
                <w:szCs w:val="21"/>
              </w:rPr>
              <w:t>加</w:t>
            </w:r>
            <w:r>
              <w:rPr>
                <w:rFonts w:ascii="宋体" w:hAnsi="宋体" w:cs="宋体" w:eastAsia="宋体" w:hint="default"/>
                <w:spacing w:val="-87"/>
                <w:w w:val="100"/>
                <w:sz w:val="21"/>
                <w:szCs w:val="21"/>
              </w:rPr>
              <w:t>：</w:t>
            </w:r>
            <w:r>
              <w:rPr>
                <w:rFonts w:ascii="宋体" w:hAnsi="宋体" w:cs="宋体" w:eastAsia="宋体" w:hint="default"/>
                <w:w w:val="100"/>
                <w:sz w:val="21"/>
                <w:szCs w:val="21"/>
              </w:rPr>
              <w:t>会</w:t>
            </w:r>
            <w:r>
              <w:rPr>
                <w:rFonts w:ascii="宋体" w:hAnsi="宋体" w:cs="宋体" w:eastAsia="宋体" w:hint="default"/>
                <w:spacing w:val="-3"/>
                <w:w w:val="100"/>
                <w:sz w:val="21"/>
                <w:szCs w:val="21"/>
              </w:rPr>
              <w:t>计政</w:t>
            </w:r>
            <w:r>
              <w:rPr>
                <w:rFonts w:ascii="宋体" w:hAnsi="宋体" w:cs="宋体" w:eastAsia="宋体" w:hint="default"/>
                <w:w w:val="100"/>
                <w:sz w:val="21"/>
                <w:szCs w:val="21"/>
              </w:rPr>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策变更</w:t>
            </w:r>
          </w:p>
        </w:tc>
        <w:tc>
          <w:tcPr>
            <w:tcW w:w="691"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exact"/>
              <w:ind w:left="866" w:right="0"/>
              <w:jc w:val="left"/>
              <w:rPr>
                <w:rFonts w:ascii="宋体" w:hAnsi="宋体" w:cs="宋体" w:eastAsia="宋体" w:hint="default"/>
                <w:sz w:val="21"/>
                <w:szCs w:val="21"/>
              </w:rPr>
            </w:pPr>
            <w:r>
              <w:rPr>
                <w:rFonts w:ascii="宋体" w:hAnsi="宋体" w:cs="宋体" w:eastAsia="宋体" w:hint="default"/>
                <w:spacing w:val="-3"/>
                <w:sz w:val="21"/>
                <w:szCs w:val="21"/>
              </w:rPr>
              <w:t>前期</w:t>
            </w:r>
            <w:r>
              <w:rPr>
                <w:rFonts w:ascii="宋体" w:hAnsi="宋体" w:cs="宋体" w:eastAsia="宋体" w:hint="default"/>
                <w:sz w:val="21"/>
                <w:szCs w:val="21"/>
              </w:rPr>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差错更正</w:t>
            </w:r>
          </w:p>
        </w:tc>
        <w:tc>
          <w:tcPr>
            <w:tcW w:w="691"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866" w:right="0"/>
              <w:jc w:val="left"/>
              <w:rPr>
                <w:rFonts w:ascii="宋体" w:hAnsi="宋体" w:cs="宋体" w:eastAsia="宋体" w:hint="default"/>
                <w:sz w:val="21"/>
                <w:szCs w:val="21"/>
              </w:rPr>
            </w:pPr>
            <w:r>
              <w:rPr>
                <w:rFonts w:ascii="宋体" w:hAnsi="宋体" w:cs="宋体" w:eastAsia="宋体" w:hint="default"/>
                <w:spacing w:val="-3"/>
                <w:sz w:val="21"/>
                <w:szCs w:val="21"/>
              </w:rPr>
              <w:t>其他</w:t>
            </w:r>
            <w:r>
              <w:rPr>
                <w:rFonts w:ascii="宋体" w:hAnsi="宋体" w:cs="宋体" w:eastAsia="宋体" w:hint="default"/>
                <w:sz w:val="21"/>
                <w:szCs w:val="21"/>
              </w:rPr>
            </w:r>
          </w:p>
        </w:tc>
        <w:tc>
          <w:tcPr>
            <w:tcW w:w="691"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94" w:hRule="exact"/>
        </w:trPr>
        <w:tc>
          <w:tcPr>
            <w:tcW w:w="1440" w:type="dxa"/>
            <w:tcBorders>
              <w:top w:val="single" w:sz="4" w:space="0" w:color="000000"/>
              <w:left w:val="single" w:sz="4" w:space="0" w:color="000000"/>
              <w:bottom w:val="nil" w:sz="6" w:space="0" w:color="auto"/>
              <w:right w:val="single" w:sz="4" w:space="0" w:color="000000"/>
            </w:tcBorders>
            <w:shd w:val="clear" w:color="auto" w:fill="D4D4D4"/>
          </w:tcPr>
          <w:p>
            <w:pPr/>
          </w:p>
        </w:tc>
        <w:tc>
          <w:tcPr>
            <w:tcW w:w="691" w:type="dxa"/>
            <w:vMerge w:val="restart"/>
            <w:tcBorders>
              <w:top w:val="single" w:sz="4" w:space="0" w:color="000000"/>
              <w:left w:val="single" w:sz="10" w:space="0" w:color="D4D4D4"/>
              <w:right w:val="single" w:sz="4" w:space="0" w:color="000000"/>
            </w:tcBorders>
          </w:tcPr>
          <w:p>
            <w:pPr>
              <w:pStyle w:val="TableParagraph"/>
              <w:spacing w:line="241" w:lineRule="exact" w:before="113"/>
              <w:ind w:left="24" w:right="0"/>
              <w:jc w:val="left"/>
              <w:rPr>
                <w:rFonts w:ascii="Times New Roman" w:hAnsi="Times New Roman" w:cs="Times New Roman" w:eastAsia="Times New Roman" w:hint="default"/>
                <w:sz w:val="21"/>
                <w:szCs w:val="21"/>
              </w:rPr>
            </w:pPr>
            <w:r>
              <w:rPr>
                <w:rFonts w:ascii="Times New Roman"/>
                <w:sz w:val="21"/>
              </w:rPr>
              <w:t>88,000,</w:t>
            </w:r>
          </w:p>
          <w:p>
            <w:pPr>
              <w:pStyle w:val="TableParagraph"/>
              <w:spacing w:line="241" w:lineRule="exact"/>
              <w:ind w:left="76" w:right="0"/>
              <w:jc w:val="left"/>
              <w:rPr>
                <w:rFonts w:ascii="Times New Roman" w:hAnsi="Times New Roman" w:cs="Times New Roman" w:eastAsia="Times New Roman" w:hint="default"/>
                <w:sz w:val="21"/>
                <w:szCs w:val="21"/>
              </w:rPr>
            </w:pPr>
            <w:r>
              <w:rPr>
                <w:rFonts w:ascii="Times New Roman"/>
                <w:sz w:val="21"/>
              </w:rPr>
              <w:t>000.00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1" w:lineRule="exact" w:before="113"/>
              <w:ind w:left="12" w:right="0"/>
              <w:jc w:val="center"/>
              <w:rPr>
                <w:rFonts w:ascii="Times New Roman" w:hAnsi="Times New Roman" w:cs="Times New Roman" w:eastAsia="Times New Roman" w:hint="default"/>
                <w:sz w:val="21"/>
                <w:szCs w:val="21"/>
              </w:rPr>
            </w:pPr>
            <w:r>
              <w:rPr>
                <w:rFonts w:ascii="Times New Roman"/>
                <w:sz w:val="21"/>
              </w:rPr>
              <w:t>132,980,</w:t>
            </w:r>
          </w:p>
          <w:p>
            <w:pPr>
              <w:pStyle w:val="TableParagraph"/>
              <w:spacing w:line="241" w:lineRule="exact"/>
              <w:ind w:left="168" w:right="0"/>
              <w:jc w:val="center"/>
              <w:rPr>
                <w:rFonts w:ascii="Times New Roman" w:hAnsi="Times New Roman" w:cs="Times New Roman" w:eastAsia="Times New Roman" w:hint="default"/>
                <w:sz w:val="21"/>
                <w:szCs w:val="21"/>
              </w:rPr>
            </w:pPr>
            <w:r>
              <w:rPr>
                <w:rFonts w:ascii="Times New Roman"/>
                <w:sz w:val="21"/>
              </w:rPr>
              <w:t>990.76</w:t>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1" w:lineRule="exact" w:before="113"/>
              <w:ind w:left="38" w:right="0"/>
              <w:jc w:val="left"/>
              <w:rPr>
                <w:rFonts w:ascii="Times New Roman" w:hAnsi="Times New Roman" w:cs="Times New Roman" w:eastAsia="Times New Roman" w:hint="default"/>
                <w:sz w:val="21"/>
                <w:szCs w:val="21"/>
              </w:rPr>
            </w:pPr>
            <w:r>
              <w:rPr>
                <w:rFonts w:ascii="Times New Roman"/>
                <w:sz w:val="21"/>
              </w:rPr>
              <w:t>11,736,0</w:t>
            </w:r>
          </w:p>
          <w:p>
            <w:pPr>
              <w:pStyle w:val="TableParagraph"/>
              <w:spacing w:line="241" w:lineRule="exact"/>
              <w:ind w:left="292" w:right="0"/>
              <w:jc w:val="left"/>
              <w:rPr>
                <w:rFonts w:ascii="Times New Roman" w:hAnsi="Times New Roman" w:cs="Times New Roman" w:eastAsia="Times New Roman" w:hint="default"/>
                <w:sz w:val="21"/>
                <w:szCs w:val="21"/>
              </w:rPr>
            </w:pPr>
            <w:r>
              <w:rPr>
                <w:rFonts w:ascii="Times New Roman"/>
                <w:sz w:val="21"/>
              </w:rPr>
              <w:t>79.47</w:t>
            </w:r>
          </w:p>
        </w:tc>
        <w:tc>
          <w:tcPr>
            <w:tcW w:w="677" w:type="dxa"/>
            <w:vMerge w:val="restart"/>
            <w:tcBorders>
              <w:top w:val="single" w:sz="4" w:space="0" w:color="000000"/>
              <w:left w:val="single" w:sz="4" w:space="0" w:color="000000"/>
              <w:right w:val="single" w:sz="4" w:space="0" w:color="000000"/>
            </w:tcBorders>
          </w:tcPr>
          <w:p>
            <w:pPr>
              <w:pStyle w:val="TableParagraph"/>
              <w:spacing w:line="234" w:lineRule="exact"/>
              <w:ind w:right="19"/>
              <w:jc w:val="right"/>
              <w:rPr>
                <w:rFonts w:ascii="Times New Roman" w:hAnsi="Times New Roman" w:cs="Times New Roman" w:eastAsia="Times New Roman" w:hint="default"/>
                <w:sz w:val="21"/>
                <w:szCs w:val="21"/>
              </w:rPr>
            </w:pPr>
            <w:r>
              <w:rPr>
                <w:rFonts w:ascii="Times New Roman"/>
                <w:sz w:val="21"/>
              </w:rPr>
              <w:t>81,024</w:t>
            </w:r>
          </w:p>
          <w:p>
            <w:pPr>
              <w:pStyle w:val="TableParagraph"/>
              <w:spacing w:line="241" w:lineRule="exact"/>
              <w:ind w:right="19"/>
              <w:jc w:val="right"/>
              <w:rPr>
                <w:rFonts w:ascii="Times New Roman" w:hAnsi="Times New Roman" w:cs="Times New Roman" w:eastAsia="Times New Roman" w:hint="default"/>
                <w:sz w:val="21"/>
                <w:szCs w:val="21"/>
              </w:rPr>
            </w:pPr>
            <w:r>
              <w:rPr>
                <w:rFonts w:ascii="Times New Roman"/>
                <w:sz w:val="21"/>
              </w:rPr>
              <w:t>,715.2</w:t>
            </w:r>
          </w:p>
          <w:p>
            <w:pPr>
              <w:pStyle w:val="TableParagraph"/>
              <w:spacing w:line="240" w:lineRule="auto" w:before="1"/>
              <w:ind w:right="23"/>
              <w:jc w:val="right"/>
              <w:rPr>
                <w:rFonts w:ascii="Times New Roman" w:hAnsi="Times New Roman" w:cs="Times New Roman" w:eastAsia="Times New Roman" w:hint="default"/>
                <w:sz w:val="21"/>
                <w:szCs w:val="21"/>
              </w:rPr>
            </w:pPr>
            <w:r>
              <w:rPr>
                <w:rFonts w:ascii="Times New Roman"/>
                <w:w w:val="100"/>
                <w:sz w:val="21"/>
              </w:rPr>
              <w:t>7</w:t>
            </w:r>
          </w:p>
        </w:tc>
        <w:tc>
          <w:tcPr>
            <w:tcW w:w="780" w:type="dxa"/>
            <w:vMerge w:val="restart"/>
            <w:tcBorders>
              <w:top w:val="single" w:sz="4" w:space="0" w:color="000000"/>
              <w:left w:val="single" w:sz="4" w:space="0" w:color="000000"/>
              <w:right w:val="single" w:sz="4" w:space="0" w:color="000000"/>
            </w:tcBorders>
          </w:tcPr>
          <w:p>
            <w:pPr>
              <w:pStyle w:val="TableParagraph"/>
              <w:spacing w:line="241" w:lineRule="exact" w:before="113"/>
              <w:ind w:left="67" w:right="0"/>
              <w:jc w:val="left"/>
              <w:rPr>
                <w:rFonts w:ascii="Times New Roman" w:hAnsi="Times New Roman" w:cs="Times New Roman" w:eastAsia="Times New Roman" w:hint="default"/>
                <w:sz w:val="21"/>
                <w:szCs w:val="21"/>
              </w:rPr>
            </w:pPr>
            <w:r>
              <w:rPr>
                <w:rFonts w:ascii="Times New Roman"/>
                <w:sz w:val="21"/>
              </w:rPr>
              <w:t>313,741</w:t>
            </w:r>
          </w:p>
          <w:p>
            <w:pPr>
              <w:pStyle w:val="TableParagraph"/>
              <w:spacing w:line="241" w:lineRule="exact"/>
              <w:ind w:left="117" w:right="0"/>
              <w:jc w:val="left"/>
              <w:rPr>
                <w:rFonts w:ascii="Times New Roman" w:hAnsi="Times New Roman" w:cs="Times New Roman" w:eastAsia="Times New Roman" w:hint="default"/>
                <w:sz w:val="21"/>
                <w:szCs w:val="21"/>
              </w:rPr>
            </w:pPr>
            <w:r>
              <w:rPr>
                <w:rFonts w:ascii="Times New Roman"/>
                <w:sz w:val="21"/>
              </w:rPr>
              <w:t>,785.50</w:t>
            </w:r>
          </w:p>
        </w:tc>
      </w:tr>
      <w:tr>
        <w:trPr>
          <w:trHeight w:val="638" w:hRule="exact"/>
        </w:trPr>
        <w:tc>
          <w:tcPr>
            <w:tcW w:w="1440" w:type="dxa"/>
            <w:tcBorders>
              <w:top w:val="nil" w:sz="6" w:space="0" w:color="auto"/>
              <w:left w:val="single" w:sz="4" w:space="0" w:color="000000"/>
              <w:bottom w:val="single" w:sz="4" w:space="0" w:color="000000"/>
              <w:right w:val="single" w:sz="4" w:space="0" w:color="000000"/>
            </w:tcBorders>
            <w:shd w:val="clear" w:color="auto" w:fill="D4D4D4"/>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二</w:t>
            </w:r>
            <w:r>
              <w:rPr>
                <w:rFonts w:ascii="宋体" w:hAnsi="宋体" w:cs="宋体" w:eastAsia="宋体" w:hint="default"/>
                <w:spacing w:val="-87"/>
                <w:w w:val="100"/>
                <w:sz w:val="21"/>
                <w:szCs w:val="21"/>
              </w:rPr>
              <w:t>、</w:t>
            </w:r>
            <w:r>
              <w:rPr>
                <w:rFonts w:ascii="宋体" w:hAnsi="宋体" w:cs="宋体" w:eastAsia="宋体" w:hint="default"/>
                <w:w w:val="100"/>
                <w:sz w:val="21"/>
                <w:szCs w:val="21"/>
              </w:rPr>
              <w:t>本</w:t>
            </w:r>
            <w:r>
              <w:rPr>
                <w:rFonts w:ascii="宋体" w:hAnsi="宋体" w:cs="宋体" w:eastAsia="宋体" w:hint="default"/>
                <w:spacing w:val="-3"/>
                <w:w w:val="100"/>
                <w:sz w:val="21"/>
                <w:szCs w:val="21"/>
              </w:rPr>
              <w:t>年</w:t>
            </w:r>
            <w:r>
              <w:rPr>
                <w:rFonts w:ascii="宋体" w:hAnsi="宋体" w:cs="宋体" w:eastAsia="宋体" w:hint="default"/>
                <w:w w:val="100"/>
                <w:sz w:val="21"/>
                <w:szCs w:val="21"/>
              </w:rPr>
              <w:t>期</w:t>
            </w:r>
            <w:r>
              <w:rPr>
                <w:rFonts w:ascii="宋体" w:hAnsi="宋体" w:cs="宋体" w:eastAsia="宋体" w:hint="default"/>
                <w:spacing w:val="-3"/>
                <w:w w:val="100"/>
                <w:sz w:val="21"/>
                <w:szCs w:val="21"/>
              </w:rPr>
              <w:t>初</w:t>
            </w:r>
            <w:r>
              <w:rPr>
                <w:rFonts w:ascii="宋体" w:hAnsi="宋体" w:cs="宋体" w:eastAsia="宋体" w:hint="default"/>
                <w:w w:val="100"/>
                <w:sz w:val="21"/>
                <w:szCs w:val="21"/>
              </w:rPr>
              <w:t>余</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691" w:type="dxa"/>
            <w:vMerge/>
            <w:tcBorders>
              <w:left w:val="single" w:sz="10" w:space="0" w:color="D4D4D4"/>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830" w:hRule="exact"/>
        </w:trPr>
        <w:tc>
          <w:tcPr>
            <w:tcW w:w="14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三</w:t>
            </w:r>
            <w:r>
              <w:rPr>
                <w:rFonts w:ascii="宋体" w:hAnsi="宋体" w:cs="宋体" w:eastAsia="宋体" w:hint="default"/>
                <w:spacing w:val="-87"/>
                <w:w w:val="100"/>
                <w:sz w:val="21"/>
                <w:szCs w:val="21"/>
              </w:rPr>
              <w:t>、</w:t>
            </w:r>
            <w:r>
              <w:rPr>
                <w:rFonts w:ascii="宋体" w:hAnsi="宋体" w:cs="宋体" w:eastAsia="宋体" w:hint="default"/>
                <w:w w:val="100"/>
                <w:sz w:val="21"/>
                <w:szCs w:val="21"/>
              </w:rPr>
              <w:t>本</w:t>
            </w:r>
            <w:r>
              <w:rPr>
                <w:rFonts w:ascii="宋体" w:hAnsi="宋体" w:cs="宋体" w:eastAsia="宋体" w:hint="default"/>
                <w:spacing w:val="-3"/>
                <w:w w:val="100"/>
                <w:sz w:val="21"/>
                <w:szCs w:val="21"/>
              </w:rPr>
              <w:t>期</w:t>
            </w:r>
            <w:r>
              <w:rPr>
                <w:rFonts w:ascii="宋体" w:hAnsi="宋体" w:cs="宋体" w:eastAsia="宋体" w:hint="default"/>
                <w:w w:val="100"/>
                <w:sz w:val="21"/>
                <w:szCs w:val="21"/>
              </w:rPr>
              <w:t>增</w:t>
            </w:r>
            <w:r>
              <w:rPr>
                <w:rFonts w:ascii="宋体" w:hAnsi="宋体" w:cs="宋体" w:eastAsia="宋体" w:hint="default"/>
                <w:spacing w:val="-3"/>
                <w:w w:val="100"/>
                <w:sz w:val="21"/>
                <w:szCs w:val="21"/>
              </w:rPr>
              <w:t>减</w:t>
            </w:r>
            <w:r>
              <w:rPr>
                <w:rFonts w:ascii="宋体" w:hAnsi="宋体" w:cs="宋体" w:eastAsia="宋体" w:hint="default"/>
                <w:w w:val="100"/>
                <w:sz w:val="21"/>
                <w:szCs w:val="21"/>
              </w:rPr>
              <w:t>变</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动金</w:t>
            </w:r>
            <w:r>
              <w:rPr>
                <w:rFonts w:ascii="宋体" w:hAnsi="宋体" w:cs="宋体" w:eastAsia="宋体" w:hint="default"/>
                <w:spacing w:val="-87"/>
                <w:w w:val="100"/>
                <w:sz w:val="21"/>
                <w:szCs w:val="21"/>
              </w:rPr>
              <w:t>额</w:t>
            </w:r>
            <w:r>
              <w:rPr>
                <w:rFonts w:ascii="宋体" w:hAnsi="宋体" w:cs="宋体" w:eastAsia="宋体" w:hint="default"/>
                <w:spacing w:val="-3"/>
                <w:w w:val="100"/>
                <w:sz w:val="21"/>
                <w:szCs w:val="21"/>
              </w:rPr>
              <w:t>（</w:t>
            </w:r>
            <w:r>
              <w:rPr>
                <w:rFonts w:ascii="宋体" w:hAnsi="宋体" w:cs="宋体" w:eastAsia="宋体" w:hint="default"/>
                <w:w w:val="100"/>
                <w:sz w:val="21"/>
                <w:szCs w:val="21"/>
              </w:rPr>
              <w:t>减</w:t>
            </w:r>
            <w:r>
              <w:rPr>
                <w:rFonts w:ascii="宋体" w:hAnsi="宋体" w:cs="宋体" w:eastAsia="宋体" w:hint="default"/>
                <w:spacing w:val="-3"/>
                <w:w w:val="100"/>
                <w:sz w:val="21"/>
                <w:szCs w:val="21"/>
              </w:rPr>
              <w:t>少</w:t>
            </w:r>
            <w:r>
              <w:rPr>
                <w:rFonts w:ascii="宋体" w:hAnsi="宋体" w:cs="宋体" w:eastAsia="宋体" w:hint="default"/>
                <w:w w:val="100"/>
                <w:sz w:val="21"/>
                <w:szCs w:val="21"/>
              </w:rPr>
              <w:t>以</w:t>
            </w:r>
          </w:p>
          <w:p>
            <w:pPr>
              <w:pStyle w:val="TableParagraph"/>
              <w:spacing w:line="290"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691" w:type="dxa"/>
            <w:tcBorders>
              <w:top w:val="single" w:sz="4" w:space="0" w:color="000000"/>
              <w:left w:val="single" w:sz="10" w:space="0" w:color="D4D4D4"/>
              <w:bottom w:val="single" w:sz="4" w:space="0" w:color="000000"/>
              <w:right w:val="single" w:sz="4" w:space="0" w:color="000000"/>
            </w:tcBorders>
          </w:tcPr>
          <w:p>
            <w:pPr>
              <w:pStyle w:val="TableParagraph"/>
              <w:spacing w:line="241" w:lineRule="exact" w:before="164"/>
              <w:ind w:left="24" w:right="0"/>
              <w:jc w:val="left"/>
              <w:rPr>
                <w:rFonts w:ascii="Times New Roman" w:hAnsi="Times New Roman" w:cs="Times New Roman" w:eastAsia="Times New Roman" w:hint="default"/>
                <w:sz w:val="21"/>
                <w:szCs w:val="21"/>
              </w:rPr>
            </w:pPr>
            <w:r>
              <w:rPr>
                <w:rFonts w:ascii="Times New Roman"/>
                <w:sz w:val="21"/>
              </w:rPr>
              <w:t>70,400,</w:t>
            </w:r>
          </w:p>
          <w:p>
            <w:pPr>
              <w:pStyle w:val="TableParagraph"/>
              <w:spacing w:line="241" w:lineRule="exact"/>
              <w:ind w:left="76" w:right="0"/>
              <w:jc w:val="left"/>
              <w:rPr>
                <w:rFonts w:ascii="Times New Roman" w:hAnsi="Times New Roman" w:cs="Times New Roman" w:eastAsia="Times New Roman" w:hint="default"/>
                <w:sz w:val="21"/>
                <w:szCs w:val="21"/>
              </w:rPr>
            </w:pPr>
            <w:r>
              <w:rPr>
                <w:rFonts w:ascii="Times New Roman"/>
                <w:sz w:val="21"/>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64"/>
              <w:ind w:left="43" w:right="0"/>
              <w:jc w:val="center"/>
              <w:rPr>
                <w:rFonts w:ascii="Times New Roman" w:hAnsi="Times New Roman" w:cs="Times New Roman" w:eastAsia="Times New Roman" w:hint="default"/>
                <w:sz w:val="21"/>
                <w:szCs w:val="21"/>
              </w:rPr>
            </w:pPr>
            <w:r>
              <w:rPr>
                <w:rFonts w:ascii="Times New Roman"/>
                <w:sz w:val="21"/>
              </w:rPr>
              <w:t>-70,400,</w:t>
            </w:r>
          </w:p>
          <w:p>
            <w:pPr>
              <w:pStyle w:val="TableParagraph"/>
              <w:spacing w:line="241" w:lineRule="exact"/>
              <w:ind w:left="168" w:right="0"/>
              <w:jc w:val="center"/>
              <w:rPr>
                <w:rFonts w:ascii="Times New Roman" w:hAnsi="Times New Roman" w:cs="Times New Roman" w:eastAsia="Times New Roman" w:hint="default"/>
                <w:sz w:val="21"/>
                <w:szCs w:val="21"/>
              </w:rPr>
            </w:pPr>
            <w:r>
              <w:rPr>
                <w:rFonts w:ascii="Times New Roman"/>
                <w:sz w:val="21"/>
              </w:rPr>
              <w:t>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64"/>
              <w:ind w:left="31" w:right="0"/>
              <w:jc w:val="left"/>
              <w:rPr>
                <w:rFonts w:ascii="Times New Roman" w:hAnsi="Times New Roman" w:cs="Times New Roman" w:eastAsia="Times New Roman" w:hint="default"/>
                <w:sz w:val="21"/>
                <w:szCs w:val="21"/>
              </w:rPr>
            </w:pPr>
            <w:r>
              <w:rPr>
                <w:rFonts w:ascii="Times New Roman"/>
                <w:sz w:val="21"/>
              </w:rPr>
              <w:t>2,290,75</w:t>
            </w:r>
          </w:p>
          <w:p>
            <w:pPr>
              <w:pStyle w:val="TableParagraph"/>
              <w:spacing w:line="241" w:lineRule="exact"/>
              <w:ind w:left="398" w:right="0"/>
              <w:jc w:val="left"/>
              <w:rPr>
                <w:rFonts w:ascii="Times New Roman" w:hAnsi="Times New Roman" w:cs="Times New Roman" w:eastAsia="Times New Roman" w:hint="default"/>
                <w:sz w:val="21"/>
                <w:szCs w:val="21"/>
              </w:rPr>
            </w:pPr>
            <w:r>
              <w:rPr>
                <w:rFonts w:ascii="Times New Roman"/>
                <w:sz w:val="21"/>
              </w:rPr>
              <w:t>9.50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9"/>
              <w:jc w:val="right"/>
              <w:rPr>
                <w:rFonts w:ascii="Times New Roman" w:hAnsi="Times New Roman" w:cs="Times New Roman" w:eastAsia="Times New Roman" w:hint="default"/>
                <w:sz w:val="21"/>
                <w:szCs w:val="21"/>
              </w:rPr>
            </w:pPr>
            <w:r>
              <w:rPr>
                <w:rFonts w:ascii="Times New Roman"/>
                <w:sz w:val="21"/>
              </w:rPr>
              <w:t>15,336</w:t>
            </w:r>
          </w:p>
          <w:p>
            <w:pPr>
              <w:pStyle w:val="TableParagraph"/>
              <w:spacing w:line="241" w:lineRule="exact" w:before="1"/>
              <w:ind w:right="19"/>
              <w:jc w:val="right"/>
              <w:rPr>
                <w:rFonts w:ascii="Times New Roman" w:hAnsi="Times New Roman" w:cs="Times New Roman" w:eastAsia="Times New Roman" w:hint="default"/>
                <w:sz w:val="21"/>
                <w:szCs w:val="21"/>
              </w:rPr>
            </w:pPr>
            <w:r>
              <w:rPr>
                <w:rFonts w:ascii="Times New Roman"/>
                <w:sz w:val="21"/>
              </w:rPr>
              <w:t>,835.4</w:t>
            </w:r>
          </w:p>
          <w:p>
            <w:pPr>
              <w:pStyle w:val="TableParagraph"/>
              <w:spacing w:line="241" w:lineRule="exact"/>
              <w:ind w:right="23"/>
              <w:jc w:val="right"/>
              <w:rPr>
                <w:rFonts w:ascii="Times New Roman" w:hAnsi="Times New Roman" w:cs="Times New Roman" w:eastAsia="Times New Roman" w:hint="default"/>
                <w:sz w:val="21"/>
                <w:szCs w:val="21"/>
              </w:rPr>
            </w:pPr>
            <w:r>
              <w:rPr>
                <w:rFonts w:ascii="Times New Roman"/>
                <w:w w:val="100"/>
                <w:sz w:val="21"/>
              </w:rPr>
              <w:t>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64"/>
              <w:ind w:left="117" w:right="0"/>
              <w:jc w:val="left"/>
              <w:rPr>
                <w:rFonts w:ascii="Times New Roman" w:hAnsi="Times New Roman" w:cs="Times New Roman" w:eastAsia="Times New Roman" w:hint="default"/>
                <w:sz w:val="21"/>
                <w:szCs w:val="21"/>
              </w:rPr>
            </w:pPr>
            <w:r>
              <w:rPr>
                <w:rFonts w:ascii="Times New Roman"/>
                <w:sz w:val="21"/>
              </w:rPr>
              <w:t>17,627,</w:t>
            </w:r>
          </w:p>
          <w:p>
            <w:pPr>
              <w:pStyle w:val="TableParagraph"/>
              <w:spacing w:line="241" w:lineRule="exact"/>
              <w:ind w:left="170" w:right="0"/>
              <w:jc w:val="left"/>
              <w:rPr>
                <w:rFonts w:ascii="Times New Roman" w:hAnsi="Times New Roman" w:cs="Times New Roman" w:eastAsia="Times New Roman" w:hint="default"/>
                <w:sz w:val="21"/>
                <w:szCs w:val="21"/>
              </w:rPr>
            </w:pPr>
            <w:r>
              <w:rPr>
                <w:rFonts w:ascii="Times New Roman"/>
                <w:sz w:val="21"/>
              </w:rPr>
              <w:t>594.97</w:t>
            </w:r>
          </w:p>
        </w:tc>
      </w:tr>
      <w:tr>
        <w:trPr>
          <w:trHeight w:val="94" w:hRule="exact"/>
        </w:trPr>
        <w:tc>
          <w:tcPr>
            <w:tcW w:w="1440" w:type="dxa"/>
            <w:tcBorders>
              <w:top w:val="single" w:sz="4" w:space="0" w:color="000000"/>
              <w:left w:val="single" w:sz="4" w:space="0" w:color="000000"/>
              <w:bottom w:val="nil" w:sz="6" w:space="0" w:color="auto"/>
              <w:right w:val="single" w:sz="4" w:space="0" w:color="000000"/>
            </w:tcBorders>
            <w:shd w:val="clear" w:color="auto" w:fill="D4D4D4"/>
          </w:tcPr>
          <w:p>
            <w:pPr/>
          </w:p>
        </w:tc>
        <w:tc>
          <w:tcPr>
            <w:tcW w:w="691" w:type="dxa"/>
            <w:vMerge w:val="restart"/>
            <w:tcBorders>
              <w:top w:val="single" w:sz="4" w:space="0" w:color="000000"/>
              <w:left w:val="single" w:sz="10" w:space="0" w:color="D4D4D4"/>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677" w:type="dxa"/>
            <w:vMerge w:val="restart"/>
            <w:tcBorders>
              <w:top w:val="single" w:sz="4" w:space="0" w:color="000000"/>
              <w:left w:val="single" w:sz="4" w:space="0" w:color="000000"/>
              <w:right w:val="single" w:sz="4" w:space="0" w:color="000000"/>
            </w:tcBorders>
          </w:tcPr>
          <w:p>
            <w:pPr>
              <w:pStyle w:val="TableParagraph"/>
              <w:spacing w:line="234" w:lineRule="exact"/>
              <w:ind w:right="19"/>
              <w:jc w:val="right"/>
              <w:rPr>
                <w:rFonts w:ascii="Times New Roman" w:hAnsi="Times New Roman" w:cs="Times New Roman" w:eastAsia="Times New Roman" w:hint="default"/>
                <w:sz w:val="21"/>
                <w:szCs w:val="21"/>
              </w:rPr>
            </w:pPr>
            <w:r>
              <w:rPr>
                <w:rFonts w:ascii="Times New Roman"/>
                <w:sz w:val="21"/>
              </w:rPr>
              <w:t>22,907</w:t>
            </w:r>
          </w:p>
          <w:p>
            <w:pPr>
              <w:pStyle w:val="TableParagraph"/>
              <w:spacing w:line="241" w:lineRule="exact"/>
              <w:ind w:right="19"/>
              <w:jc w:val="right"/>
              <w:rPr>
                <w:rFonts w:ascii="Times New Roman" w:hAnsi="Times New Roman" w:cs="Times New Roman" w:eastAsia="Times New Roman" w:hint="default"/>
                <w:sz w:val="21"/>
                <w:szCs w:val="21"/>
              </w:rPr>
            </w:pPr>
            <w:r>
              <w:rPr>
                <w:rFonts w:ascii="Times New Roman"/>
                <w:sz w:val="21"/>
              </w:rPr>
              <w:t>,594.9</w:t>
            </w:r>
          </w:p>
          <w:p>
            <w:pPr>
              <w:pStyle w:val="TableParagraph"/>
              <w:spacing w:line="240" w:lineRule="auto" w:before="1"/>
              <w:ind w:right="23"/>
              <w:jc w:val="right"/>
              <w:rPr>
                <w:rFonts w:ascii="Times New Roman" w:hAnsi="Times New Roman" w:cs="Times New Roman" w:eastAsia="Times New Roman" w:hint="default"/>
                <w:sz w:val="21"/>
                <w:szCs w:val="21"/>
              </w:rPr>
            </w:pPr>
            <w:r>
              <w:rPr>
                <w:rFonts w:ascii="Times New Roman"/>
                <w:w w:val="100"/>
                <w:sz w:val="21"/>
              </w:rPr>
              <w:t>7</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113"/>
              <w:ind w:left="117" w:right="0"/>
              <w:jc w:val="left"/>
              <w:rPr>
                <w:rFonts w:ascii="Times New Roman" w:hAnsi="Times New Roman" w:cs="Times New Roman" w:eastAsia="Times New Roman" w:hint="default"/>
                <w:sz w:val="21"/>
                <w:szCs w:val="21"/>
              </w:rPr>
            </w:pPr>
            <w:r>
              <w:rPr>
                <w:rFonts w:ascii="Times New Roman"/>
                <w:sz w:val="21"/>
              </w:rPr>
              <w:t>22,907,</w:t>
            </w:r>
          </w:p>
          <w:p>
            <w:pPr>
              <w:pStyle w:val="TableParagraph"/>
              <w:spacing w:line="240" w:lineRule="auto" w:before="1"/>
              <w:ind w:left="170" w:right="0"/>
              <w:jc w:val="left"/>
              <w:rPr>
                <w:rFonts w:ascii="Times New Roman" w:hAnsi="Times New Roman" w:cs="Times New Roman" w:eastAsia="Times New Roman" w:hint="default"/>
                <w:sz w:val="21"/>
                <w:szCs w:val="21"/>
              </w:rPr>
            </w:pPr>
            <w:r>
              <w:rPr>
                <w:rFonts w:ascii="Times New Roman"/>
                <w:sz w:val="21"/>
              </w:rPr>
              <w:t>594.97</w:t>
            </w:r>
          </w:p>
        </w:tc>
      </w:tr>
      <w:tr>
        <w:trPr>
          <w:trHeight w:val="638" w:hRule="exact"/>
        </w:trPr>
        <w:tc>
          <w:tcPr>
            <w:tcW w:w="1440" w:type="dxa"/>
            <w:tcBorders>
              <w:top w:val="nil" w:sz="6" w:space="0" w:color="auto"/>
              <w:left w:val="single" w:sz="4" w:space="0" w:color="000000"/>
              <w:bottom w:val="single" w:sz="4" w:space="0" w:color="000000"/>
              <w:right w:val="single" w:sz="4" w:space="0" w:color="000000"/>
            </w:tcBorders>
            <w:shd w:val="clear" w:color="auto" w:fill="D4D4D4"/>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spacing w:val="-3"/>
                <w:w w:val="100"/>
                <w:sz w:val="21"/>
                <w:szCs w:val="21"/>
              </w:rPr>
              <w:t>一</w:t>
            </w:r>
            <w:r>
              <w:rPr>
                <w:rFonts w:ascii="宋体" w:hAnsi="宋体" w:cs="宋体" w:eastAsia="宋体" w:hint="default"/>
                <w:spacing w:val="-85"/>
                <w:w w:val="100"/>
                <w:sz w:val="21"/>
                <w:szCs w:val="21"/>
              </w:rPr>
              <w:t>）</w:t>
            </w:r>
            <w:r>
              <w:rPr>
                <w:rFonts w:ascii="宋体" w:hAnsi="宋体" w:cs="宋体" w:eastAsia="宋体" w:hint="default"/>
                <w:spacing w:val="-3"/>
                <w:w w:val="100"/>
                <w:sz w:val="21"/>
                <w:szCs w:val="21"/>
              </w:rPr>
              <w:t>综</w:t>
            </w:r>
            <w:r>
              <w:rPr>
                <w:rFonts w:ascii="宋体" w:hAnsi="宋体" w:cs="宋体" w:eastAsia="宋体" w:hint="default"/>
                <w:w w:val="100"/>
                <w:sz w:val="21"/>
                <w:szCs w:val="21"/>
              </w:rPr>
              <w:t>合</w:t>
            </w:r>
            <w:r>
              <w:rPr>
                <w:rFonts w:ascii="宋体" w:hAnsi="宋体" w:cs="宋体" w:eastAsia="宋体" w:hint="default"/>
                <w:spacing w:val="-3"/>
                <w:w w:val="100"/>
                <w:sz w:val="21"/>
                <w:szCs w:val="21"/>
              </w:rPr>
              <w:t>收益</w:t>
            </w:r>
            <w:r>
              <w:rPr>
                <w:rFonts w:ascii="宋体" w:hAnsi="宋体" w:cs="宋体" w:eastAsia="宋体" w:hint="default"/>
                <w:w w:val="100"/>
                <w:sz w:val="21"/>
                <w:szCs w:val="21"/>
              </w:rPr>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总额</w:t>
            </w:r>
          </w:p>
        </w:tc>
        <w:tc>
          <w:tcPr>
            <w:tcW w:w="691" w:type="dxa"/>
            <w:vMerge/>
            <w:tcBorders>
              <w:left w:val="single" w:sz="10" w:space="0" w:color="D4D4D4"/>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557" w:hRule="exact"/>
        </w:trPr>
        <w:tc>
          <w:tcPr>
            <w:tcW w:w="14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spacing w:val="-3"/>
                <w:w w:val="100"/>
                <w:sz w:val="21"/>
                <w:szCs w:val="21"/>
              </w:rPr>
              <w:t>二</w:t>
            </w:r>
            <w:r>
              <w:rPr>
                <w:rFonts w:ascii="宋体" w:hAnsi="宋体" w:cs="宋体" w:eastAsia="宋体" w:hint="default"/>
                <w:spacing w:val="-85"/>
                <w:w w:val="100"/>
                <w:sz w:val="21"/>
                <w:szCs w:val="21"/>
              </w:rPr>
              <w:t>）</w:t>
            </w:r>
            <w:r>
              <w:rPr>
                <w:rFonts w:ascii="宋体" w:hAnsi="宋体" w:cs="宋体" w:eastAsia="宋体" w:hint="default"/>
                <w:spacing w:val="-3"/>
                <w:w w:val="100"/>
                <w:sz w:val="21"/>
                <w:szCs w:val="21"/>
              </w:rPr>
              <w:t>所</w:t>
            </w:r>
            <w:r>
              <w:rPr>
                <w:rFonts w:ascii="宋体" w:hAnsi="宋体" w:cs="宋体" w:eastAsia="宋体" w:hint="default"/>
                <w:w w:val="100"/>
                <w:sz w:val="21"/>
                <w:szCs w:val="21"/>
              </w:rPr>
              <w:t>有</w:t>
            </w:r>
            <w:r>
              <w:rPr>
                <w:rFonts w:ascii="宋体" w:hAnsi="宋体" w:cs="宋体" w:eastAsia="宋体" w:hint="default"/>
                <w:spacing w:val="-3"/>
                <w:w w:val="100"/>
                <w:sz w:val="21"/>
                <w:szCs w:val="21"/>
              </w:rPr>
              <w:t>者投</w:t>
            </w:r>
            <w:r>
              <w:rPr>
                <w:rFonts w:ascii="宋体" w:hAnsi="宋体" w:cs="宋体" w:eastAsia="宋体" w:hint="default"/>
                <w:w w:val="100"/>
                <w:sz w:val="21"/>
                <w:szCs w:val="21"/>
              </w:rPr>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入和减少资本</w:t>
            </w:r>
          </w:p>
        </w:tc>
        <w:tc>
          <w:tcPr>
            <w:tcW w:w="691"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8"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．股东投入的</w:t>
            </w:r>
          </w:p>
          <w:p>
            <w:pPr>
              <w:pStyle w:val="TableParagraph"/>
              <w:spacing w:line="266" w:lineRule="exact"/>
              <w:ind w:left="24" w:right="0"/>
              <w:jc w:val="left"/>
              <w:rPr>
                <w:rFonts w:ascii="宋体" w:hAnsi="宋体" w:cs="宋体" w:eastAsia="宋体" w:hint="default"/>
                <w:sz w:val="21"/>
                <w:szCs w:val="21"/>
              </w:rPr>
            </w:pPr>
            <w:r>
              <w:rPr>
                <w:rFonts w:ascii="宋体" w:hAnsi="宋体" w:cs="宋体" w:eastAsia="宋体" w:hint="default"/>
                <w:sz w:val="21"/>
                <w:szCs w:val="21"/>
              </w:rPr>
              <w:t>普通股</w:t>
            </w:r>
          </w:p>
        </w:tc>
        <w:tc>
          <w:tcPr>
            <w:tcW w:w="691"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4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8"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．其他权益工</w:t>
            </w:r>
          </w:p>
          <w:p>
            <w:pPr>
              <w:pStyle w:val="TableParagraph"/>
              <w:spacing w:line="272" w:lineRule="exact" w:before="19"/>
              <w:ind w:left="24" w:right="141"/>
              <w:jc w:val="left"/>
              <w:rPr>
                <w:rFonts w:ascii="宋体" w:hAnsi="宋体" w:cs="宋体" w:eastAsia="宋体" w:hint="default"/>
                <w:sz w:val="21"/>
                <w:szCs w:val="21"/>
              </w:rPr>
            </w:pPr>
            <w:r>
              <w:rPr>
                <w:rFonts w:ascii="宋体" w:hAnsi="宋体" w:cs="宋体" w:eastAsia="宋体" w:hint="default"/>
                <w:sz w:val="21"/>
                <w:szCs w:val="21"/>
              </w:rPr>
              <w:t>具持有者投入</w:t>
            </w:r>
            <w:r>
              <w:rPr>
                <w:rFonts w:ascii="宋体" w:hAnsi="宋体" w:cs="宋体" w:eastAsia="宋体" w:hint="default"/>
                <w:w w:val="100"/>
                <w:sz w:val="21"/>
                <w:szCs w:val="21"/>
              </w:rPr>
              <w:t> </w:t>
            </w:r>
            <w:r>
              <w:rPr>
                <w:rFonts w:ascii="宋体" w:hAnsi="宋体" w:cs="宋体" w:eastAsia="宋体" w:hint="default"/>
                <w:sz w:val="21"/>
                <w:szCs w:val="21"/>
              </w:rPr>
              <w:t>资本</w:t>
            </w:r>
          </w:p>
        </w:tc>
        <w:tc>
          <w:tcPr>
            <w:tcW w:w="691"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830" w:hRule="exact"/>
        </w:trPr>
        <w:tc>
          <w:tcPr>
            <w:tcW w:w="14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8"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．股份支付计</w:t>
            </w:r>
          </w:p>
          <w:p>
            <w:pPr>
              <w:pStyle w:val="TableParagraph"/>
              <w:spacing w:line="274" w:lineRule="exact" w:before="17"/>
              <w:ind w:left="24" w:right="141"/>
              <w:jc w:val="left"/>
              <w:rPr>
                <w:rFonts w:ascii="宋体" w:hAnsi="宋体" w:cs="宋体" w:eastAsia="宋体" w:hint="default"/>
                <w:sz w:val="21"/>
                <w:szCs w:val="21"/>
              </w:rPr>
            </w:pPr>
            <w:r>
              <w:rPr>
                <w:rFonts w:ascii="宋体" w:hAnsi="宋体" w:cs="宋体" w:eastAsia="宋体" w:hint="default"/>
                <w:sz w:val="21"/>
                <w:szCs w:val="21"/>
              </w:rPr>
              <w:t>入所有者权益</w:t>
            </w:r>
            <w:r>
              <w:rPr>
                <w:rFonts w:ascii="宋体" w:hAnsi="宋体" w:cs="宋体" w:eastAsia="宋体" w:hint="default"/>
                <w:w w:val="100"/>
                <w:sz w:val="21"/>
                <w:szCs w:val="21"/>
              </w:rPr>
              <w:t> </w:t>
            </w:r>
            <w:r>
              <w:rPr>
                <w:rFonts w:ascii="宋体" w:hAnsi="宋体" w:cs="宋体" w:eastAsia="宋体" w:hint="default"/>
                <w:sz w:val="21"/>
                <w:szCs w:val="21"/>
              </w:rPr>
              <w:t>的金额</w:t>
            </w:r>
          </w:p>
        </w:tc>
        <w:tc>
          <w:tcPr>
            <w:tcW w:w="691"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5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691"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92" w:hRule="exact"/>
        </w:trPr>
        <w:tc>
          <w:tcPr>
            <w:tcW w:w="1440" w:type="dxa"/>
            <w:tcBorders>
              <w:top w:val="single" w:sz="45" w:space="0" w:color="D4D4D4"/>
              <w:left w:val="single" w:sz="13" w:space="0" w:color="D4D4D4"/>
              <w:bottom w:val="single" w:sz="42" w:space="0" w:color="D4D4D4"/>
              <w:right w:val="single" w:sz="10" w:space="0" w:color="D4D4D4"/>
            </w:tcBorders>
          </w:tcPr>
          <w:p>
            <w:pPr>
              <w:pStyle w:val="TableParagraph"/>
              <w:spacing w:line="240" w:lineRule="auto" w:before="17"/>
              <w:ind w:left="12"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w w:val="100"/>
                <w:sz w:val="21"/>
                <w:szCs w:val="21"/>
                <w:shd w:fill="D4D4D4" w:color="auto" w:val="clear"/>
              </w:rPr>
              <w:t>（</w:t>
            </w:r>
            <w:r>
              <w:rPr>
                <w:rFonts w:ascii="宋体" w:hAnsi="宋体" w:cs="宋体" w:eastAsia="宋体" w:hint="default"/>
                <w:spacing w:val="-3"/>
                <w:w w:val="100"/>
                <w:sz w:val="21"/>
                <w:szCs w:val="21"/>
                <w:shd w:fill="D4D4D4" w:color="auto" w:val="clear"/>
              </w:rPr>
              <w:t>三</w:t>
            </w:r>
            <w:r>
              <w:rPr>
                <w:rFonts w:ascii="宋体" w:hAnsi="宋体" w:cs="宋体" w:eastAsia="宋体" w:hint="default"/>
                <w:spacing w:val="-85"/>
                <w:w w:val="100"/>
                <w:sz w:val="21"/>
                <w:szCs w:val="21"/>
                <w:shd w:fill="D4D4D4" w:color="auto" w:val="clear"/>
              </w:rPr>
              <w:t>）</w:t>
            </w:r>
            <w:r>
              <w:rPr>
                <w:rFonts w:ascii="宋体" w:hAnsi="宋体" w:cs="宋体" w:eastAsia="宋体" w:hint="default"/>
                <w:spacing w:val="-3"/>
                <w:w w:val="100"/>
                <w:sz w:val="21"/>
                <w:szCs w:val="21"/>
                <w:shd w:fill="D4D4D4" w:color="auto" w:val="clear"/>
              </w:rPr>
              <w:t>利</w:t>
            </w:r>
            <w:r>
              <w:rPr>
                <w:rFonts w:ascii="宋体" w:hAnsi="宋体" w:cs="宋体" w:eastAsia="宋体" w:hint="default"/>
                <w:w w:val="100"/>
                <w:sz w:val="21"/>
                <w:szCs w:val="21"/>
                <w:shd w:fill="D4D4D4" w:color="auto" w:val="clear"/>
              </w:rPr>
              <w:t>润</w:t>
            </w:r>
            <w:r>
              <w:rPr>
                <w:rFonts w:ascii="宋体" w:hAnsi="宋体" w:cs="宋体" w:eastAsia="宋体" w:hint="default"/>
                <w:spacing w:val="-3"/>
                <w:w w:val="100"/>
                <w:sz w:val="21"/>
                <w:szCs w:val="21"/>
                <w:shd w:fill="D4D4D4" w:color="auto" w:val="clear"/>
              </w:rPr>
              <w:t>分配</w:t>
            </w:r>
            <w:r>
              <w:rPr>
                <w:rFonts w:ascii="宋体" w:hAnsi="宋体" w:cs="宋体" w:eastAsia="宋体" w:hint="default"/>
                <w:spacing w:val="-3"/>
                <w:w w:val="100"/>
                <w:sz w:val="21"/>
                <w:szCs w:val="21"/>
              </w:rPr>
            </w:r>
            <w:r>
              <w:rPr>
                <w:rFonts w:ascii="宋体" w:hAnsi="宋体" w:cs="宋体" w:eastAsia="宋体" w:hint="default"/>
                <w:w w:val="100"/>
                <w:sz w:val="21"/>
                <w:szCs w:val="21"/>
              </w:rPr>
            </w:r>
          </w:p>
        </w:tc>
        <w:tc>
          <w:tcPr>
            <w:tcW w:w="691"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31" w:right="0"/>
              <w:jc w:val="left"/>
              <w:rPr>
                <w:rFonts w:ascii="Times New Roman" w:hAnsi="Times New Roman" w:cs="Times New Roman" w:eastAsia="Times New Roman" w:hint="default"/>
                <w:sz w:val="21"/>
                <w:szCs w:val="21"/>
              </w:rPr>
            </w:pPr>
            <w:r>
              <w:rPr>
                <w:rFonts w:ascii="Times New Roman"/>
                <w:sz w:val="21"/>
              </w:rPr>
              <w:t>2,290,75</w:t>
            </w:r>
          </w:p>
          <w:p>
            <w:pPr>
              <w:pStyle w:val="TableParagraph"/>
              <w:spacing w:line="241" w:lineRule="exact"/>
              <w:ind w:left="398" w:right="0"/>
              <w:jc w:val="left"/>
              <w:rPr>
                <w:rFonts w:ascii="Times New Roman" w:hAnsi="Times New Roman" w:cs="Times New Roman" w:eastAsia="Times New Roman" w:hint="default"/>
                <w:sz w:val="21"/>
                <w:szCs w:val="21"/>
              </w:rPr>
            </w:pPr>
            <w:r>
              <w:rPr>
                <w:rFonts w:ascii="Times New Roman"/>
                <w:sz w:val="21"/>
              </w:rPr>
              <w:t>9.50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47" w:right="0"/>
              <w:jc w:val="left"/>
              <w:rPr>
                <w:rFonts w:ascii="Times New Roman" w:hAnsi="Times New Roman" w:cs="Times New Roman" w:eastAsia="Times New Roman" w:hint="default"/>
                <w:sz w:val="21"/>
                <w:szCs w:val="21"/>
              </w:rPr>
            </w:pPr>
            <w:r>
              <w:rPr>
                <w:rFonts w:ascii="Times New Roman"/>
                <w:sz w:val="21"/>
              </w:rPr>
              <w:t>-7,570,</w:t>
            </w:r>
          </w:p>
          <w:p>
            <w:pPr>
              <w:pStyle w:val="TableParagraph"/>
              <w:spacing w:line="241" w:lineRule="exact"/>
              <w:ind w:left="64" w:right="0"/>
              <w:jc w:val="left"/>
              <w:rPr>
                <w:rFonts w:ascii="Times New Roman" w:hAnsi="Times New Roman" w:cs="Times New Roman" w:eastAsia="Times New Roman" w:hint="default"/>
                <w:sz w:val="21"/>
                <w:szCs w:val="21"/>
              </w:rPr>
            </w:pPr>
            <w:r>
              <w:rPr>
                <w:rFonts w:ascii="Times New Roman"/>
                <w:sz w:val="21"/>
              </w:rPr>
              <w:t>759.50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47" w:right="0"/>
              <w:jc w:val="left"/>
              <w:rPr>
                <w:rFonts w:ascii="Times New Roman" w:hAnsi="Times New Roman" w:cs="Times New Roman" w:eastAsia="Times New Roman" w:hint="default"/>
                <w:sz w:val="21"/>
                <w:szCs w:val="21"/>
              </w:rPr>
            </w:pPr>
            <w:r>
              <w:rPr>
                <w:rFonts w:ascii="Times New Roman"/>
                <w:sz w:val="21"/>
              </w:rPr>
              <w:t>-5,280,0</w:t>
            </w:r>
          </w:p>
          <w:p>
            <w:pPr>
              <w:pStyle w:val="TableParagraph"/>
              <w:spacing w:line="241" w:lineRule="exact"/>
              <w:ind w:left="276" w:right="0"/>
              <w:jc w:val="left"/>
              <w:rPr>
                <w:rFonts w:ascii="Times New Roman" w:hAnsi="Times New Roman" w:cs="Times New Roman" w:eastAsia="Times New Roman" w:hint="default"/>
                <w:sz w:val="21"/>
                <w:szCs w:val="21"/>
              </w:rPr>
            </w:pPr>
            <w:r>
              <w:rPr>
                <w:rFonts w:ascii="Times New Roman"/>
                <w:sz w:val="21"/>
              </w:rPr>
              <w:t>00.00</w:t>
            </w:r>
          </w:p>
        </w:tc>
      </w:tr>
      <w:tr>
        <w:trPr>
          <w:trHeight w:val="554" w:hRule="exact"/>
        </w:trPr>
        <w:tc>
          <w:tcPr>
            <w:tcW w:w="14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8"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．提取盈余公</w:t>
            </w:r>
          </w:p>
          <w:p>
            <w:pPr>
              <w:pStyle w:val="TableParagraph"/>
              <w:spacing w:line="266"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积</w:t>
            </w:r>
          </w:p>
        </w:tc>
        <w:tc>
          <w:tcPr>
            <w:tcW w:w="691"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31" w:right="0"/>
              <w:jc w:val="left"/>
              <w:rPr>
                <w:rFonts w:ascii="Times New Roman" w:hAnsi="Times New Roman" w:cs="Times New Roman" w:eastAsia="Times New Roman" w:hint="default"/>
                <w:sz w:val="21"/>
                <w:szCs w:val="21"/>
              </w:rPr>
            </w:pPr>
            <w:r>
              <w:rPr>
                <w:rFonts w:ascii="Times New Roman"/>
                <w:sz w:val="21"/>
              </w:rPr>
              <w:t>2,290,75</w:t>
            </w:r>
          </w:p>
          <w:p>
            <w:pPr>
              <w:pStyle w:val="TableParagraph"/>
              <w:spacing w:line="240" w:lineRule="auto" w:before="1"/>
              <w:ind w:left="398" w:right="0"/>
              <w:jc w:val="left"/>
              <w:rPr>
                <w:rFonts w:ascii="Times New Roman" w:hAnsi="Times New Roman" w:cs="Times New Roman" w:eastAsia="Times New Roman" w:hint="default"/>
                <w:sz w:val="21"/>
                <w:szCs w:val="21"/>
              </w:rPr>
            </w:pPr>
            <w:r>
              <w:rPr>
                <w:rFonts w:ascii="Times New Roman"/>
                <w:sz w:val="21"/>
              </w:rPr>
              <w:t>9.50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7" w:right="0"/>
              <w:jc w:val="left"/>
              <w:rPr>
                <w:rFonts w:ascii="Times New Roman" w:hAnsi="Times New Roman" w:cs="Times New Roman" w:eastAsia="Times New Roman" w:hint="default"/>
                <w:sz w:val="21"/>
                <w:szCs w:val="21"/>
              </w:rPr>
            </w:pPr>
            <w:r>
              <w:rPr>
                <w:rFonts w:ascii="Times New Roman"/>
                <w:sz w:val="21"/>
              </w:rPr>
              <w:t>-2,290,</w:t>
            </w:r>
          </w:p>
          <w:p>
            <w:pPr>
              <w:pStyle w:val="TableParagraph"/>
              <w:spacing w:line="240" w:lineRule="auto" w:before="1"/>
              <w:ind w:left="64" w:right="0"/>
              <w:jc w:val="left"/>
              <w:rPr>
                <w:rFonts w:ascii="Times New Roman" w:hAnsi="Times New Roman" w:cs="Times New Roman" w:eastAsia="Times New Roman" w:hint="default"/>
                <w:sz w:val="21"/>
                <w:szCs w:val="21"/>
              </w:rPr>
            </w:pPr>
            <w:r>
              <w:rPr>
                <w:rFonts w:ascii="Times New Roman"/>
                <w:sz w:val="21"/>
              </w:rPr>
              <w:t>759.50</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9"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2</w:t>
            </w:r>
            <w:r>
              <w:rPr>
                <w:rFonts w:ascii="宋体" w:hAnsi="宋体" w:cs="宋体" w:eastAsia="宋体" w:hint="default"/>
                <w:spacing w:val="-97"/>
                <w:w w:val="100"/>
                <w:sz w:val="21"/>
                <w:szCs w:val="21"/>
              </w:rPr>
              <w:t>．</w:t>
            </w:r>
            <w:r>
              <w:rPr>
                <w:rFonts w:ascii="宋体" w:hAnsi="宋体" w:cs="宋体" w:eastAsia="宋体" w:hint="default"/>
                <w:w w:val="100"/>
                <w:sz w:val="21"/>
                <w:szCs w:val="21"/>
              </w:rPr>
              <w:t>对</w:t>
            </w:r>
            <w:r>
              <w:rPr>
                <w:rFonts w:ascii="宋体" w:hAnsi="宋体" w:cs="宋体" w:eastAsia="宋体" w:hint="default"/>
                <w:spacing w:val="-3"/>
                <w:w w:val="100"/>
                <w:sz w:val="21"/>
                <w:szCs w:val="21"/>
              </w:rPr>
              <w:t>所</w:t>
            </w:r>
            <w:r>
              <w:rPr>
                <w:rFonts w:ascii="宋体" w:hAnsi="宋体" w:cs="宋体" w:eastAsia="宋体" w:hint="default"/>
                <w:w w:val="100"/>
                <w:sz w:val="21"/>
                <w:szCs w:val="21"/>
              </w:rPr>
              <w:t>有</w:t>
            </w:r>
            <w:r>
              <w:rPr>
                <w:rFonts w:ascii="宋体" w:hAnsi="宋体" w:cs="宋体" w:eastAsia="宋体" w:hint="default"/>
                <w:spacing w:val="-97"/>
                <w:w w:val="100"/>
                <w:sz w:val="21"/>
                <w:szCs w:val="21"/>
              </w:rPr>
              <w:t>者</w:t>
            </w:r>
            <w:r>
              <w:rPr>
                <w:rFonts w:ascii="宋体" w:hAnsi="宋体" w:cs="宋体" w:eastAsia="宋体" w:hint="default"/>
                <w:spacing w:val="-3"/>
                <w:w w:val="100"/>
                <w:sz w:val="21"/>
                <w:szCs w:val="21"/>
              </w:rPr>
              <w:t>（</w:t>
            </w:r>
            <w:r>
              <w:rPr>
                <w:rFonts w:ascii="宋体" w:hAnsi="宋体" w:cs="宋体" w:eastAsia="宋体" w:hint="default"/>
                <w:w w:val="100"/>
                <w:sz w:val="21"/>
                <w:szCs w:val="21"/>
              </w:rPr>
              <w:t>或</w:t>
            </w:r>
          </w:p>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股东）的分配</w:t>
            </w:r>
          </w:p>
        </w:tc>
        <w:tc>
          <w:tcPr>
            <w:tcW w:w="691"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7"/>
              <w:ind w:left="47" w:right="0"/>
              <w:jc w:val="left"/>
              <w:rPr>
                <w:rFonts w:ascii="Times New Roman" w:hAnsi="Times New Roman" w:cs="Times New Roman" w:eastAsia="Times New Roman" w:hint="default"/>
                <w:sz w:val="21"/>
                <w:szCs w:val="21"/>
              </w:rPr>
            </w:pPr>
            <w:r>
              <w:rPr>
                <w:rFonts w:ascii="Times New Roman"/>
                <w:sz w:val="21"/>
              </w:rPr>
              <w:t>-5,280,</w:t>
            </w:r>
          </w:p>
          <w:p>
            <w:pPr>
              <w:pStyle w:val="TableParagraph"/>
              <w:spacing w:line="241" w:lineRule="exact"/>
              <w:ind w:left="64" w:right="0"/>
              <w:jc w:val="left"/>
              <w:rPr>
                <w:rFonts w:ascii="Times New Roman" w:hAnsi="Times New Roman" w:cs="Times New Roman" w:eastAsia="Times New Roman" w:hint="default"/>
                <w:sz w:val="21"/>
                <w:szCs w:val="21"/>
              </w:rPr>
            </w:pPr>
            <w:r>
              <w:rPr>
                <w:rFonts w:ascii="Times New Roman"/>
                <w:sz w:val="21"/>
              </w:rPr>
              <w:t>000.00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7"/>
              <w:ind w:left="47" w:right="0"/>
              <w:jc w:val="left"/>
              <w:rPr>
                <w:rFonts w:ascii="Times New Roman" w:hAnsi="Times New Roman" w:cs="Times New Roman" w:eastAsia="Times New Roman" w:hint="default"/>
                <w:sz w:val="21"/>
                <w:szCs w:val="21"/>
              </w:rPr>
            </w:pPr>
            <w:r>
              <w:rPr>
                <w:rFonts w:ascii="Times New Roman"/>
                <w:sz w:val="21"/>
              </w:rPr>
              <w:t>-5,280,0</w:t>
            </w:r>
          </w:p>
          <w:p>
            <w:pPr>
              <w:pStyle w:val="TableParagraph"/>
              <w:spacing w:line="241" w:lineRule="exact"/>
              <w:ind w:left="276" w:right="0"/>
              <w:jc w:val="left"/>
              <w:rPr>
                <w:rFonts w:ascii="Times New Roman" w:hAnsi="Times New Roman" w:cs="Times New Roman" w:eastAsia="Times New Roman" w:hint="default"/>
                <w:sz w:val="21"/>
                <w:szCs w:val="21"/>
              </w:rPr>
            </w:pPr>
            <w:r>
              <w:rPr>
                <w:rFonts w:ascii="Times New Roman"/>
                <w:sz w:val="21"/>
              </w:rPr>
              <w:t>00.00</w:t>
            </w:r>
          </w:p>
        </w:tc>
      </w:tr>
      <w:tr>
        <w:trPr>
          <w:trHeight w:val="283" w:hRule="exact"/>
        </w:trPr>
        <w:tc>
          <w:tcPr>
            <w:tcW w:w="14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5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691"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spacing w:val="-3"/>
                <w:w w:val="100"/>
                <w:sz w:val="21"/>
                <w:szCs w:val="21"/>
              </w:rPr>
              <w:t>四</w:t>
            </w:r>
            <w:r>
              <w:rPr>
                <w:rFonts w:ascii="宋体" w:hAnsi="宋体" w:cs="宋体" w:eastAsia="宋体" w:hint="default"/>
                <w:spacing w:val="-85"/>
                <w:w w:val="100"/>
                <w:sz w:val="21"/>
                <w:szCs w:val="21"/>
              </w:rPr>
              <w:t>）</w:t>
            </w:r>
            <w:r>
              <w:rPr>
                <w:rFonts w:ascii="宋体" w:hAnsi="宋体" w:cs="宋体" w:eastAsia="宋体" w:hint="default"/>
                <w:spacing w:val="-3"/>
                <w:w w:val="100"/>
                <w:sz w:val="21"/>
                <w:szCs w:val="21"/>
              </w:rPr>
              <w:t>所</w:t>
            </w:r>
            <w:r>
              <w:rPr>
                <w:rFonts w:ascii="宋体" w:hAnsi="宋体" w:cs="宋体" w:eastAsia="宋体" w:hint="default"/>
                <w:w w:val="100"/>
                <w:sz w:val="21"/>
                <w:szCs w:val="21"/>
              </w:rPr>
              <w:t>有</w:t>
            </w:r>
            <w:r>
              <w:rPr>
                <w:rFonts w:ascii="宋体" w:hAnsi="宋体" w:cs="宋体" w:eastAsia="宋体" w:hint="default"/>
                <w:spacing w:val="-3"/>
                <w:w w:val="100"/>
                <w:sz w:val="21"/>
                <w:szCs w:val="21"/>
              </w:rPr>
              <w:t>者权</w:t>
            </w:r>
            <w:r>
              <w:rPr>
                <w:rFonts w:ascii="宋体" w:hAnsi="宋体" w:cs="宋体" w:eastAsia="宋体" w:hint="default"/>
                <w:w w:val="100"/>
                <w:sz w:val="21"/>
                <w:szCs w:val="21"/>
              </w:rPr>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益内部结转</w:t>
            </w:r>
          </w:p>
        </w:tc>
        <w:tc>
          <w:tcPr>
            <w:tcW w:w="69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24"/>
              <w:ind w:left="24" w:right="0"/>
              <w:jc w:val="left"/>
              <w:rPr>
                <w:rFonts w:ascii="Times New Roman" w:hAnsi="Times New Roman" w:cs="Times New Roman" w:eastAsia="Times New Roman" w:hint="default"/>
                <w:sz w:val="21"/>
                <w:szCs w:val="21"/>
              </w:rPr>
            </w:pPr>
            <w:r>
              <w:rPr>
                <w:rFonts w:ascii="Times New Roman"/>
                <w:sz w:val="21"/>
              </w:rPr>
              <w:t>70,400,</w:t>
            </w:r>
          </w:p>
          <w:p>
            <w:pPr>
              <w:pStyle w:val="TableParagraph"/>
              <w:spacing w:line="240" w:lineRule="auto" w:before="1"/>
              <w:ind w:left="76" w:right="0"/>
              <w:jc w:val="left"/>
              <w:rPr>
                <w:rFonts w:ascii="Times New Roman" w:hAnsi="Times New Roman" w:cs="Times New Roman" w:eastAsia="Times New Roman" w:hint="default"/>
                <w:sz w:val="21"/>
                <w:szCs w:val="21"/>
              </w:rPr>
            </w:pPr>
            <w:r>
              <w:rPr>
                <w:rFonts w:ascii="Times New Roman"/>
                <w:sz w:val="21"/>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3" w:right="0"/>
              <w:jc w:val="center"/>
              <w:rPr>
                <w:rFonts w:ascii="Times New Roman" w:hAnsi="Times New Roman" w:cs="Times New Roman" w:eastAsia="Times New Roman" w:hint="default"/>
                <w:sz w:val="21"/>
                <w:szCs w:val="21"/>
              </w:rPr>
            </w:pPr>
            <w:r>
              <w:rPr>
                <w:rFonts w:ascii="Times New Roman"/>
                <w:sz w:val="21"/>
              </w:rPr>
              <w:t>-70,400,</w:t>
            </w:r>
          </w:p>
          <w:p>
            <w:pPr>
              <w:pStyle w:val="TableParagraph"/>
              <w:spacing w:line="240" w:lineRule="auto" w:before="1"/>
              <w:ind w:left="168" w:right="0"/>
              <w:jc w:val="center"/>
              <w:rPr>
                <w:rFonts w:ascii="Times New Roman" w:hAnsi="Times New Roman" w:cs="Times New Roman" w:eastAsia="Times New Roman" w:hint="default"/>
                <w:sz w:val="21"/>
                <w:szCs w:val="21"/>
              </w:rPr>
            </w:pPr>
            <w:r>
              <w:rPr>
                <w:rFonts w:ascii="Times New Roman"/>
                <w:sz w:val="21"/>
              </w:rPr>
              <w:t>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4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8"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．资本公积转</w:t>
            </w:r>
          </w:p>
          <w:p>
            <w:pPr>
              <w:pStyle w:val="TableParagraph"/>
              <w:spacing w:line="272" w:lineRule="exact" w:before="19"/>
              <w:ind w:left="24" w:right="141"/>
              <w:jc w:val="left"/>
              <w:rPr>
                <w:rFonts w:ascii="宋体" w:hAnsi="宋体" w:cs="宋体" w:eastAsia="宋体" w:hint="default"/>
                <w:sz w:val="21"/>
                <w:szCs w:val="21"/>
              </w:rPr>
            </w:pPr>
            <w:r>
              <w:rPr>
                <w:rFonts w:ascii="宋体" w:hAnsi="宋体" w:cs="宋体" w:eastAsia="宋体" w:hint="default"/>
                <w:sz w:val="21"/>
                <w:szCs w:val="21"/>
              </w:rPr>
              <w:t>增资本（或股</w:t>
            </w:r>
            <w:r>
              <w:rPr>
                <w:rFonts w:ascii="宋体" w:hAnsi="宋体" w:cs="宋体" w:eastAsia="宋体" w:hint="default"/>
                <w:w w:val="100"/>
                <w:sz w:val="21"/>
                <w:szCs w:val="21"/>
              </w:rPr>
              <w:t> </w:t>
            </w:r>
            <w:r>
              <w:rPr>
                <w:rFonts w:ascii="宋体" w:hAnsi="宋体" w:cs="宋体" w:eastAsia="宋体" w:hint="default"/>
                <w:sz w:val="21"/>
                <w:szCs w:val="21"/>
              </w:rPr>
              <w:t>本）</w:t>
            </w:r>
          </w:p>
        </w:tc>
        <w:tc>
          <w:tcPr>
            <w:tcW w:w="69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61"/>
              <w:ind w:left="24" w:right="0"/>
              <w:jc w:val="left"/>
              <w:rPr>
                <w:rFonts w:ascii="Times New Roman" w:hAnsi="Times New Roman" w:cs="Times New Roman" w:eastAsia="Times New Roman" w:hint="default"/>
                <w:sz w:val="21"/>
                <w:szCs w:val="21"/>
              </w:rPr>
            </w:pPr>
            <w:r>
              <w:rPr>
                <w:rFonts w:ascii="Times New Roman"/>
                <w:sz w:val="21"/>
              </w:rPr>
              <w:t>70,400,</w:t>
            </w:r>
          </w:p>
          <w:p>
            <w:pPr>
              <w:pStyle w:val="TableParagraph"/>
              <w:spacing w:line="240" w:lineRule="auto" w:before="1"/>
              <w:ind w:left="76" w:right="0"/>
              <w:jc w:val="left"/>
              <w:rPr>
                <w:rFonts w:ascii="Times New Roman" w:hAnsi="Times New Roman" w:cs="Times New Roman" w:eastAsia="Times New Roman" w:hint="default"/>
                <w:sz w:val="21"/>
                <w:szCs w:val="21"/>
              </w:rPr>
            </w:pPr>
            <w:r>
              <w:rPr>
                <w:rFonts w:ascii="Times New Roman"/>
                <w:sz w:val="21"/>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43" w:right="0"/>
              <w:jc w:val="center"/>
              <w:rPr>
                <w:rFonts w:ascii="Times New Roman" w:hAnsi="Times New Roman" w:cs="Times New Roman" w:eastAsia="Times New Roman" w:hint="default"/>
                <w:sz w:val="21"/>
                <w:szCs w:val="21"/>
              </w:rPr>
            </w:pPr>
            <w:r>
              <w:rPr>
                <w:rFonts w:ascii="Times New Roman"/>
                <w:sz w:val="21"/>
              </w:rPr>
              <w:t>-70,400,</w:t>
            </w:r>
          </w:p>
          <w:p>
            <w:pPr>
              <w:pStyle w:val="TableParagraph"/>
              <w:spacing w:line="240" w:lineRule="auto" w:before="1"/>
              <w:ind w:left="168" w:right="0"/>
              <w:jc w:val="center"/>
              <w:rPr>
                <w:rFonts w:ascii="Times New Roman" w:hAnsi="Times New Roman" w:cs="Times New Roman" w:eastAsia="Times New Roman" w:hint="default"/>
                <w:sz w:val="21"/>
                <w:szCs w:val="21"/>
              </w:rPr>
            </w:pPr>
            <w:r>
              <w:rPr>
                <w:rFonts w:ascii="Times New Roman"/>
                <w:sz w:val="21"/>
              </w:rPr>
              <w:t>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830" w:hRule="exact"/>
        </w:trPr>
        <w:tc>
          <w:tcPr>
            <w:tcW w:w="14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8"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．盈余公积转</w:t>
            </w:r>
          </w:p>
          <w:p>
            <w:pPr>
              <w:pStyle w:val="TableParagraph"/>
              <w:spacing w:line="274" w:lineRule="exact" w:before="17"/>
              <w:ind w:left="24" w:right="141"/>
              <w:jc w:val="left"/>
              <w:rPr>
                <w:rFonts w:ascii="宋体" w:hAnsi="宋体" w:cs="宋体" w:eastAsia="宋体" w:hint="default"/>
                <w:sz w:val="21"/>
                <w:szCs w:val="21"/>
              </w:rPr>
            </w:pPr>
            <w:r>
              <w:rPr>
                <w:rFonts w:ascii="宋体" w:hAnsi="宋体" w:cs="宋体" w:eastAsia="宋体" w:hint="default"/>
                <w:sz w:val="21"/>
                <w:szCs w:val="21"/>
              </w:rPr>
              <w:t>增资本（或股</w:t>
            </w:r>
            <w:r>
              <w:rPr>
                <w:rFonts w:ascii="宋体" w:hAnsi="宋体" w:cs="宋体" w:eastAsia="宋体" w:hint="default"/>
                <w:w w:val="100"/>
                <w:sz w:val="21"/>
                <w:szCs w:val="21"/>
              </w:rPr>
              <w:t> </w:t>
            </w:r>
            <w:r>
              <w:rPr>
                <w:rFonts w:ascii="宋体" w:hAnsi="宋体" w:cs="宋体" w:eastAsia="宋体" w:hint="default"/>
                <w:sz w:val="21"/>
                <w:szCs w:val="21"/>
              </w:rPr>
              <w:t>本）</w:t>
            </w:r>
          </w:p>
        </w:tc>
        <w:tc>
          <w:tcPr>
            <w:tcW w:w="691"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．盈余公积弥</w:t>
            </w:r>
          </w:p>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补亏损</w:t>
            </w:r>
          </w:p>
        </w:tc>
        <w:tc>
          <w:tcPr>
            <w:tcW w:w="691"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5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691"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spacing w:val="-3"/>
                <w:w w:val="100"/>
                <w:sz w:val="21"/>
                <w:szCs w:val="21"/>
              </w:rPr>
              <w:t>五</w:t>
            </w:r>
            <w:r>
              <w:rPr>
                <w:rFonts w:ascii="宋体" w:hAnsi="宋体" w:cs="宋体" w:eastAsia="宋体" w:hint="default"/>
                <w:spacing w:val="-85"/>
                <w:w w:val="100"/>
                <w:sz w:val="21"/>
                <w:szCs w:val="21"/>
              </w:rPr>
              <w:t>）</w:t>
            </w:r>
            <w:r>
              <w:rPr>
                <w:rFonts w:ascii="宋体" w:hAnsi="宋体" w:cs="宋体" w:eastAsia="宋体" w:hint="default"/>
                <w:spacing w:val="-3"/>
                <w:w w:val="100"/>
                <w:sz w:val="21"/>
                <w:szCs w:val="21"/>
              </w:rPr>
              <w:t>专</w:t>
            </w:r>
            <w:r>
              <w:rPr>
                <w:rFonts w:ascii="宋体" w:hAnsi="宋体" w:cs="宋体" w:eastAsia="宋体" w:hint="default"/>
                <w:w w:val="100"/>
                <w:sz w:val="21"/>
                <w:szCs w:val="21"/>
              </w:rPr>
              <w:t>项</w:t>
            </w:r>
            <w:r>
              <w:rPr>
                <w:rFonts w:ascii="宋体" w:hAnsi="宋体" w:cs="宋体" w:eastAsia="宋体" w:hint="default"/>
                <w:spacing w:val="-3"/>
                <w:w w:val="100"/>
                <w:sz w:val="21"/>
                <w:szCs w:val="21"/>
              </w:rPr>
              <w:t>储备</w:t>
            </w:r>
            <w:r>
              <w:rPr>
                <w:rFonts w:ascii="宋体" w:hAnsi="宋体" w:cs="宋体" w:eastAsia="宋体" w:hint="default"/>
                <w:w w:val="100"/>
                <w:sz w:val="21"/>
                <w:szCs w:val="21"/>
              </w:rPr>
            </w:r>
          </w:p>
        </w:tc>
        <w:tc>
          <w:tcPr>
            <w:tcW w:w="691"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28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57"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57"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34"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4"/>
              <w:ind w:left="22" w:right="17"/>
              <w:jc w:val="left"/>
              <w:rPr>
                <w:rFonts w:ascii="宋体" w:hAnsi="宋体" w:cs="宋体" w:eastAsia="宋体" w:hint="default"/>
                <w:sz w:val="21"/>
                <w:szCs w:val="21"/>
              </w:rPr>
            </w:pPr>
            <w:r>
              <w:rPr>
                <w:rFonts w:ascii="宋体" w:hAnsi="宋体" w:cs="宋体" w:eastAsia="宋体" w:hint="default"/>
                <w:spacing w:val="-14"/>
                <w:w w:val="100"/>
                <w:sz w:val="21"/>
                <w:szCs w:val="21"/>
              </w:rPr>
              <w:t>四、本期期末余</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4"/>
              <w:jc w:val="right"/>
              <w:rPr>
                <w:rFonts w:ascii="Times New Roman" w:hAnsi="Times New Roman" w:cs="Times New Roman" w:eastAsia="Times New Roman" w:hint="default"/>
                <w:sz w:val="21"/>
                <w:szCs w:val="21"/>
              </w:rPr>
            </w:pPr>
            <w:r>
              <w:rPr>
                <w:rFonts w:ascii="Times New Roman"/>
                <w:sz w:val="21"/>
              </w:rPr>
              <w:t>158,40</w:t>
            </w:r>
          </w:p>
          <w:p>
            <w:pPr>
              <w:pStyle w:val="TableParagraph"/>
              <w:spacing w:line="241" w:lineRule="exact"/>
              <w:ind w:right="14"/>
              <w:jc w:val="right"/>
              <w:rPr>
                <w:rFonts w:ascii="Times New Roman" w:hAnsi="Times New Roman" w:cs="Times New Roman" w:eastAsia="Times New Roman" w:hint="default"/>
                <w:sz w:val="21"/>
                <w:szCs w:val="21"/>
              </w:rPr>
            </w:pPr>
            <w:r>
              <w:rPr>
                <w:rFonts w:ascii="Times New Roman"/>
                <w:sz w:val="21"/>
              </w:rPr>
              <w:t>0,000.0</w:t>
            </w:r>
          </w:p>
          <w:p>
            <w:pPr>
              <w:pStyle w:val="TableParagraph"/>
              <w:spacing w:line="240" w:lineRule="auto" w:before="1"/>
              <w:ind w:right="17"/>
              <w:jc w:val="right"/>
              <w:rPr>
                <w:rFonts w:ascii="Times New Roman" w:hAnsi="Times New Roman" w:cs="Times New Roman" w:eastAsia="Times New Roman" w:hint="default"/>
                <w:sz w:val="21"/>
                <w:szCs w:val="21"/>
              </w:rPr>
            </w:pPr>
            <w:r>
              <w:rPr>
                <w:rFonts w:ascii="Times New Roman"/>
                <w:w w:val="100"/>
                <w:sz w:val="21"/>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31" w:right="0"/>
              <w:jc w:val="left"/>
              <w:rPr>
                <w:rFonts w:ascii="Times New Roman" w:hAnsi="Times New Roman" w:cs="Times New Roman" w:eastAsia="Times New Roman" w:hint="default"/>
                <w:sz w:val="21"/>
                <w:szCs w:val="21"/>
              </w:rPr>
            </w:pPr>
            <w:r>
              <w:rPr>
                <w:rFonts w:ascii="Times New Roman"/>
                <w:sz w:val="21"/>
              </w:rPr>
              <w:t>62,580,9</w:t>
            </w:r>
          </w:p>
          <w:p>
            <w:pPr>
              <w:pStyle w:val="TableParagraph"/>
              <w:spacing w:line="240" w:lineRule="auto" w:before="1"/>
              <w:ind w:left="292" w:right="0"/>
              <w:jc w:val="left"/>
              <w:rPr>
                <w:rFonts w:ascii="Times New Roman" w:hAnsi="Times New Roman" w:cs="Times New Roman" w:eastAsia="Times New Roman" w:hint="default"/>
                <w:sz w:val="21"/>
                <w:szCs w:val="21"/>
              </w:rPr>
            </w:pPr>
            <w:r>
              <w:rPr>
                <w:rFonts w:ascii="Times New Roman"/>
                <w:sz w:val="21"/>
              </w:rPr>
              <w:t>90.76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31" w:right="0"/>
              <w:jc w:val="left"/>
              <w:rPr>
                <w:rFonts w:ascii="Times New Roman" w:hAnsi="Times New Roman" w:cs="Times New Roman" w:eastAsia="Times New Roman" w:hint="default"/>
                <w:sz w:val="21"/>
                <w:szCs w:val="21"/>
              </w:rPr>
            </w:pPr>
            <w:r>
              <w:rPr>
                <w:rFonts w:ascii="Times New Roman"/>
                <w:sz w:val="21"/>
              </w:rPr>
              <w:t>14,026,8</w:t>
            </w:r>
          </w:p>
          <w:p>
            <w:pPr>
              <w:pStyle w:val="TableParagraph"/>
              <w:spacing w:line="240" w:lineRule="auto" w:before="1"/>
              <w:ind w:left="292" w:right="0"/>
              <w:jc w:val="left"/>
              <w:rPr>
                <w:rFonts w:ascii="Times New Roman" w:hAnsi="Times New Roman" w:cs="Times New Roman" w:eastAsia="Times New Roman" w:hint="default"/>
                <w:sz w:val="21"/>
                <w:szCs w:val="21"/>
              </w:rPr>
            </w:pPr>
            <w:r>
              <w:rPr>
                <w:rFonts w:ascii="Times New Roman"/>
                <w:sz w:val="21"/>
              </w:rPr>
              <w:t>38.97</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9"/>
              <w:jc w:val="right"/>
              <w:rPr>
                <w:rFonts w:ascii="Times New Roman" w:hAnsi="Times New Roman" w:cs="Times New Roman" w:eastAsia="Times New Roman" w:hint="default"/>
                <w:sz w:val="21"/>
                <w:szCs w:val="21"/>
              </w:rPr>
            </w:pPr>
            <w:r>
              <w:rPr>
                <w:rFonts w:ascii="Times New Roman"/>
                <w:sz w:val="21"/>
              </w:rPr>
              <w:t>96,361</w:t>
            </w:r>
          </w:p>
          <w:p>
            <w:pPr>
              <w:pStyle w:val="TableParagraph"/>
              <w:spacing w:line="241" w:lineRule="exact"/>
              <w:ind w:right="19"/>
              <w:jc w:val="right"/>
              <w:rPr>
                <w:rFonts w:ascii="Times New Roman" w:hAnsi="Times New Roman" w:cs="Times New Roman" w:eastAsia="Times New Roman" w:hint="default"/>
                <w:sz w:val="21"/>
                <w:szCs w:val="21"/>
              </w:rPr>
            </w:pPr>
            <w:r>
              <w:rPr>
                <w:rFonts w:ascii="Times New Roman"/>
                <w:sz w:val="21"/>
              </w:rPr>
              <w:t>,550.7</w:t>
            </w:r>
          </w:p>
          <w:p>
            <w:pPr>
              <w:pStyle w:val="TableParagraph"/>
              <w:spacing w:line="240" w:lineRule="auto" w:before="1"/>
              <w:ind w:right="23"/>
              <w:jc w:val="right"/>
              <w:rPr>
                <w:rFonts w:ascii="Times New Roman" w:hAnsi="Times New Roman" w:cs="Times New Roman" w:eastAsia="Times New Roman" w:hint="default"/>
                <w:sz w:val="21"/>
                <w:szCs w:val="21"/>
              </w:rPr>
            </w:pPr>
            <w:r>
              <w:rPr>
                <w:rFonts w:ascii="Times New Roman"/>
                <w:w w:val="100"/>
                <w:sz w:val="21"/>
              </w:rPr>
              <w:t>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67" w:right="0"/>
              <w:jc w:val="left"/>
              <w:rPr>
                <w:rFonts w:ascii="Times New Roman" w:hAnsi="Times New Roman" w:cs="Times New Roman" w:eastAsia="Times New Roman" w:hint="default"/>
                <w:sz w:val="21"/>
                <w:szCs w:val="21"/>
              </w:rPr>
            </w:pPr>
            <w:r>
              <w:rPr>
                <w:rFonts w:ascii="Times New Roman"/>
                <w:sz w:val="21"/>
              </w:rPr>
              <w:t>331,369</w:t>
            </w:r>
          </w:p>
          <w:p>
            <w:pPr>
              <w:pStyle w:val="TableParagraph"/>
              <w:spacing w:line="240" w:lineRule="auto" w:before="1"/>
              <w:ind w:left="117" w:right="0"/>
              <w:jc w:val="left"/>
              <w:rPr>
                <w:rFonts w:ascii="Times New Roman" w:hAnsi="Times New Roman" w:cs="Times New Roman" w:eastAsia="Times New Roman" w:hint="default"/>
                <w:sz w:val="21"/>
                <w:szCs w:val="21"/>
              </w:rPr>
            </w:pPr>
            <w:r>
              <w:rPr>
                <w:rFonts w:ascii="Times New Roman"/>
                <w:sz w:val="21"/>
              </w:rPr>
              <w:t>,380.47</w:t>
            </w:r>
          </w:p>
        </w:tc>
      </w:tr>
    </w:tbl>
    <w:p>
      <w:pPr>
        <w:pStyle w:val="BodyText"/>
        <w:spacing w:line="262" w:lineRule="exact"/>
        <w:ind w:right="0"/>
        <w:jc w:val="left"/>
      </w:pPr>
      <w:r>
        <w:rPr/>
        <w:t>上期金额</w:t>
      </w:r>
    </w:p>
    <w:p>
      <w:pPr>
        <w:pStyle w:val="BodyText"/>
        <w:spacing w:line="240" w:lineRule="auto" w:before="37"/>
        <w:ind w:left="0" w:right="150"/>
        <w:jc w:val="right"/>
      </w:pPr>
      <w:r>
        <w:rPr>
          <w:spacing w:val="-1"/>
        </w:rPr>
        <w:t>单位：元</w:t>
      </w:r>
    </w:p>
    <w:p>
      <w:pPr>
        <w:spacing w:line="240" w:lineRule="auto" w:before="10"/>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1428"/>
        <w:gridCol w:w="691"/>
        <w:gridCol w:w="665"/>
        <w:gridCol w:w="667"/>
        <w:gridCol w:w="665"/>
        <w:gridCol w:w="797"/>
        <w:gridCol w:w="797"/>
        <w:gridCol w:w="797"/>
        <w:gridCol w:w="799"/>
        <w:gridCol w:w="797"/>
        <w:gridCol w:w="677"/>
        <w:gridCol w:w="780"/>
      </w:tblGrid>
      <w:tr>
        <w:trPr>
          <w:trHeight w:val="283" w:hRule="exact"/>
        </w:trPr>
        <w:tc>
          <w:tcPr>
            <w:tcW w:w="1428" w:type="dxa"/>
            <w:vMerge w:val="restart"/>
            <w:tcBorders>
              <w:top w:val="single" w:sz="4" w:space="0" w:color="000000"/>
              <w:left w:val="single" w:sz="4" w:space="0" w:color="000000"/>
              <w:right w:val="single" w:sz="4" w:space="0" w:color="000000"/>
            </w:tcBorders>
            <w:shd w:val="clear" w:color="auto" w:fill="D4D4D4"/>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144" w:hRule="exact"/>
        </w:trPr>
        <w:tc>
          <w:tcPr>
            <w:tcW w:w="1428" w:type="dxa"/>
            <w:vMerge/>
            <w:tcBorders>
              <w:left w:val="single" w:sz="4" w:space="0" w:color="000000"/>
              <w:bottom w:val="nil" w:sz="6" w:space="0" w:color="auto"/>
              <w:right w:val="single" w:sz="4" w:space="0" w:color="000000"/>
            </w:tcBorders>
            <w:shd w:val="clear" w:color="auto" w:fill="D4D4D4"/>
          </w:tcPr>
          <w:p>
            <w:pPr/>
          </w:p>
        </w:tc>
        <w:tc>
          <w:tcPr>
            <w:tcW w:w="691" w:type="dxa"/>
            <w:vMerge w:val="restart"/>
            <w:tcBorders>
              <w:top w:val="single" w:sz="4" w:space="0" w:color="000000"/>
              <w:left w:val="single" w:sz="4" w:space="0" w:color="000000"/>
              <w:right w:val="single" w:sz="4" w:space="0" w:color="000000"/>
            </w:tcBorders>
            <w:shd w:val="clear" w:color="auto" w:fill="D4D4D4"/>
          </w:tcPr>
          <w:p>
            <w:pPr/>
          </w:p>
        </w:tc>
        <w:tc>
          <w:tcPr>
            <w:tcW w:w="1997"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1" w:lineRule="exact"/>
              <w:ind w:left="362"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4D4D4"/>
          </w:tcPr>
          <w:p>
            <w:pPr/>
          </w:p>
        </w:tc>
        <w:tc>
          <w:tcPr>
            <w:tcW w:w="797" w:type="dxa"/>
            <w:tcBorders>
              <w:top w:val="single" w:sz="4" w:space="0" w:color="000000"/>
              <w:left w:val="single" w:sz="4" w:space="0" w:color="000000"/>
              <w:bottom w:val="nil" w:sz="6" w:space="0" w:color="auto"/>
              <w:right w:val="single" w:sz="4" w:space="0" w:color="000000"/>
            </w:tcBorders>
            <w:shd w:val="clear" w:color="auto" w:fill="D4D4D4"/>
          </w:tcPr>
          <w:p>
            <w:pPr/>
          </w:p>
        </w:tc>
        <w:tc>
          <w:tcPr>
            <w:tcW w:w="797" w:type="dxa"/>
            <w:tcBorders>
              <w:top w:val="single" w:sz="4" w:space="0" w:color="000000"/>
              <w:left w:val="single" w:sz="4" w:space="0" w:color="000000"/>
              <w:bottom w:val="nil" w:sz="6" w:space="0" w:color="auto"/>
              <w:right w:val="single" w:sz="4" w:space="0" w:color="000000"/>
            </w:tcBorders>
            <w:shd w:val="clear" w:color="auto" w:fill="D4D4D4"/>
          </w:tcPr>
          <w:p>
            <w:pPr/>
          </w:p>
        </w:tc>
        <w:tc>
          <w:tcPr>
            <w:tcW w:w="799" w:type="dxa"/>
            <w:tcBorders>
              <w:top w:val="single" w:sz="4" w:space="0" w:color="000000"/>
              <w:left w:val="single" w:sz="4" w:space="0" w:color="000000"/>
              <w:bottom w:val="nil" w:sz="6" w:space="0" w:color="auto"/>
              <w:right w:val="single" w:sz="4" w:space="0" w:color="000000"/>
            </w:tcBorders>
            <w:shd w:val="clear" w:color="auto" w:fill="D4D4D4"/>
          </w:tcPr>
          <w:p>
            <w:pPr/>
          </w:p>
        </w:tc>
        <w:tc>
          <w:tcPr>
            <w:tcW w:w="797" w:type="dxa"/>
            <w:tcBorders>
              <w:top w:val="single" w:sz="4" w:space="0" w:color="000000"/>
              <w:left w:val="single" w:sz="4" w:space="0" w:color="000000"/>
              <w:bottom w:val="nil" w:sz="6" w:space="0" w:color="auto"/>
              <w:right w:val="single" w:sz="4" w:space="0" w:color="000000"/>
            </w:tcBorders>
            <w:shd w:val="clear" w:color="auto" w:fill="D4D4D4"/>
          </w:tcPr>
          <w:p>
            <w:pPr/>
          </w:p>
        </w:tc>
        <w:tc>
          <w:tcPr>
            <w:tcW w:w="677" w:type="dxa"/>
            <w:vMerge w:val="restart"/>
            <w:tcBorders>
              <w:top w:val="single" w:sz="4" w:space="0" w:color="000000"/>
              <w:left w:val="single" w:sz="4" w:space="0" w:color="000000"/>
              <w:right w:val="single" w:sz="4" w:space="0" w:color="000000"/>
            </w:tcBorders>
            <w:shd w:val="clear" w:color="auto" w:fill="D4D4D4"/>
          </w:tcPr>
          <w:p>
            <w:pPr>
              <w:pStyle w:val="TableParagraph"/>
              <w:spacing w:line="245" w:lineRule="exact"/>
              <w:ind w:left="122" w:right="0"/>
              <w:jc w:val="left"/>
              <w:rPr>
                <w:rFonts w:ascii="宋体" w:hAnsi="宋体" w:cs="宋体" w:eastAsia="宋体" w:hint="default"/>
                <w:sz w:val="21"/>
                <w:szCs w:val="21"/>
              </w:rPr>
            </w:pPr>
            <w:r>
              <w:rPr>
                <w:rFonts w:ascii="宋体" w:hAnsi="宋体" w:cs="宋体" w:eastAsia="宋体" w:hint="default"/>
                <w:sz w:val="21"/>
                <w:szCs w:val="21"/>
              </w:rPr>
              <w:t>未分</w:t>
            </w:r>
          </w:p>
          <w:p>
            <w:pPr>
              <w:pStyle w:val="TableParagraph"/>
              <w:spacing w:line="272" w:lineRule="exact" w:before="27"/>
              <w:ind w:left="227" w:right="120" w:hanging="106"/>
              <w:jc w:val="left"/>
              <w:rPr>
                <w:rFonts w:ascii="宋体" w:hAnsi="宋体" w:cs="宋体" w:eastAsia="宋体" w:hint="default"/>
                <w:sz w:val="21"/>
                <w:szCs w:val="21"/>
              </w:rPr>
            </w:pPr>
            <w:r>
              <w:rPr>
                <w:rFonts w:ascii="宋体" w:hAnsi="宋体" w:cs="宋体" w:eastAsia="宋体" w:hint="default"/>
                <w:sz w:val="21"/>
                <w:szCs w:val="21"/>
              </w:rPr>
              <w:t>配利</w:t>
            </w:r>
            <w:r>
              <w:rPr>
                <w:rFonts w:ascii="宋体" w:hAnsi="宋体" w:cs="宋体" w:eastAsia="宋体" w:hint="default"/>
                <w:spacing w:val="-103"/>
                <w:sz w:val="21"/>
                <w:szCs w:val="21"/>
              </w:rPr>
              <w:t> </w:t>
            </w:r>
            <w:r>
              <w:rPr>
                <w:rFonts w:ascii="宋体" w:hAnsi="宋体" w:cs="宋体" w:eastAsia="宋体" w:hint="default"/>
                <w:sz w:val="21"/>
                <w:szCs w:val="21"/>
              </w:rPr>
              <w:t>润</w:t>
            </w:r>
          </w:p>
        </w:tc>
        <w:tc>
          <w:tcPr>
            <w:tcW w:w="780" w:type="dxa"/>
            <w:vMerge w:val="restart"/>
            <w:tcBorders>
              <w:top w:val="single" w:sz="4" w:space="0" w:color="000000"/>
              <w:left w:val="single" w:sz="4" w:space="0" w:color="000000"/>
              <w:right w:val="single" w:sz="4" w:space="0" w:color="000000"/>
            </w:tcBorders>
            <w:shd w:val="clear" w:color="auto" w:fill="D4D4D4"/>
          </w:tcPr>
          <w:p>
            <w:pPr>
              <w:pStyle w:val="TableParagraph"/>
              <w:spacing w:line="245" w:lineRule="exact"/>
              <w:ind w:left="69" w:right="0"/>
              <w:jc w:val="left"/>
              <w:rPr>
                <w:rFonts w:ascii="宋体" w:hAnsi="宋体" w:cs="宋体" w:eastAsia="宋体" w:hint="default"/>
                <w:sz w:val="21"/>
                <w:szCs w:val="21"/>
              </w:rPr>
            </w:pPr>
            <w:r>
              <w:rPr>
                <w:rFonts w:ascii="宋体" w:hAnsi="宋体" w:cs="宋体" w:eastAsia="宋体" w:hint="default"/>
                <w:sz w:val="21"/>
                <w:szCs w:val="21"/>
              </w:rPr>
              <w:t>所有者</w:t>
            </w:r>
          </w:p>
          <w:p>
            <w:pPr>
              <w:pStyle w:val="TableParagraph"/>
              <w:spacing w:line="272" w:lineRule="exact" w:before="27"/>
              <w:ind w:left="280" w:right="65" w:hanging="212"/>
              <w:jc w:val="left"/>
              <w:rPr>
                <w:rFonts w:ascii="宋体" w:hAnsi="宋体" w:cs="宋体" w:eastAsia="宋体" w:hint="default"/>
                <w:sz w:val="21"/>
                <w:szCs w:val="21"/>
              </w:rPr>
            </w:pPr>
            <w:r>
              <w:rPr>
                <w:rFonts w:ascii="宋体" w:hAnsi="宋体" w:cs="宋体" w:eastAsia="宋体" w:hint="default"/>
                <w:sz w:val="21"/>
                <w:szCs w:val="21"/>
              </w:rPr>
              <w:t>权益合</w:t>
            </w:r>
            <w:r>
              <w:rPr>
                <w:rFonts w:ascii="宋体" w:hAnsi="宋体" w:cs="宋体" w:eastAsia="宋体" w:hint="default"/>
                <w:spacing w:val="-102"/>
                <w:sz w:val="21"/>
                <w:szCs w:val="21"/>
              </w:rPr>
              <w:t> </w:t>
            </w:r>
            <w:r>
              <w:rPr>
                <w:rFonts w:ascii="宋体" w:hAnsi="宋体" w:cs="宋体" w:eastAsia="宋体" w:hint="default"/>
                <w:sz w:val="21"/>
                <w:szCs w:val="21"/>
              </w:rPr>
              <w:t>计</w:t>
            </w:r>
          </w:p>
        </w:tc>
      </w:tr>
      <w:tr>
        <w:trPr>
          <w:trHeight w:val="139" w:hRule="exact"/>
        </w:trPr>
        <w:tc>
          <w:tcPr>
            <w:tcW w:w="1428" w:type="dxa"/>
            <w:vMerge w:val="restart"/>
            <w:tcBorders>
              <w:top w:val="nil" w:sz="6" w:space="0" w:color="auto"/>
              <w:left w:val="single" w:sz="4" w:space="0" w:color="000000"/>
              <w:right w:val="single" w:sz="4" w:space="0" w:color="000000"/>
            </w:tcBorders>
            <w:shd w:val="clear" w:color="auto" w:fill="D4D4D4"/>
          </w:tcPr>
          <w:p>
            <w:pPr>
              <w:pStyle w:val="TableParagraph"/>
              <w:spacing w:line="238" w:lineRule="exact"/>
              <w:ind w:right="5"/>
              <w:jc w:val="center"/>
              <w:rPr>
                <w:rFonts w:ascii="宋体" w:hAnsi="宋体" w:cs="宋体" w:eastAsia="宋体" w:hint="default"/>
                <w:sz w:val="21"/>
                <w:szCs w:val="21"/>
              </w:rPr>
            </w:pPr>
            <w:r>
              <w:rPr>
                <w:rFonts w:ascii="宋体" w:hAnsi="宋体" w:cs="宋体" w:eastAsia="宋体" w:hint="default"/>
                <w:sz w:val="21"/>
                <w:szCs w:val="21"/>
              </w:rPr>
              <w:t>项目</w:t>
            </w:r>
          </w:p>
        </w:tc>
        <w:tc>
          <w:tcPr>
            <w:tcW w:w="691" w:type="dxa"/>
            <w:vMerge/>
            <w:tcBorders>
              <w:left w:val="single" w:sz="4" w:space="0" w:color="000000"/>
              <w:bottom w:val="nil" w:sz="6" w:space="0" w:color="auto"/>
              <w:right w:val="single" w:sz="4" w:space="0" w:color="000000"/>
            </w:tcBorders>
            <w:shd w:val="clear" w:color="auto" w:fill="D4D4D4"/>
          </w:tcPr>
          <w:p>
            <w:pPr/>
          </w:p>
        </w:tc>
        <w:tc>
          <w:tcPr>
            <w:tcW w:w="1997" w:type="dxa"/>
            <w:gridSpan w:val="3"/>
            <w:vMerge/>
            <w:tcBorders>
              <w:left w:val="single" w:sz="4" w:space="0" w:color="000000"/>
              <w:bottom w:val="single" w:sz="4" w:space="0" w:color="000000"/>
              <w:right w:val="single" w:sz="4" w:space="0" w:color="000000"/>
            </w:tcBorders>
            <w:shd w:val="clear" w:color="auto" w:fill="D4D4D4"/>
          </w:tcPr>
          <w:p>
            <w:pPr/>
          </w:p>
        </w:tc>
        <w:tc>
          <w:tcPr>
            <w:tcW w:w="797" w:type="dxa"/>
            <w:vMerge w:val="restart"/>
            <w:tcBorders>
              <w:top w:val="nil" w:sz="6" w:space="0" w:color="auto"/>
              <w:left w:val="single" w:sz="4" w:space="0" w:color="000000"/>
              <w:right w:val="single" w:sz="4" w:space="0" w:color="000000"/>
            </w:tcBorders>
            <w:shd w:val="clear" w:color="auto" w:fill="D4D4D4"/>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资本公</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积</w:t>
            </w:r>
          </w:p>
        </w:tc>
        <w:tc>
          <w:tcPr>
            <w:tcW w:w="797" w:type="dxa"/>
            <w:vMerge w:val="restart"/>
            <w:tcBorders>
              <w:top w:val="nil" w:sz="6" w:space="0" w:color="auto"/>
              <w:left w:val="single" w:sz="4" w:space="0" w:color="000000"/>
              <w:right w:val="single" w:sz="4" w:space="0" w:color="000000"/>
            </w:tcBorders>
            <w:shd w:val="clear" w:color="auto" w:fill="D4D4D4"/>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减</w:t>
            </w:r>
            <w:r>
              <w:rPr>
                <w:rFonts w:ascii="宋体" w:hAnsi="宋体" w:cs="宋体" w:eastAsia="宋体" w:hint="default"/>
                <w:spacing w:val="-99"/>
                <w:w w:val="100"/>
                <w:sz w:val="21"/>
                <w:szCs w:val="21"/>
              </w:rPr>
              <w:t>：</w:t>
            </w:r>
            <w:r>
              <w:rPr>
                <w:rFonts w:ascii="宋体" w:hAnsi="宋体" w:cs="宋体" w:eastAsia="宋体" w:hint="default"/>
                <w:spacing w:val="-3"/>
                <w:w w:val="100"/>
                <w:sz w:val="21"/>
                <w:szCs w:val="21"/>
              </w:rPr>
              <w:t>库</w:t>
            </w:r>
            <w:r>
              <w:rPr>
                <w:rFonts w:ascii="宋体" w:hAnsi="宋体" w:cs="宋体" w:eastAsia="宋体" w:hint="default"/>
                <w:w w:val="100"/>
                <w:sz w:val="21"/>
                <w:szCs w:val="21"/>
              </w:rPr>
              <w:t>存</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股</w:t>
            </w:r>
          </w:p>
        </w:tc>
        <w:tc>
          <w:tcPr>
            <w:tcW w:w="797" w:type="dxa"/>
            <w:vMerge w:val="restart"/>
            <w:tcBorders>
              <w:top w:val="nil" w:sz="6" w:space="0" w:color="auto"/>
              <w:left w:val="single" w:sz="4" w:space="0" w:color="000000"/>
              <w:right w:val="single" w:sz="4" w:space="0" w:color="000000"/>
            </w:tcBorders>
            <w:shd w:val="clear" w:color="auto" w:fill="D4D4D4"/>
          </w:tcPr>
          <w:p>
            <w:pPr>
              <w:pStyle w:val="TableParagraph"/>
              <w:spacing w:line="241" w:lineRule="exact"/>
              <w:ind w:left="79" w:right="0"/>
              <w:jc w:val="left"/>
              <w:rPr>
                <w:rFonts w:ascii="宋体" w:hAnsi="宋体" w:cs="宋体" w:eastAsia="宋体" w:hint="default"/>
                <w:sz w:val="21"/>
                <w:szCs w:val="21"/>
              </w:rPr>
            </w:pPr>
            <w:r>
              <w:rPr>
                <w:rFonts w:ascii="宋体" w:hAnsi="宋体" w:cs="宋体" w:eastAsia="宋体" w:hint="default"/>
                <w:sz w:val="21"/>
                <w:szCs w:val="21"/>
              </w:rPr>
              <w:t>其他综</w:t>
            </w:r>
          </w:p>
          <w:p>
            <w:pPr>
              <w:pStyle w:val="TableParagraph"/>
              <w:spacing w:line="273" w:lineRule="exact"/>
              <w:ind w:left="79"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799" w:type="dxa"/>
            <w:vMerge w:val="restart"/>
            <w:tcBorders>
              <w:top w:val="nil" w:sz="6" w:space="0" w:color="auto"/>
              <w:left w:val="single" w:sz="4" w:space="0" w:color="000000"/>
              <w:right w:val="single" w:sz="4" w:space="0" w:color="000000"/>
            </w:tcBorders>
            <w:shd w:val="clear" w:color="auto" w:fill="D4D4D4"/>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专项储</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备</w:t>
            </w:r>
          </w:p>
        </w:tc>
        <w:tc>
          <w:tcPr>
            <w:tcW w:w="797" w:type="dxa"/>
            <w:vMerge w:val="restart"/>
            <w:tcBorders>
              <w:top w:val="nil" w:sz="6" w:space="0" w:color="auto"/>
              <w:left w:val="single" w:sz="4" w:space="0" w:color="000000"/>
              <w:right w:val="single" w:sz="4" w:space="0" w:color="000000"/>
            </w:tcBorders>
            <w:shd w:val="clear" w:color="auto" w:fill="D4D4D4"/>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盈余公</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积</w:t>
            </w:r>
          </w:p>
        </w:tc>
        <w:tc>
          <w:tcPr>
            <w:tcW w:w="677" w:type="dxa"/>
            <w:vMerge/>
            <w:tcBorders>
              <w:left w:val="single" w:sz="4" w:space="0" w:color="000000"/>
              <w:right w:val="single" w:sz="4" w:space="0" w:color="000000"/>
            </w:tcBorders>
            <w:shd w:val="clear" w:color="auto" w:fill="D4D4D4"/>
          </w:tcPr>
          <w:p>
            <w:pPr/>
          </w:p>
        </w:tc>
        <w:tc>
          <w:tcPr>
            <w:tcW w:w="780" w:type="dxa"/>
            <w:vMerge/>
            <w:tcBorders>
              <w:left w:val="single" w:sz="4" w:space="0" w:color="000000"/>
              <w:right w:val="single" w:sz="4" w:space="0" w:color="000000"/>
            </w:tcBorders>
            <w:shd w:val="clear" w:color="auto" w:fill="D4D4D4"/>
          </w:tcPr>
          <w:p>
            <w:pPr/>
          </w:p>
        </w:tc>
      </w:tr>
      <w:tr>
        <w:trPr>
          <w:trHeight w:val="136" w:hRule="exact"/>
        </w:trPr>
        <w:tc>
          <w:tcPr>
            <w:tcW w:w="1428" w:type="dxa"/>
            <w:vMerge/>
            <w:tcBorders>
              <w:left w:val="single" w:sz="4" w:space="0" w:color="000000"/>
              <w:bottom w:val="nil" w:sz="6" w:space="0" w:color="auto"/>
              <w:right w:val="single" w:sz="4" w:space="0" w:color="000000"/>
            </w:tcBorders>
            <w:shd w:val="clear" w:color="auto" w:fill="D4D4D4"/>
          </w:tcPr>
          <w:p>
            <w:pPr/>
          </w:p>
        </w:tc>
        <w:tc>
          <w:tcPr>
            <w:tcW w:w="691" w:type="dxa"/>
            <w:vMerge w:val="restart"/>
            <w:tcBorders>
              <w:top w:val="nil" w:sz="6" w:space="0" w:color="auto"/>
              <w:left w:val="single" w:sz="4" w:space="0" w:color="000000"/>
              <w:right w:val="single" w:sz="4" w:space="0" w:color="000000"/>
            </w:tcBorders>
            <w:shd w:val="clear" w:color="auto" w:fill="D4D4D4"/>
          </w:tcPr>
          <w:p>
            <w:pPr>
              <w:pStyle w:val="TableParagraph"/>
              <w:spacing w:line="241" w:lineRule="exact"/>
              <w:ind w:left="134"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665" w:type="dxa"/>
            <w:vMerge w:val="restart"/>
            <w:tcBorders>
              <w:top w:val="single" w:sz="4" w:space="0" w:color="000000"/>
              <w:left w:val="single" w:sz="4" w:space="0" w:color="000000"/>
              <w:right w:val="single" w:sz="4" w:space="0" w:color="000000"/>
            </w:tcBorders>
            <w:shd w:val="clear" w:color="auto" w:fill="D4D4D4"/>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优先</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股</w:t>
            </w:r>
          </w:p>
        </w:tc>
        <w:tc>
          <w:tcPr>
            <w:tcW w:w="667" w:type="dxa"/>
            <w:vMerge w:val="restart"/>
            <w:tcBorders>
              <w:top w:val="single" w:sz="4" w:space="0" w:color="000000"/>
              <w:left w:val="single" w:sz="4" w:space="0" w:color="000000"/>
              <w:right w:val="single" w:sz="4" w:space="0" w:color="000000"/>
            </w:tcBorders>
            <w:shd w:val="clear" w:color="auto" w:fill="D4D4D4"/>
          </w:tcPr>
          <w:p>
            <w:pPr>
              <w:pStyle w:val="TableParagraph"/>
              <w:spacing w:line="239" w:lineRule="exact"/>
              <w:ind w:left="4" w:right="0"/>
              <w:jc w:val="center"/>
              <w:rPr>
                <w:rFonts w:ascii="宋体" w:hAnsi="宋体" w:cs="宋体" w:eastAsia="宋体" w:hint="default"/>
                <w:sz w:val="21"/>
                <w:szCs w:val="21"/>
              </w:rPr>
            </w:pPr>
            <w:r>
              <w:rPr>
                <w:rFonts w:ascii="宋体" w:hAnsi="宋体" w:cs="宋体" w:eastAsia="宋体" w:hint="default"/>
                <w:sz w:val="21"/>
                <w:szCs w:val="21"/>
              </w:rPr>
              <w:t>永续</w:t>
            </w: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债</w:t>
            </w: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797" w:type="dxa"/>
            <w:vMerge/>
            <w:tcBorders>
              <w:left w:val="single" w:sz="4" w:space="0" w:color="000000"/>
              <w:right w:val="single" w:sz="4" w:space="0" w:color="000000"/>
            </w:tcBorders>
            <w:shd w:val="clear" w:color="auto" w:fill="D4D4D4"/>
          </w:tcPr>
          <w:p>
            <w:pPr/>
          </w:p>
        </w:tc>
        <w:tc>
          <w:tcPr>
            <w:tcW w:w="797" w:type="dxa"/>
            <w:vMerge/>
            <w:tcBorders>
              <w:left w:val="single" w:sz="4" w:space="0" w:color="000000"/>
              <w:right w:val="single" w:sz="4" w:space="0" w:color="000000"/>
            </w:tcBorders>
            <w:shd w:val="clear" w:color="auto" w:fill="D4D4D4"/>
          </w:tcPr>
          <w:p>
            <w:pPr/>
          </w:p>
        </w:tc>
        <w:tc>
          <w:tcPr>
            <w:tcW w:w="797" w:type="dxa"/>
            <w:vMerge/>
            <w:tcBorders>
              <w:left w:val="single" w:sz="4" w:space="0" w:color="000000"/>
              <w:right w:val="single" w:sz="4" w:space="0" w:color="000000"/>
            </w:tcBorders>
            <w:shd w:val="clear" w:color="auto" w:fill="D4D4D4"/>
          </w:tcPr>
          <w:p>
            <w:pPr/>
          </w:p>
        </w:tc>
        <w:tc>
          <w:tcPr>
            <w:tcW w:w="799" w:type="dxa"/>
            <w:vMerge/>
            <w:tcBorders>
              <w:left w:val="single" w:sz="4" w:space="0" w:color="000000"/>
              <w:right w:val="single" w:sz="4" w:space="0" w:color="000000"/>
            </w:tcBorders>
            <w:shd w:val="clear" w:color="auto" w:fill="D4D4D4"/>
          </w:tcPr>
          <w:p>
            <w:pPr/>
          </w:p>
        </w:tc>
        <w:tc>
          <w:tcPr>
            <w:tcW w:w="797" w:type="dxa"/>
            <w:vMerge/>
            <w:tcBorders>
              <w:left w:val="single" w:sz="4" w:space="0" w:color="000000"/>
              <w:right w:val="single" w:sz="4" w:space="0" w:color="000000"/>
            </w:tcBorders>
            <w:shd w:val="clear" w:color="auto" w:fill="D4D4D4"/>
          </w:tcPr>
          <w:p>
            <w:pPr/>
          </w:p>
        </w:tc>
        <w:tc>
          <w:tcPr>
            <w:tcW w:w="677" w:type="dxa"/>
            <w:vMerge/>
            <w:tcBorders>
              <w:left w:val="single" w:sz="4" w:space="0" w:color="000000"/>
              <w:right w:val="single" w:sz="4" w:space="0" w:color="000000"/>
            </w:tcBorders>
            <w:shd w:val="clear" w:color="auto" w:fill="D4D4D4"/>
          </w:tcPr>
          <w:p>
            <w:pPr/>
          </w:p>
        </w:tc>
        <w:tc>
          <w:tcPr>
            <w:tcW w:w="780" w:type="dxa"/>
            <w:vMerge/>
            <w:tcBorders>
              <w:left w:val="single" w:sz="4" w:space="0" w:color="000000"/>
              <w:right w:val="single" w:sz="4" w:space="0" w:color="000000"/>
            </w:tcBorders>
            <w:shd w:val="clear" w:color="auto" w:fill="D4D4D4"/>
          </w:tcPr>
          <w:p>
            <w:pPr/>
          </w:p>
        </w:tc>
      </w:tr>
      <w:tr>
        <w:trPr>
          <w:trHeight w:val="136" w:hRule="exact"/>
        </w:trPr>
        <w:tc>
          <w:tcPr>
            <w:tcW w:w="1428" w:type="dxa"/>
            <w:vMerge w:val="restart"/>
            <w:tcBorders>
              <w:top w:val="nil" w:sz="6" w:space="0" w:color="auto"/>
              <w:left w:val="single" w:sz="4" w:space="0" w:color="000000"/>
              <w:right w:val="single" w:sz="4" w:space="0" w:color="000000"/>
            </w:tcBorders>
            <w:shd w:val="clear" w:color="auto" w:fill="D4D4D4"/>
          </w:tcPr>
          <w:p>
            <w:pPr/>
          </w:p>
        </w:tc>
        <w:tc>
          <w:tcPr>
            <w:tcW w:w="691"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7" w:type="dxa"/>
            <w:vMerge/>
            <w:tcBorders>
              <w:left w:val="single" w:sz="4" w:space="0" w:color="000000"/>
              <w:right w:val="single" w:sz="4" w:space="0" w:color="000000"/>
            </w:tcBorders>
            <w:shd w:val="clear" w:color="auto" w:fill="D4D4D4"/>
          </w:tcPr>
          <w:p>
            <w:pP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247" w:lineRule="exact"/>
              <w:ind w:left="11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97" w:type="dxa"/>
            <w:vMerge/>
            <w:tcBorders>
              <w:left w:val="single" w:sz="4" w:space="0" w:color="000000"/>
              <w:right w:val="single" w:sz="4" w:space="0" w:color="000000"/>
            </w:tcBorders>
            <w:shd w:val="clear" w:color="auto" w:fill="D4D4D4"/>
          </w:tcPr>
          <w:p>
            <w:pPr/>
          </w:p>
        </w:tc>
        <w:tc>
          <w:tcPr>
            <w:tcW w:w="797" w:type="dxa"/>
            <w:vMerge/>
            <w:tcBorders>
              <w:left w:val="single" w:sz="4" w:space="0" w:color="000000"/>
              <w:right w:val="single" w:sz="4" w:space="0" w:color="000000"/>
            </w:tcBorders>
            <w:shd w:val="clear" w:color="auto" w:fill="D4D4D4"/>
          </w:tcPr>
          <w:p>
            <w:pPr/>
          </w:p>
        </w:tc>
        <w:tc>
          <w:tcPr>
            <w:tcW w:w="797" w:type="dxa"/>
            <w:vMerge/>
            <w:tcBorders>
              <w:left w:val="single" w:sz="4" w:space="0" w:color="000000"/>
              <w:right w:val="single" w:sz="4" w:space="0" w:color="000000"/>
            </w:tcBorders>
            <w:shd w:val="clear" w:color="auto" w:fill="D4D4D4"/>
          </w:tcPr>
          <w:p>
            <w:pPr/>
          </w:p>
        </w:tc>
        <w:tc>
          <w:tcPr>
            <w:tcW w:w="799" w:type="dxa"/>
            <w:vMerge/>
            <w:tcBorders>
              <w:left w:val="single" w:sz="4" w:space="0" w:color="000000"/>
              <w:right w:val="single" w:sz="4" w:space="0" w:color="000000"/>
            </w:tcBorders>
            <w:shd w:val="clear" w:color="auto" w:fill="D4D4D4"/>
          </w:tcPr>
          <w:p>
            <w:pPr/>
          </w:p>
        </w:tc>
        <w:tc>
          <w:tcPr>
            <w:tcW w:w="797" w:type="dxa"/>
            <w:vMerge/>
            <w:tcBorders>
              <w:left w:val="single" w:sz="4" w:space="0" w:color="000000"/>
              <w:right w:val="single" w:sz="4" w:space="0" w:color="000000"/>
            </w:tcBorders>
            <w:shd w:val="clear" w:color="auto" w:fill="D4D4D4"/>
          </w:tcPr>
          <w:p>
            <w:pPr/>
          </w:p>
        </w:tc>
        <w:tc>
          <w:tcPr>
            <w:tcW w:w="677" w:type="dxa"/>
            <w:vMerge/>
            <w:tcBorders>
              <w:left w:val="single" w:sz="4" w:space="0" w:color="000000"/>
              <w:right w:val="single" w:sz="4" w:space="0" w:color="000000"/>
            </w:tcBorders>
            <w:shd w:val="clear" w:color="auto" w:fill="D4D4D4"/>
          </w:tcPr>
          <w:p>
            <w:pPr/>
          </w:p>
        </w:tc>
        <w:tc>
          <w:tcPr>
            <w:tcW w:w="780" w:type="dxa"/>
            <w:vMerge/>
            <w:tcBorders>
              <w:left w:val="single" w:sz="4" w:space="0" w:color="000000"/>
              <w:right w:val="single" w:sz="4" w:space="0" w:color="000000"/>
            </w:tcBorders>
            <w:shd w:val="clear" w:color="auto" w:fill="D4D4D4"/>
          </w:tcPr>
          <w:p>
            <w:pPr/>
          </w:p>
        </w:tc>
      </w:tr>
      <w:tr>
        <w:trPr>
          <w:trHeight w:val="137" w:hRule="exact"/>
        </w:trPr>
        <w:tc>
          <w:tcPr>
            <w:tcW w:w="1428" w:type="dxa"/>
            <w:vMerge/>
            <w:tcBorders>
              <w:left w:val="single" w:sz="4" w:space="0" w:color="000000"/>
              <w:right w:val="single" w:sz="4" w:space="0" w:color="000000"/>
            </w:tcBorders>
            <w:shd w:val="clear" w:color="auto" w:fill="D4D4D4"/>
          </w:tcPr>
          <w:p>
            <w:pPr/>
          </w:p>
        </w:tc>
        <w:tc>
          <w:tcPr>
            <w:tcW w:w="691" w:type="dxa"/>
            <w:vMerge w:val="restart"/>
            <w:tcBorders>
              <w:top w:val="nil" w:sz="6" w:space="0" w:color="auto"/>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7" w:type="dxa"/>
            <w:vMerge/>
            <w:tcBorders>
              <w:left w:val="single" w:sz="4" w:space="0" w:color="000000"/>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797" w:type="dxa"/>
            <w:vMerge/>
            <w:tcBorders>
              <w:left w:val="single" w:sz="4" w:space="0" w:color="000000"/>
              <w:bottom w:val="nil" w:sz="6" w:space="0" w:color="auto"/>
              <w:right w:val="single" w:sz="4" w:space="0" w:color="000000"/>
            </w:tcBorders>
            <w:shd w:val="clear" w:color="auto" w:fill="D4D4D4"/>
          </w:tcPr>
          <w:p>
            <w:pPr/>
          </w:p>
        </w:tc>
        <w:tc>
          <w:tcPr>
            <w:tcW w:w="797" w:type="dxa"/>
            <w:vMerge/>
            <w:tcBorders>
              <w:left w:val="single" w:sz="4" w:space="0" w:color="000000"/>
              <w:bottom w:val="nil" w:sz="6" w:space="0" w:color="auto"/>
              <w:right w:val="single" w:sz="4" w:space="0" w:color="000000"/>
            </w:tcBorders>
            <w:shd w:val="clear" w:color="auto" w:fill="D4D4D4"/>
          </w:tcPr>
          <w:p>
            <w:pPr/>
          </w:p>
        </w:tc>
        <w:tc>
          <w:tcPr>
            <w:tcW w:w="797" w:type="dxa"/>
            <w:vMerge/>
            <w:tcBorders>
              <w:left w:val="single" w:sz="4" w:space="0" w:color="000000"/>
              <w:bottom w:val="nil" w:sz="6" w:space="0" w:color="auto"/>
              <w:right w:val="single" w:sz="4" w:space="0" w:color="000000"/>
            </w:tcBorders>
            <w:shd w:val="clear" w:color="auto" w:fill="D4D4D4"/>
          </w:tcPr>
          <w:p>
            <w:pPr/>
          </w:p>
        </w:tc>
        <w:tc>
          <w:tcPr>
            <w:tcW w:w="799" w:type="dxa"/>
            <w:vMerge/>
            <w:tcBorders>
              <w:left w:val="single" w:sz="4" w:space="0" w:color="000000"/>
              <w:bottom w:val="nil" w:sz="6" w:space="0" w:color="auto"/>
              <w:right w:val="single" w:sz="4" w:space="0" w:color="000000"/>
            </w:tcBorders>
            <w:shd w:val="clear" w:color="auto" w:fill="D4D4D4"/>
          </w:tcPr>
          <w:p>
            <w:pPr/>
          </w:p>
        </w:tc>
        <w:tc>
          <w:tcPr>
            <w:tcW w:w="797" w:type="dxa"/>
            <w:vMerge/>
            <w:tcBorders>
              <w:left w:val="single" w:sz="4" w:space="0" w:color="000000"/>
              <w:bottom w:val="nil" w:sz="6" w:space="0" w:color="auto"/>
              <w:right w:val="single" w:sz="4" w:space="0" w:color="000000"/>
            </w:tcBorders>
            <w:shd w:val="clear" w:color="auto" w:fill="D4D4D4"/>
          </w:tcPr>
          <w:p>
            <w:pPr/>
          </w:p>
        </w:tc>
        <w:tc>
          <w:tcPr>
            <w:tcW w:w="677" w:type="dxa"/>
            <w:vMerge/>
            <w:tcBorders>
              <w:left w:val="single" w:sz="4" w:space="0" w:color="000000"/>
              <w:right w:val="single" w:sz="4" w:space="0" w:color="000000"/>
            </w:tcBorders>
            <w:shd w:val="clear" w:color="auto" w:fill="D4D4D4"/>
          </w:tcPr>
          <w:p>
            <w:pPr/>
          </w:p>
        </w:tc>
        <w:tc>
          <w:tcPr>
            <w:tcW w:w="780" w:type="dxa"/>
            <w:vMerge/>
            <w:tcBorders>
              <w:left w:val="single" w:sz="4" w:space="0" w:color="000000"/>
              <w:right w:val="single" w:sz="4" w:space="0" w:color="000000"/>
            </w:tcBorders>
            <w:shd w:val="clear" w:color="auto" w:fill="D4D4D4"/>
          </w:tcPr>
          <w:p>
            <w:pPr/>
          </w:p>
        </w:tc>
      </w:tr>
      <w:tr>
        <w:trPr>
          <w:trHeight w:val="146" w:hRule="exact"/>
        </w:trPr>
        <w:tc>
          <w:tcPr>
            <w:tcW w:w="1428" w:type="dxa"/>
            <w:vMerge/>
            <w:tcBorders>
              <w:left w:val="single" w:sz="4" w:space="0" w:color="000000"/>
              <w:bottom w:val="single" w:sz="4" w:space="0" w:color="000000"/>
              <w:right w:val="single" w:sz="4" w:space="0" w:color="000000"/>
            </w:tcBorders>
            <w:shd w:val="clear" w:color="auto" w:fill="D4D4D4"/>
          </w:tcPr>
          <w:p>
            <w:pPr/>
          </w:p>
        </w:tc>
        <w:tc>
          <w:tcPr>
            <w:tcW w:w="691" w:type="dxa"/>
            <w:vMerge/>
            <w:tcBorders>
              <w:left w:val="single" w:sz="4" w:space="0" w:color="000000"/>
              <w:bottom w:val="single" w:sz="4" w:space="0" w:color="000000"/>
              <w:right w:val="single" w:sz="4" w:space="0" w:color="000000"/>
            </w:tcBorders>
            <w:shd w:val="clear" w:color="auto" w:fill="D4D4D4"/>
          </w:tcPr>
          <w:p>
            <w:pPr/>
          </w:p>
        </w:tc>
        <w:tc>
          <w:tcPr>
            <w:tcW w:w="665" w:type="dxa"/>
            <w:vMerge/>
            <w:tcBorders>
              <w:left w:val="single" w:sz="4" w:space="0" w:color="000000"/>
              <w:bottom w:val="single" w:sz="4" w:space="0" w:color="000000"/>
              <w:right w:val="single" w:sz="4" w:space="0" w:color="000000"/>
            </w:tcBorders>
            <w:shd w:val="clear" w:color="auto" w:fill="D4D4D4"/>
          </w:tcPr>
          <w:p>
            <w:pPr/>
          </w:p>
        </w:tc>
        <w:tc>
          <w:tcPr>
            <w:tcW w:w="667" w:type="dxa"/>
            <w:vMerge/>
            <w:tcBorders>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797" w:type="dxa"/>
            <w:tcBorders>
              <w:top w:val="nil" w:sz="6" w:space="0" w:color="auto"/>
              <w:left w:val="single" w:sz="4" w:space="0" w:color="000000"/>
              <w:bottom w:val="single" w:sz="4" w:space="0" w:color="000000"/>
              <w:right w:val="single" w:sz="4" w:space="0" w:color="000000"/>
            </w:tcBorders>
            <w:shd w:val="clear" w:color="auto" w:fill="D4D4D4"/>
          </w:tcPr>
          <w:p>
            <w:pPr/>
          </w:p>
        </w:tc>
        <w:tc>
          <w:tcPr>
            <w:tcW w:w="797" w:type="dxa"/>
            <w:tcBorders>
              <w:top w:val="nil" w:sz="6" w:space="0" w:color="auto"/>
              <w:left w:val="single" w:sz="4" w:space="0" w:color="000000"/>
              <w:bottom w:val="single" w:sz="4" w:space="0" w:color="000000"/>
              <w:right w:val="single" w:sz="4" w:space="0" w:color="000000"/>
            </w:tcBorders>
            <w:shd w:val="clear" w:color="auto" w:fill="D4D4D4"/>
          </w:tcPr>
          <w:p>
            <w:pPr/>
          </w:p>
        </w:tc>
        <w:tc>
          <w:tcPr>
            <w:tcW w:w="797" w:type="dxa"/>
            <w:tcBorders>
              <w:top w:val="nil" w:sz="6" w:space="0" w:color="auto"/>
              <w:left w:val="single" w:sz="4" w:space="0" w:color="000000"/>
              <w:bottom w:val="single" w:sz="4" w:space="0" w:color="000000"/>
              <w:right w:val="single" w:sz="4" w:space="0" w:color="000000"/>
            </w:tcBorders>
            <w:shd w:val="clear" w:color="auto" w:fill="D4D4D4"/>
          </w:tcPr>
          <w:p>
            <w:pPr/>
          </w:p>
        </w:tc>
        <w:tc>
          <w:tcPr>
            <w:tcW w:w="799" w:type="dxa"/>
            <w:tcBorders>
              <w:top w:val="nil" w:sz="6" w:space="0" w:color="auto"/>
              <w:left w:val="single" w:sz="4" w:space="0" w:color="000000"/>
              <w:bottom w:val="single" w:sz="4" w:space="0" w:color="000000"/>
              <w:right w:val="single" w:sz="4" w:space="0" w:color="000000"/>
            </w:tcBorders>
            <w:shd w:val="clear" w:color="auto" w:fill="D4D4D4"/>
          </w:tcPr>
          <w:p>
            <w:pPr/>
          </w:p>
        </w:tc>
        <w:tc>
          <w:tcPr>
            <w:tcW w:w="797" w:type="dxa"/>
            <w:tcBorders>
              <w:top w:val="nil" w:sz="6" w:space="0" w:color="auto"/>
              <w:left w:val="single" w:sz="4" w:space="0" w:color="000000"/>
              <w:bottom w:val="single" w:sz="4" w:space="0" w:color="000000"/>
              <w:right w:val="single" w:sz="4" w:space="0" w:color="000000"/>
            </w:tcBorders>
            <w:shd w:val="clear" w:color="auto" w:fill="D4D4D4"/>
          </w:tcPr>
          <w:p>
            <w:pPr/>
          </w:p>
        </w:tc>
        <w:tc>
          <w:tcPr>
            <w:tcW w:w="677" w:type="dxa"/>
            <w:vMerge/>
            <w:tcBorders>
              <w:left w:val="single" w:sz="4" w:space="0" w:color="000000"/>
              <w:bottom w:val="single" w:sz="4" w:space="0" w:color="000000"/>
              <w:right w:val="single" w:sz="4" w:space="0" w:color="000000"/>
            </w:tcBorders>
            <w:shd w:val="clear" w:color="auto" w:fill="D4D4D4"/>
          </w:tcPr>
          <w:p>
            <w:pPr/>
          </w:p>
        </w:tc>
        <w:tc>
          <w:tcPr>
            <w:tcW w:w="780" w:type="dxa"/>
            <w:vMerge/>
            <w:tcBorders>
              <w:left w:val="single" w:sz="4" w:space="0" w:color="000000"/>
              <w:bottom w:val="single" w:sz="4" w:space="0" w:color="000000"/>
              <w:right w:val="single" w:sz="4" w:space="0" w:color="000000"/>
            </w:tcBorders>
            <w:shd w:val="clear" w:color="auto" w:fill="D4D4D4"/>
          </w:tcPr>
          <w:p>
            <w:pPr/>
          </w:p>
        </w:tc>
      </w:tr>
      <w:tr>
        <w:trPr>
          <w:trHeight w:val="94" w:hRule="exact"/>
        </w:trPr>
        <w:tc>
          <w:tcPr>
            <w:tcW w:w="1428" w:type="dxa"/>
            <w:tcBorders>
              <w:top w:val="single" w:sz="4" w:space="0" w:color="000000"/>
              <w:left w:val="single" w:sz="4" w:space="0" w:color="000000"/>
              <w:bottom w:val="nil" w:sz="6" w:space="0" w:color="auto"/>
              <w:right w:val="single" w:sz="4" w:space="0" w:color="000000"/>
            </w:tcBorders>
            <w:shd w:val="clear" w:color="auto" w:fill="D4D4D4"/>
          </w:tcPr>
          <w:p>
            <w:pPr/>
          </w:p>
        </w:tc>
        <w:tc>
          <w:tcPr>
            <w:tcW w:w="691" w:type="dxa"/>
            <w:vMerge w:val="restart"/>
            <w:tcBorders>
              <w:top w:val="single" w:sz="4" w:space="0" w:color="000000"/>
              <w:left w:val="single" w:sz="10" w:space="0" w:color="D4D4D4"/>
              <w:right w:val="single" w:sz="4" w:space="0" w:color="000000"/>
            </w:tcBorders>
          </w:tcPr>
          <w:p>
            <w:pPr>
              <w:pStyle w:val="TableParagraph"/>
              <w:spacing w:line="241" w:lineRule="exact" w:before="116"/>
              <w:ind w:left="24" w:right="0"/>
              <w:jc w:val="left"/>
              <w:rPr>
                <w:rFonts w:ascii="Times New Roman" w:hAnsi="Times New Roman" w:cs="Times New Roman" w:eastAsia="Times New Roman" w:hint="default"/>
                <w:sz w:val="21"/>
                <w:szCs w:val="21"/>
              </w:rPr>
            </w:pPr>
            <w:r>
              <w:rPr>
                <w:rFonts w:ascii="Times New Roman"/>
                <w:sz w:val="21"/>
              </w:rPr>
              <w:t>88,000,</w:t>
            </w:r>
          </w:p>
          <w:p>
            <w:pPr>
              <w:pStyle w:val="TableParagraph"/>
              <w:spacing w:line="241" w:lineRule="exact"/>
              <w:ind w:left="76" w:right="0"/>
              <w:jc w:val="left"/>
              <w:rPr>
                <w:rFonts w:ascii="Times New Roman" w:hAnsi="Times New Roman" w:cs="Times New Roman" w:eastAsia="Times New Roman" w:hint="default"/>
                <w:sz w:val="21"/>
                <w:szCs w:val="21"/>
              </w:rPr>
            </w:pPr>
            <w:r>
              <w:rPr>
                <w:rFonts w:ascii="Times New Roman"/>
                <w:sz w:val="21"/>
              </w:rPr>
              <w:t>000.00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1" w:lineRule="exact" w:before="116"/>
              <w:ind w:left="12" w:right="0"/>
              <w:jc w:val="center"/>
              <w:rPr>
                <w:rFonts w:ascii="Times New Roman" w:hAnsi="Times New Roman" w:cs="Times New Roman" w:eastAsia="Times New Roman" w:hint="default"/>
                <w:sz w:val="21"/>
                <w:szCs w:val="21"/>
              </w:rPr>
            </w:pPr>
            <w:r>
              <w:rPr>
                <w:rFonts w:ascii="Times New Roman"/>
                <w:sz w:val="21"/>
              </w:rPr>
              <w:t>132,980,</w:t>
            </w:r>
          </w:p>
          <w:p>
            <w:pPr>
              <w:pStyle w:val="TableParagraph"/>
              <w:spacing w:line="241" w:lineRule="exact"/>
              <w:ind w:left="168" w:right="0"/>
              <w:jc w:val="center"/>
              <w:rPr>
                <w:rFonts w:ascii="Times New Roman" w:hAnsi="Times New Roman" w:cs="Times New Roman" w:eastAsia="Times New Roman" w:hint="default"/>
                <w:sz w:val="21"/>
                <w:szCs w:val="21"/>
              </w:rPr>
            </w:pPr>
            <w:r>
              <w:rPr>
                <w:rFonts w:ascii="Times New Roman"/>
                <w:sz w:val="21"/>
              </w:rPr>
              <w:t>990.76</w:t>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1" w:lineRule="exact" w:before="116"/>
              <w:ind w:left="31" w:right="0"/>
              <w:jc w:val="left"/>
              <w:rPr>
                <w:rFonts w:ascii="Times New Roman" w:hAnsi="Times New Roman" w:cs="Times New Roman" w:eastAsia="Times New Roman" w:hint="default"/>
                <w:sz w:val="21"/>
                <w:szCs w:val="21"/>
              </w:rPr>
            </w:pPr>
            <w:r>
              <w:rPr>
                <w:rFonts w:ascii="Times New Roman"/>
                <w:sz w:val="21"/>
              </w:rPr>
              <w:t>9,498,39</w:t>
            </w:r>
          </w:p>
          <w:p>
            <w:pPr>
              <w:pStyle w:val="TableParagraph"/>
              <w:spacing w:line="241" w:lineRule="exact"/>
              <w:ind w:left="398" w:right="0"/>
              <w:jc w:val="left"/>
              <w:rPr>
                <w:rFonts w:ascii="Times New Roman" w:hAnsi="Times New Roman" w:cs="Times New Roman" w:eastAsia="Times New Roman" w:hint="default"/>
                <w:sz w:val="21"/>
                <w:szCs w:val="21"/>
              </w:rPr>
            </w:pPr>
            <w:r>
              <w:rPr>
                <w:rFonts w:ascii="Times New Roman"/>
                <w:sz w:val="21"/>
              </w:rPr>
              <w:t>1.39</w:t>
            </w:r>
          </w:p>
        </w:tc>
        <w:tc>
          <w:tcPr>
            <w:tcW w:w="677" w:type="dxa"/>
            <w:vMerge w:val="restart"/>
            <w:tcBorders>
              <w:top w:val="single" w:sz="6" w:space="0" w:color="000000"/>
              <w:left w:val="single" w:sz="4" w:space="0" w:color="000000"/>
              <w:right w:val="single" w:sz="4" w:space="0" w:color="000000"/>
            </w:tcBorders>
          </w:tcPr>
          <w:p>
            <w:pPr>
              <w:pStyle w:val="TableParagraph"/>
              <w:spacing w:line="233" w:lineRule="exact"/>
              <w:ind w:right="19"/>
              <w:jc w:val="right"/>
              <w:rPr>
                <w:rFonts w:ascii="Times New Roman" w:hAnsi="Times New Roman" w:cs="Times New Roman" w:eastAsia="Times New Roman" w:hint="default"/>
                <w:sz w:val="21"/>
                <w:szCs w:val="21"/>
              </w:rPr>
            </w:pPr>
            <w:r>
              <w:rPr>
                <w:rFonts w:ascii="Times New Roman"/>
                <w:sz w:val="21"/>
              </w:rPr>
              <w:t>60,885</w:t>
            </w:r>
          </w:p>
          <w:p>
            <w:pPr>
              <w:pStyle w:val="TableParagraph"/>
              <w:spacing w:line="241" w:lineRule="exact" w:before="1"/>
              <w:ind w:right="19"/>
              <w:jc w:val="right"/>
              <w:rPr>
                <w:rFonts w:ascii="Times New Roman" w:hAnsi="Times New Roman" w:cs="Times New Roman" w:eastAsia="Times New Roman" w:hint="default"/>
                <w:sz w:val="21"/>
                <w:szCs w:val="21"/>
              </w:rPr>
            </w:pPr>
            <w:r>
              <w:rPr>
                <w:rFonts w:ascii="Times New Roman"/>
                <w:sz w:val="21"/>
              </w:rPr>
              <w:t>,522.5</w:t>
            </w:r>
          </w:p>
          <w:p>
            <w:pPr>
              <w:pStyle w:val="TableParagraph"/>
              <w:spacing w:line="241" w:lineRule="exact"/>
              <w:ind w:right="23"/>
              <w:jc w:val="right"/>
              <w:rPr>
                <w:rFonts w:ascii="Times New Roman" w:hAnsi="Times New Roman" w:cs="Times New Roman" w:eastAsia="Times New Roman" w:hint="default"/>
                <w:sz w:val="21"/>
                <w:szCs w:val="21"/>
              </w:rPr>
            </w:pPr>
            <w:r>
              <w:rPr>
                <w:rFonts w:ascii="Times New Roman"/>
                <w:w w:val="100"/>
                <w:sz w:val="21"/>
              </w:rPr>
              <w:t>1</w:t>
            </w:r>
          </w:p>
        </w:tc>
        <w:tc>
          <w:tcPr>
            <w:tcW w:w="780" w:type="dxa"/>
            <w:vMerge w:val="restart"/>
            <w:tcBorders>
              <w:top w:val="single" w:sz="6" w:space="0" w:color="000000"/>
              <w:left w:val="single" w:sz="4" w:space="0" w:color="000000"/>
              <w:right w:val="single" w:sz="4" w:space="0" w:color="000000"/>
            </w:tcBorders>
          </w:tcPr>
          <w:p>
            <w:pPr>
              <w:pStyle w:val="TableParagraph"/>
              <w:spacing w:line="241" w:lineRule="exact" w:before="113"/>
              <w:ind w:left="67" w:right="0"/>
              <w:jc w:val="left"/>
              <w:rPr>
                <w:rFonts w:ascii="Times New Roman" w:hAnsi="Times New Roman" w:cs="Times New Roman" w:eastAsia="Times New Roman" w:hint="default"/>
                <w:sz w:val="21"/>
                <w:szCs w:val="21"/>
              </w:rPr>
            </w:pPr>
            <w:r>
              <w:rPr>
                <w:rFonts w:ascii="Times New Roman"/>
                <w:sz w:val="21"/>
              </w:rPr>
              <w:t>291,364</w:t>
            </w:r>
          </w:p>
          <w:p>
            <w:pPr>
              <w:pStyle w:val="TableParagraph"/>
              <w:spacing w:line="241" w:lineRule="exact"/>
              <w:ind w:left="117" w:right="0"/>
              <w:jc w:val="left"/>
              <w:rPr>
                <w:rFonts w:ascii="Times New Roman" w:hAnsi="Times New Roman" w:cs="Times New Roman" w:eastAsia="Times New Roman" w:hint="default"/>
                <w:sz w:val="21"/>
                <w:szCs w:val="21"/>
              </w:rPr>
            </w:pPr>
            <w:r>
              <w:rPr>
                <w:rFonts w:ascii="Times New Roman"/>
                <w:sz w:val="21"/>
              </w:rPr>
              <w:t>,904.66</w:t>
            </w:r>
          </w:p>
        </w:tc>
      </w:tr>
      <w:tr>
        <w:trPr>
          <w:trHeight w:val="641" w:hRule="exact"/>
        </w:trPr>
        <w:tc>
          <w:tcPr>
            <w:tcW w:w="1428" w:type="dxa"/>
            <w:tcBorders>
              <w:top w:val="nil" w:sz="6" w:space="0" w:color="auto"/>
              <w:left w:val="single" w:sz="4" w:space="0" w:color="000000"/>
              <w:bottom w:val="single" w:sz="4" w:space="0" w:color="000000"/>
              <w:right w:val="single" w:sz="4" w:space="0" w:color="000000"/>
            </w:tcBorders>
            <w:shd w:val="clear" w:color="auto" w:fill="D4D4D4"/>
          </w:tcPr>
          <w:p>
            <w:pPr>
              <w:pStyle w:val="TableParagraph"/>
              <w:spacing w:line="240" w:lineRule="exact"/>
              <w:ind w:left="12" w:right="0"/>
              <w:jc w:val="left"/>
              <w:rPr>
                <w:rFonts w:ascii="宋体" w:hAnsi="宋体" w:cs="宋体" w:eastAsia="宋体" w:hint="default"/>
                <w:sz w:val="21"/>
                <w:szCs w:val="21"/>
              </w:rPr>
            </w:pPr>
            <w:r>
              <w:rPr>
                <w:rFonts w:ascii="宋体" w:hAnsi="宋体" w:cs="宋体" w:eastAsia="宋体" w:hint="default"/>
                <w:w w:val="100"/>
                <w:sz w:val="21"/>
                <w:szCs w:val="21"/>
              </w:rPr>
              <w:t>一</w:t>
            </w:r>
            <w:r>
              <w:rPr>
                <w:rFonts w:ascii="宋体" w:hAnsi="宋体" w:cs="宋体" w:eastAsia="宋体" w:hint="default"/>
                <w:spacing w:val="-87"/>
                <w:w w:val="100"/>
                <w:sz w:val="21"/>
                <w:szCs w:val="21"/>
              </w:rPr>
              <w:t>、</w:t>
            </w:r>
            <w:r>
              <w:rPr>
                <w:rFonts w:ascii="宋体" w:hAnsi="宋体" w:cs="宋体" w:eastAsia="宋体" w:hint="default"/>
                <w:w w:val="100"/>
                <w:sz w:val="21"/>
                <w:szCs w:val="21"/>
              </w:rPr>
              <w:t>上</w:t>
            </w:r>
            <w:r>
              <w:rPr>
                <w:rFonts w:ascii="宋体" w:hAnsi="宋体" w:cs="宋体" w:eastAsia="宋体" w:hint="default"/>
                <w:spacing w:val="-3"/>
                <w:w w:val="100"/>
                <w:sz w:val="21"/>
                <w:szCs w:val="21"/>
              </w:rPr>
              <w:t>年</w:t>
            </w:r>
            <w:r>
              <w:rPr>
                <w:rFonts w:ascii="宋体" w:hAnsi="宋体" w:cs="宋体" w:eastAsia="宋体" w:hint="default"/>
                <w:w w:val="100"/>
                <w:sz w:val="21"/>
                <w:szCs w:val="21"/>
              </w:rPr>
              <w:t>期</w:t>
            </w:r>
            <w:r>
              <w:rPr>
                <w:rFonts w:ascii="宋体" w:hAnsi="宋体" w:cs="宋体" w:eastAsia="宋体" w:hint="default"/>
                <w:spacing w:val="-3"/>
                <w:w w:val="100"/>
                <w:sz w:val="21"/>
                <w:szCs w:val="21"/>
              </w:rPr>
              <w:t>末</w:t>
            </w:r>
            <w:r>
              <w:rPr>
                <w:rFonts w:ascii="宋体" w:hAnsi="宋体" w:cs="宋体" w:eastAsia="宋体" w:hint="default"/>
                <w:w w:val="100"/>
                <w:sz w:val="21"/>
                <w:szCs w:val="21"/>
              </w:rPr>
              <w:t>余</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691" w:type="dxa"/>
            <w:vMerge/>
            <w:tcBorders>
              <w:left w:val="single" w:sz="10" w:space="0" w:color="D4D4D4"/>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557" w:hRule="exact"/>
        </w:trPr>
        <w:tc>
          <w:tcPr>
            <w:tcW w:w="14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exact"/>
              <w:ind w:left="434" w:right="0"/>
              <w:jc w:val="left"/>
              <w:rPr>
                <w:rFonts w:ascii="宋体" w:hAnsi="宋体" w:cs="宋体" w:eastAsia="宋体" w:hint="default"/>
                <w:sz w:val="21"/>
                <w:szCs w:val="21"/>
              </w:rPr>
            </w:pPr>
            <w:r>
              <w:rPr>
                <w:rFonts w:ascii="宋体" w:hAnsi="宋体" w:cs="宋体" w:eastAsia="宋体" w:hint="default"/>
                <w:spacing w:val="-3"/>
                <w:w w:val="100"/>
                <w:sz w:val="21"/>
                <w:szCs w:val="21"/>
              </w:rPr>
              <w:t>加</w:t>
            </w:r>
            <w:r>
              <w:rPr>
                <w:rFonts w:ascii="宋体" w:hAnsi="宋体" w:cs="宋体" w:eastAsia="宋体" w:hint="default"/>
                <w:spacing w:val="-87"/>
                <w:w w:val="100"/>
                <w:sz w:val="21"/>
                <w:szCs w:val="21"/>
              </w:rPr>
              <w:t>：</w:t>
            </w:r>
            <w:r>
              <w:rPr>
                <w:rFonts w:ascii="宋体" w:hAnsi="宋体" w:cs="宋体" w:eastAsia="宋体" w:hint="default"/>
                <w:w w:val="100"/>
                <w:sz w:val="21"/>
                <w:szCs w:val="21"/>
              </w:rPr>
              <w:t>会</w:t>
            </w:r>
            <w:r>
              <w:rPr>
                <w:rFonts w:ascii="宋体" w:hAnsi="宋体" w:cs="宋体" w:eastAsia="宋体" w:hint="default"/>
                <w:spacing w:val="-3"/>
                <w:w w:val="100"/>
                <w:sz w:val="21"/>
                <w:szCs w:val="21"/>
              </w:rPr>
              <w:t>计政</w:t>
            </w:r>
            <w:r>
              <w:rPr>
                <w:rFonts w:ascii="宋体" w:hAnsi="宋体" w:cs="宋体" w:eastAsia="宋体" w:hint="default"/>
                <w:w w:val="100"/>
                <w:sz w:val="21"/>
                <w:szCs w:val="21"/>
              </w:rPr>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策变更</w:t>
            </w:r>
          </w:p>
        </w:tc>
        <w:tc>
          <w:tcPr>
            <w:tcW w:w="691"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exact"/>
              <w:ind w:left="854" w:right="0"/>
              <w:jc w:val="left"/>
              <w:rPr>
                <w:rFonts w:ascii="宋体" w:hAnsi="宋体" w:cs="宋体" w:eastAsia="宋体" w:hint="default"/>
                <w:sz w:val="21"/>
                <w:szCs w:val="21"/>
              </w:rPr>
            </w:pPr>
            <w:r>
              <w:rPr>
                <w:rFonts w:ascii="宋体" w:hAnsi="宋体" w:cs="宋体" w:eastAsia="宋体" w:hint="default"/>
                <w:spacing w:val="-3"/>
                <w:sz w:val="21"/>
                <w:szCs w:val="21"/>
              </w:rPr>
              <w:t>前期</w:t>
            </w:r>
            <w:r>
              <w:rPr>
                <w:rFonts w:ascii="宋体" w:hAnsi="宋体" w:cs="宋体" w:eastAsia="宋体" w:hint="default"/>
                <w:sz w:val="21"/>
                <w:szCs w:val="21"/>
              </w:rPr>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差错更正</w:t>
            </w:r>
          </w:p>
        </w:tc>
        <w:tc>
          <w:tcPr>
            <w:tcW w:w="691"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854" w:right="0"/>
              <w:jc w:val="left"/>
              <w:rPr>
                <w:rFonts w:ascii="宋体" w:hAnsi="宋体" w:cs="宋体" w:eastAsia="宋体" w:hint="default"/>
                <w:sz w:val="21"/>
                <w:szCs w:val="21"/>
              </w:rPr>
            </w:pPr>
            <w:r>
              <w:rPr>
                <w:rFonts w:ascii="宋体" w:hAnsi="宋体" w:cs="宋体" w:eastAsia="宋体" w:hint="default"/>
                <w:spacing w:val="-3"/>
                <w:sz w:val="21"/>
                <w:szCs w:val="21"/>
              </w:rPr>
              <w:t>其他</w:t>
            </w:r>
            <w:r>
              <w:rPr>
                <w:rFonts w:ascii="宋体" w:hAnsi="宋体" w:cs="宋体" w:eastAsia="宋体" w:hint="default"/>
                <w:sz w:val="21"/>
                <w:szCs w:val="21"/>
              </w:rPr>
            </w:r>
          </w:p>
        </w:tc>
        <w:tc>
          <w:tcPr>
            <w:tcW w:w="691"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94" w:hRule="exact"/>
        </w:trPr>
        <w:tc>
          <w:tcPr>
            <w:tcW w:w="1428" w:type="dxa"/>
            <w:tcBorders>
              <w:top w:val="single" w:sz="4" w:space="0" w:color="000000"/>
              <w:left w:val="single" w:sz="4" w:space="0" w:color="000000"/>
              <w:bottom w:val="nil" w:sz="6" w:space="0" w:color="auto"/>
              <w:right w:val="single" w:sz="4" w:space="0" w:color="000000"/>
            </w:tcBorders>
            <w:shd w:val="clear" w:color="auto" w:fill="D4D4D4"/>
          </w:tcPr>
          <w:p>
            <w:pPr/>
          </w:p>
        </w:tc>
        <w:tc>
          <w:tcPr>
            <w:tcW w:w="691" w:type="dxa"/>
            <w:vMerge w:val="restart"/>
            <w:tcBorders>
              <w:top w:val="single" w:sz="4" w:space="0" w:color="000000"/>
              <w:left w:val="single" w:sz="10" w:space="0" w:color="D4D4D4"/>
              <w:right w:val="single" w:sz="4" w:space="0" w:color="000000"/>
            </w:tcBorders>
          </w:tcPr>
          <w:p>
            <w:pPr>
              <w:pStyle w:val="TableParagraph"/>
              <w:spacing w:line="241" w:lineRule="exact" w:before="116"/>
              <w:ind w:left="24" w:right="0"/>
              <w:jc w:val="left"/>
              <w:rPr>
                <w:rFonts w:ascii="Times New Roman" w:hAnsi="Times New Roman" w:cs="Times New Roman" w:eastAsia="Times New Roman" w:hint="default"/>
                <w:sz w:val="21"/>
                <w:szCs w:val="21"/>
              </w:rPr>
            </w:pPr>
            <w:r>
              <w:rPr>
                <w:rFonts w:ascii="Times New Roman"/>
                <w:sz w:val="21"/>
              </w:rPr>
              <w:t>88,000,</w:t>
            </w:r>
          </w:p>
          <w:p>
            <w:pPr>
              <w:pStyle w:val="TableParagraph"/>
              <w:spacing w:line="241" w:lineRule="exact"/>
              <w:ind w:left="76" w:right="0"/>
              <w:jc w:val="left"/>
              <w:rPr>
                <w:rFonts w:ascii="Times New Roman" w:hAnsi="Times New Roman" w:cs="Times New Roman" w:eastAsia="Times New Roman" w:hint="default"/>
                <w:sz w:val="21"/>
                <w:szCs w:val="21"/>
              </w:rPr>
            </w:pPr>
            <w:r>
              <w:rPr>
                <w:rFonts w:ascii="Times New Roman"/>
                <w:sz w:val="21"/>
              </w:rPr>
              <w:t>000.00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1" w:lineRule="exact" w:before="116"/>
              <w:ind w:left="12" w:right="0"/>
              <w:jc w:val="center"/>
              <w:rPr>
                <w:rFonts w:ascii="Times New Roman" w:hAnsi="Times New Roman" w:cs="Times New Roman" w:eastAsia="Times New Roman" w:hint="default"/>
                <w:sz w:val="21"/>
                <w:szCs w:val="21"/>
              </w:rPr>
            </w:pPr>
            <w:r>
              <w:rPr>
                <w:rFonts w:ascii="Times New Roman"/>
                <w:sz w:val="21"/>
              </w:rPr>
              <w:t>132,980,</w:t>
            </w:r>
          </w:p>
          <w:p>
            <w:pPr>
              <w:pStyle w:val="TableParagraph"/>
              <w:spacing w:line="241" w:lineRule="exact"/>
              <w:ind w:left="168" w:right="0"/>
              <w:jc w:val="center"/>
              <w:rPr>
                <w:rFonts w:ascii="Times New Roman" w:hAnsi="Times New Roman" w:cs="Times New Roman" w:eastAsia="Times New Roman" w:hint="default"/>
                <w:sz w:val="21"/>
                <w:szCs w:val="21"/>
              </w:rPr>
            </w:pPr>
            <w:r>
              <w:rPr>
                <w:rFonts w:ascii="Times New Roman"/>
                <w:sz w:val="21"/>
              </w:rPr>
              <w:t>990.76</w:t>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1" w:lineRule="exact" w:before="116"/>
              <w:ind w:left="31" w:right="0"/>
              <w:jc w:val="left"/>
              <w:rPr>
                <w:rFonts w:ascii="Times New Roman" w:hAnsi="Times New Roman" w:cs="Times New Roman" w:eastAsia="Times New Roman" w:hint="default"/>
                <w:sz w:val="21"/>
                <w:szCs w:val="21"/>
              </w:rPr>
            </w:pPr>
            <w:r>
              <w:rPr>
                <w:rFonts w:ascii="Times New Roman"/>
                <w:sz w:val="21"/>
              </w:rPr>
              <w:t>9,498,39</w:t>
            </w:r>
          </w:p>
          <w:p>
            <w:pPr>
              <w:pStyle w:val="TableParagraph"/>
              <w:spacing w:line="241" w:lineRule="exact"/>
              <w:ind w:left="398" w:right="0"/>
              <w:jc w:val="left"/>
              <w:rPr>
                <w:rFonts w:ascii="Times New Roman" w:hAnsi="Times New Roman" w:cs="Times New Roman" w:eastAsia="Times New Roman" w:hint="default"/>
                <w:sz w:val="21"/>
                <w:szCs w:val="21"/>
              </w:rPr>
            </w:pPr>
            <w:r>
              <w:rPr>
                <w:rFonts w:ascii="Times New Roman"/>
                <w:sz w:val="21"/>
              </w:rPr>
              <w:t>1.39</w:t>
            </w:r>
          </w:p>
        </w:tc>
        <w:tc>
          <w:tcPr>
            <w:tcW w:w="677" w:type="dxa"/>
            <w:vMerge w:val="restart"/>
            <w:tcBorders>
              <w:top w:val="single" w:sz="4" w:space="0" w:color="000000"/>
              <w:left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z w:val="21"/>
              </w:rPr>
              <w:t>60,885</w:t>
            </w:r>
          </w:p>
          <w:p>
            <w:pPr>
              <w:pStyle w:val="TableParagraph"/>
              <w:spacing w:line="241" w:lineRule="exact" w:before="1"/>
              <w:ind w:right="19"/>
              <w:jc w:val="right"/>
              <w:rPr>
                <w:rFonts w:ascii="Times New Roman" w:hAnsi="Times New Roman" w:cs="Times New Roman" w:eastAsia="Times New Roman" w:hint="default"/>
                <w:sz w:val="21"/>
                <w:szCs w:val="21"/>
              </w:rPr>
            </w:pPr>
            <w:r>
              <w:rPr>
                <w:rFonts w:ascii="Times New Roman"/>
                <w:sz w:val="21"/>
              </w:rPr>
              <w:t>,522.5</w:t>
            </w:r>
          </w:p>
          <w:p>
            <w:pPr>
              <w:pStyle w:val="TableParagraph"/>
              <w:spacing w:line="241" w:lineRule="exact"/>
              <w:ind w:right="23"/>
              <w:jc w:val="right"/>
              <w:rPr>
                <w:rFonts w:ascii="Times New Roman" w:hAnsi="Times New Roman" w:cs="Times New Roman" w:eastAsia="Times New Roman" w:hint="default"/>
                <w:sz w:val="21"/>
                <w:szCs w:val="21"/>
              </w:rPr>
            </w:pPr>
            <w:r>
              <w:rPr>
                <w:rFonts w:ascii="Times New Roman"/>
                <w:w w:val="100"/>
                <w:sz w:val="21"/>
              </w:rPr>
              <w:t>1</w:t>
            </w:r>
          </w:p>
        </w:tc>
        <w:tc>
          <w:tcPr>
            <w:tcW w:w="780" w:type="dxa"/>
            <w:vMerge w:val="restart"/>
            <w:tcBorders>
              <w:top w:val="single" w:sz="4" w:space="0" w:color="000000"/>
              <w:left w:val="single" w:sz="4" w:space="0" w:color="000000"/>
              <w:right w:val="single" w:sz="4" w:space="0" w:color="000000"/>
            </w:tcBorders>
          </w:tcPr>
          <w:p>
            <w:pPr>
              <w:pStyle w:val="TableParagraph"/>
              <w:spacing w:line="241" w:lineRule="exact" w:before="116"/>
              <w:ind w:left="67" w:right="0"/>
              <w:jc w:val="left"/>
              <w:rPr>
                <w:rFonts w:ascii="Times New Roman" w:hAnsi="Times New Roman" w:cs="Times New Roman" w:eastAsia="Times New Roman" w:hint="default"/>
                <w:sz w:val="21"/>
                <w:szCs w:val="21"/>
              </w:rPr>
            </w:pPr>
            <w:r>
              <w:rPr>
                <w:rFonts w:ascii="Times New Roman"/>
                <w:sz w:val="21"/>
              </w:rPr>
              <w:t>291,364</w:t>
            </w:r>
          </w:p>
          <w:p>
            <w:pPr>
              <w:pStyle w:val="TableParagraph"/>
              <w:spacing w:line="241" w:lineRule="exact"/>
              <w:ind w:left="117" w:right="0"/>
              <w:jc w:val="left"/>
              <w:rPr>
                <w:rFonts w:ascii="Times New Roman" w:hAnsi="Times New Roman" w:cs="Times New Roman" w:eastAsia="Times New Roman" w:hint="default"/>
                <w:sz w:val="21"/>
                <w:szCs w:val="21"/>
              </w:rPr>
            </w:pPr>
            <w:r>
              <w:rPr>
                <w:rFonts w:ascii="Times New Roman"/>
                <w:sz w:val="21"/>
              </w:rPr>
              <w:t>,904.66</w:t>
            </w:r>
          </w:p>
        </w:tc>
      </w:tr>
      <w:tr>
        <w:trPr>
          <w:trHeight w:val="641" w:hRule="exact"/>
        </w:trPr>
        <w:tc>
          <w:tcPr>
            <w:tcW w:w="1428" w:type="dxa"/>
            <w:tcBorders>
              <w:top w:val="nil" w:sz="6" w:space="0" w:color="auto"/>
              <w:left w:val="single" w:sz="4" w:space="0" w:color="000000"/>
              <w:bottom w:val="single" w:sz="4" w:space="0" w:color="000000"/>
              <w:right w:val="single" w:sz="4" w:space="0" w:color="000000"/>
            </w:tcBorders>
            <w:shd w:val="clear" w:color="auto" w:fill="D4D4D4"/>
          </w:tcPr>
          <w:p>
            <w:pPr>
              <w:pStyle w:val="TableParagraph"/>
              <w:spacing w:line="240" w:lineRule="exact"/>
              <w:ind w:left="12" w:right="0"/>
              <w:jc w:val="left"/>
              <w:rPr>
                <w:rFonts w:ascii="宋体" w:hAnsi="宋体" w:cs="宋体" w:eastAsia="宋体" w:hint="default"/>
                <w:sz w:val="21"/>
                <w:szCs w:val="21"/>
              </w:rPr>
            </w:pPr>
            <w:r>
              <w:rPr>
                <w:rFonts w:ascii="宋体" w:hAnsi="宋体" w:cs="宋体" w:eastAsia="宋体" w:hint="default"/>
                <w:w w:val="100"/>
                <w:sz w:val="21"/>
                <w:szCs w:val="21"/>
              </w:rPr>
              <w:t>二</w:t>
            </w:r>
            <w:r>
              <w:rPr>
                <w:rFonts w:ascii="宋体" w:hAnsi="宋体" w:cs="宋体" w:eastAsia="宋体" w:hint="default"/>
                <w:spacing w:val="-87"/>
                <w:w w:val="100"/>
                <w:sz w:val="21"/>
                <w:szCs w:val="21"/>
              </w:rPr>
              <w:t>、</w:t>
            </w:r>
            <w:r>
              <w:rPr>
                <w:rFonts w:ascii="宋体" w:hAnsi="宋体" w:cs="宋体" w:eastAsia="宋体" w:hint="default"/>
                <w:w w:val="100"/>
                <w:sz w:val="21"/>
                <w:szCs w:val="21"/>
              </w:rPr>
              <w:t>本</w:t>
            </w:r>
            <w:r>
              <w:rPr>
                <w:rFonts w:ascii="宋体" w:hAnsi="宋体" w:cs="宋体" w:eastAsia="宋体" w:hint="default"/>
                <w:spacing w:val="-3"/>
                <w:w w:val="100"/>
                <w:sz w:val="21"/>
                <w:szCs w:val="21"/>
              </w:rPr>
              <w:t>年</w:t>
            </w:r>
            <w:r>
              <w:rPr>
                <w:rFonts w:ascii="宋体" w:hAnsi="宋体" w:cs="宋体" w:eastAsia="宋体" w:hint="default"/>
                <w:w w:val="100"/>
                <w:sz w:val="21"/>
                <w:szCs w:val="21"/>
              </w:rPr>
              <w:t>期</w:t>
            </w:r>
            <w:r>
              <w:rPr>
                <w:rFonts w:ascii="宋体" w:hAnsi="宋体" w:cs="宋体" w:eastAsia="宋体" w:hint="default"/>
                <w:spacing w:val="-3"/>
                <w:w w:val="100"/>
                <w:sz w:val="21"/>
                <w:szCs w:val="21"/>
              </w:rPr>
              <w:t>初</w:t>
            </w:r>
            <w:r>
              <w:rPr>
                <w:rFonts w:ascii="宋体" w:hAnsi="宋体" w:cs="宋体" w:eastAsia="宋体" w:hint="default"/>
                <w:w w:val="100"/>
                <w:sz w:val="21"/>
                <w:szCs w:val="21"/>
              </w:rPr>
              <w:t>余</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691" w:type="dxa"/>
            <w:vMerge/>
            <w:tcBorders>
              <w:left w:val="single" w:sz="10" w:space="0" w:color="D4D4D4"/>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828" w:hRule="exact"/>
        </w:trPr>
        <w:tc>
          <w:tcPr>
            <w:tcW w:w="14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exact"/>
              <w:ind w:left="12" w:right="0"/>
              <w:jc w:val="left"/>
              <w:rPr>
                <w:rFonts w:ascii="宋体" w:hAnsi="宋体" w:cs="宋体" w:eastAsia="宋体" w:hint="default"/>
                <w:sz w:val="21"/>
                <w:szCs w:val="21"/>
              </w:rPr>
            </w:pPr>
            <w:r>
              <w:rPr>
                <w:rFonts w:ascii="宋体" w:hAnsi="宋体" w:cs="宋体" w:eastAsia="宋体" w:hint="default"/>
                <w:w w:val="100"/>
                <w:sz w:val="21"/>
                <w:szCs w:val="21"/>
              </w:rPr>
              <w:t>三</w:t>
            </w:r>
            <w:r>
              <w:rPr>
                <w:rFonts w:ascii="宋体" w:hAnsi="宋体" w:cs="宋体" w:eastAsia="宋体" w:hint="default"/>
                <w:spacing w:val="-87"/>
                <w:w w:val="100"/>
                <w:sz w:val="21"/>
                <w:szCs w:val="21"/>
              </w:rPr>
              <w:t>、</w:t>
            </w:r>
            <w:r>
              <w:rPr>
                <w:rFonts w:ascii="宋体" w:hAnsi="宋体" w:cs="宋体" w:eastAsia="宋体" w:hint="default"/>
                <w:w w:val="100"/>
                <w:sz w:val="21"/>
                <w:szCs w:val="21"/>
              </w:rPr>
              <w:t>本</w:t>
            </w:r>
            <w:r>
              <w:rPr>
                <w:rFonts w:ascii="宋体" w:hAnsi="宋体" w:cs="宋体" w:eastAsia="宋体" w:hint="default"/>
                <w:spacing w:val="-3"/>
                <w:w w:val="100"/>
                <w:sz w:val="21"/>
                <w:szCs w:val="21"/>
              </w:rPr>
              <w:t>期</w:t>
            </w:r>
            <w:r>
              <w:rPr>
                <w:rFonts w:ascii="宋体" w:hAnsi="宋体" w:cs="宋体" w:eastAsia="宋体" w:hint="default"/>
                <w:w w:val="100"/>
                <w:sz w:val="21"/>
                <w:szCs w:val="21"/>
              </w:rPr>
              <w:t>增</w:t>
            </w:r>
            <w:r>
              <w:rPr>
                <w:rFonts w:ascii="宋体" w:hAnsi="宋体" w:cs="宋体" w:eastAsia="宋体" w:hint="default"/>
                <w:spacing w:val="-3"/>
                <w:w w:val="100"/>
                <w:sz w:val="21"/>
                <w:szCs w:val="21"/>
              </w:rPr>
              <w:t>减</w:t>
            </w:r>
            <w:r>
              <w:rPr>
                <w:rFonts w:ascii="宋体" w:hAnsi="宋体" w:cs="宋体" w:eastAsia="宋体" w:hint="default"/>
                <w:w w:val="100"/>
                <w:sz w:val="21"/>
                <w:szCs w:val="21"/>
              </w:rPr>
              <w:t>变</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w w:val="100"/>
                <w:sz w:val="21"/>
                <w:szCs w:val="21"/>
              </w:rPr>
              <w:t>动金</w:t>
            </w:r>
            <w:r>
              <w:rPr>
                <w:rFonts w:ascii="宋体" w:hAnsi="宋体" w:cs="宋体" w:eastAsia="宋体" w:hint="default"/>
                <w:spacing w:val="-87"/>
                <w:w w:val="100"/>
                <w:sz w:val="21"/>
                <w:szCs w:val="21"/>
              </w:rPr>
              <w:t>额</w:t>
            </w:r>
            <w:r>
              <w:rPr>
                <w:rFonts w:ascii="宋体" w:hAnsi="宋体" w:cs="宋体" w:eastAsia="宋体" w:hint="default"/>
                <w:spacing w:val="-3"/>
                <w:w w:val="100"/>
                <w:sz w:val="21"/>
                <w:szCs w:val="21"/>
              </w:rPr>
              <w:t>（</w:t>
            </w:r>
            <w:r>
              <w:rPr>
                <w:rFonts w:ascii="宋体" w:hAnsi="宋体" w:cs="宋体" w:eastAsia="宋体" w:hint="default"/>
                <w:w w:val="100"/>
                <w:sz w:val="21"/>
                <w:szCs w:val="21"/>
              </w:rPr>
              <w:t>减</w:t>
            </w:r>
            <w:r>
              <w:rPr>
                <w:rFonts w:ascii="宋体" w:hAnsi="宋体" w:cs="宋体" w:eastAsia="宋体" w:hint="default"/>
                <w:spacing w:val="-3"/>
                <w:w w:val="100"/>
                <w:sz w:val="21"/>
                <w:szCs w:val="21"/>
              </w:rPr>
              <w:t>少</w:t>
            </w:r>
            <w:r>
              <w:rPr>
                <w:rFonts w:ascii="宋体" w:hAnsi="宋体" w:cs="宋体" w:eastAsia="宋体" w:hint="default"/>
                <w:w w:val="100"/>
                <w:sz w:val="21"/>
                <w:szCs w:val="21"/>
              </w:rPr>
              <w:t>以</w:t>
            </w:r>
          </w:p>
          <w:p>
            <w:pPr>
              <w:pStyle w:val="TableParagraph"/>
              <w:spacing w:line="290" w:lineRule="exact"/>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691"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31" w:right="0"/>
              <w:jc w:val="left"/>
              <w:rPr>
                <w:rFonts w:ascii="Times New Roman" w:hAnsi="Times New Roman" w:cs="Times New Roman" w:eastAsia="Times New Roman" w:hint="default"/>
                <w:sz w:val="21"/>
                <w:szCs w:val="21"/>
              </w:rPr>
            </w:pPr>
            <w:r>
              <w:rPr>
                <w:rFonts w:ascii="Times New Roman"/>
                <w:sz w:val="21"/>
              </w:rPr>
              <w:t>2,237,68</w:t>
            </w:r>
          </w:p>
          <w:p>
            <w:pPr>
              <w:pStyle w:val="TableParagraph"/>
              <w:spacing w:line="240" w:lineRule="auto" w:before="1"/>
              <w:ind w:left="398" w:right="0"/>
              <w:jc w:val="left"/>
              <w:rPr>
                <w:rFonts w:ascii="Times New Roman" w:hAnsi="Times New Roman" w:cs="Times New Roman" w:eastAsia="Times New Roman" w:hint="default"/>
                <w:sz w:val="21"/>
                <w:szCs w:val="21"/>
              </w:rPr>
            </w:pPr>
            <w:r>
              <w:rPr>
                <w:rFonts w:ascii="Times New Roman"/>
                <w:sz w:val="21"/>
              </w:rPr>
              <w:t>8.08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9"/>
              <w:jc w:val="right"/>
              <w:rPr>
                <w:rFonts w:ascii="Times New Roman" w:hAnsi="Times New Roman" w:cs="Times New Roman" w:eastAsia="Times New Roman" w:hint="default"/>
                <w:sz w:val="21"/>
                <w:szCs w:val="21"/>
              </w:rPr>
            </w:pPr>
            <w:r>
              <w:rPr>
                <w:rFonts w:ascii="Times New Roman"/>
                <w:sz w:val="21"/>
              </w:rPr>
              <w:t>20,139</w:t>
            </w:r>
          </w:p>
          <w:p>
            <w:pPr>
              <w:pStyle w:val="TableParagraph"/>
              <w:spacing w:line="241" w:lineRule="exact" w:before="1"/>
              <w:ind w:right="19"/>
              <w:jc w:val="right"/>
              <w:rPr>
                <w:rFonts w:ascii="Times New Roman" w:hAnsi="Times New Roman" w:cs="Times New Roman" w:eastAsia="Times New Roman" w:hint="default"/>
                <w:sz w:val="21"/>
                <w:szCs w:val="21"/>
              </w:rPr>
            </w:pPr>
            <w:r>
              <w:rPr>
                <w:rFonts w:ascii="Times New Roman"/>
                <w:sz w:val="21"/>
              </w:rPr>
              <w:t>,192.7</w:t>
            </w:r>
          </w:p>
          <w:p>
            <w:pPr>
              <w:pStyle w:val="TableParagraph"/>
              <w:spacing w:line="241" w:lineRule="exact"/>
              <w:ind w:right="23"/>
              <w:jc w:val="right"/>
              <w:rPr>
                <w:rFonts w:ascii="Times New Roman" w:hAnsi="Times New Roman" w:cs="Times New Roman" w:eastAsia="Times New Roman" w:hint="default"/>
                <w:sz w:val="21"/>
                <w:szCs w:val="21"/>
              </w:rPr>
            </w:pPr>
            <w:r>
              <w:rPr>
                <w:rFonts w:ascii="Times New Roman"/>
                <w:w w:val="100"/>
                <w:sz w:val="21"/>
              </w:rPr>
              <w:t>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17" w:right="0"/>
              <w:jc w:val="left"/>
              <w:rPr>
                <w:rFonts w:ascii="Times New Roman" w:hAnsi="Times New Roman" w:cs="Times New Roman" w:eastAsia="Times New Roman" w:hint="default"/>
                <w:sz w:val="21"/>
                <w:szCs w:val="21"/>
              </w:rPr>
            </w:pPr>
            <w:r>
              <w:rPr>
                <w:rFonts w:ascii="Times New Roman"/>
                <w:sz w:val="21"/>
              </w:rPr>
              <w:t>22,376,</w:t>
            </w:r>
          </w:p>
          <w:p>
            <w:pPr>
              <w:pStyle w:val="TableParagraph"/>
              <w:spacing w:line="240" w:lineRule="auto" w:before="1"/>
              <w:ind w:left="170" w:right="0"/>
              <w:jc w:val="left"/>
              <w:rPr>
                <w:rFonts w:ascii="Times New Roman" w:hAnsi="Times New Roman" w:cs="Times New Roman" w:eastAsia="Times New Roman" w:hint="default"/>
                <w:sz w:val="21"/>
                <w:szCs w:val="21"/>
              </w:rPr>
            </w:pPr>
            <w:r>
              <w:rPr>
                <w:rFonts w:ascii="Times New Roman"/>
                <w:sz w:val="21"/>
              </w:rPr>
              <w:t>880.84</w:t>
            </w:r>
          </w:p>
        </w:tc>
      </w:tr>
      <w:tr>
        <w:trPr>
          <w:trHeight w:val="96" w:hRule="exact"/>
        </w:trPr>
        <w:tc>
          <w:tcPr>
            <w:tcW w:w="1428" w:type="dxa"/>
            <w:tcBorders>
              <w:top w:val="single" w:sz="4" w:space="0" w:color="000000"/>
              <w:left w:val="single" w:sz="4" w:space="0" w:color="000000"/>
              <w:bottom w:val="nil" w:sz="6" w:space="0" w:color="auto"/>
              <w:right w:val="single" w:sz="4" w:space="0" w:color="000000"/>
            </w:tcBorders>
            <w:shd w:val="clear" w:color="auto" w:fill="D4D4D4"/>
          </w:tcPr>
          <w:p>
            <w:pPr/>
          </w:p>
        </w:tc>
        <w:tc>
          <w:tcPr>
            <w:tcW w:w="691" w:type="dxa"/>
            <w:vMerge w:val="restart"/>
            <w:tcBorders>
              <w:top w:val="single" w:sz="4" w:space="0" w:color="000000"/>
              <w:left w:val="single" w:sz="10" w:space="0" w:color="D4D4D4"/>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677" w:type="dxa"/>
            <w:vMerge w:val="restart"/>
            <w:tcBorders>
              <w:top w:val="single" w:sz="4" w:space="0" w:color="000000"/>
              <w:left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z w:val="21"/>
              </w:rPr>
              <w:t>22,376</w:t>
            </w:r>
          </w:p>
          <w:p>
            <w:pPr>
              <w:pStyle w:val="TableParagraph"/>
              <w:spacing w:line="241" w:lineRule="exact"/>
              <w:ind w:right="19"/>
              <w:jc w:val="right"/>
              <w:rPr>
                <w:rFonts w:ascii="Times New Roman" w:hAnsi="Times New Roman" w:cs="Times New Roman" w:eastAsia="Times New Roman" w:hint="default"/>
                <w:sz w:val="21"/>
                <w:szCs w:val="21"/>
              </w:rPr>
            </w:pPr>
            <w:r>
              <w:rPr>
                <w:rFonts w:ascii="Times New Roman"/>
                <w:sz w:val="21"/>
              </w:rPr>
              <w:t>,880.8</w:t>
            </w:r>
          </w:p>
          <w:p>
            <w:pPr>
              <w:pStyle w:val="TableParagraph"/>
              <w:spacing w:line="240" w:lineRule="auto" w:before="1"/>
              <w:ind w:right="23"/>
              <w:jc w:val="right"/>
              <w:rPr>
                <w:rFonts w:ascii="Times New Roman" w:hAnsi="Times New Roman" w:cs="Times New Roman" w:eastAsia="Times New Roman" w:hint="default"/>
                <w:sz w:val="21"/>
                <w:szCs w:val="21"/>
              </w:rPr>
            </w:pPr>
            <w:r>
              <w:rPr>
                <w:rFonts w:ascii="Times New Roman"/>
                <w:w w:val="100"/>
                <w:sz w:val="21"/>
              </w:rPr>
              <w:t>4</w:t>
            </w:r>
          </w:p>
        </w:tc>
        <w:tc>
          <w:tcPr>
            <w:tcW w:w="780" w:type="dxa"/>
            <w:vMerge w:val="restart"/>
            <w:tcBorders>
              <w:top w:val="single" w:sz="4" w:space="0" w:color="000000"/>
              <w:left w:val="single" w:sz="4" w:space="0" w:color="000000"/>
              <w:right w:val="single" w:sz="4" w:space="0" w:color="000000"/>
            </w:tcBorders>
          </w:tcPr>
          <w:p>
            <w:pPr>
              <w:pStyle w:val="TableParagraph"/>
              <w:spacing w:line="241" w:lineRule="exact" w:before="116"/>
              <w:ind w:left="117" w:right="0"/>
              <w:jc w:val="left"/>
              <w:rPr>
                <w:rFonts w:ascii="Times New Roman" w:hAnsi="Times New Roman" w:cs="Times New Roman" w:eastAsia="Times New Roman" w:hint="default"/>
                <w:sz w:val="21"/>
                <w:szCs w:val="21"/>
              </w:rPr>
            </w:pPr>
            <w:r>
              <w:rPr>
                <w:rFonts w:ascii="Times New Roman"/>
                <w:sz w:val="21"/>
              </w:rPr>
              <w:t>22,376,</w:t>
            </w:r>
          </w:p>
          <w:p>
            <w:pPr>
              <w:pStyle w:val="TableParagraph"/>
              <w:spacing w:line="241" w:lineRule="exact"/>
              <w:ind w:left="170" w:right="0"/>
              <w:jc w:val="left"/>
              <w:rPr>
                <w:rFonts w:ascii="Times New Roman" w:hAnsi="Times New Roman" w:cs="Times New Roman" w:eastAsia="Times New Roman" w:hint="default"/>
                <w:sz w:val="21"/>
                <w:szCs w:val="21"/>
              </w:rPr>
            </w:pPr>
            <w:r>
              <w:rPr>
                <w:rFonts w:ascii="Times New Roman"/>
                <w:sz w:val="21"/>
              </w:rPr>
              <w:t>880.84</w:t>
            </w:r>
          </w:p>
        </w:tc>
      </w:tr>
      <w:tr>
        <w:trPr>
          <w:trHeight w:val="638" w:hRule="exact"/>
        </w:trPr>
        <w:tc>
          <w:tcPr>
            <w:tcW w:w="1428" w:type="dxa"/>
            <w:tcBorders>
              <w:top w:val="nil" w:sz="6" w:space="0" w:color="auto"/>
              <w:left w:val="single" w:sz="4" w:space="0" w:color="000000"/>
              <w:bottom w:val="single" w:sz="4" w:space="0" w:color="000000"/>
              <w:right w:val="single" w:sz="4" w:space="0" w:color="000000"/>
            </w:tcBorders>
            <w:shd w:val="clear" w:color="auto" w:fill="D4D4D4"/>
          </w:tcPr>
          <w:p>
            <w:pPr>
              <w:pStyle w:val="TableParagraph"/>
              <w:spacing w:line="239" w:lineRule="exact"/>
              <w:ind w:left="12" w:right="0"/>
              <w:jc w:val="left"/>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spacing w:val="-3"/>
                <w:w w:val="100"/>
                <w:sz w:val="21"/>
                <w:szCs w:val="21"/>
              </w:rPr>
              <w:t>一</w:t>
            </w:r>
            <w:r>
              <w:rPr>
                <w:rFonts w:ascii="宋体" w:hAnsi="宋体" w:cs="宋体" w:eastAsia="宋体" w:hint="default"/>
                <w:spacing w:val="-85"/>
                <w:w w:val="100"/>
                <w:sz w:val="21"/>
                <w:szCs w:val="21"/>
              </w:rPr>
              <w:t>）</w:t>
            </w:r>
            <w:r>
              <w:rPr>
                <w:rFonts w:ascii="宋体" w:hAnsi="宋体" w:cs="宋体" w:eastAsia="宋体" w:hint="default"/>
                <w:spacing w:val="-3"/>
                <w:w w:val="100"/>
                <w:sz w:val="21"/>
                <w:szCs w:val="21"/>
              </w:rPr>
              <w:t>综</w:t>
            </w:r>
            <w:r>
              <w:rPr>
                <w:rFonts w:ascii="宋体" w:hAnsi="宋体" w:cs="宋体" w:eastAsia="宋体" w:hint="default"/>
                <w:w w:val="100"/>
                <w:sz w:val="21"/>
                <w:szCs w:val="21"/>
              </w:rPr>
              <w:t>合</w:t>
            </w:r>
            <w:r>
              <w:rPr>
                <w:rFonts w:ascii="宋体" w:hAnsi="宋体" w:cs="宋体" w:eastAsia="宋体" w:hint="default"/>
                <w:spacing w:val="-3"/>
                <w:w w:val="100"/>
                <w:sz w:val="21"/>
                <w:szCs w:val="21"/>
              </w:rPr>
              <w:t>收益</w:t>
            </w:r>
            <w:r>
              <w:rPr>
                <w:rFonts w:ascii="宋体" w:hAnsi="宋体" w:cs="宋体" w:eastAsia="宋体" w:hint="default"/>
                <w:w w:val="100"/>
                <w:sz w:val="21"/>
                <w:szCs w:val="21"/>
              </w:rPr>
            </w:r>
          </w:p>
          <w:p>
            <w:pPr>
              <w:pStyle w:val="TableParagraph"/>
              <w:spacing w:line="273" w:lineRule="exact"/>
              <w:ind w:left="12" w:right="0"/>
              <w:jc w:val="left"/>
              <w:rPr>
                <w:rFonts w:ascii="宋体" w:hAnsi="宋体" w:cs="宋体" w:eastAsia="宋体" w:hint="default"/>
                <w:sz w:val="21"/>
                <w:szCs w:val="21"/>
              </w:rPr>
            </w:pPr>
            <w:r>
              <w:rPr>
                <w:rFonts w:ascii="宋体" w:hAnsi="宋体" w:cs="宋体" w:eastAsia="宋体" w:hint="default"/>
                <w:sz w:val="21"/>
                <w:szCs w:val="21"/>
              </w:rPr>
              <w:t>总额</w:t>
            </w:r>
          </w:p>
        </w:tc>
        <w:tc>
          <w:tcPr>
            <w:tcW w:w="691" w:type="dxa"/>
            <w:vMerge/>
            <w:tcBorders>
              <w:left w:val="single" w:sz="10" w:space="0" w:color="D4D4D4"/>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557" w:hRule="exact"/>
        </w:trPr>
        <w:tc>
          <w:tcPr>
            <w:tcW w:w="14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exact"/>
              <w:ind w:left="12" w:right="0"/>
              <w:jc w:val="left"/>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spacing w:val="-3"/>
                <w:w w:val="100"/>
                <w:sz w:val="21"/>
                <w:szCs w:val="21"/>
              </w:rPr>
              <w:t>二</w:t>
            </w:r>
            <w:r>
              <w:rPr>
                <w:rFonts w:ascii="宋体" w:hAnsi="宋体" w:cs="宋体" w:eastAsia="宋体" w:hint="default"/>
                <w:spacing w:val="-85"/>
                <w:w w:val="100"/>
                <w:sz w:val="21"/>
                <w:szCs w:val="21"/>
              </w:rPr>
              <w:t>）</w:t>
            </w:r>
            <w:r>
              <w:rPr>
                <w:rFonts w:ascii="宋体" w:hAnsi="宋体" w:cs="宋体" w:eastAsia="宋体" w:hint="default"/>
                <w:spacing w:val="-3"/>
                <w:w w:val="100"/>
                <w:sz w:val="21"/>
                <w:szCs w:val="21"/>
              </w:rPr>
              <w:t>所</w:t>
            </w:r>
            <w:r>
              <w:rPr>
                <w:rFonts w:ascii="宋体" w:hAnsi="宋体" w:cs="宋体" w:eastAsia="宋体" w:hint="default"/>
                <w:w w:val="100"/>
                <w:sz w:val="21"/>
                <w:szCs w:val="21"/>
              </w:rPr>
              <w:t>有</w:t>
            </w:r>
            <w:r>
              <w:rPr>
                <w:rFonts w:ascii="宋体" w:hAnsi="宋体" w:cs="宋体" w:eastAsia="宋体" w:hint="default"/>
                <w:spacing w:val="-3"/>
                <w:w w:val="100"/>
                <w:sz w:val="21"/>
                <w:szCs w:val="21"/>
              </w:rPr>
              <w:t>者投</w:t>
            </w:r>
            <w:r>
              <w:rPr>
                <w:rFonts w:ascii="宋体" w:hAnsi="宋体" w:cs="宋体" w:eastAsia="宋体" w:hint="default"/>
                <w:w w:val="100"/>
                <w:sz w:val="21"/>
                <w:szCs w:val="21"/>
              </w:rPr>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入和减少资本</w:t>
            </w:r>
          </w:p>
        </w:tc>
        <w:tc>
          <w:tcPr>
            <w:tcW w:w="691"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8" w:lineRule="exact"/>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．股东投入的</w:t>
            </w:r>
          </w:p>
          <w:p>
            <w:pPr>
              <w:pStyle w:val="TableParagraph"/>
              <w:spacing w:line="266" w:lineRule="exact"/>
              <w:ind w:left="12" w:right="0"/>
              <w:jc w:val="left"/>
              <w:rPr>
                <w:rFonts w:ascii="宋体" w:hAnsi="宋体" w:cs="宋体" w:eastAsia="宋体" w:hint="default"/>
                <w:sz w:val="21"/>
                <w:szCs w:val="21"/>
              </w:rPr>
            </w:pPr>
            <w:r>
              <w:rPr>
                <w:rFonts w:ascii="宋体" w:hAnsi="宋体" w:cs="宋体" w:eastAsia="宋体" w:hint="default"/>
                <w:sz w:val="21"/>
                <w:szCs w:val="21"/>
              </w:rPr>
              <w:t>普通股</w:t>
            </w:r>
          </w:p>
        </w:tc>
        <w:tc>
          <w:tcPr>
            <w:tcW w:w="691"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4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7" w:lineRule="exact"/>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．其他权益工</w:t>
            </w:r>
          </w:p>
          <w:p>
            <w:pPr>
              <w:pStyle w:val="TableParagraph"/>
              <w:spacing w:line="274" w:lineRule="exact" w:before="16"/>
              <w:ind w:left="12" w:right="141"/>
              <w:jc w:val="left"/>
              <w:rPr>
                <w:rFonts w:ascii="宋体" w:hAnsi="宋体" w:cs="宋体" w:eastAsia="宋体" w:hint="default"/>
                <w:sz w:val="21"/>
                <w:szCs w:val="21"/>
              </w:rPr>
            </w:pPr>
            <w:r>
              <w:rPr>
                <w:rFonts w:ascii="宋体" w:hAnsi="宋体" w:cs="宋体" w:eastAsia="宋体" w:hint="default"/>
                <w:sz w:val="21"/>
                <w:szCs w:val="21"/>
              </w:rPr>
              <w:t>具持有者投入</w:t>
            </w:r>
            <w:r>
              <w:rPr>
                <w:rFonts w:ascii="宋体" w:hAnsi="宋体" w:cs="宋体" w:eastAsia="宋体" w:hint="default"/>
                <w:w w:val="100"/>
                <w:sz w:val="21"/>
                <w:szCs w:val="21"/>
              </w:rPr>
              <w:t> </w:t>
            </w:r>
            <w:r>
              <w:rPr>
                <w:rFonts w:ascii="宋体" w:hAnsi="宋体" w:cs="宋体" w:eastAsia="宋体" w:hint="default"/>
                <w:sz w:val="21"/>
                <w:szCs w:val="21"/>
              </w:rPr>
              <w:t>资本</w:t>
            </w:r>
          </w:p>
        </w:tc>
        <w:tc>
          <w:tcPr>
            <w:tcW w:w="691"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4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8" w:lineRule="exact"/>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．股份支付计</w:t>
            </w:r>
          </w:p>
          <w:p>
            <w:pPr>
              <w:pStyle w:val="TableParagraph"/>
              <w:spacing w:line="274" w:lineRule="exact" w:before="17"/>
              <w:ind w:left="12" w:right="141"/>
              <w:jc w:val="left"/>
              <w:rPr>
                <w:rFonts w:ascii="宋体" w:hAnsi="宋体" w:cs="宋体" w:eastAsia="宋体" w:hint="default"/>
                <w:sz w:val="21"/>
                <w:szCs w:val="21"/>
              </w:rPr>
            </w:pPr>
            <w:r>
              <w:rPr>
                <w:rFonts w:ascii="宋体" w:hAnsi="宋体" w:cs="宋体" w:eastAsia="宋体" w:hint="default"/>
                <w:sz w:val="21"/>
                <w:szCs w:val="21"/>
              </w:rPr>
              <w:t>入所有者权益</w:t>
            </w:r>
            <w:r>
              <w:rPr>
                <w:rFonts w:ascii="宋体" w:hAnsi="宋体" w:cs="宋体" w:eastAsia="宋体" w:hint="default"/>
                <w:w w:val="100"/>
                <w:sz w:val="21"/>
                <w:szCs w:val="21"/>
              </w:rPr>
              <w:t> </w:t>
            </w:r>
            <w:r>
              <w:rPr>
                <w:rFonts w:ascii="宋体" w:hAnsi="宋体" w:cs="宋体" w:eastAsia="宋体" w:hint="default"/>
                <w:sz w:val="21"/>
                <w:szCs w:val="21"/>
              </w:rPr>
              <w:t>的金额</w:t>
            </w:r>
          </w:p>
        </w:tc>
        <w:tc>
          <w:tcPr>
            <w:tcW w:w="691"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59" w:lineRule="exact"/>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691"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92" w:hRule="exact"/>
        </w:trPr>
        <w:tc>
          <w:tcPr>
            <w:tcW w:w="1428" w:type="dxa"/>
            <w:tcBorders>
              <w:top w:val="single" w:sz="42" w:space="0" w:color="D4D4D4"/>
              <w:left w:val="single" w:sz="13" w:space="0" w:color="D4D4D4"/>
              <w:bottom w:val="single" w:sz="41" w:space="0" w:color="D4D4D4"/>
              <w:right w:val="single" w:sz="10" w:space="0" w:color="D4D4D4"/>
            </w:tcBorders>
          </w:tcPr>
          <w:p>
            <w:pPr>
              <w:pStyle w:val="TableParagraph"/>
              <w:spacing w:line="240" w:lineRule="auto" w:before="23"/>
              <w:ind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w w:val="100"/>
                <w:sz w:val="21"/>
                <w:szCs w:val="21"/>
                <w:shd w:fill="D4D4D4" w:color="auto" w:val="clear"/>
              </w:rPr>
              <w:t>（</w:t>
            </w:r>
            <w:r>
              <w:rPr>
                <w:rFonts w:ascii="宋体" w:hAnsi="宋体" w:cs="宋体" w:eastAsia="宋体" w:hint="default"/>
                <w:spacing w:val="-3"/>
                <w:w w:val="100"/>
                <w:sz w:val="21"/>
                <w:szCs w:val="21"/>
                <w:shd w:fill="D4D4D4" w:color="auto" w:val="clear"/>
              </w:rPr>
              <w:t>三</w:t>
            </w:r>
            <w:r>
              <w:rPr>
                <w:rFonts w:ascii="宋体" w:hAnsi="宋体" w:cs="宋体" w:eastAsia="宋体" w:hint="default"/>
                <w:spacing w:val="-85"/>
                <w:w w:val="100"/>
                <w:sz w:val="21"/>
                <w:szCs w:val="21"/>
                <w:shd w:fill="D4D4D4" w:color="auto" w:val="clear"/>
              </w:rPr>
              <w:t>）</w:t>
            </w:r>
            <w:r>
              <w:rPr>
                <w:rFonts w:ascii="宋体" w:hAnsi="宋体" w:cs="宋体" w:eastAsia="宋体" w:hint="default"/>
                <w:spacing w:val="-3"/>
                <w:w w:val="100"/>
                <w:sz w:val="21"/>
                <w:szCs w:val="21"/>
                <w:shd w:fill="D4D4D4" w:color="auto" w:val="clear"/>
              </w:rPr>
              <w:t>利</w:t>
            </w:r>
            <w:r>
              <w:rPr>
                <w:rFonts w:ascii="宋体" w:hAnsi="宋体" w:cs="宋体" w:eastAsia="宋体" w:hint="default"/>
                <w:w w:val="100"/>
                <w:sz w:val="21"/>
                <w:szCs w:val="21"/>
                <w:shd w:fill="D4D4D4" w:color="auto" w:val="clear"/>
              </w:rPr>
              <w:t>润</w:t>
            </w:r>
            <w:r>
              <w:rPr>
                <w:rFonts w:ascii="宋体" w:hAnsi="宋体" w:cs="宋体" w:eastAsia="宋体" w:hint="default"/>
                <w:spacing w:val="-3"/>
                <w:w w:val="100"/>
                <w:sz w:val="21"/>
                <w:szCs w:val="21"/>
                <w:shd w:fill="D4D4D4" w:color="auto" w:val="clear"/>
              </w:rPr>
              <w:t>分配</w:t>
            </w:r>
            <w:r>
              <w:rPr>
                <w:rFonts w:ascii="宋体" w:hAnsi="宋体" w:cs="宋体" w:eastAsia="宋体" w:hint="default"/>
                <w:spacing w:val="-3"/>
                <w:w w:val="100"/>
                <w:sz w:val="21"/>
                <w:szCs w:val="21"/>
              </w:rPr>
            </w:r>
            <w:r>
              <w:rPr>
                <w:rFonts w:ascii="宋体" w:hAnsi="宋体" w:cs="宋体" w:eastAsia="宋体" w:hint="default"/>
                <w:w w:val="100"/>
                <w:sz w:val="21"/>
                <w:szCs w:val="21"/>
              </w:rPr>
            </w:r>
          </w:p>
        </w:tc>
        <w:tc>
          <w:tcPr>
            <w:tcW w:w="691"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1" w:right="0"/>
              <w:jc w:val="left"/>
              <w:rPr>
                <w:rFonts w:ascii="Times New Roman" w:hAnsi="Times New Roman" w:cs="Times New Roman" w:eastAsia="Times New Roman" w:hint="default"/>
                <w:sz w:val="21"/>
                <w:szCs w:val="21"/>
              </w:rPr>
            </w:pPr>
            <w:r>
              <w:rPr>
                <w:rFonts w:ascii="Times New Roman"/>
                <w:sz w:val="21"/>
              </w:rPr>
              <w:t>2,237,68</w:t>
            </w:r>
          </w:p>
          <w:p>
            <w:pPr>
              <w:pStyle w:val="TableParagraph"/>
              <w:spacing w:line="240" w:lineRule="auto" w:before="1"/>
              <w:ind w:left="398" w:right="0"/>
              <w:jc w:val="left"/>
              <w:rPr>
                <w:rFonts w:ascii="Times New Roman" w:hAnsi="Times New Roman" w:cs="Times New Roman" w:eastAsia="Times New Roman" w:hint="default"/>
                <w:sz w:val="21"/>
                <w:szCs w:val="21"/>
              </w:rPr>
            </w:pPr>
            <w:r>
              <w:rPr>
                <w:rFonts w:ascii="Times New Roman"/>
                <w:sz w:val="21"/>
              </w:rPr>
              <w:t>8.08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7" w:right="0"/>
              <w:jc w:val="left"/>
              <w:rPr>
                <w:rFonts w:ascii="Times New Roman" w:hAnsi="Times New Roman" w:cs="Times New Roman" w:eastAsia="Times New Roman" w:hint="default"/>
                <w:sz w:val="21"/>
                <w:szCs w:val="21"/>
              </w:rPr>
            </w:pPr>
            <w:r>
              <w:rPr>
                <w:rFonts w:ascii="Times New Roman"/>
                <w:sz w:val="21"/>
              </w:rPr>
              <w:t>-2,237,</w:t>
            </w:r>
          </w:p>
          <w:p>
            <w:pPr>
              <w:pStyle w:val="TableParagraph"/>
              <w:spacing w:line="240" w:lineRule="auto" w:before="1"/>
              <w:ind w:left="64" w:right="0"/>
              <w:jc w:val="left"/>
              <w:rPr>
                <w:rFonts w:ascii="Times New Roman" w:hAnsi="Times New Roman" w:cs="Times New Roman" w:eastAsia="Times New Roman" w:hint="default"/>
                <w:sz w:val="21"/>
                <w:szCs w:val="21"/>
              </w:rPr>
            </w:pPr>
            <w:r>
              <w:rPr>
                <w:rFonts w:ascii="Times New Roman"/>
                <w:sz w:val="21"/>
              </w:rPr>
              <w:t>688.08</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9" w:lineRule="exact"/>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．提取盈余公</w:t>
            </w:r>
          </w:p>
          <w:p>
            <w:pPr>
              <w:pStyle w:val="TableParagraph"/>
              <w:spacing w:line="265" w:lineRule="exact"/>
              <w:ind w:left="12" w:right="0"/>
              <w:jc w:val="left"/>
              <w:rPr>
                <w:rFonts w:ascii="宋体" w:hAnsi="宋体" w:cs="宋体" w:eastAsia="宋体" w:hint="default"/>
                <w:sz w:val="21"/>
                <w:szCs w:val="21"/>
              </w:rPr>
            </w:pPr>
            <w:r>
              <w:rPr>
                <w:rFonts w:ascii="宋体" w:hAnsi="宋体" w:cs="宋体" w:eastAsia="宋体" w:hint="default"/>
                <w:w w:val="100"/>
                <w:sz w:val="21"/>
                <w:szCs w:val="21"/>
              </w:rPr>
              <w:t>积</w:t>
            </w:r>
          </w:p>
        </w:tc>
        <w:tc>
          <w:tcPr>
            <w:tcW w:w="691"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7"/>
              <w:ind w:left="31" w:right="0"/>
              <w:jc w:val="left"/>
              <w:rPr>
                <w:rFonts w:ascii="Times New Roman" w:hAnsi="Times New Roman" w:cs="Times New Roman" w:eastAsia="Times New Roman" w:hint="default"/>
                <w:sz w:val="21"/>
                <w:szCs w:val="21"/>
              </w:rPr>
            </w:pPr>
            <w:r>
              <w:rPr>
                <w:rFonts w:ascii="Times New Roman"/>
                <w:sz w:val="21"/>
              </w:rPr>
              <w:t>2,237,68</w:t>
            </w:r>
          </w:p>
          <w:p>
            <w:pPr>
              <w:pStyle w:val="TableParagraph"/>
              <w:spacing w:line="241" w:lineRule="exact"/>
              <w:ind w:left="398" w:right="0"/>
              <w:jc w:val="left"/>
              <w:rPr>
                <w:rFonts w:ascii="Times New Roman" w:hAnsi="Times New Roman" w:cs="Times New Roman" w:eastAsia="Times New Roman" w:hint="default"/>
                <w:sz w:val="21"/>
                <w:szCs w:val="21"/>
              </w:rPr>
            </w:pPr>
            <w:r>
              <w:rPr>
                <w:rFonts w:ascii="Times New Roman"/>
                <w:sz w:val="21"/>
              </w:rPr>
              <w:t>8.08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7"/>
              <w:ind w:left="47" w:right="0"/>
              <w:jc w:val="left"/>
              <w:rPr>
                <w:rFonts w:ascii="Times New Roman" w:hAnsi="Times New Roman" w:cs="Times New Roman" w:eastAsia="Times New Roman" w:hint="default"/>
                <w:sz w:val="21"/>
                <w:szCs w:val="21"/>
              </w:rPr>
            </w:pPr>
            <w:r>
              <w:rPr>
                <w:rFonts w:ascii="Times New Roman"/>
                <w:sz w:val="21"/>
              </w:rPr>
              <w:t>-2,237,</w:t>
            </w:r>
          </w:p>
          <w:p>
            <w:pPr>
              <w:pStyle w:val="TableParagraph"/>
              <w:spacing w:line="241" w:lineRule="exact"/>
              <w:ind w:left="64" w:right="0"/>
              <w:jc w:val="left"/>
              <w:rPr>
                <w:rFonts w:ascii="Times New Roman" w:hAnsi="Times New Roman" w:cs="Times New Roman" w:eastAsia="Times New Roman" w:hint="default"/>
                <w:sz w:val="21"/>
                <w:szCs w:val="21"/>
              </w:rPr>
            </w:pPr>
            <w:r>
              <w:rPr>
                <w:rFonts w:ascii="Times New Roman"/>
                <w:sz w:val="21"/>
              </w:rPr>
              <w:t>688.08</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8" w:lineRule="exact"/>
              <w:ind w:left="12"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2</w:t>
            </w:r>
            <w:r>
              <w:rPr>
                <w:rFonts w:ascii="宋体" w:hAnsi="宋体" w:cs="宋体" w:eastAsia="宋体" w:hint="default"/>
                <w:spacing w:val="-97"/>
                <w:w w:val="100"/>
                <w:sz w:val="21"/>
                <w:szCs w:val="21"/>
              </w:rPr>
              <w:t>．</w:t>
            </w:r>
            <w:r>
              <w:rPr>
                <w:rFonts w:ascii="宋体" w:hAnsi="宋体" w:cs="宋体" w:eastAsia="宋体" w:hint="default"/>
                <w:w w:val="100"/>
                <w:sz w:val="21"/>
                <w:szCs w:val="21"/>
              </w:rPr>
              <w:t>对</w:t>
            </w:r>
            <w:r>
              <w:rPr>
                <w:rFonts w:ascii="宋体" w:hAnsi="宋体" w:cs="宋体" w:eastAsia="宋体" w:hint="default"/>
                <w:spacing w:val="-3"/>
                <w:w w:val="100"/>
                <w:sz w:val="21"/>
                <w:szCs w:val="21"/>
              </w:rPr>
              <w:t>所</w:t>
            </w:r>
            <w:r>
              <w:rPr>
                <w:rFonts w:ascii="宋体" w:hAnsi="宋体" w:cs="宋体" w:eastAsia="宋体" w:hint="default"/>
                <w:w w:val="100"/>
                <w:sz w:val="21"/>
                <w:szCs w:val="21"/>
              </w:rPr>
              <w:t>有</w:t>
            </w:r>
            <w:r>
              <w:rPr>
                <w:rFonts w:ascii="宋体" w:hAnsi="宋体" w:cs="宋体" w:eastAsia="宋体" w:hint="default"/>
                <w:spacing w:val="-97"/>
                <w:w w:val="100"/>
                <w:sz w:val="21"/>
                <w:szCs w:val="21"/>
              </w:rPr>
              <w:t>者</w:t>
            </w:r>
            <w:r>
              <w:rPr>
                <w:rFonts w:ascii="宋体" w:hAnsi="宋体" w:cs="宋体" w:eastAsia="宋体" w:hint="default"/>
                <w:spacing w:val="-3"/>
                <w:w w:val="100"/>
                <w:sz w:val="21"/>
                <w:szCs w:val="21"/>
              </w:rPr>
              <w:t>（</w:t>
            </w:r>
            <w:r>
              <w:rPr>
                <w:rFonts w:ascii="宋体" w:hAnsi="宋体" w:cs="宋体" w:eastAsia="宋体" w:hint="default"/>
                <w:w w:val="100"/>
                <w:sz w:val="21"/>
                <w:szCs w:val="21"/>
              </w:rPr>
              <w:t>或</w:t>
            </w:r>
          </w:p>
          <w:p>
            <w:pPr>
              <w:pStyle w:val="TableParagraph"/>
              <w:spacing w:line="266" w:lineRule="exact"/>
              <w:ind w:left="12" w:right="0"/>
              <w:jc w:val="left"/>
              <w:rPr>
                <w:rFonts w:ascii="宋体" w:hAnsi="宋体" w:cs="宋体" w:eastAsia="宋体" w:hint="default"/>
                <w:sz w:val="21"/>
                <w:szCs w:val="21"/>
              </w:rPr>
            </w:pPr>
            <w:r>
              <w:rPr>
                <w:rFonts w:ascii="宋体" w:hAnsi="宋体" w:cs="宋体" w:eastAsia="宋体" w:hint="default"/>
                <w:sz w:val="21"/>
                <w:szCs w:val="21"/>
              </w:rPr>
              <w:t>股东）的分配</w:t>
            </w:r>
          </w:p>
        </w:tc>
        <w:tc>
          <w:tcPr>
            <w:tcW w:w="691"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57" w:lineRule="exact"/>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691"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exact"/>
              <w:ind w:left="12" w:right="0"/>
              <w:jc w:val="left"/>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spacing w:val="-3"/>
                <w:w w:val="100"/>
                <w:sz w:val="21"/>
                <w:szCs w:val="21"/>
              </w:rPr>
              <w:t>四</w:t>
            </w:r>
            <w:r>
              <w:rPr>
                <w:rFonts w:ascii="宋体" w:hAnsi="宋体" w:cs="宋体" w:eastAsia="宋体" w:hint="default"/>
                <w:spacing w:val="-85"/>
                <w:w w:val="100"/>
                <w:sz w:val="21"/>
                <w:szCs w:val="21"/>
              </w:rPr>
              <w:t>）</w:t>
            </w:r>
            <w:r>
              <w:rPr>
                <w:rFonts w:ascii="宋体" w:hAnsi="宋体" w:cs="宋体" w:eastAsia="宋体" w:hint="default"/>
                <w:spacing w:val="-3"/>
                <w:w w:val="100"/>
                <w:sz w:val="21"/>
                <w:szCs w:val="21"/>
              </w:rPr>
              <w:t>所</w:t>
            </w:r>
            <w:r>
              <w:rPr>
                <w:rFonts w:ascii="宋体" w:hAnsi="宋体" w:cs="宋体" w:eastAsia="宋体" w:hint="default"/>
                <w:w w:val="100"/>
                <w:sz w:val="21"/>
                <w:szCs w:val="21"/>
              </w:rPr>
              <w:t>有</w:t>
            </w:r>
            <w:r>
              <w:rPr>
                <w:rFonts w:ascii="宋体" w:hAnsi="宋体" w:cs="宋体" w:eastAsia="宋体" w:hint="default"/>
                <w:spacing w:val="-3"/>
                <w:w w:val="100"/>
                <w:sz w:val="21"/>
                <w:szCs w:val="21"/>
              </w:rPr>
              <w:t>者权</w:t>
            </w:r>
            <w:r>
              <w:rPr>
                <w:rFonts w:ascii="宋体" w:hAnsi="宋体" w:cs="宋体" w:eastAsia="宋体" w:hint="default"/>
                <w:w w:val="100"/>
                <w:sz w:val="21"/>
                <w:szCs w:val="21"/>
              </w:rPr>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益内部结转</w:t>
            </w:r>
          </w:p>
        </w:tc>
        <w:tc>
          <w:tcPr>
            <w:tcW w:w="691"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9" w:lineRule="exact"/>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．资本公积转</w:t>
            </w:r>
          </w:p>
          <w:p>
            <w:pPr>
              <w:pStyle w:val="TableParagraph"/>
              <w:spacing w:line="265" w:lineRule="exact"/>
              <w:ind w:left="12" w:right="0"/>
              <w:jc w:val="left"/>
              <w:rPr>
                <w:rFonts w:ascii="宋体" w:hAnsi="宋体" w:cs="宋体" w:eastAsia="宋体" w:hint="default"/>
                <w:sz w:val="21"/>
                <w:szCs w:val="21"/>
              </w:rPr>
            </w:pPr>
            <w:r>
              <w:rPr>
                <w:rFonts w:ascii="宋体" w:hAnsi="宋体" w:cs="宋体" w:eastAsia="宋体" w:hint="default"/>
                <w:sz w:val="21"/>
                <w:szCs w:val="21"/>
              </w:rPr>
              <w:t>增资本（或股</w:t>
            </w:r>
          </w:p>
        </w:tc>
        <w:tc>
          <w:tcPr>
            <w:tcW w:w="691"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979" w:top="1060" w:bottom="1160" w:left="980" w:right="98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28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8"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．盈余公积转</w:t>
            </w:r>
          </w:p>
          <w:p>
            <w:pPr>
              <w:pStyle w:val="TableParagraph"/>
              <w:spacing w:line="274" w:lineRule="exact" w:before="17"/>
              <w:ind w:left="22" w:right="141"/>
              <w:jc w:val="left"/>
              <w:rPr>
                <w:rFonts w:ascii="宋体" w:hAnsi="宋体" w:cs="宋体" w:eastAsia="宋体" w:hint="default"/>
                <w:sz w:val="21"/>
                <w:szCs w:val="21"/>
              </w:rPr>
            </w:pPr>
            <w:r>
              <w:rPr>
                <w:rFonts w:ascii="宋体" w:hAnsi="宋体" w:cs="宋体" w:eastAsia="宋体" w:hint="default"/>
                <w:sz w:val="21"/>
                <w:szCs w:val="21"/>
              </w:rPr>
              <w:t>增资本（或股</w:t>
            </w:r>
            <w:r>
              <w:rPr>
                <w:rFonts w:ascii="宋体" w:hAnsi="宋体" w:cs="宋体" w:eastAsia="宋体" w:hint="default"/>
                <w:w w:val="100"/>
                <w:sz w:val="21"/>
                <w:szCs w:val="21"/>
              </w:rPr>
              <w:t> </w:t>
            </w:r>
            <w:r>
              <w:rPr>
                <w:rFonts w:ascii="宋体" w:hAnsi="宋体" w:cs="宋体" w:eastAsia="宋体" w:hint="default"/>
                <w:sz w:val="21"/>
                <w:szCs w:val="21"/>
              </w:rPr>
              <w:t>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8"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．盈余公积弥</w:t>
            </w:r>
          </w:p>
          <w:p>
            <w:pPr>
              <w:pStyle w:val="TableParagraph"/>
              <w:spacing w:line="266" w:lineRule="exact"/>
              <w:ind w:left="22" w:right="0"/>
              <w:jc w:val="left"/>
              <w:rPr>
                <w:rFonts w:ascii="宋体" w:hAnsi="宋体" w:cs="宋体" w:eastAsia="宋体" w:hint="default"/>
                <w:sz w:val="21"/>
                <w:szCs w:val="21"/>
              </w:rPr>
            </w:pPr>
            <w:r>
              <w:rPr>
                <w:rFonts w:ascii="宋体" w:hAnsi="宋体" w:cs="宋体" w:eastAsia="宋体" w:hint="default"/>
                <w:sz w:val="21"/>
                <w:szCs w:val="21"/>
              </w:rPr>
              <w:t>补亏损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57"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spacing w:val="-3"/>
                <w:w w:val="100"/>
                <w:sz w:val="21"/>
                <w:szCs w:val="21"/>
              </w:rPr>
              <w:t>五</w:t>
            </w:r>
            <w:r>
              <w:rPr>
                <w:rFonts w:ascii="宋体" w:hAnsi="宋体" w:cs="宋体" w:eastAsia="宋体" w:hint="default"/>
                <w:spacing w:val="-85"/>
                <w:w w:val="100"/>
                <w:sz w:val="21"/>
                <w:szCs w:val="21"/>
              </w:rPr>
              <w:t>）</w:t>
            </w:r>
            <w:r>
              <w:rPr>
                <w:rFonts w:ascii="宋体" w:hAnsi="宋体" w:cs="宋体" w:eastAsia="宋体" w:hint="default"/>
                <w:spacing w:val="-3"/>
                <w:w w:val="100"/>
                <w:sz w:val="21"/>
                <w:szCs w:val="21"/>
              </w:rPr>
              <w:t>专</w:t>
            </w:r>
            <w:r>
              <w:rPr>
                <w:rFonts w:ascii="宋体" w:hAnsi="宋体" w:cs="宋体" w:eastAsia="宋体" w:hint="default"/>
                <w:w w:val="100"/>
                <w:sz w:val="21"/>
                <w:szCs w:val="21"/>
              </w:rPr>
              <w:t>项</w:t>
            </w:r>
            <w:r>
              <w:rPr>
                <w:rFonts w:ascii="宋体" w:hAnsi="宋体" w:cs="宋体" w:eastAsia="宋体" w:hint="default"/>
                <w:spacing w:val="-3"/>
                <w:w w:val="100"/>
                <w:sz w:val="21"/>
                <w:szCs w:val="21"/>
              </w:rPr>
              <w:t>储备</w:t>
            </w:r>
            <w:r>
              <w:rPr>
                <w:rFonts w:ascii="宋体" w:hAnsi="宋体" w:cs="宋体" w:eastAsia="宋体" w:hint="default"/>
                <w:w w:val="100"/>
                <w:sz w:val="21"/>
                <w:szCs w:val="21"/>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57"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57"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34"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4"/>
              <w:ind w:left="22" w:right="17"/>
              <w:jc w:val="left"/>
              <w:rPr>
                <w:rFonts w:ascii="宋体" w:hAnsi="宋体" w:cs="宋体" w:eastAsia="宋体" w:hint="default"/>
                <w:sz w:val="21"/>
                <w:szCs w:val="21"/>
              </w:rPr>
            </w:pPr>
            <w:r>
              <w:rPr>
                <w:rFonts w:ascii="宋体" w:hAnsi="宋体" w:cs="宋体" w:eastAsia="宋体" w:hint="default"/>
                <w:spacing w:val="-14"/>
                <w:w w:val="100"/>
                <w:sz w:val="21"/>
                <w:szCs w:val="21"/>
              </w:rPr>
              <w:t>四、本期期末余</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31" w:right="0"/>
              <w:jc w:val="left"/>
              <w:rPr>
                <w:rFonts w:ascii="Times New Roman" w:hAnsi="Times New Roman" w:cs="Times New Roman" w:eastAsia="Times New Roman" w:hint="default"/>
                <w:sz w:val="21"/>
                <w:szCs w:val="21"/>
              </w:rPr>
            </w:pPr>
            <w:r>
              <w:rPr>
                <w:rFonts w:ascii="Times New Roman"/>
                <w:sz w:val="21"/>
              </w:rPr>
              <w:t>88,000,</w:t>
            </w:r>
          </w:p>
          <w:p>
            <w:pPr>
              <w:pStyle w:val="TableParagraph"/>
              <w:spacing w:line="240" w:lineRule="auto" w:before="1"/>
              <w:ind w:left="84" w:right="0"/>
              <w:jc w:val="left"/>
              <w:rPr>
                <w:rFonts w:ascii="Times New Roman" w:hAnsi="Times New Roman" w:cs="Times New Roman" w:eastAsia="Times New Roman" w:hint="default"/>
                <w:sz w:val="21"/>
                <w:szCs w:val="21"/>
              </w:rPr>
            </w:pPr>
            <w:r>
              <w:rPr>
                <w:rFonts w:ascii="Times New Roman"/>
                <w:sz w:val="21"/>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2" w:right="0"/>
              <w:jc w:val="center"/>
              <w:rPr>
                <w:rFonts w:ascii="Times New Roman" w:hAnsi="Times New Roman" w:cs="Times New Roman" w:eastAsia="Times New Roman" w:hint="default"/>
                <w:sz w:val="21"/>
                <w:szCs w:val="21"/>
              </w:rPr>
            </w:pPr>
            <w:r>
              <w:rPr>
                <w:rFonts w:ascii="Times New Roman"/>
                <w:sz w:val="21"/>
              </w:rPr>
              <w:t>132,980,</w:t>
            </w:r>
          </w:p>
          <w:p>
            <w:pPr>
              <w:pStyle w:val="TableParagraph"/>
              <w:spacing w:line="240" w:lineRule="auto" w:before="1"/>
              <w:ind w:left="168" w:right="0"/>
              <w:jc w:val="center"/>
              <w:rPr>
                <w:rFonts w:ascii="Times New Roman" w:hAnsi="Times New Roman" w:cs="Times New Roman" w:eastAsia="Times New Roman" w:hint="default"/>
                <w:sz w:val="21"/>
                <w:szCs w:val="21"/>
              </w:rPr>
            </w:pPr>
            <w:r>
              <w:rPr>
                <w:rFonts w:ascii="Times New Roman"/>
                <w:sz w:val="21"/>
              </w:rPr>
              <w:t>990.76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38" w:right="0"/>
              <w:jc w:val="left"/>
              <w:rPr>
                <w:rFonts w:ascii="Times New Roman" w:hAnsi="Times New Roman" w:cs="Times New Roman" w:eastAsia="Times New Roman" w:hint="default"/>
                <w:sz w:val="21"/>
                <w:szCs w:val="21"/>
              </w:rPr>
            </w:pPr>
            <w:r>
              <w:rPr>
                <w:rFonts w:ascii="Times New Roman"/>
                <w:sz w:val="21"/>
              </w:rPr>
              <w:t>11,736,0</w:t>
            </w:r>
          </w:p>
          <w:p>
            <w:pPr>
              <w:pStyle w:val="TableParagraph"/>
              <w:spacing w:line="240" w:lineRule="auto" w:before="1"/>
              <w:ind w:left="292" w:right="0"/>
              <w:jc w:val="left"/>
              <w:rPr>
                <w:rFonts w:ascii="Times New Roman" w:hAnsi="Times New Roman" w:cs="Times New Roman" w:eastAsia="Times New Roman" w:hint="default"/>
                <w:sz w:val="21"/>
                <w:szCs w:val="21"/>
              </w:rPr>
            </w:pPr>
            <w:r>
              <w:rPr>
                <w:rFonts w:ascii="Times New Roman"/>
                <w:sz w:val="21"/>
              </w:rPr>
              <w:t>79.47</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9"/>
              <w:jc w:val="right"/>
              <w:rPr>
                <w:rFonts w:ascii="Times New Roman" w:hAnsi="Times New Roman" w:cs="Times New Roman" w:eastAsia="Times New Roman" w:hint="default"/>
                <w:sz w:val="21"/>
                <w:szCs w:val="21"/>
              </w:rPr>
            </w:pPr>
            <w:r>
              <w:rPr>
                <w:rFonts w:ascii="Times New Roman"/>
                <w:sz w:val="21"/>
              </w:rPr>
              <w:t>81,024</w:t>
            </w:r>
          </w:p>
          <w:p>
            <w:pPr>
              <w:pStyle w:val="TableParagraph"/>
              <w:spacing w:line="241" w:lineRule="exact"/>
              <w:ind w:right="19"/>
              <w:jc w:val="right"/>
              <w:rPr>
                <w:rFonts w:ascii="Times New Roman" w:hAnsi="Times New Roman" w:cs="Times New Roman" w:eastAsia="Times New Roman" w:hint="default"/>
                <w:sz w:val="21"/>
                <w:szCs w:val="21"/>
              </w:rPr>
            </w:pPr>
            <w:r>
              <w:rPr>
                <w:rFonts w:ascii="Times New Roman"/>
                <w:sz w:val="21"/>
              </w:rPr>
              <w:t>,715.2</w:t>
            </w:r>
          </w:p>
          <w:p>
            <w:pPr>
              <w:pStyle w:val="TableParagraph"/>
              <w:spacing w:line="240" w:lineRule="auto" w:before="1"/>
              <w:ind w:right="23"/>
              <w:jc w:val="right"/>
              <w:rPr>
                <w:rFonts w:ascii="Times New Roman" w:hAnsi="Times New Roman" w:cs="Times New Roman" w:eastAsia="Times New Roman" w:hint="default"/>
                <w:sz w:val="21"/>
                <w:szCs w:val="21"/>
              </w:rPr>
            </w:pPr>
            <w:r>
              <w:rPr>
                <w:rFonts w:ascii="Times New Roman"/>
                <w:w w:val="100"/>
                <w:sz w:val="21"/>
              </w:rPr>
              <w:t>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67" w:right="0"/>
              <w:jc w:val="left"/>
              <w:rPr>
                <w:rFonts w:ascii="Times New Roman" w:hAnsi="Times New Roman" w:cs="Times New Roman" w:eastAsia="Times New Roman" w:hint="default"/>
                <w:sz w:val="21"/>
                <w:szCs w:val="21"/>
              </w:rPr>
            </w:pPr>
            <w:r>
              <w:rPr>
                <w:rFonts w:ascii="Times New Roman"/>
                <w:sz w:val="21"/>
              </w:rPr>
              <w:t>313,741</w:t>
            </w:r>
          </w:p>
          <w:p>
            <w:pPr>
              <w:pStyle w:val="TableParagraph"/>
              <w:spacing w:line="240" w:lineRule="auto" w:before="1"/>
              <w:ind w:left="117" w:right="0"/>
              <w:jc w:val="left"/>
              <w:rPr>
                <w:rFonts w:ascii="Times New Roman" w:hAnsi="Times New Roman" w:cs="Times New Roman" w:eastAsia="Times New Roman" w:hint="default"/>
                <w:sz w:val="21"/>
                <w:szCs w:val="21"/>
              </w:rPr>
            </w:pPr>
            <w:r>
              <w:rPr>
                <w:rFonts w:ascii="Times New Roman"/>
                <w:sz w:val="21"/>
              </w:rPr>
              <w:t>,785.50</w:t>
            </w:r>
          </w:p>
        </w:tc>
      </w:tr>
    </w:tbl>
    <w:p>
      <w:pPr>
        <w:spacing w:line="240" w:lineRule="auto" w:before="1"/>
        <w:rPr>
          <w:rFonts w:ascii="宋体" w:hAnsi="宋体" w:cs="宋体" w:eastAsia="宋体" w:hint="default"/>
          <w:sz w:val="18"/>
          <w:szCs w:val="18"/>
        </w:rPr>
      </w:pPr>
    </w:p>
    <w:p>
      <w:pPr>
        <w:pStyle w:val="Heading4"/>
        <w:spacing w:line="240" w:lineRule="auto" w:before="26"/>
        <w:ind w:right="106"/>
        <w:jc w:val="left"/>
        <w:rPr>
          <w:b w:val="0"/>
          <w:bCs w:val="0"/>
        </w:rPr>
      </w:pPr>
      <w:bookmarkStart w:name="三、公司基本情况" w:id="122"/>
      <w:bookmarkEnd w:id="122"/>
      <w:r>
        <w:rPr>
          <w:b w:val="0"/>
          <w:bCs w:val="0"/>
        </w:rPr>
      </w:r>
      <w:r>
        <w:rPr/>
        <w:t>三、公司基本情况</w:t>
      </w:r>
      <w:r>
        <w:rPr>
          <w:b w:val="0"/>
          <w:bCs w:val="0"/>
        </w:rPr>
      </w:r>
    </w:p>
    <w:p>
      <w:pPr>
        <w:spacing w:line="240" w:lineRule="auto" w:before="0"/>
        <w:rPr>
          <w:rFonts w:ascii="宋体" w:hAnsi="宋体" w:cs="宋体" w:eastAsia="宋体" w:hint="default"/>
          <w:b/>
          <w:bCs/>
          <w:sz w:val="24"/>
          <w:szCs w:val="24"/>
        </w:rPr>
      </w:pPr>
    </w:p>
    <w:p>
      <w:pPr>
        <w:spacing w:line="240" w:lineRule="auto" w:before="5"/>
        <w:rPr>
          <w:rFonts w:ascii="宋体" w:hAnsi="宋体" w:cs="宋体" w:eastAsia="宋体" w:hint="default"/>
          <w:b/>
          <w:bCs/>
          <w:sz w:val="26"/>
          <w:szCs w:val="26"/>
        </w:rPr>
      </w:pPr>
    </w:p>
    <w:p>
      <w:pPr>
        <w:pStyle w:val="BodyText"/>
        <w:spacing w:line="314" w:lineRule="auto"/>
        <w:ind w:left="572" w:right="106" w:hanging="1"/>
        <w:jc w:val="left"/>
      </w:pPr>
      <w:r>
        <w:rPr>
          <w:rFonts w:ascii="宋体" w:hAnsi="宋体" w:cs="宋体" w:eastAsia="宋体" w:hint="default"/>
          <w:b/>
          <w:bCs/>
        </w:rPr>
        <w:t>(</w:t>
      </w:r>
      <w:r>
        <w:rPr>
          <w:rFonts w:ascii="宋体" w:hAnsi="宋体" w:cs="宋体" w:eastAsia="宋体" w:hint="default"/>
          <w:b/>
          <w:bCs/>
        </w:rPr>
        <w:t>一</w:t>
      </w:r>
      <w:r>
        <w:rPr>
          <w:rFonts w:ascii="宋体" w:hAnsi="宋体" w:cs="宋体" w:eastAsia="宋体" w:hint="default"/>
          <w:b/>
          <w:bCs/>
        </w:rPr>
        <w:t>)</w:t>
      </w:r>
      <w:r>
        <w:rPr>
          <w:rFonts w:ascii="宋体" w:hAnsi="宋体" w:cs="宋体" w:eastAsia="宋体" w:hint="default"/>
          <w:b/>
          <w:bCs/>
        </w:rPr>
        <w:t>公司概况</w:t>
      </w:r>
      <w:r>
        <w:rPr>
          <w:rFonts w:ascii="宋体" w:hAnsi="宋体" w:cs="宋体" w:eastAsia="宋体" w:hint="default"/>
          <w:b/>
          <w:bCs/>
          <w:w w:val="100"/>
        </w:rPr>
        <w:t> </w:t>
      </w:r>
      <w:r>
        <w:rPr/>
        <w:t>深圳市方直科技股份有限公司</w:t>
      </w:r>
      <w:r>
        <w:rPr>
          <w:rFonts w:ascii="宋体" w:hAnsi="宋体" w:cs="宋体" w:eastAsia="宋体" w:hint="default"/>
        </w:rPr>
        <w:t>(</w:t>
      </w:r>
      <w:r>
        <w:rPr/>
        <w:t>以下简称“本公司”或“公司”</w:t>
      </w:r>
      <w:r>
        <w:rPr>
          <w:rFonts w:ascii="宋体" w:hAnsi="宋体" w:cs="宋体" w:eastAsia="宋体" w:hint="default"/>
        </w:rPr>
        <w:t>)</w:t>
      </w:r>
      <w:r>
        <w:rPr/>
        <w:t>是以黄元忠等</w:t>
      </w:r>
      <w:r>
        <w:rPr>
          <w:rFonts w:ascii="宋体" w:hAnsi="宋体" w:cs="宋体" w:eastAsia="宋体" w:hint="default"/>
        </w:rPr>
        <w:t>7</w:t>
      </w:r>
      <w:r>
        <w:rPr/>
        <w:t>位自然人和深圳市戈</w:t>
      </w:r>
    </w:p>
    <w:p>
      <w:pPr>
        <w:pStyle w:val="BodyText"/>
        <w:spacing w:line="314" w:lineRule="auto" w:before="17"/>
        <w:ind w:right="106"/>
        <w:jc w:val="left"/>
      </w:pPr>
      <w:r>
        <w:rPr>
          <w:spacing w:val="-2"/>
        </w:rPr>
        <w:t>尔登投资有限公司为发起人，由深圳市方直科技有限公司以整体变更方式设立的股份有限公司，领有深圳</w:t>
      </w:r>
      <w:r>
        <w:rPr>
          <w:spacing w:val="-43"/>
        </w:rPr>
        <w:t> </w:t>
      </w:r>
      <w:r>
        <w:rPr>
          <w:spacing w:val="-43"/>
        </w:rPr>
      </w:r>
      <w:r>
        <w:rPr/>
        <w:t>市工商行政管理局核发的注册号为</w:t>
      </w:r>
      <w:r>
        <w:rPr>
          <w:rFonts w:ascii="宋体" w:hAnsi="宋体" w:cs="宋体" w:eastAsia="宋体" w:hint="default"/>
        </w:rPr>
        <w:t>440301103180183</w:t>
      </w:r>
      <w:r>
        <w:rPr/>
        <w:t>号《企业法人营业执照》。</w:t>
      </w:r>
    </w:p>
    <w:p>
      <w:pPr>
        <w:pStyle w:val="BodyText"/>
        <w:spacing w:line="240" w:lineRule="auto" w:before="17"/>
        <w:ind w:left="572" w:right="106"/>
        <w:jc w:val="left"/>
      </w:pPr>
      <w:r>
        <w:rPr/>
        <w:t>本公司前身为深圳方直电子科技有限公司，系于</w:t>
      </w:r>
      <w:r>
        <w:rPr>
          <w:rFonts w:ascii="宋体" w:hAnsi="宋体" w:cs="宋体" w:eastAsia="宋体" w:hint="default"/>
        </w:rPr>
        <w:t>1992</w:t>
      </w:r>
      <w:r>
        <w:rPr/>
        <w:t>年</w:t>
      </w:r>
      <w:r>
        <w:rPr>
          <w:rFonts w:ascii="宋体" w:hAnsi="宋体" w:cs="宋体" w:eastAsia="宋体" w:hint="default"/>
        </w:rPr>
        <w:t>12</w:t>
      </w:r>
      <w:r>
        <w:rPr/>
        <w:t>月</w:t>
      </w:r>
      <w:r>
        <w:rPr>
          <w:rFonts w:ascii="宋体" w:hAnsi="宋体" w:cs="宋体" w:eastAsia="宋体" w:hint="default"/>
        </w:rPr>
        <w:t>2</w:t>
      </w:r>
      <w:r>
        <w:rPr/>
        <w:t>日经深圳市人民政府办公厅以深府办复</w:t>
      </w:r>
    </w:p>
    <w:p>
      <w:pPr>
        <w:pStyle w:val="BodyText"/>
        <w:spacing w:line="312" w:lineRule="auto" w:before="85"/>
        <w:ind w:right="106"/>
        <w:jc w:val="left"/>
      </w:pPr>
      <w:r>
        <w:rPr/>
        <w:t>（</w:t>
      </w:r>
      <w:r>
        <w:rPr>
          <w:rFonts w:ascii="宋体" w:hAnsi="宋体" w:cs="宋体" w:eastAsia="宋体" w:hint="default"/>
        </w:rPr>
        <w:t>1992</w:t>
      </w:r>
      <w:r>
        <w:rPr/>
        <w:t>）</w:t>
      </w:r>
      <w:r>
        <w:rPr>
          <w:rFonts w:ascii="宋体" w:hAnsi="宋体" w:cs="宋体" w:eastAsia="宋体" w:hint="default"/>
        </w:rPr>
        <w:t>1747</w:t>
      </w:r>
      <w:r>
        <w:rPr/>
        <w:t>号《关于成立深圳方直电子科技有限公司的批复》同意，成立于</w:t>
      </w:r>
      <w:r>
        <w:rPr>
          <w:rFonts w:ascii="宋体" w:hAnsi="宋体" w:cs="宋体" w:eastAsia="宋体" w:hint="default"/>
        </w:rPr>
        <w:t>1993</w:t>
      </w:r>
      <w:r>
        <w:rPr/>
        <w:t>年</w:t>
      </w:r>
      <w:r>
        <w:rPr>
          <w:rFonts w:ascii="宋体" w:hAnsi="宋体" w:cs="宋体" w:eastAsia="宋体" w:hint="default"/>
        </w:rPr>
        <w:t>2</w:t>
      </w:r>
      <w:r>
        <w:rPr/>
        <w:t>月</w:t>
      </w:r>
      <w:r>
        <w:rPr>
          <w:rFonts w:ascii="宋体" w:hAnsi="宋体" w:cs="宋体" w:eastAsia="宋体" w:hint="default"/>
        </w:rPr>
        <w:t>19</w:t>
      </w:r>
      <w:r>
        <w:rPr/>
        <w:t>日，注册资本</w:t>
      </w:r>
      <w:r>
        <w:rPr>
          <w:spacing w:val="-27"/>
        </w:rPr>
        <w:t> </w:t>
      </w:r>
      <w:r>
        <w:rPr>
          <w:spacing w:val="-27"/>
        </w:rPr>
      </w:r>
      <w:r>
        <w:rPr/>
        <w:t>人民币</w:t>
      </w:r>
      <w:r>
        <w:rPr>
          <w:rFonts w:ascii="宋体" w:hAnsi="宋体" w:cs="宋体" w:eastAsia="宋体" w:hint="default"/>
        </w:rPr>
        <w:t>30.00</w:t>
      </w:r>
      <w:r>
        <w:rPr/>
        <w:t>万元，由黄元忠、张竑天和陈克让各出资人民币</w:t>
      </w:r>
      <w:r>
        <w:rPr>
          <w:rFonts w:ascii="宋体" w:hAnsi="宋体" w:cs="宋体" w:eastAsia="宋体" w:hint="default"/>
        </w:rPr>
        <w:t>10</w:t>
      </w:r>
      <w:r>
        <w:rPr/>
        <w:t>万元设立。</w:t>
      </w:r>
    </w:p>
    <w:p>
      <w:pPr>
        <w:pStyle w:val="BodyText"/>
        <w:spacing w:line="314" w:lineRule="auto" w:before="22"/>
        <w:ind w:right="206" w:firstLine="420"/>
        <w:jc w:val="both"/>
      </w:pPr>
      <w:r>
        <w:rPr>
          <w:rFonts w:ascii="宋体" w:hAnsi="宋体" w:cs="宋体" w:eastAsia="宋体" w:hint="default"/>
        </w:rPr>
        <w:t>1997</w:t>
      </w:r>
      <w:r>
        <w:rPr/>
        <w:t>年</w:t>
      </w:r>
      <w:r>
        <w:rPr>
          <w:rFonts w:ascii="宋体" w:hAnsi="宋体" w:cs="宋体" w:eastAsia="宋体" w:hint="default"/>
        </w:rPr>
        <w:t>5</w:t>
      </w:r>
      <w:r>
        <w:rPr/>
        <w:t>月</w:t>
      </w:r>
      <w:r>
        <w:rPr>
          <w:rFonts w:ascii="宋体" w:hAnsi="宋体" w:cs="宋体" w:eastAsia="宋体" w:hint="default"/>
        </w:rPr>
        <w:t>15</w:t>
      </w:r>
      <w:r>
        <w:rPr/>
        <w:t>日，本公司股东会通过决议，同意张竑天将所持公司股权转让给黄晓峰；同意广州保税</w:t>
      </w:r>
      <w:r>
        <w:rPr>
          <w:w w:val="100"/>
        </w:rPr>
        <w:t> </w:t>
      </w:r>
      <w:r>
        <w:rPr>
          <w:spacing w:val="-2"/>
        </w:rPr>
        <w:t>区开特科技发展有限公司、广州保税区立诚经济发展有限公司及本公司原股东对公司进行增资，增资后注</w:t>
      </w:r>
      <w:r>
        <w:rPr>
          <w:spacing w:val="-43"/>
        </w:rPr>
        <w:t> </w:t>
      </w:r>
      <w:r>
        <w:rPr>
          <w:spacing w:val="-43"/>
        </w:rPr>
      </w:r>
      <w:r>
        <w:rPr/>
        <w:t>册资本变更为人民币</w:t>
      </w:r>
      <w:r>
        <w:rPr>
          <w:rFonts w:ascii="宋体" w:hAnsi="宋体" w:cs="宋体" w:eastAsia="宋体" w:hint="default"/>
        </w:rPr>
        <w:t>395.00</w:t>
      </w:r>
      <w:r>
        <w:rPr/>
        <w:t>万元。本公司于</w:t>
      </w:r>
      <w:r>
        <w:rPr>
          <w:rFonts w:ascii="宋体" w:hAnsi="宋体" w:cs="宋体" w:eastAsia="宋体" w:hint="default"/>
        </w:rPr>
        <w:t>1997</w:t>
      </w:r>
      <w:r>
        <w:rPr/>
        <w:t>年</w:t>
      </w:r>
      <w:r>
        <w:rPr>
          <w:rFonts w:ascii="宋体" w:hAnsi="宋体" w:cs="宋体" w:eastAsia="宋体" w:hint="default"/>
        </w:rPr>
        <w:t>7</w:t>
      </w:r>
      <w:r>
        <w:rPr/>
        <w:t>月</w:t>
      </w:r>
      <w:r>
        <w:rPr>
          <w:rFonts w:ascii="宋体" w:hAnsi="宋体" w:cs="宋体" w:eastAsia="宋体" w:hint="default"/>
        </w:rPr>
        <w:t>7</w:t>
      </w:r>
      <w:r>
        <w:rPr/>
        <w:t>日完成工商变更登记。</w:t>
      </w:r>
    </w:p>
    <w:p>
      <w:pPr>
        <w:pStyle w:val="BodyText"/>
        <w:spacing w:line="314" w:lineRule="auto" w:before="17"/>
        <w:ind w:right="211" w:firstLine="420"/>
        <w:jc w:val="both"/>
      </w:pPr>
      <w:r>
        <w:rPr>
          <w:rFonts w:ascii="宋体" w:hAnsi="宋体" w:cs="宋体" w:eastAsia="宋体" w:hint="default"/>
        </w:rPr>
        <w:t>1999</w:t>
      </w:r>
      <w:r>
        <w:rPr/>
        <w:t>年</w:t>
      </w:r>
      <w:r>
        <w:rPr>
          <w:rFonts w:ascii="宋体" w:hAnsi="宋体" w:cs="宋体" w:eastAsia="宋体" w:hint="default"/>
        </w:rPr>
        <w:t>8</w:t>
      </w:r>
      <w:r>
        <w:rPr/>
        <w:t>月</w:t>
      </w:r>
      <w:r>
        <w:rPr>
          <w:rFonts w:ascii="宋体" w:hAnsi="宋体" w:cs="宋体" w:eastAsia="宋体" w:hint="default"/>
        </w:rPr>
        <w:t>11</w:t>
      </w:r>
      <w:r>
        <w:rPr/>
        <w:t>日，本公司股东会通过决议，同意深圳市菲莫斯实业发展有限公司对公司进行增资，增</w:t>
      </w:r>
      <w:r>
        <w:rPr>
          <w:w w:val="100"/>
        </w:rPr>
        <w:t> </w:t>
      </w:r>
      <w:r>
        <w:rPr/>
        <w:t>资后注册资本变更为人民币</w:t>
      </w:r>
      <w:r>
        <w:rPr>
          <w:rFonts w:ascii="宋体" w:hAnsi="宋体" w:cs="宋体" w:eastAsia="宋体" w:hint="default"/>
        </w:rPr>
        <w:t>806.12</w:t>
      </w:r>
      <w:r>
        <w:rPr/>
        <w:t>万元。本公司于</w:t>
      </w:r>
      <w:r>
        <w:rPr>
          <w:rFonts w:ascii="宋体" w:hAnsi="宋体" w:cs="宋体" w:eastAsia="宋体" w:hint="default"/>
        </w:rPr>
        <w:t>1999</w:t>
      </w:r>
      <w:r>
        <w:rPr/>
        <w:t>年</w:t>
      </w:r>
      <w:r>
        <w:rPr>
          <w:rFonts w:ascii="宋体" w:hAnsi="宋体" w:cs="宋体" w:eastAsia="宋体" w:hint="default"/>
        </w:rPr>
        <w:t>10</w:t>
      </w:r>
      <w:r>
        <w:rPr/>
        <w:t>月</w:t>
      </w:r>
      <w:r>
        <w:rPr>
          <w:rFonts w:ascii="宋体" w:hAnsi="宋体" w:cs="宋体" w:eastAsia="宋体" w:hint="default"/>
        </w:rPr>
        <w:t>11</w:t>
      </w:r>
      <w:r>
        <w:rPr/>
        <w:t>日完成工商变更登记。</w:t>
      </w:r>
    </w:p>
    <w:p>
      <w:pPr>
        <w:pStyle w:val="BodyText"/>
        <w:spacing w:line="314" w:lineRule="auto" w:before="17"/>
        <w:ind w:right="210" w:firstLine="420"/>
        <w:jc w:val="both"/>
      </w:pPr>
      <w:r>
        <w:rPr>
          <w:rFonts w:ascii="宋体" w:hAnsi="宋体" w:cs="宋体" w:eastAsia="宋体" w:hint="default"/>
        </w:rPr>
        <w:t>2000</w:t>
      </w:r>
      <w:r>
        <w:rPr/>
        <w:t>年</w:t>
      </w:r>
      <w:r>
        <w:rPr>
          <w:rFonts w:ascii="宋体" w:hAnsi="宋体" w:cs="宋体" w:eastAsia="宋体" w:hint="default"/>
        </w:rPr>
        <w:t>7</w:t>
      </w:r>
      <w:r>
        <w:rPr/>
        <w:t>月</w:t>
      </w:r>
      <w:r>
        <w:rPr>
          <w:rFonts w:ascii="宋体" w:hAnsi="宋体" w:cs="宋体" w:eastAsia="宋体" w:hint="default"/>
        </w:rPr>
        <w:t>,</w:t>
      </w:r>
      <w:r>
        <w:rPr>
          <w:rFonts w:ascii="宋体" w:hAnsi="宋体" w:cs="宋体" w:eastAsia="宋体" w:hint="default"/>
          <w:spacing w:val="67"/>
        </w:rPr>
        <w:t> </w:t>
      </w:r>
      <w:r>
        <w:rPr/>
        <w:t>经深圳市福田区公证处以“（</w:t>
      </w:r>
      <w:r>
        <w:rPr>
          <w:rFonts w:ascii="宋体" w:hAnsi="宋体" w:cs="宋体" w:eastAsia="宋体" w:hint="default"/>
        </w:rPr>
        <w:t>2000</w:t>
      </w:r>
      <w:r>
        <w:rPr/>
        <w:t>）深福证字第</w:t>
      </w:r>
      <w:r>
        <w:rPr>
          <w:rFonts w:ascii="宋体" w:hAnsi="宋体" w:cs="宋体" w:eastAsia="宋体" w:hint="default"/>
        </w:rPr>
        <w:t>2795</w:t>
      </w:r>
      <w:r>
        <w:rPr/>
        <w:t>号”公证书公证，深圳市菲莫斯实</w:t>
      </w:r>
      <w:r>
        <w:rPr>
          <w:w w:val="100"/>
        </w:rPr>
        <w:t> </w:t>
      </w:r>
      <w:r>
        <w:rPr>
          <w:spacing w:val="-2"/>
        </w:rPr>
        <w:t>业发展有限公司将其所持公司</w:t>
      </w:r>
      <w:r>
        <w:rPr>
          <w:rFonts w:ascii="宋体" w:hAnsi="宋体" w:cs="宋体" w:eastAsia="宋体" w:hint="default"/>
          <w:spacing w:val="-2"/>
        </w:rPr>
        <w:t>51%</w:t>
      </w:r>
      <w:r>
        <w:rPr>
          <w:spacing w:val="-2"/>
        </w:rPr>
        <w:t>的股权转让给深圳市菲莫斯科技开发有限公司。本公司于</w:t>
      </w:r>
      <w:r>
        <w:rPr>
          <w:rFonts w:ascii="宋体" w:hAnsi="宋体" w:cs="宋体" w:eastAsia="宋体" w:hint="default"/>
          <w:spacing w:val="-2"/>
        </w:rPr>
        <w:t>2000</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24</w:t>
      </w:r>
      <w:r>
        <w:rPr>
          <w:spacing w:val="-2"/>
        </w:rPr>
        <w:t>日</w:t>
      </w:r>
      <w:r>
        <w:rPr>
          <w:spacing w:val="-38"/>
        </w:rPr>
        <w:t> </w:t>
      </w:r>
      <w:r>
        <w:rPr/>
        <w:t>完成工商变更登记。</w:t>
      </w:r>
    </w:p>
    <w:p>
      <w:pPr>
        <w:pStyle w:val="BodyText"/>
        <w:spacing w:line="312" w:lineRule="auto" w:before="20"/>
        <w:ind w:right="106" w:firstLine="420"/>
        <w:jc w:val="left"/>
      </w:pPr>
      <w:r>
        <w:rPr>
          <w:rFonts w:ascii="宋体" w:hAnsi="宋体" w:cs="宋体" w:eastAsia="宋体" w:hint="default"/>
        </w:rPr>
        <w:t>2005</w:t>
      </w:r>
      <w:r>
        <w:rPr/>
        <w:t>年</w:t>
      </w:r>
      <w:r>
        <w:rPr>
          <w:rFonts w:ascii="宋体" w:hAnsi="宋体" w:cs="宋体" w:eastAsia="宋体" w:hint="default"/>
        </w:rPr>
        <w:t>7</w:t>
      </w:r>
      <w:r>
        <w:rPr/>
        <w:t>月，经深圳国际高新技术产权交易所以“深高交所见（</w:t>
      </w:r>
      <w:r>
        <w:rPr>
          <w:rFonts w:ascii="宋体" w:hAnsi="宋体" w:cs="宋体" w:eastAsia="宋体" w:hint="default"/>
        </w:rPr>
        <w:t>2005</w:t>
      </w:r>
      <w:r>
        <w:rPr/>
        <w:t>）字第</w:t>
      </w:r>
      <w:r>
        <w:rPr>
          <w:rFonts w:ascii="宋体" w:hAnsi="宋体" w:cs="宋体" w:eastAsia="宋体" w:hint="default"/>
        </w:rPr>
        <w:t>2244</w:t>
      </w:r>
      <w:r>
        <w:rPr/>
        <w:t>号”《股权转让见证</w:t>
      </w:r>
      <w:r>
        <w:rPr>
          <w:w w:val="100"/>
        </w:rPr>
        <w:t> </w:t>
      </w:r>
      <w:r>
        <w:rPr/>
        <w:t>书》见证，深圳市金汛新世纪投资发展有限公司（原名深圳市菲莫斯科技开发有限公司）将所持公司</w:t>
      </w:r>
      <w:r>
        <w:rPr>
          <w:rFonts w:ascii="宋体" w:hAnsi="宋体" w:cs="宋体" w:eastAsia="宋体" w:hint="default"/>
        </w:rPr>
        <w:t>51%</w:t>
      </w:r>
      <w:r>
        <w:rPr>
          <w:rFonts w:ascii="宋体" w:hAnsi="宋体" w:cs="宋体" w:eastAsia="宋体" w:hint="default"/>
          <w:spacing w:val="-27"/>
        </w:rPr>
        <w:t> </w:t>
      </w:r>
      <w:r>
        <w:rPr>
          <w:rFonts w:ascii="宋体" w:hAnsi="宋体" w:cs="宋体" w:eastAsia="宋体" w:hint="default"/>
          <w:spacing w:val="-27"/>
        </w:rPr>
      </w:r>
      <w:r>
        <w:rPr>
          <w:spacing w:val="-4"/>
        </w:rPr>
        <w:t>的股权转让给黄晓峰。转让后黄晓峰持股</w:t>
      </w:r>
      <w:r>
        <w:rPr>
          <w:rFonts w:ascii="宋体" w:hAnsi="宋体" w:cs="宋体" w:eastAsia="宋体" w:hint="default"/>
          <w:spacing w:val="-4"/>
        </w:rPr>
        <w:t>59.06%</w:t>
      </w:r>
      <w:r>
        <w:rPr>
          <w:spacing w:val="-4"/>
        </w:rPr>
        <w:t>。本公司于</w:t>
      </w:r>
      <w:r>
        <w:rPr>
          <w:rFonts w:ascii="宋体" w:hAnsi="宋体" w:cs="宋体" w:eastAsia="宋体" w:hint="default"/>
          <w:spacing w:val="-4"/>
        </w:rPr>
        <w:t>2005</w:t>
      </w:r>
      <w:r>
        <w:rPr>
          <w:spacing w:val="-4"/>
        </w:rPr>
        <w:t>年</w:t>
      </w:r>
      <w:r>
        <w:rPr>
          <w:rFonts w:ascii="宋体" w:hAnsi="宋体" w:cs="宋体" w:eastAsia="宋体" w:hint="default"/>
          <w:spacing w:val="-4"/>
        </w:rPr>
        <w:t>7</w:t>
      </w:r>
      <w:r>
        <w:rPr>
          <w:spacing w:val="-4"/>
        </w:rPr>
        <w:t>月</w:t>
      </w:r>
      <w:r>
        <w:rPr>
          <w:rFonts w:ascii="宋体" w:hAnsi="宋体" w:cs="宋体" w:eastAsia="宋体" w:hint="default"/>
          <w:spacing w:val="-4"/>
        </w:rPr>
        <w:t>26</w:t>
      </w:r>
      <w:r>
        <w:rPr>
          <w:spacing w:val="-4"/>
        </w:rPr>
        <w:t>日完成工商变更登记。</w:t>
      </w:r>
      <w:r>
        <w:rPr>
          <w:rFonts w:ascii="宋体" w:hAnsi="宋体" w:cs="宋体" w:eastAsia="宋体" w:hint="default"/>
          <w:spacing w:val="-4"/>
        </w:rPr>
        <w:t>2005</w:t>
      </w:r>
      <w:r>
        <w:rPr>
          <w:spacing w:val="-4"/>
        </w:rPr>
        <w:t>年</w:t>
      </w:r>
      <w:r>
        <w:rPr>
          <w:rFonts w:ascii="宋体" w:hAnsi="宋体" w:cs="宋体" w:eastAsia="宋体" w:hint="default"/>
          <w:spacing w:val="-4"/>
        </w:rPr>
        <w:t>8</w:t>
      </w:r>
      <w:r>
        <w:rPr>
          <w:spacing w:val="-4"/>
        </w:rPr>
        <w:t>月，</w:t>
      </w:r>
      <w:r>
        <w:rPr>
          <w:spacing w:val="-19"/>
        </w:rPr>
        <w:t> </w:t>
      </w:r>
      <w:r>
        <w:rPr/>
        <w:t>公司名称变更为“深圳市方直科技有限公司”。</w:t>
      </w:r>
    </w:p>
    <w:p>
      <w:pPr>
        <w:pStyle w:val="BodyText"/>
        <w:spacing w:line="312" w:lineRule="auto" w:before="22"/>
        <w:ind w:right="210" w:firstLine="420"/>
        <w:jc w:val="both"/>
      </w:pPr>
      <w:r>
        <w:rPr>
          <w:rFonts w:ascii="宋体" w:hAnsi="宋体" w:cs="宋体" w:eastAsia="宋体" w:hint="default"/>
        </w:rPr>
        <w:t>2006</w:t>
      </w:r>
      <w:r>
        <w:rPr/>
        <w:t>年</w:t>
      </w:r>
      <w:r>
        <w:rPr>
          <w:rFonts w:ascii="宋体" w:hAnsi="宋体" w:cs="宋体" w:eastAsia="宋体" w:hint="default"/>
        </w:rPr>
        <w:t>1</w:t>
      </w:r>
      <w:r>
        <w:rPr/>
        <w:t>月，经深圳国际高新技术产权交易所以“深高交所见（</w:t>
      </w:r>
      <w:r>
        <w:rPr>
          <w:rFonts w:ascii="宋体" w:hAnsi="宋体" w:cs="宋体" w:eastAsia="宋体" w:hint="default"/>
        </w:rPr>
        <w:t>2006</w:t>
      </w:r>
      <w:r>
        <w:rPr/>
        <w:t>）字第</w:t>
      </w:r>
      <w:r>
        <w:rPr>
          <w:rFonts w:ascii="宋体" w:hAnsi="宋体" w:cs="宋体" w:eastAsia="宋体" w:hint="default"/>
        </w:rPr>
        <w:t>153</w:t>
      </w:r>
      <w:r>
        <w:rPr/>
        <w:t>号及</w:t>
      </w:r>
      <w:r>
        <w:rPr>
          <w:rFonts w:ascii="宋体" w:hAnsi="宋体" w:cs="宋体" w:eastAsia="宋体" w:hint="default"/>
        </w:rPr>
        <w:t>154</w:t>
      </w:r>
      <w:r>
        <w:rPr/>
        <w:t>号”《股权转</w:t>
      </w:r>
      <w:r>
        <w:rPr>
          <w:w w:val="100"/>
        </w:rPr>
        <w:t> </w:t>
      </w:r>
      <w:r>
        <w:rPr/>
        <w:t>让见证书》见证，广州保税区开特科技发展有限公司及广州市立诚贸易有限公司</w:t>
      </w:r>
      <w:r>
        <w:rPr>
          <w:rFonts w:ascii="宋体" w:hAnsi="宋体" w:cs="宋体" w:eastAsia="宋体" w:hint="default"/>
        </w:rPr>
        <w:t>(</w:t>
      </w:r>
      <w:r>
        <w:rPr/>
        <w:t>原名广州保税区立诚经</w:t>
      </w:r>
      <w:r>
        <w:rPr>
          <w:spacing w:val="-25"/>
        </w:rPr>
        <w:t> </w:t>
      </w:r>
      <w:r>
        <w:rPr>
          <w:spacing w:val="-25"/>
        </w:rPr>
      </w:r>
      <w:r>
        <w:rPr/>
        <w:t>济发展有限公司</w:t>
      </w:r>
      <w:r>
        <w:rPr>
          <w:rFonts w:ascii="宋体" w:hAnsi="宋体" w:cs="宋体" w:eastAsia="宋体" w:hint="default"/>
        </w:rPr>
        <w:t>)</w:t>
      </w:r>
      <w:r>
        <w:rPr/>
        <w:t>分别将所持公司</w:t>
      </w:r>
      <w:r>
        <w:rPr>
          <w:rFonts w:ascii="宋体" w:hAnsi="宋体" w:cs="宋体" w:eastAsia="宋体" w:hint="default"/>
        </w:rPr>
        <w:t>12.41%</w:t>
      </w:r>
      <w:r>
        <w:rPr/>
        <w:t>的股权转让给黄晓峰。转让后黄晓峰持股</w:t>
      </w:r>
      <w:r>
        <w:rPr>
          <w:rFonts w:ascii="宋体" w:hAnsi="宋体" w:cs="宋体" w:eastAsia="宋体" w:hint="default"/>
        </w:rPr>
        <w:t>83.88%</w:t>
      </w:r>
      <w:r>
        <w:rPr/>
        <w:t>。本公司于</w:t>
      </w:r>
      <w:r>
        <w:rPr>
          <w:rFonts w:ascii="宋体" w:hAnsi="宋体" w:cs="宋体" w:eastAsia="宋体" w:hint="default"/>
        </w:rPr>
        <w:t>2006</w:t>
      </w:r>
      <w:r>
        <w:rPr>
          <w:rFonts w:ascii="宋体" w:hAnsi="宋体" w:cs="宋体" w:eastAsia="宋体" w:hint="default"/>
          <w:spacing w:val="-35"/>
        </w:rPr>
        <w:t> </w:t>
      </w:r>
      <w:r>
        <w:rPr>
          <w:rFonts w:ascii="宋体" w:hAnsi="宋体" w:cs="宋体" w:eastAsia="宋体" w:hint="default"/>
          <w:spacing w:val="-35"/>
        </w:rPr>
      </w:r>
      <w:r>
        <w:rPr/>
        <w:t>年</w:t>
      </w:r>
      <w:r>
        <w:rPr>
          <w:rFonts w:ascii="宋体" w:hAnsi="宋体" w:cs="宋体" w:eastAsia="宋体" w:hint="default"/>
        </w:rPr>
        <w:t>1</w:t>
      </w:r>
      <w:r>
        <w:rPr/>
        <w:t>月</w:t>
      </w:r>
      <w:r>
        <w:rPr>
          <w:rFonts w:ascii="宋体" w:hAnsi="宋体" w:cs="宋体" w:eastAsia="宋体" w:hint="default"/>
        </w:rPr>
        <w:t>19</w:t>
      </w:r>
      <w:r>
        <w:rPr/>
        <w:t>日完成工商变更登记。</w:t>
      </w:r>
    </w:p>
    <w:p>
      <w:pPr>
        <w:pStyle w:val="BodyText"/>
        <w:spacing w:line="240" w:lineRule="auto" w:before="19"/>
        <w:ind w:left="572" w:right="106"/>
        <w:jc w:val="left"/>
      </w:pPr>
      <w:r>
        <w:rPr>
          <w:rFonts w:ascii="宋体" w:hAnsi="宋体" w:cs="宋体" w:eastAsia="宋体" w:hint="default"/>
          <w:spacing w:val="-4"/>
        </w:rPr>
        <w:t>2006</w:t>
      </w:r>
      <w:r>
        <w:rPr>
          <w:spacing w:val="-4"/>
        </w:rPr>
        <w:t>年</w:t>
      </w:r>
      <w:r>
        <w:rPr>
          <w:rFonts w:ascii="宋体" w:hAnsi="宋体" w:cs="宋体" w:eastAsia="宋体" w:hint="default"/>
          <w:spacing w:val="-4"/>
        </w:rPr>
        <w:t>2</w:t>
      </w:r>
      <w:r>
        <w:rPr>
          <w:spacing w:val="-4"/>
        </w:rPr>
        <w:t>月，经深圳国际高新技术产权交易所以“深高交所见（</w:t>
      </w:r>
      <w:r>
        <w:rPr>
          <w:rFonts w:ascii="宋体" w:hAnsi="宋体" w:cs="宋体" w:eastAsia="宋体" w:hint="default"/>
          <w:spacing w:val="-4"/>
        </w:rPr>
        <w:t>2006</w:t>
      </w:r>
      <w:r>
        <w:rPr>
          <w:spacing w:val="-4"/>
        </w:rPr>
        <w:t>）字第</w:t>
      </w:r>
      <w:r>
        <w:rPr>
          <w:rFonts w:ascii="宋体" w:hAnsi="宋体" w:cs="宋体" w:eastAsia="宋体" w:hint="default"/>
          <w:spacing w:val="-4"/>
        </w:rPr>
        <w:t>468</w:t>
      </w:r>
      <w:r>
        <w:rPr>
          <w:spacing w:val="-4"/>
        </w:rPr>
        <w:t>号”《股权转让见证书》</w:t>
      </w:r>
    </w:p>
    <w:p>
      <w:pPr>
        <w:spacing w:after="0" w:line="240" w:lineRule="auto"/>
        <w:jc w:val="left"/>
        <w:sectPr>
          <w:pgSz w:w="11910" w:h="16840"/>
          <w:pgMar w:header="880" w:footer="979" w:top="1060" w:bottom="1160" w:left="980" w:right="920"/>
        </w:sectPr>
      </w:pPr>
    </w:p>
    <w:p>
      <w:pPr>
        <w:spacing w:line="240" w:lineRule="auto" w:before="6"/>
        <w:rPr>
          <w:rFonts w:ascii="宋体" w:hAnsi="宋体" w:cs="宋体" w:eastAsia="宋体" w:hint="default"/>
          <w:sz w:val="26"/>
          <w:szCs w:val="26"/>
        </w:rPr>
      </w:pPr>
    </w:p>
    <w:p>
      <w:pPr>
        <w:pStyle w:val="BodyText"/>
        <w:spacing w:line="312" w:lineRule="auto" w:before="36"/>
        <w:ind w:right="106"/>
        <w:jc w:val="left"/>
      </w:pPr>
      <w:r>
        <w:rPr>
          <w:spacing w:val="-2"/>
        </w:rPr>
        <w:t>见证，黄晓峰将所持公司</w:t>
      </w:r>
      <w:r>
        <w:rPr>
          <w:rFonts w:ascii="宋体" w:hAnsi="宋体" w:cs="宋体" w:eastAsia="宋体" w:hint="default"/>
          <w:spacing w:val="-2"/>
        </w:rPr>
        <w:t>25.94%</w:t>
      </w:r>
      <w:r>
        <w:rPr>
          <w:spacing w:val="-2"/>
        </w:rPr>
        <w:t>的股权转让给黄元忠，将所持公司</w:t>
      </w:r>
      <w:r>
        <w:rPr>
          <w:rFonts w:ascii="宋体" w:hAnsi="宋体" w:cs="宋体" w:eastAsia="宋体" w:hint="default"/>
          <w:spacing w:val="-2"/>
        </w:rPr>
        <w:t>24.94%</w:t>
      </w:r>
      <w:r>
        <w:rPr>
          <w:spacing w:val="-2"/>
        </w:rPr>
        <w:t>的股权转让给陈克让，转让后黄</w:t>
      </w:r>
      <w:r>
        <w:rPr>
          <w:spacing w:val="-40"/>
        </w:rPr>
        <w:t> </w:t>
      </w:r>
      <w:r>
        <w:rPr>
          <w:spacing w:val="-40"/>
        </w:rPr>
      </w:r>
      <w:r>
        <w:rPr/>
        <w:t>晓峰持股</w:t>
      </w:r>
      <w:r>
        <w:rPr>
          <w:rFonts w:ascii="宋体" w:hAnsi="宋体" w:cs="宋体" w:eastAsia="宋体" w:hint="default"/>
        </w:rPr>
        <w:t>33%</w:t>
      </w:r>
      <w:r>
        <w:rPr/>
        <w:t>，黄元忠持股</w:t>
      </w:r>
      <w:r>
        <w:rPr>
          <w:rFonts w:ascii="宋体" w:hAnsi="宋体" w:cs="宋体" w:eastAsia="宋体" w:hint="default"/>
        </w:rPr>
        <w:t>34%</w:t>
      </w:r>
      <w:r>
        <w:rPr/>
        <w:t>，陈克让持股</w:t>
      </w:r>
      <w:r>
        <w:rPr>
          <w:rFonts w:ascii="宋体" w:hAnsi="宋体" w:cs="宋体" w:eastAsia="宋体" w:hint="default"/>
        </w:rPr>
        <w:t>33%</w:t>
      </w:r>
      <w:r>
        <w:rPr/>
        <w:t>。本公司于</w:t>
      </w:r>
      <w:r>
        <w:rPr>
          <w:rFonts w:ascii="宋体" w:hAnsi="宋体" w:cs="宋体" w:eastAsia="宋体" w:hint="default"/>
        </w:rPr>
        <w:t>2006</w:t>
      </w:r>
      <w:r>
        <w:rPr/>
        <w:t>年</w:t>
      </w:r>
      <w:r>
        <w:rPr>
          <w:rFonts w:ascii="宋体" w:hAnsi="宋体" w:cs="宋体" w:eastAsia="宋体" w:hint="default"/>
        </w:rPr>
        <w:t>2</w:t>
      </w:r>
      <w:r>
        <w:rPr/>
        <w:t>月</w:t>
      </w:r>
      <w:r>
        <w:rPr>
          <w:rFonts w:ascii="宋体" w:hAnsi="宋体" w:cs="宋体" w:eastAsia="宋体" w:hint="default"/>
        </w:rPr>
        <w:t>21</w:t>
      </w:r>
      <w:r>
        <w:rPr/>
        <w:t>日完成工商变更登记。</w:t>
      </w:r>
    </w:p>
    <w:p>
      <w:pPr>
        <w:pStyle w:val="BodyText"/>
        <w:spacing w:line="314" w:lineRule="auto" w:before="22"/>
        <w:ind w:right="106" w:firstLine="420"/>
        <w:jc w:val="left"/>
      </w:pPr>
      <w:r>
        <w:rPr>
          <w:rFonts w:ascii="宋体" w:hAnsi="宋体" w:cs="宋体" w:eastAsia="宋体" w:hint="default"/>
        </w:rPr>
        <w:t>2009</w:t>
      </w:r>
      <w:r>
        <w:rPr/>
        <w:t>年</w:t>
      </w:r>
      <w:r>
        <w:rPr>
          <w:rFonts w:ascii="宋体" w:hAnsi="宋体" w:cs="宋体" w:eastAsia="宋体" w:hint="default"/>
        </w:rPr>
        <w:t>4</w:t>
      </w:r>
      <w:r>
        <w:rPr/>
        <w:t>月</w:t>
      </w:r>
      <w:r>
        <w:rPr>
          <w:rFonts w:ascii="宋体" w:hAnsi="宋体" w:cs="宋体" w:eastAsia="宋体" w:hint="default"/>
        </w:rPr>
        <w:t>29</w:t>
      </w:r>
      <w:r>
        <w:rPr/>
        <w:t>日，本公司股东会通过决议，同意黄元忠和黄晓峰分别将其</w:t>
      </w:r>
      <w:r>
        <w:rPr>
          <w:rFonts w:ascii="宋体" w:hAnsi="宋体" w:cs="宋体" w:eastAsia="宋体" w:hint="default"/>
        </w:rPr>
        <w:t>1.7%</w:t>
      </w:r>
      <w:r>
        <w:rPr/>
        <w:t>和</w:t>
      </w:r>
      <w:r>
        <w:rPr>
          <w:rFonts w:ascii="宋体" w:hAnsi="宋体" w:cs="宋体" w:eastAsia="宋体" w:hint="default"/>
        </w:rPr>
        <w:t>1.2%</w:t>
      </w:r>
      <w:r>
        <w:rPr/>
        <w:t>的股权转让给张</w:t>
      </w:r>
      <w:r>
        <w:rPr>
          <w:w w:val="100"/>
        </w:rPr>
        <w:t> </w:t>
      </w:r>
      <w:r>
        <w:rPr>
          <w:spacing w:val="-2"/>
        </w:rPr>
        <w:t>文凯；黄晓峰和陈克让分别将其</w:t>
      </w:r>
      <w:r>
        <w:rPr>
          <w:rFonts w:ascii="宋体" w:hAnsi="宋体" w:cs="宋体" w:eastAsia="宋体" w:hint="default"/>
          <w:spacing w:val="-2"/>
        </w:rPr>
        <w:t>2.972%</w:t>
      </w:r>
      <w:r>
        <w:rPr>
          <w:spacing w:val="-2"/>
        </w:rPr>
        <w:t>和</w:t>
      </w:r>
      <w:r>
        <w:rPr>
          <w:rFonts w:ascii="宋体" w:hAnsi="宋体" w:cs="宋体" w:eastAsia="宋体" w:hint="default"/>
          <w:spacing w:val="-2"/>
        </w:rPr>
        <w:t>0.7%</w:t>
      </w:r>
      <w:r>
        <w:rPr>
          <w:spacing w:val="-2"/>
        </w:rPr>
        <w:t>的股权转让给孙晓玲；黄晓峰将其</w:t>
      </w:r>
      <w:r>
        <w:rPr>
          <w:rFonts w:ascii="宋体" w:hAnsi="宋体" w:cs="宋体" w:eastAsia="宋体" w:hint="default"/>
          <w:spacing w:val="-2"/>
        </w:rPr>
        <w:t>0.259%</w:t>
      </w:r>
      <w:r>
        <w:rPr>
          <w:spacing w:val="-2"/>
        </w:rPr>
        <w:t>的股权转让给吴文</w:t>
      </w:r>
      <w:r>
        <w:rPr>
          <w:spacing w:val="-27"/>
        </w:rPr>
        <w:t> </w:t>
      </w:r>
      <w:r>
        <w:rPr>
          <w:spacing w:val="-27"/>
        </w:rPr>
      </w:r>
      <w:r>
        <w:rPr>
          <w:spacing w:val="-2"/>
        </w:rPr>
        <w:t>峰；陈克让将其</w:t>
      </w:r>
      <w:r>
        <w:rPr>
          <w:rFonts w:ascii="宋体" w:hAnsi="宋体" w:cs="宋体" w:eastAsia="宋体" w:hint="default"/>
          <w:spacing w:val="-2"/>
        </w:rPr>
        <w:t>3.472%</w:t>
      </w:r>
      <w:r>
        <w:rPr>
          <w:spacing w:val="-2"/>
        </w:rPr>
        <w:t>的股权转让给杨颖；并同意深圳市戈尔登投资有限公司以货币资金人民币</w:t>
      </w:r>
      <w:r>
        <w:rPr>
          <w:rFonts w:ascii="宋体" w:hAnsi="宋体" w:cs="宋体" w:eastAsia="宋体" w:hint="default"/>
          <w:spacing w:val="-2"/>
        </w:rPr>
        <w:t>232.00</w:t>
      </w:r>
      <w:r>
        <w:rPr>
          <w:spacing w:val="-2"/>
        </w:rPr>
        <w:t>万</w:t>
      </w:r>
      <w:r>
        <w:rPr>
          <w:spacing w:val="-35"/>
        </w:rPr>
        <w:t> </w:t>
      </w:r>
      <w:r>
        <w:rPr/>
        <w:t>元对本公司进行增资。其中，</w:t>
      </w:r>
      <w:r>
        <w:rPr>
          <w:rFonts w:ascii="宋体" w:hAnsi="宋体" w:cs="宋体" w:eastAsia="宋体" w:hint="default"/>
        </w:rPr>
        <w:t>55.53</w:t>
      </w:r>
      <w:r>
        <w:rPr/>
        <w:t>万元为新增注册资本，其余部分</w:t>
      </w:r>
      <w:r>
        <w:rPr>
          <w:rFonts w:ascii="宋体" w:hAnsi="宋体" w:cs="宋体" w:eastAsia="宋体" w:hint="default"/>
        </w:rPr>
        <w:t>176.47</w:t>
      </w:r>
      <w:r>
        <w:rPr/>
        <w:t>万元为资本公积。深圳国际高</w:t>
      </w:r>
      <w:r>
        <w:rPr>
          <w:spacing w:val="-27"/>
        </w:rPr>
        <w:t> </w:t>
      </w:r>
      <w:r>
        <w:rPr>
          <w:spacing w:val="-27"/>
        </w:rPr>
      </w:r>
      <w:r>
        <w:rPr/>
        <w:t>新技术产权交易所分别于</w:t>
      </w:r>
      <w:r>
        <w:rPr>
          <w:rFonts w:ascii="宋体" w:hAnsi="宋体" w:cs="宋体" w:eastAsia="宋体" w:hint="default"/>
        </w:rPr>
        <w:t>2009</w:t>
      </w:r>
      <w:r>
        <w:rPr/>
        <w:t>年</w:t>
      </w:r>
      <w:r>
        <w:rPr>
          <w:rFonts w:ascii="宋体" w:hAnsi="宋体" w:cs="宋体" w:eastAsia="宋体" w:hint="default"/>
        </w:rPr>
        <w:t>4</w:t>
      </w:r>
      <w:r>
        <w:rPr/>
        <w:t>月</w:t>
      </w:r>
      <w:r>
        <w:rPr>
          <w:rFonts w:ascii="宋体" w:hAnsi="宋体" w:cs="宋体" w:eastAsia="宋体" w:hint="default"/>
        </w:rPr>
        <w:t>30</w:t>
      </w:r>
      <w:r>
        <w:rPr/>
        <w:t>日、</w:t>
      </w:r>
      <w:r>
        <w:rPr>
          <w:rFonts w:ascii="宋体" w:hAnsi="宋体" w:cs="宋体" w:eastAsia="宋体" w:hint="default"/>
        </w:rPr>
        <w:t>2009</w:t>
      </w:r>
      <w:r>
        <w:rPr/>
        <w:t>年</w:t>
      </w:r>
      <w:r>
        <w:rPr>
          <w:rFonts w:ascii="宋体" w:hAnsi="宋体" w:cs="宋体" w:eastAsia="宋体" w:hint="default"/>
        </w:rPr>
        <w:t>5</w:t>
      </w:r>
      <w:r>
        <w:rPr/>
        <w:t>月</w:t>
      </w:r>
      <w:r>
        <w:rPr>
          <w:rFonts w:ascii="宋体" w:hAnsi="宋体" w:cs="宋体" w:eastAsia="宋体" w:hint="default"/>
        </w:rPr>
        <w:t>18</w:t>
      </w:r>
      <w:r>
        <w:rPr/>
        <w:t>日出具深高交所见（</w:t>
      </w:r>
      <w:r>
        <w:rPr>
          <w:rFonts w:ascii="宋体" w:hAnsi="宋体" w:cs="宋体" w:eastAsia="宋体" w:hint="default"/>
        </w:rPr>
        <w:t>2009</w:t>
      </w:r>
      <w:r>
        <w:rPr/>
        <w:t>）字第</w:t>
      </w:r>
      <w:r>
        <w:rPr>
          <w:rFonts w:ascii="宋体" w:hAnsi="宋体" w:cs="宋体" w:eastAsia="宋体" w:hint="default"/>
        </w:rPr>
        <w:t>03381</w:t>
      </w:r>
      <w:r>
        <w:rPr/>
        <w:t>号和深高交</w:t>
      </w:r>
      <w:r>
        <w:rPr>
          <w:spacing w:val="-27"/>
        </w:rPr>
        <w:t> </w:t>
      </w:r>
      <w:r>
        <w:rPr>
          <w:spacing w:val="-27"/>
        </w:rPr>
      </w:r>
      <w:r>
        <w:rPr>
          <w:spacing w:val="-2"/>
        </w:rPr>
        <w:t>所见（</w:t>
      </w:r>
      <w:r>
        <w:rPr>
          <w:rFonts w:ascii="宋体" w:hAnsi="宋体" w:cs="宋体" w:eastAsia="宋体" w:hint="default"/>
          <w:spacing w:val="-2"/>
        </w:rPr>
        <w:t>2009</w:t>
      </w:r>
      <w:r>
        <w:rPr>
          <w:spacing w:val="-2"/>
        </w:rPr>
        <w:t>）字第</w:t>
      </w:r>
      <w:r>
        <w:rPr>
          <w:rFonts w:ascii="宋体" w:hAnsi="宋体" w:cs="宋体" w:eastAsia="宋体" w:hint="default"/>
          <w:spacing w:val="-2"/>
        </w:rPr>
        <w:t>03912</w:t>
      </w:r>
      <w:r>
        <w:rPr>
          <w:spacing w:val="-2"/>
        </w:rPr>
        <w:t>号《股权转让见证书》，对上述股权转让事宜予以见证。本公司于</w:t>
      </w:r>
      <w:r>
        <w:rPr>
          <w:rFonts w:ascii="宋体" w:hAnsi="宋体" w:cs="宋体" w:eastAsia="宋体" w:hint="default"/>
          <w:spacing w:val="-2"/>
        </w:rPr>
        <w:t>2009</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25</w:t>
      </w:r>
      <w:r>
        <w:rPr>
          <w:spacing w:val="-2"/>
        </w:rPr>
        <w:t>日</w:t>
      </w:r>
      <w:r>
        <w:rPr>
          <w:spacing w:val="-29"/>
        </w:rPr>
        <w:t> </w:t>
      </w:r>
      <w:r>
        <w:rPr>
          <w:spacing w:val="-4"/>
        </w:rPr>
        <w:t>完成工商变更登记</w:t>
      </w:r>
      <w:r>
        <w:rPr>
          <w:rFonts w:ascii="宋体" w:hAnsi="宋体" w:cs="宋体" w:eastAsia="宋体" w:hint="default"/>
          <w:spacing w:val="-4"/>
        </w:rPr>
        <w:t>,</w:t>
      </w:r>
      <w:r>
        <w:rPr>
          <w:spacing w:val="-4"/>
        </w:rPr>
        <w:t>变更后黄元忠持股</w:t>
      </w:r>
      <w:r>
        <w:rPr>
          <w:rFonts w:ascii="宋体" w:hAnsi="宋体" w:cs="宋体" w:eastAsia="宋体" w:hint="default"/>
          <w:spacing w:val="-4"/>
        </w:rPr>
        <w:t>30.20%</w:t>
      </w:r>
      <w:r>
        <w:rPr>
          <w:spacing w:val="-4"/>
        </w:rPr>
        <w:t>，黄晓峰持股</w:t>
      </w:r>
      <w:r>
        <w:rPr>
          <w:rFonts w:ascii="宋体" w:hAnsi="宋体" w:cs="宋体" w:eastAsia="宋体" w:hint="default"/>
          <w:spacing w:val="-4"/>
        </w:rPr>
        <w:t>26.75%</w:t>
      </w:r>
      <w:r>
        <w:rPr>
          <w:spacing w:val="-4"/>
        </w:rPr>
        <w:t>，陈克让持股</w:t>
      </w:r>
      <w:r>
        <w:rPr>
          <w:rFonts w:ascii="宋体" w:hAnsi="宋体" w:cs="宋体" w:eastAsia="宋体" w:hint="default"/>
          <w:spacing w:val="-4"/>
        </w:rPr>
        <w:t>26.75%</w:t>
      </w:r>
      <w:r>
        <w:rPr>
          <w:spacing w:val="-4"/>
        </w:rPr>
        <w:t>，孙晓玲持股</w:t>
      </w:r>
      <w:r>
        <w:rPr>
          <w:rFonts w:ascii="宋体" w:hAnsi="宋体" w:cs="宋体" w:eastAsia="宋体" w:hint="default"/>
          <w:spacing w:val="-4"/>
        </w:rPr>
        <w:t>3.44%</w:t>
      </w:r>
      <w:r>
        <w:rPr>
          <w:spacing w:val="-4"/>
        </w:rPr>
        <w:t>，</w:t>
      </w:r>
      <w:r>
        <w:rPr>
          <w:spacing w:val="-7"/>
        </w:rPr>
        <w:t> </w:t>
      </w:r>
      <w:r>
        <w:rPr/>
        <w:t>张文凯持股</w:t>
      </w:r>
      <w:r>
        <w:rPr>
          <w:rFonts w:ascii="宋体" w:hAnsi="宋体" w:cs="宋体" w:eastAsia="宋体" w:hint="default"/>
        </w:rPr>
        <w:t>2.72%</w:t>
      </w:r>
      <w:r>
        <w:rPr/>
        <w:t>，杨颖持股</w:t>
      </w:r>
      <w:r>
        <w:rPr>
          <w:rFonts w:ascii="宋体" w:hAnsi="宋体" w:cs="宋体" w:eastAsia="宋体" w:hint="default"/>
        </w:rPr>
        <w:t>3.21%</w:t>
      </w:r>
      <w:r>
        <w:rPr/>
        <w:t>，吴文峰持股</w:t>
      </w:r>
      <w:r>
        <w:rPr>
          <w:rFonts w:ascii="宋体" w:hAnsi="宋体" w:cs="宋体" w:eastAsia="宋体" w:hint="default"/>
        </w:rPr>
        <w:t>0.49%</w:t>
      </w:r>
      <w:r>
        <w:rPr/>
        <w:t>，深圳市戈尔登投资有限公司持股</w:t>
      </w:r>
      <w:r>
        <w:rPr>
          <w:rFonts w:ascii="宋体" w:hAnsi="宋体" w:cs="宋体" w:eastAsia="宋体" w:hint="default"/>
        </w:rPr>
        <w:t>6.44%</w:t>
      </w:r>
      <w:r>
        <w:rPr/>
        <w:t>。</w:t>
      </w:r>
    </w:p>
    <w:p>
      <w:pPr>
        <w:pStyle w:val="BodyText"/>
        <w:spacing w:line="312" w:lineRule="auto" w:before="20"/>
        <w:ind w:right="209" w:firstLine="420"/>
        <w:jc w:val="both"/>
      </w:pPr>
      <w:r>
        <w:rPr>
          <w:rFonts w:ascii="宋体" w:hAnsi="宋体" w:cs="宋体" w:eastAsia="宋体" w:hint="default"/>
          <w:spacing w:val="-2"/>
        </w:rPr>
        <w:t>2009</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15</w:t>
      </w:r>
      <w:r>
        <w:rPr>
          <w:spacing w:val="-2"/>
        </w:rPr>
        <w:t>日，黄元忠等</w:t>
      </w:r>
      <w:r>
        <w:rPr>
          <w:rFonts w:ascii="宋体" w:hAnsi="宋体" w:cs="宋体" w:eastAsia="宋体" w:hint="default"/>
          <w:spacing w:val="-2"/>
        </w:rPr>
        <w:t>7</w:t>
      </w:r>
      <w:r>
        <w:rPr>
          <w:spacing w:val="-2"/>
        </w:rPr>
        <w:t>位自然人和深圳市戈尔登投资有限公司签署发起人协议，本公司由有限责</w:t>
      </w:r>
      <w:r>
        <w:rPr>
          <w:w w:val="100"/>
        </w:rPr>
        <w:t> </w:t>
      </w:r>
      <w:r>
        <w:rPr/>
        <w:t>任公司整体变更为股份有限公司。本公司根据截止</w:t>
      </w:r>
      <w:r>
        <w:rPr>
          <w:rFonts w:ascii="宋体" w:hAnsi="宋体" w:cs="宋体" w:eastAsia="宋体" w:hint="default"/>
        </w:rPr>
        <w:t>2009</w:t>
      </w:r>
      <w:r>
        <w:rPr/>
        <w:t>年</w:t>
      </w:r>
      <w:r>
        <w:rPr>
          <w:rFonts w:ascii="宋体" w:hAnsi="宋体" w:cs="宋体" w:eastAsia="宋体" w:hint="default"/>
        </w:rPr>
        <w:t>5</w:t>
      </w:r>
      <w:r>
        <w:rPr/>
        <w:t>月</w:t>
      </w:r>
      <w:r>
        <w:rPr>
          <w:rFonts w:ascii="宋体" w:hAnsi="宋体" w:cs="宋体" w:eastAsia="宋体" w:hint="default"/>
        </w:rPr>
        <w:t>31</w:t>
      </w:r>
      <w:r>
        <w:rPr/>
        <w:t>日经审计的净资产折股，注册资本变更为</w:t>
      </w:r>
      <w:r>
        <w:rPr>
          <w:spacing w:val="-29"/>
        </w:rPr>
        <w:t> </w:t>
      </w:r>
      <w:r>
        <w:rPr>
          <w:spacing w:val="-29"/>
        </w:rPr>
      </w:r>
      <w:r>
        <w:rPr>
          <w:rFonts w:ascii="宋体" w:hAnsi="宋体" w:cs="宋体" w:eastAsia="宋体" w:hint="default"/>
        </w:rPr>
        <w:t>3,300.00</w:t>
      </w:r>
      <w:r>
        <w:rPr/>
        <w:t>万元。其中：自然人持股比例及股份数为</w:t>
      </w:r>
      <w:r>
        <w:rPr>
          <w:rFonts w:ascii="宋体" w:hAnsi="宋体" w:cs="宋体" w:eastAsia="宋体" w:hint="default"/>
        </w:rPr>
        <w:t>93.56%</w:t>
      </w:r>
      <w:r>
        <w:rPr/>
        <w:t>和</w:t>
      </w:r>
      <w:r>
        <w:rPr>
          <w:rFonts w:ascii="宋体" w:hAnsi="宋体" w:cs="宋体" w:eastAsia="宋体" w:hint="default"/>
        </w:rPr>
        <w:t>30,873,278</w:t>
      </w:r>
      <w:r>
        <w:rPr/>
        <w:t>股。本公司于</w:t>
      </w:r>
      <w:r>
        <w:rPr>
          <w:rFonts w:ascii="宋体" w:hAnsi="宋体" w:cs="宋体" w:eastAsia="宋体" w:hint="default"/>
        </w:rPr>
        <w:t>2009</w:t>
      </w:r>
      <w:r>
        <w:rPr/>
        <w:t>年</w:t>
      </w:r>
      <w:r>
        <w:rPr>
          <w:rFonts w:ascii="宋体" w:hAnsi="宋体" w:cs="宋体" w:eastAsia="宋体" w:hint="default"/>
        </w:rPr>
        <w:t>6</w:t>
      </w:r>
      <w:r>
        <w:rPr/>
        <w:t>月</w:t>
      </w:r>
      <w:r>
        <w:rPr>
          <w:rFonts w:ascii="宋体" w:hAnsi="宋体" w:cs="宋体" w:eastAsia="宋体" w:hint="default"/>
        </w:rPr>
        <w:t>24</w:t>
      </w:r>
      <w:r>
        <w:rPr/>
        <w:t>日完成</w:t>
      </w:r>
      <w:r>
        <w:rPr>
          <w:spacing w:val="-32"/>
        </w:rPr>
        <w:t> </w:t>
      </w:r>
      <w:r>
        <w:rPr>
          <w:spacing w:val="-32"/>
        </w:rPr>
      </w:r>
      <w:r>
        <w:rPr/>
        <w:t>工商变更登记。</w:t>
      </w:r>
    </w:p>
    <w:p>
      <w:pPr>
        <w:pStyle w:val="BodyText"/>
        <w:spacing w:line="314" w:lineRule="auto" w:before="22"/>
        <w:ind w:right="106" w:firstLine="420"/>
        <w:jc w:val="left"/>
      </w:pPr>
      <w:r>
        <w:rPr>
          <w:rFonts w:ascii="宋体" w:hAnsi="宋体" w:cs="宋体" w:eastAsia="宋体" w:hint="default"/>
        </w:rPr>
        <w:t>2010</w:t>
      </w:r>
      <w:r>
        <w:rPr/>
        <w:t>年</w:t>
      </w:r>
      <w:r>
        <w:rPr>
          <w:rFonts w:ascii="宋体" w:hAnsi="宋体" w:cs="宋体" w:eastAsia="宋体" w:hint="default"/>
        </w:rPr>
        <w:t>7</w:t>
      </w:r>
      <w:r>
        <w:rPr/>
        <w:t>月</w:t>
      </w:r>
      <w:r>
        <w:rPr>
          <w:rFonts w:ascii="宋体" w:hAnsi="宋体" w:cs="宋体" w:eastAsia="宋体" w:hint="default"/>
        </w:rPr>
        <w:t>26</w:t>
      </w:r>
      <w:r>
        <w:rPr/>
        <w:t>日，本公司</w:t>
      </w:r>
      <w:r>
        <w:rPr>
          <w:rFonts w:ascii="宋体" w:hAnsi="宋体" w:cs="宋体" w:eastAsia="宋体" w:hint="default"/>
        </w:rPr>
        <w:t>2010</w:t>
      </w:r>
      <w:r>
        <w:rPr/>
        <w:t>年第二次临时股东大会决议通过，同意黄晓峰将其</w:t>
      </w:r>
      <w:r>
        <w:rPr>
          <w:rFonts w:ascii="宋体" w:hAnsi="宋体" w:cs="宋体" w:eastAsia="宋体" w:hint="default"/>
        </w:rPr>
        <w:t>5%</w:t>
      </w:r>
      <w:r>
        <w:rPr/>
        <w:t>的股权转让给平安</w:t>
      </w:r>
      <w:r>
        <w:rPr>
          <w:w w:val="100"/>
        </w:rPr>
        <w:t> </w:t>
      </w:r>
      <w:r>
        <w:rPr>
          <w:spacing w:val="-2"/>
        </w:rPr>
        <w:t>财智投资管理有限公司；陈克让将其</w:t>
      </w:r>
      <w:r>
        <w:rPr>
          <w:rFonts w:ascii="宋体" w:hAnsi="宋体" w:cs="宋体" w:eastAsia="宋体" w:hint="default"/>
          <w:spacing w:val="-2"/>
        </w:rPr>
        <w:t>5%</w:t>
      </w:r>
      <w:r>
        <w:rPr>
          <w:spacing w:val="-2"/>
        </w:rPr>
        <w:t>的股权转让给深圳市融元创业投资有限责任公司。本公司于</w:t>
      </w:r>
      <w:r>
        <w:rPr>
          <w:rFonts w:ascii="宋体" w:hAnsi="宋体" w:cs="宋体" w:eastAsia="宋体" w:hint="default"/>
          <w:spacing w:val="-2"/>
        </w:rPr>
        <w:t>2010</w:t>
      </w:r>
      <w:r>
        <w:rPr>
          <w:spacing w:val="-2"/>
        </w:rPr>
        <w:t>年</w:t>
      </w:r>
      <w:r>
        <w:rPr>
          <w:spacing w:val="-38"/>
        </w:rPr>
        <w:t> </w:t>
      </w:r>
      <w:r>
        <w:rPr>
          <w:rFonts w:ascii="宋体" w:hAnsi="宋体" w:cs="宋体" w:eastAsia="宋体" w:hint="default"/>
          <w:spacing w:val="-2"/>
        </w:rPr>
        <w:t>8</w:t>
      </w:r>
      <w:r>
        <w:rPr>
          <w:spacing w:val="-2"/>
        </w:rPr>
        <w:t>月</w:t>
      </w:r>
      <w:r>
        <w:rPr>
          <w:rFonts w:ascii="宋体" w:hAnsi="宋体" w:cs="宋体" w:eastAsia="宋体" w:hint="default"/>
          <w:spacing w:val="-2"/>
        </w:rPr>
        <w:t>30</w:t>
      </w:r>
      <w:r>
        <w:rPr>
          <w:spacing w:val="-2"/>
        </w:rPr>
        <w:t>日完成工商变更登记</w:t>
      </w:r>
      <w:r>
        <w:rPr>
          <w:rFonts w:ascii="宋体" w:hAnsi="宋体" w:cs="宋体" w:eastAsia="宋体" w:hint="default"/>
          <w:spacing w:val="-2"/>
        </w:rPr>
        <w:t>,</w:t>
      </w:r>
      <w:r>
        <w:rPr>
          <w:spacing w:val="-2"/>
        </w:rPr>
        <w:t>变更后黄元忠持股</w:t>
      </w:r>
      <w:r>
        <w:rPr>
          <w:rFonts w:ascii="宋体" w:hAnsi="宋体" w:cs="宋体" w:eastAsia="宋体" w:hint="default"/>
          <w:spacing w:val="-2"/>
        </w:rPr>
        <w:t>30.20%</w:t>
      </w:r>
      <w:r>
        <w:rPr>
          <w:spacing w:val="-2"/>
        </w:rPr>
        <w:t>、黄晓峰持股</w:t>
      </w:r>
      <w:r>
        <w:rPr>
          <w:rFonts w:ascii="宋体" w:hAnsi="宋体" w:cs="宋体" w:eastAsia="宋体" w:hint="default"/>
          <w:spacing w:val="-2"/>
        </w:rPr>
        <w:t>21.75%</w:t>
      </w:r>
      <w:r>
        <w:rPr>
          <w:spacing w:val="-2"/>
        </w:rPr>
        <w:t>、陈克让持股</w:t>
      </w:r>
      <w:r>
        <w:rPr>
          <w:rFonts w:ascii="宋体" w:hAnsi="宋体" w:cs="宋体" w:eastAsia="宋体" w:hint="default"/>
          <w:spacing w:val="-2"/>
        </w:rPr>
        <w:t>21.75%</w:t>
      </w:r>
      <w:r>
        <w:rPr>
          <w:spacing w:val="-2"/>
        </w:rPr>
        <w:t>、孙晓玲持</w:t>
      </w:r>
      <w:r>
        <w:rPr>
          <w:spacing w:val="-33"/>
        </w:rPr>
        <w:t> </w:t>
      </w:r>
      <w:r>
        <w:rPr>
          <w:spacing w:val="-33"/>
        </w:rPr>
      </w:r>
      <w:r>
        <w:rPr>
          <w:spacing w:val="-2"/>
        </w:rPr>
        <w:t>股</w:t>
      </w:r>
      <w:r>
        <w:rPr>
          <w:rFonts w:ascii="宋体" w:hAnsi="宋体" w:cs="宋体" w:eastAsia="宋体" w:hint="default"/>
          <w:spacing w:val="-2"/>
        </w:rPr>
        <w:t>3.44%</w:t>
      </w:r>
      <w:r>
        <w:rPr>
          <w:spacing w:val="-2"/>
        </w:rPr>
        <w:t>、张文凯持股</w:t>
      </w:r>
      <w:r>
        <w:rPr>
          <w:rFonts w:ascii="宋体" w:hAnsi="宋体" w:cs="宋体" w:eastAsia="宋体" w:hint="default"/>
          <w:spacing w:val="-2"/>
        </w:rPr>
        <w:t>2.72%</w:t>
      </w:r>
      <w:r>
        <w:rPr>
          <w:spacing w:val="-2"/>
        </w:rPr>
        <w:t>、杨颖持股</w:t>
      </w:r>
      <w:r>
        <w:rPr>
          <w:rFonts w:ascii="宋体" w:hAnsi="宋体" w:cs="宋体" w:eastAsia="宋体" w:hint="default"/>
          <w:spacing w:val="-2"/>
        </w:rPr>
        <w:t>3.21%</w:t>
      </w:r>
      <w:r>
        <w:rPr>
          <w:spacing w:val="-2"/>
        </w:rPr>
        <w:t>、吴文峰持股</w:t>
      </w:r>
      <w:r>
        <w:rPr>
          <w:rFonts w:ascii="宋体" w:hAnsi="宋体" w:cs="宋体" w:eastAsia="宋体" w:hint="default"/>
          <w:spacing w:val="-2"/>
        </w:rPr>
        <w:t>0.49%</w:t>
      </w:r>
      <w:r>
        <w:rPr>
          <w:spacing w:val="-2"/>
        </w:rPr>
        <w:t>、深圳市戈尔登投资有限公司持股</w:t>
      </w:r>
      <w:r>
        <w:rPr>
          <w:rFonts w:ascii="宋体" w:hAnsi="宋体" w:cs="宋体" w:eastAsia="宋体" w:hint="default"/>
          <w:spacing w:val="-2"/>
        </w:rPr>
        <w:t>6.44%</w:t>
      </w:r>
      <w:r>
        <w:rPr>
          <w:spacing w:val="-2"/>
        </w:rPr>
        <w:t>、</w:t>
      </w:r>
      <w:r>
        <w:rPr>
          <w:spacing w:val="-24"/>
        </w:rPr>
        <w:t> </w:t>
      </w:r>
      <w:r>
        <w:rPr/>
        <w:t>平安财智投资管理有限公司持股</w:t>
      </w:r>
      <w:r>
        <w:rPr>
          <w:rFonts w:ascii="宋体" w:hAnsi="宋体" w:cs="宋体" w:eastAsia="宋体" w:hint="default"/>
        </w:rPr>
        <w:t>5.00%</w:t>
      </w:r>
      <w:r>
        <w:rPr/>
        <w:t>、深圳市融元创业投资有限责任公司持股</w:t>
      </w:r>
      <w:r>
        <w:rPr>
          <w:rFonts w:ascii="宋体" w:hAnsi="宋体" w:cs="宋体" w:eastAsia="宋体" w:hint="default"/>
        </w:rPr>
        <w:t>5.00%</w:t>
      </w:r>
      <w:r>
        <w:rPr/>
        <w:t>。</w:t>
      </w:r>
    </w:p>
    <w:p>
      <w:pPr>
        <w:pStyle w:val="BodyText"/>
        <w:spacing w:line="314" w:lineRule="auto" w:before="17"/>
        <w:ind w:right="106" w:firstLine="420"/>
        <w:jc w:val="left"/>
      </w:pPr>
      <w:r>
        <w:rPr/>
        <w:t>经中国证券监督管理委员会证监发行字</w:t>
      </w:r>
      <w:r>
        <w:rPr>
          <w:rFonts w:ascii="宋体" w:hAnsi="宋体" w:cs="宋体" w:eastAsia="宋体" w:hint="default"/>
        </w:rPr>
        <w:t>[2011]901</w:t>
      </w:r>
      <w:r>
        <w:rPr/>
        <w:t>号文核准，并经深圳证券交易所同意，</w:t>
      </w:r>
      <w:r>
        <w:rPr>
          <w:spacing w:val="-24"/>
        </w:rPr>
        <w:t> </w:t>
      </w:r>
      <w:r>
        <w:rPr/>
        <w:t>本公司由主</w:t>
      </w:r>
      <w:r>
        <w:rPr>
          <w:spacing w:val="-3"/>
          <w:w w:val="100"/>
        </w:rPr>
        <w:t> </w:t>
      </w:r>
      <w:r>
        <w:rPr/>
        <w:t>承销商平安证券有限责任公司于</w:t>
      </w:r>
      <w:r>
        <w:rPr>
          <w:rFonts w:ascii="宋体" w:hAnsi="宋体" w:cs="宋体" w:eastAsia="宋体" w:hint="default"/>
        </w:rPr>
        <w:t>2011</w:t>
      </w:r>
      <w:r>
        <w:rPr/>
        <w:t>年</w:t>
      </w:r>
      <w:r>
        <w:rPr>
          <w:rFonts w:ascii="宋体" w:hAnsi="宋体" w:cs="宋体" w:eastAsia="宋体" w:hint="default"/>
        </w:rPr>
        <w:t>6</w:t>
      </w:r>
      <w:r>
        <w:rPr/>
        <w:t>月</w:t>
      </w:r>
      <w:r>
        <w:rPr>
          <w:rFonts w:ascii="宋体" w:hAnsi="宋体" w:cs="宋体" w:eastAsia="宋体" w:hint="default"/>
        </w:rPr>
        <w:t>20</w:t>
      </w:r>
      <w:r>
        <w:rPr/>
        <w:t>日向社会公众公开发行普通股</w:t>
      </w:r>
      <w:r>
        <w:rPr>
          <w:rFonts w:ascii="宋体" w:hAnsi="宋体" w:cs="宋体" w:eastAsia="宋体" w:hint="default"/>
        </w:rPr>
        <w:t>(A </w:t>
      </w:r>
      <w:r>
        <w:rPr/>
        <w:t>股</w:t>
      </w:r>
      <w:r>
        <w:rPr>
          <w:rFonts w:ascii="宋体" w:hAnsi="宋体" w:cs="宋体" w:eastAsia="宋体" w:hint="default"/>
        </w:rPr>
        <w:t>)</w:t>
      </w:r>
      <w:r>
        <w:rPr/>
        <w:t>股票</w:t>
      </w:r>
      <w:r>
        <w:rPr>
          <w:rFonts w:ascii="宋体" w:hAnsi="宋体" w:cs="宋体" w:eastAsia="宋体" w:hint="default"/>
        </w:rPr>
        <w:t>1100</w:t>
      </w:r>
      <w:r>
        <w:rPr/>
        <w:t>万股，每股面</w:t>
      </w:r>
      <w:r>
        <w:rPr>
          <w:spacing w:val="-31"/>
        </w:rPr>
        <w:t> </w:t>
      </w:r>
      <w:r>
        <w:rPr>
          <w:spacing w:val="-31"/>
        </w:rPr>
      </w:r>
      <w:r>
        <w:rPr/>
        <w:t>值</w:t>
      </w:r>
      <w:r>
        <w:rPr>
          <w:spacing w:val="-76"/>
        </w:rPr>
        <w:t> </w:t>
      </w:r>
      <w:r>
        <w:rPr>
          <w:rFonts w:ascii="宋体" w:hAnsi="宋体" w:cs="宋体" w:eastAsia="宋体" w:hint="default"/>
        </w:rPr>
        <w:t>1.00</w:t>
      </w:r>
      <w:r>
        <w:rPr>
          <w:rFonts w:ascii="宋体" w:hAnsi="宋体" w:cs="宋体" w:eastAsia="宋体" w:hint="default"/>
          <w:spacing w:val="-80"/>
        </w:rPr>
        <w:t> </w:t>
      </w:r>
      <w:r>
        <w:rPr>
          <w:spacing w:val="10"/>
        </w:rPr>
        <w:t>元，</w:t>
      </w:r>
      <w:r>
        <w:rPr>
          <w:spacing w:val="-76"/>
        </w:rPr>
        <w:t> </w:t>
      </w:r>
      <w:r>
        <w:rPr>
          <w:spacing w:val="18"/>
        </w:rPr>
        <w:t>每股发行价人民币</w:t>
      </w:r>
      <w:r>
        <w:rPr>
          <w:spacing w:val="-80"/>
        </w:rPr>
        <w:t> </w:t>
      </w:r>
      <w:r>
        <w:rPr>
          <w:rFonts w:ascii="宋体" w:hAnsi="宋体" w:cs="宋体" w:eastAsia="宋体" w:hint="default"/>
        </w:rPr>
        <w:t>19.60</w:t>
      </w:r>
      <w:r>
        <w:rPr>
          <w:rFonts w:ascii="宋体" w:hAnsi="宋体" w:cs="宋体" w:eastAsia="宋体" w:hint="default"/>
          <w:spacing w:val="-80"/>
        </w:rPr>
        <w:t> </w:t>
      </w:r>
      <w:r>
        <w:rPr>
          <w:spacing w:val="19"/>
        </w:rPr>
        <w:t>元。此次公开发行共募集资金</w:t>
      </w:r>
      <w:r>
        <w:rPr>
          <w:spacing w:val="-76"/>
        </w:rPr>
        <w:t> </w:t>
      </w:r>
      <w:r>
        <w:rPr>
          <w:rFonts w:ascii="宋体" w:hAnsi="宋体" w:cs="宋体" w:eastAsia="宋体" w:hint="default"/>
        </w:rPr>
        <w:t>21,560.00</w:t>
      </w:r>
      <w:r>
        <w:rPr>
          <w:rFonts w:ascii="宋体" w:hAnsi="宋体" w:cs="宋体" w:eastAsia="宋体" w:hint="default"/>
          <w:spacing w:val="-80"/>
        </w:rPr>
        <w:t> </w:t>
      </w:r>
      <w:r>
        <w:rPr>
          <w:spacing w:val="13"/>
        </w:rPr>
        <w:t>万元，</w:t>
      </w:r>
      <w:r>
        <w:rPr>
          <w:spacing w:val="-76"/>
        </w:rPr>
        <w:t> </w:t>
      </w:r>
      <w:r>
        <w:rPr>
          <w:spacing w:val="17"/>
        </w:rPr>
        <w:t>扣除发行费用</w:t>
      </w:r>
      <w:r>
        <w:rPr>
          <w:spacing w:val="-76"/>
        </w:rPr>
        <w:t> </w:t>
      </w:r>
      <w:r>
        <w:rPr>
          <w:rFonts w:ascii="宋体" w:hAnsi="宋体" w:cs="宋体" w:eastAsia="宋体" w:hint="default"/>
          <w:spacing w:val="-2"/>
        </w:rPr>
        <w:t>29,967,169.30</w:t>
      </w:r>
      <w:r>
        <w:rPr>
          <w:spacing w:val="-2"/>
        </w:rPr>
        <w:t>元，募集资金净额</w:t>
      </w:r>
      <w:r>
        <w:rPr>
          <w:rFonts w:ascii="宋体" w:hAnsi="宋体" w:cs="宋体" w:eastAsia="宋体" w:hint="default"/>
          <w:spacing w:val="-2"/>
        </w:rPr>
        <w:t>185,632,830.70</w:t>
      </w:r>
      <w:r>
        <w:rPr>
          <w:spacing w:val="-2"/>
        </w:rPr>
        <w:t>元，经此次发行，注册资本变更为人民币</w:t>
      </w:r>
      <w:r>
        <w:rPr>
          <w:rFonts w:ascii="宋体" w:hAnsi="宋体" w:cs="宋体" w:eastAsia="宋体" w:hint="default"/>
          <w:spacing w:val="-2"/>
        </w:rPr>
        <w:t>4,400.00</w:t>
      </w:r>
      <w:r>
        <w:rPr>
          <w:spacing w:val="-2"/>
        </w:rPr>
        <w:t>万元，</w:t>
      </w:r>
      <w:r>
        <w:rPr>
          <w:spacing w:val="-12"/>
        </w:rPr>
        <w:t> </w:t>
      </w:r>
      <w:r>
        <w:rPr>
          <w:spacing w:val="-12"/>
        </w:rPr>
      </w:r>
      <w:r>
        <w:rPr/>
        <w:t>此次增资业经立信大华会计师事务所“立信大华验字</w:t>
      </w:r>
      <w:r>
        <w:rPr>
          <w:rFonts w:ascii="宋体" w:hAnsi="宋体" w:cs="宋体" w:eastAsia="宋体" w:hint="default"/>
        </w:rPr>
        <w:t>[2011]178</w:t>
      </w:r>
      <w:r>
        <w:rPr/>
        <w:t>号”验资报告验证。</w:t>
      </w:r>
    </w:p>
    <w:p>
      <w:pPr>
        <w:pStyle w:val="BodyText"/>
        <w:spacing w:line="314" w:lineRule="auto" w:before="20"/>
        <w:ind w:right="211" w:firstLine="420"/>
        <w:jc w:val="both"/>
      </w:pPr>
      <w:r>
        <w:rPr/>
        <w:t>经</w:t>
      </w:r>
      <w:r>
        <w:rPr>
          <w:rFonts w:ascii="宋体" w:hAnsi="宋体" w:cs="宋体" w:eastAsia="宋体" w:hint="default"/>
        </w:rPr>
        <w:t>2012</w:t>
      </w:r>
      <w:r>
        <w:rPr/>
        <w:t>年</w:t>
      </w:r>
      <w:r>
        <w:rPr>
          <w:rFonts w:ascii="宋体" w:hAnsi="宋体" w:cs="宋体" w:eastAsia="宋体" w:hint="default"/>
        </w:rPr>
        <w:t>4</w:t>
      </w:r>
      <w:r>
        <w:rPr/>
        <w:t>月</w:t>
      </w:r>
      <w:r>
        <w:rPr>
          <w:rFonts w:ascii="宋体" w:hAnsi="宋体" w:cs="宋体" w:eastAsia="宋体" w:hint="default"/>
        </w:rPr>
        <w:t>20</w:t>
      </w:r>
      <w:r>
        <w:rPr/>
        <w:t>日</w:t>
      </w:r>
      <w:r>
        <w:rPr>
          <w:rFonts w:ascii="宋体" w:hAnsi="宋体" w:cs="宋体" w:eastAsia="宋体" w:hint="default"/>
        </w:rPr>
        <w:t>2012</w:t>
      </w:r>
      <w:r>
        <w:rPr/>
        <w:t>年第一届董事会第二十次会议诀议、</w:t>
      </w:r>
      <w:r>
        <w:rPr>
          <w:rFonts w:ascii="宋体" w:hAnsi="宋体" w:cs="宋体" w:eastAsia="宋体" w:hint="default"/>
        </w:rPr>
        <w:t>2012</w:t>
      </w:r>
      <w:r>
        <w:rPr/>
        <w:t>年</w:t>
      </w:r>
      <w:r>
        <w:rPr>
          <w:rFonts w:ascii="宋体" w:hAnsi="宋体" w:cs="宋体" w:eastAsia="宋体" w:hint="default"/>
        </w:rPr>
        <w:t>5</w:t>
      </w:r>
      <w:r>
        <w:rPr/>
        <w:t>月</w:t>
      </w:r>
      <w:r>
        <w:rPr>
          <w:rFonts w:ascii="宋体" w:hAnsi="宋体" w:cs="宋体" w:eastAsia="宋体" w:hint="default"/>
        </w:rPr>
        <w:t>30</w:t>
      </w:r>
      <w:r>
        <w:rPr/>
        <w:t>日股东大会审议通过《关于</w:t>
      </w:r>
      <w:r>
        <w:rPr>
          <w:spacing w:val="2"/>
          <w:w w:val="100"/>
        </w:rPr>
        <w:t> </w:t>
      </w:r>
      <w:r>
        <w:rPr>
          <w:rFonts w:ascii="宋体" w:hAnsi="宋体" w:cs="宋体" w:eastAsia="宋体" w:hint="default"/>
        </w:rPr>
        <w:t>2011</w:t>
      </w:r>
      <w:r>
        <w:rPr/>
        <w:t>年度利润分配及资本公积转增股本预案的议案》，以</w:t>
      </w:r>
      <w:r>
        <w:rPr>
          <w:rFonts w:ascii="宋体" w:hAnsi="宋体" w:cs="宋体" w:eastAsia="宋体" w:hint="default"/>
        </w:rPr>
        <w:t>2011</w:t>
      </w:r>
      <w:r>
        <w:rPr/>
        <w:t>年</w:t>
      </w:r>
      <w:r>
        <w:rPr>
          <w:rFonts w:ascii="宋体" w:hAnsi="宋体" w:cs="宋体" w:eastAsia="宋体" w:hint="default"/>
        </w:rPr>
        <w:t>12</w:t>
      </w:r>
      <w:r>
        <w:rPr/>
        <w:t>月</w:t>
      </w:r>
      <w:r>
        <w:rPr>
          <w:rFonts w:ascii="宋体" w:hAnsi="宋体" w:cs="宋体" w:eastAsia="宋体" w:hint="default"/>
        </w:rPr>
        <w:t>31</w:t>
      </w:r>
      <w:r>
        <w:rPr/>
        <w:t>日公司总股本</w:t>
      </w:r>
      <w:r>
        <w:rPr>
          <w:rFonts w:ascii="宋体" w:hAnsi="宋体" w:cs="宋体" w:eastAsia="宋体" w:hint="default"/>
        </w:rPr>
        <w:t>4,400</w:t>
      </w:r>
      <w:r>
        <w:rPr/>
        <w:t>万股为基数，</w:t>
      </w:r>
      <w:r>
        <w:rPr>
          <w:spacing w:val="-28"/>
        </w:rPr>
        <w:t> </w:t>
      </w:r>
      <w:r>
        <w:rPr>
          <w:spacing w:val="-28"/>
        </w:rPr>
      </w:r>
      <w:r>
        <w:rPr/>
        <w:t>以资本公积金转增股本，向全体股东每</w:t>
      </w:r>
      <w:r>
        <w:rPr>
          <w:rFonts w:ascii="宋体" w:hAnsi="宋体" w:cs="宋体" w:eastAsia="宋体" w:hint="default"/>
        </w:rPr>
        <w:t>10</w:t>
      </w:r>
      <w:r>
        <w:rPr/>
        <w:t>股转增</w:t>
      </w:r>
      <w:r>
        <w:rPr>
          <w:rFonts w:ascii="宋体" w:hAnsi="宋体" w:cs="宋体" w:eastAsia="宋体" w:hint="default"/>
        </w:rPr>
        <w:t>10</w:t>
      </w:r>
      <w:r>
        <w:rPr/>
        <w:t>股，共计转增</w:t>
      </w:r>
      <w:r>
        <w:rPr>
          <w:rFonts w:ascii="宋体" w:hAnsi="宋体" w:cs="宋体" w:eastAsia="宋体" w:hint="default"/>
        </w:rPr>
        <w:t>4,400</w:t>
      </w:r>
      <w:r>
        <w:rPr/>
        <w:t>万股，转增后公司总股本将增加至</w:t>
      </w:r>
      <w:r>
        <w:rPr>
          <w:spacing w:val="-33"/>
        </w:rPr>
        <w:t> </w:t>
      </w:r>
      <w:r>
        <w:rPr>
          <w:spacing w:val="-33"/>
        </w:rPr>
      </w:r>
      <w:r>
        <w:rPr>
          <w:rFonts w:ascii="宋体" w:hAnsi="宋体" w:cs="宋体" w:eastAsia="宋体" w:hint="default"/>
        </w:rPr>
        <w:t>8,800</w:t>
      </w:r>
      <w:r>
        <w:rPr/>
        <w:t>万股，注册资本变更为人民币</w:t>
      </w:r>
      <w:r>
        <w:rPr>
          <w:rFonts w:ascii="宋体" w:hAnsi="宋体" w:cs="宋体" w:eastAsia="宋体" w:hint="default"/>
        </w:rPr>
        <w:t>8,800.00</w:t>
      </w:r>
      <w:r>
        <w:rPr/>
        <w:t>万元，此次增资业经深圳嘉达信会计师事务所“深嘉达信验</w:t>
      </w:r>
      <w:r>
        <w:rPr>
          <w:spacing w:val="-29"/>
        </w:rPr>
        <w:t> </w:t>
      </w:r>
      <w:r>
        <w:rPr>
          <w:spacing w:val="-29"/>
        </w:rPr>
      </w:r>
      <w:r>
        <w:rPr/>
        <w:t>字</w:t>
      </w:r>
      <w:r>
        <w:rPr>
          <w:rFonts w:ascii="宋体" w:hAnsi="宋体" w:cs="宋体" w:eastAsia="宋体" w:hint="default"/>
        </w:rPr>
        <w:t>[2012]</w:t>
      </w:r>
      <w:r>
        <w:rPr/>
        <w:t>第</w:t>
      </w:r>
      <w:r>
        <w:rPr>
          <w:rFonts w:ascii="宋体" w:hAnsi="宋体" w:cs="宋体" w:eastAsia="宋体" w:hint="default"/>
        </w:rPr>
        <w:t>079</w:t>
      </w:r>
      <w:r>
        <w:rPr/>
        <w:t>号”验资报告验证。</w:t>
      </w:r>
    </w:p>
    <w:p>
      <w:pPr>
        <w:pStyle w:val="BodyText"/>
        <w:spacing w:line="314" w:lineRule="auto" w:before="17"/>
        <w:ind w:left="153" w:right="106" w:firstLine="419"/>
        <w:jc w:val="left"/>
      </w:pPr>
      <w:r>
        <w:rPr>
          <w:spacing w:val="-4"/>
        </w:rPr>
        <w:t>经</w:t>
      </w:r>
      <w:r>
        <w:rPr>
          <w:rFonts w:ascii="宋体" w:hAnsi="宋体" w:cs="宋体" w:eastAsia="宋体" w:hint="default"/>
          <w:spacing w:val="-4"/>
        </w:rPr>
        <w:t>2014</w:t>
      </w:r>
      <w:r>
        <w:rPr>
          <w:spacing w:val="-4"/>
        </w:rPr>
        <w:t>年</w:t>
      </w:r>
      <w:r>
        <w:rPr>
          <w:rFonts w:ascii="宋体" w:hAnsi="宋体" w:cs="宋体" w:eastAsia="宋体" w:hint="default"/>
          <w:spacing w:val="-4"/>
        </w:rPr>
        <w:t>4</w:t>
      </w:r>
      <w:r>
        <w:rPr>
          <w:spacing w:val="-4"/>
        </w:rPr>
        <w:t>月</w:t>
      </w:r>
      <w:r>
        <w:rPr>
          <w:rFonts w:ascii="宋体" w:hAnsi="宋体" w:cs="宋体" w:eastAsia="宋体" w:hint="default"/>
          <w:spacing w:val="-4"/>
        </w:rPr>
        <w:t>11</w:t>
      </w:r>
      <w:r>
        <w:rPr>
          <w:spacing w:val="-4"/>
        </w:rPr>
        <w:t>日</w:t>
      </w:r>
      <w:r>
        <w:rPr>
          <w:rFonts w:ascii="宋体" w:hAnsi="宋体" w:cs="宋体" w:eastAsia="宋体" w:hint="default"/>
          <w:spacing w:val="-4"/>
        </w:rPr>
        <w:t>2014</w:t>
      </w:r>
      <w:r>
        <w:rPr>
          <w:spacing w:val="-4"/>
        </w:rPr>
        <w:t>年第二届董事会第十一次会议诀议、</w:t>
      </w:r>
      <w:r>
        <w:rPr>
          <w:rFonts w:ascii="宋体" w:hAnsi="宋体" w:cs="宋体" w:eastAsia="宋体" w:hint="default"/>
          <w:spacing w:val="-4"/>
        </w:rPr>
        <w:t>2014</w:t>
      </w:r>
      <w:r>
        <w:rPr>
          <w:spacing w:val="-4"/>
        </w:rPr>
        <w:t>年</w:t>
      </w:r>
      <w:r>
        <w:rPr>
          <w:rFonts w:ascii="宋体" w:hAnsi="宋体" w:cs="宋体" w:eastAsia="宋体" w:hint="default"/>
          <w:spacing w:val="-4"/>
        </w:rPr>
        <w:t>6</w:t>
      </w:r>
      <w:r>
        <w:rPr>
          <w:spacing w:val="-4"/>
        </w:rPr>
        <w:t>月</w:t>
      </w:r>
      <w:r>
        <w:rPr>
          <w:rFonts w:ascii="宋体" w:hAnsi="宋体" w:cs="宋体" w:eastAsia="宋体" w:hint="default"/>
          <w:spacing w:val="-4"/>
        </w:rPr>
        <w:t>6</w:t>
      </w:r>
      <w:r>
        <w:rPr>
          <w:spacing w:val="-4"/>
        </w:rPr>
        <w:t>日股东大会审议通过《关于</w:t>
      </w:r>
      <w:r>
        <w:rPr>
          <w:rFonts w:ascii="宋体" w:hAnsi="宋体" w:cs="宋体" w:eastAsia="宋体" w:hint="default"/>
          <w:spacing w:val="-4"/>
        </w:rPr>
        <w:t>2013</w:t>
      </w:r>
      <w:r>
        <w:rPr>
          <w:rFonts w:ascii="宋体" w:hAnsi="宋体" w:cs="宋体" w:eastAsia="宋体" w:hint="default"/>
          <w:w w:val="100"/>
        </w:rPr>
        <w:t> </w:t>
      </w:r>
      <w:r>
        <w:rPr/>
        <w:t>年度利润分配及资本公积转增股本预案的议案》，以</w:t>
      </w:r>
      <w:r>
        <w:rPr>
          <w:rFonts w:ascii="宋体" w:hAnsi="宋体" w:cs="宋体" w:eastAsia="宋体" w:hint="default"/>
        </w:rPr>
        <w:t>2013</w:t>
      </w:r>
      <w:r>
        <w:rPr/>
        <w:t>年</w:t>
      </w:r>
      <w:r>
        <w:rPr>
          <w:rFonts w:ascii="宋体" w:hAnsi="宋体" w:cs="宋体" w:eastAsia="宋体" w:hint="default"/>
        </w:rPr>
        <w:t>12</w:t>
      </w:r>
      <w:r>
        <w:rPr/>
        <w:t>月</w:t>
      </w:r>
      <w:r>
        <w:rPr>
          <w:rFonts w:ascii="宋体" w:hAnsi="宋体" w:cs="宋体" w:eastAsia="宋体" w:hint="default"/>
        </w:rPr>
        <w:t>31</w:t>
      </w:r>
      <w:r>
        <w:rPr/>
        <w:t>日公司总股本</w:t>
      </w:r>
      <w:r>
        <w:rPr>
          <w:rFonts w:ascii="宋体" w:hAnsi="宋体" w:cs="宋体" w:eastAsia="宋体" w:hint="default"/>
        </w:rPr>
        <w:t>8,800</w:t>
      </w:r>
      <w:r>
        <w:rPr/>
        <w:t>万股为基数，以资</w:t>
      </w:r>
      <w:r>
        <w:rPr>
          <w:spacing w:val="-28"/>
        </w:rPr>
        <w:t> </w:t>
      </w:r>
      <w:r>
        <w:rPr>
          <w:spacing w:val="-28"/>
        </w:rPr>
      </w:r>
      <w:r>
        <w:rPr>
          <w:spacing w:val="-2"/>
        </w:rPr>
        <w:t>本公积金转增股本，向全体股东每</w:t>
      </w:r>
      <w:r>
        <w:rPr>
          <w:rFonts w:ascii="宋体" w:hAnsi="宋体" w:cs="宋体" w:eastAsia="宋体" w:hint="default"/>
          <w:spacing w:val="-2"/>
        </w:rPr>
        <w:t>10</w:t>
      </w:r>
      <w:r>
        <w:rPr>
          <w:spacing w:val="-2"/>
        </w:rPr>
        <w:t>股转增</w:t>
      </w:r>
      <w:r>
        <w:rPr>
          <w:rFonts w:ascii="宋体" w:hAnsi="宋体" w:cs="宋体" w:eastAsia="宋体" w:hint="default"/>
          <w:spacing w:val="-2"/>
        </w:rPr>
        <w:t>8</w:t>
      </w:r>
      <w:r>
        <w:rPr>
          <w:spacing w:val="-2"/>
        </w:rPr>
        <w:t>股，共计转增</w:t>
      </w:r>
      <w:r>
        <w:rPr>
          <w:rFonts w:ascii="宋体" w:hAnsi="宋体" w:cs="宋体" w:eastAsia="宋体" w:hint="default"/>
          <w:spacing w:val="-2"/>
        </w:rPr>
        <w:t>7,040</w:t>
      </w:r>
      <w:r>
        <w:rPr>
          <w:spacing w:val="-2"/>
        </w:rPr>
        <w:t>万股，转增后公司总股本将增加至</w:t>
      </w:r>
      <w:r>
        <w:rPr>
          <w:rFonts w:ascii="宋体" w:hAnsi="宋体" w:cs="宋体" w:eastAsia="宋体" w:hint="default"/>
          <w:spacing w:val="-2"/>
        </w:rPr>
        <w:t>15,840</w:t>
      </w:r>
      <w:r>
        <w:rPr>
          <w:rFonts w:ascii="宋体" w:hAnsi="宋体" w:cs="宋体" w:eastAsia="宋体" w:hint="default"/>
          <w:spacing w:val="-34"/>
        </w:rPr>
        <w:t> </w:t>
      </w:r>
      <w:r>
        <w:rPr>
          <w:rFonts w:ascii="宋体" w:hAnsi="宋体" w:cs="宋体" w:eastAsia="宋体" w:hint="default"/>
          <w:spacing w:val="-34"/>
        </w:rPr>
      </w:r>
      <w:r>
        <w:rPr>
          <w:spacing w:val="-8"/>
          <w:w w:val="100"/>
        </w:rPr>
        <w:t>万股，注册资本变更为</w:t>
      </w:r>
      <w:r>
        <w:rPr>
          <w:rFonts w:ascii="宋体" w:hAnsi="宋体" w:cs="宋体" w:eastAsia="宋体" w:hint="default"/>
          <w:spacing w:val="-8"/>
          <w:w w:val="100"/>
        </w:rPr>
        <w:t>15,840</w:t>
      </w:r>
      <w:r>
        <w:rPr>
          <w:spacing w:val="-8"/>
          <w:w w:val="100"/>
        </w:rPr>
        <w:t>万元，此次增资业经深圳平海会计师事务所（普通合伙）“深平海验报字</w:t>
      </w:r>
      <w:r>
        <w:rPr>
          <w:rFonts w:ascii="宋体" w:hAnsi="宋体" w:cs="宋体" w:eastAsia="宋体" w:hint="default"/>
          <w:spacing w:val="-8"/>
          <w:w w:val="100"/>
        </w:rPr>
        <w:t>[2014]</w:t>
      </w:r>
      <w:r>
        <w:rPr>
          <w:rFonts w:ascii="宋体" w:hAnsi="宋体" w:cs="宋体" w:eastAsia="宋体" w:hint="default"/>
          <w:spacing w:val="-81"/>
          <w:w w:val="100"/>
        </w:rPr>
        <w:t> </w:t>
      </w:r>
      <w:r>
        <w:rPr>
          <w:rFonts w:ascii="宋体" w:hAnsi="宋体" w:cs="宋体" w:eastAsia="宋体" w:hint="default"/>
          <w:spacing w:val="-81"/>
          <w:w w:val="100"/>
        </w:rPr>
      </w:r>
      <w:r>
        <w:rPr/>
        <w:t>第</w:t>
      </w:r>
      <w:r>
        <w:rPr>
          <w:rFonts w:ascii="宋体" w:hAnsi="宋体" w:cs="宋体" w:eastAsia="宋体" w:hint="default"/>
        </w:rPr>
        <w:t>15</w:t>
      </w:r>
      <w:r>
        <w:rPr/>
        <w:t>号”验资报告验证。</w:t>
      </w:r>
    </w:p>
    <w:p>
      <w:pPr>
        <w:pStyle w:val="BodyText"/>
        <w:spacing w:line="312" w:lineRule="auto" w:before="20"/>
        <w:ind w:left="573" w:right="106" w:hanging="1"/>
        <w:jc w:val="left"/>
      </w:pPr>
      <w:r>
        <w:rPr>
          <w:spacing w:val="-2"/>
        </w:rPr>
        <w:t>法定代表人：黄元忠。注册地址：深圳市南山区科技中二路深圳软件园</w:t>
      </w:r>
      <w:r>
        <w:rPr>
          <w:rFonts w:ascii="宋体" w:hAnsi="宋体" w:cs="宋体" w:eastAsia="宋体" w:hint="default"/>
          <w:spacing w:val="-2"/>
        </w:rPr>
        <w:t>12#</w:t>
      </w:r>
      <w:r>
        <w:rPr>
          <w:spacing w:val="-2"/>
        </w:rPr>
        <w:t>楼</w:t>
      </w:r>
      <w:r>
        <w:rPr>
          <w:rFonts w:ascii="宋体" w:hAnsi="宋体" w:cs="宋体" w:eastAsia="宋体" w:hint="default"/>
          <w:spacing w:val="-2"/>
        </w:rPr>
        <w:t>302</w:t>
      </w:r>
      <w:r>
        <w:rPr>
          <w:spacing w:val="-2"/>
        </w:rPr>
        <w:t>。</w:t>
      </w:r>
      <w:r>
        <w:rPr>
          <w:spacing w:val="-33"/>
        </w:rPr>
        <w:t> </w:t>
      </w:r>
      <w:r>
        <w:rPr/>
        <w:t>本公司下属分公司有北京分公司、长沙分公司。</w:t>
      </w:r>
    </w:p>
    <w:p>
      <w:pPr>
        <w:pStyle w:val="BodyText"/>
        <w:spacing w:line="312" w:lineRule="auto" w:before="21"/>
        <w:ind w:left="575" w:right="106" w:hanging="3"/>
        <w:jc w:val="left"/>
      </w:pPr>
      <w:r>
        <w:rPr>
          <w:rFonts w:ascii="宋体" w:hAnsi="宋体" w:cs="宋体" w:eastAsia="宋体" w:hint="default"/>
          <w:b/>
          <w:bCs/>
        </w:rPr>
        <w:t>（二）经营范围</w:t>
      </w:r>
      <w:r>
        <w:rPr>
          <w:rFonts w:ascii="宋体" w:hAnsi="宋体" w:cs="宋体" w:eastAsia="宋体" w:hint="default"/>
          <w:b/>
          <w:bCs/>
          <w:w w:val="100"/>
        </w:rPr>
        <w:t> </w:t>
      </w:r>
      <w:r>
        <w:rPr>
          <w:spacing w:val="-2"/>
        </w:rPr>
        <w:t>本公司主要的经营业务包括：计算机软、硬件、网络及教育软件和教学资源的开发、销售、咨询及其</w:t>
      </w:r>
    </w:p>
    <w:p>
      <w:pPr>
        <w:pStyle w:val="BodyText"/>
        <w:spacing w:line="240" w:lineRule="auto" w:before="22"/>
        <w:ind w:right="106"/>
        <w:jc w:val="left"/>
      </w:pPr>
      <w:r>
        <w:rPr>
          <w:spacing w:val="-3"/>
        </w:rPr>
        <w:t>技术服务；电子产品的开发、销售（不含二、三类医疗器械等需许可项目）；经营进出口业务（法律、行</w:t>
      </w:r>
      <w:r>
        <w:rPr/>
      </w:r>
    </w:p>
    <w:p>
      <w:pPr>
        <w:spacing w:after="0" w:line="240" w:lineRule="auto"/>
        <w:jc w:val="left"/>
        <w:sectPr>
          <w:pgSz w:w="11910" w:h="16840"/>
          <w:pgMar w:header="880" w:footer="979" w:top="1060" w:bottom="1160" w:left="980" w:right="920"/>
        </w:sectPr>
      </w:pPr>
    </w:p>
    <w:p>
      <w:pPr>
        <w:spacing w:line="240" w:lineRule="auto" w:before="6"/>
        <w:rPr>
          <w:rFonts w:ascii="宋体" w:hAnsi="宋体" w:cs="宋体" w:eastAsia="宋体" w:hint="default"/>
          <w:sz w:val="26"/>
          <w:szCs w:val="26"/>
        </w:rPr>
      </w:pPr>
    </w:p>
    <w:p>
      <w:pPr>
        <w:pStyle w:val="BodyText"/>
        <w:spacing w:line="314" w:lineRule="auto" w:before="36"/>
        <w:ind w:right="207"/>
        <w:jc w:val="both"/>
      </w:pPr>
      <w:r>
        <w:rPr>
          <w:spacing w:val="-2"/>
        </w:rPr>
        <w:t>政法规、国务院决定禁止的项目除外，限制的项目须取得许可后方可经营）；投资兴办实业（具体项目另</w:t>
      </w:r>
      <w:r>
        <w:rPr>
          <w:spacing w:val="-43"/>
        </w:rPr>
        <w:t> </w:t>
      </w:r>
      <w:r>
        <w:rPr>
          <w:spacing w:val="-43"/>
        </w:rPr>
      </w:r>
      <w:r>
        <w:rPr>
          <w:spacing w:val="-2"/>
        </w:rPr>
        <w:t>行申报）。出版物零售；第二类增值电信业务中的信息服务业务（仅限互联网信息服务）（凭“中华人民</w:t>
      </w:r>
      <w:r>
        <w:rPr>
          <w:spacing w:val="-42"/>
        </w:rPr>
        <w:t> </w:t>
      </w:r>
      <w:r>
        <w:rPr>
          <w:spacing w:val="-42"/>
        </w:rPr>
      </w:r>
      <w:r>
        <w:rPr/>
        <w:t>共和国增值电信业务经营许可证粤</w:t>
      </w:r>
      <w:r>
        <w:rPr>
          <w:rFonts w:ascii="宋体" w:hAnsi="宋体" w:cs="宋体" w:eastAsia="宋体" w:hint="default"/>
        </w:rPr>
        <w:t>B2-20110094</w:t>
      </w:r>
      <w:r>
        <w:rPr/>
        <w:t>经营）。</w:t>
      </w:r>
    </w:p>
    <w:p>
      <w:pPr>
        <w:spacing w:line="314" w:lineRule="auto" w:before="137"/>
        <w:ind w:left="572" w:right="4036" w:firstLine="0"/>
        <w:jc w:val="left"/>
        <w:rPr>
          <w:rFonts w:ascii="宋体" w:hAnsi="宋体" w:cs="宋体" w:eastAsia="宋体" w:hint="default"/>
          <w:sz w:val="21"/>
          <w:szCs w:val="21"/>
        </w:rPr>
      </w:pPr>
      <w:r>
        <w:rPr>
          <w:rFonts w:ascii="宋体" w:hAnsi="宋体" w:cs="宋体" w:eastAsia="宋体" w:hint="default"/>
          <w:b/>
          <w:bCs/>
          <w:sz w:val="21"/>
          <w:szCs w:val="21"/>
        </w:rPr>
        <w:t>（三）财务报表的批准报出</w:t>
      </w:r>
      <w:r>
        <w:rPr>
          <w:rFonts w:ascii="宋体" w:hAnsi="宋体" w:cs="宋体" w:eastAsia="宋体" w:hint="default"/>
          <w:b/>
          <w:bCs/>
          <w:w w:val="100"/>
          <w:sz w:val="21"/>
          <w:szCs w:val="21"/>
        </w:rPr>
        <w:t> </w:t>
      </w:r>
      <w:r>
        <w:rPr>
          <w:rFonts w:ascii="宋体" w:hAnsi="宋体" w:cs="宋体" w:eastAsia="宋体" w:hint="default"/>
          <w:spacing w:val="-2"/>
          <w:sz w:val="21"/>
          <w:szCs w:val="21"/>
        </w:rPr>
        <w:t>本财务报表业经本公司董事会于</w:t>
      </w:r>
      <w:r>
        <w:rPr>
          <w:rFonts w:ascii="宋体" w:hAnsi="宋体" w:cs="宋体" w:eastAsia="宋体" w:hint="default"/>
          <w:spacing w:val="-2"/>
          <w:sz w:val="21"/>
          <w:szCs w:val="21"/>
        </w:rPr>
        <w:t>2015</w:t>
      </w:r>
      <w:r>
        <w:rPr>
          <w:rFonts w:ascii="宋体" w:hAnsi="宋体" w:cs="宋体" w:eastAsia="宋体" w:hint="default"/>
          <w:spacing w:val="-2"/>
          <w:sz w:val="21"/>
          <w:szCs w:val="21"/>
        </w:rPr>
        <w:t>年</w:t>
      </w:r>
      <w:r>
        <w:rPr>
          <w:rFonts w:ascii="宋体" w:hAnsi="宋体" w:cs="宋体" w:eastAsia="宋体" w:hint="default"/>
          <w:spacing w:val="-2"/>
          <w:sz w:val="21"/>
          <w:szCs w:val="21"/>
        </w:rPr>
        <w:t>4</w:t>
      </w:r>
      <w:r>
        <w:rPr>
          <w:rFonts w:ascii="宋体" w:hAnsi="宋体" w:cs="宋体" w:eastAsia="宋体" w:hint="default"/>
          <w:spacing w:val="-2"/>
          <w:sz w:val="21"/>
          <w:szCs w:val="21"/>
        </w:rPr>
        <w:t>月</w:t>
      </w:r>
      <w:r>
        <w:rPr>
          <w:rFonts w:ascii="宋体" w:hAnsi="宋体" w:cs="宋体" w:eastAsia="宋体" w:hint="default"/>
          <w:spacing w:val="-2"/>
          <w:sz w:val="21"/>
          <w:szCs w:val="21"/>
        </w:rPr>
        <w:t>17</w:t>
      </w:r>
      <w:r>
        <w:rPr>
          <w:rFonts w:ascii="宋体" w:hAnsi="宋体" w:cs="宋体" w:eastAsia="宋体" w:hint="default"/>
          <w:spacing w:val="-2"/>
          <w:sz w:val="21"/>
          <w:szCs w:val="21"/>
        </w:rPr>
        <w:t>日批准报出。</w:t>
      </w:r>
    </w:p>
    <w:p>
      <w:pPr>
        <w:spacing w:line="240" w:lineRule="auto" w:before="1"/>
        <w:rPr>
          <w:rFonts w:ascii="宋体" w:hAnsi="宋体" w:cs="宋体" w:eastAsia="宋体" w:hint="default"/>
          <w:sz w:val="26"/>
          <w:szCs w:val="26"/>
        </w:rPr>
      </w:pPr>
    </w:p>
    <w:p>
      <w:pPr>
        <w:pStyle w:val="BodyText"/>
        <w:spacing w:line="240" w:lineRule="auto" w:before="36"/>
        <w:ind w:left="573" w:right="106"/>
        <w:jc w:val="left"/>
      </w:pPr>
      <w:r>
        <w:rPr/>
        <w:t>本期纳入合并财务报表范围的子公司共一户，主要包括：</w:t>
      </w:r>
    </w:p>
    <w:p>
      <w:pPr>
        <w:pStyle w:val="BodyText"/>
        <w:spacing w:line="240" w:lineRule="auto" w:before="63"/>
        <w:ind w:left="0" w:right="954"/>
        <w:jc w:val="right"/>
      </w:pPr>
      <w:r>
        <w:rPr/>
        <w:pict>
          <v:shape style="position:absolute;margin-left:56.279999pt;margin-top:3.533691pt;width:441pt;height:31.6pt;mso-position-horizontal-relative:page;mso-position-vertical-relative:paragraph;z-index:33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97"/>
                    <w:gridCol w:w="1534"/>
                    <w:gridCol w:w="732"/>
                    <w:gridCol w:w="1519"/>
                    <w:gridCol w:w="1517"/>
                  </w:tblGrid>
                  <w:tr>
                    <w:trPr>
                      <w:trHeight w:val="310" w:hRule="exact"/>
                    </w:trPr>
                    <w:tc>
                      <w:tcPr>
                        <w:tcW w:w="3497"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4" w:right="0"/>
                          <w:jc w:val="center"/>
                          <w:rPr>
                            <w:rFonts w:ascii="宋体" w:hAnsi="宋体" w:cs="宋体" w:eastAsia="宋体" w:hint="default"/>
                            <w:sz w:val="21"/>
                            <w:szCs w:val="21"/>
                          </w:rPr>
                        </w:pPr>
                        <w:r>
                          <w:rPr>
                            <w:rFonts w:ascii="宋体" w:hAnsi="宋体" w:cs="宋体" w:eastAsia="宋体" w:hint="default"/>
                            <w:sz w:val="21"/>
                            <w:szCs w:val="21"/>
                          </w:rPr>
                          <w:t>子公司名称</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235" w:right="0"/>
                          <w:jc w:val="left"/>
                          <w:rPr>
                            <w:rFonts w:ascii="宋体" w:hAnsi="宋体" w:cs="宋体" w:eastAsia="宋体" w:hint="default"/>
                            <w:sz w:val="21"/>
                            <w:szCs w:val="21"/>
                          </w:rPr>
                        </w:pPr>
                        <w:r>
                          <w:rPr>
                            <w:rFonts w:ascii="宋体" w:hAnsi="宋体" w:cs="宋体" w:eastAsia="宋体" w:hint="default"/>
                            <w:sz w:val="21"/>
                            <w:szCs w:val="21"/>
                          </w:rPr>
                          <w:t>子公司类型</w:t>
                        </w:r>
                      </w:p>
                    </w:tc>
                    <w:tc>
                      <w:tcPr>
                        <w:tcW w:w="732"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2" w:right="0"/>
                          <w:jc w:val="center"/>
                          <w:rPr>
                            <w:rFonts w:ascii="宋体" w:hAnsi="宋体" w:cs="宋体" w:eastAsia="宋体" w:hint="default"/>
                            <w:sz w:val="21"/>
                            <w:szCs w:val="21"/>
                          </w:rPr>
                        </w:pPr>
                        <w:r>
                          <w:rPr>
                            <w:rFonts w:ascii="宋体" w:hAnsi="宋体" w:cs="宋体" w:eastAsia="宋体" w:hint="default"/>
                            <w:sz w:val="21"/>
                            <w:szCs w:val="21"/>
                          </w:rPr>
                          <w:t>级次</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right="29"/>
                          <w:jc w:val="right"/>
                          <w:rPr>
                            <w:rFonts w:ascii="宋体" w:hAnsi="宋体" w:cs="宋体" w:eastAsia="宋体" w:hint="default"/>
                            <w:sz w:val="21"/>
                            <w:szCs w:val="21"/>
                          </w:rPr>
                        </w:pPr>
                        <w:r>
                          <w:rPr>
                            <w:rFonts w:ascii="宋体" w:hAnsi="宋体" w:cs="宋体" w:eastAsia="宋体" w:hint="default"/>
                            <w:spacing w:val="-1"/>
                            <w:sz w:val="21"/>
                            <w:szCs w:val="21"/>
                          </w:rPr>
                          <w:t>持股比例（</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2" w:right="0"/>
                          <w:jc w:val="left"/>
                          <w:rPr>
                            <w:rFonts w:ascii="Times New Roman" w:hAnsi="Times New Roman" w:cs="Times New Roman" w:eastAsia="Times New Roman" w:hint="default"/>
                            <w:sz w:val="21"/>
                            <w:szCs w:val="21"/>
                          </w:rPr>
                        </w:pPr>
                        <w:r>
                          <w:rPr>
                            <w:rFonts w:ascii="宋体" w:hAnsi="宋体" w:cs="宋体" w:eastAsia="宋体" w:hint="default"/>
                            <w:spacing w:val="-8"/>
                            <w:sz w:val="21"/>
                            <w:szCs w:val="21"/>
                          </w:rPr>
                          <w:t>表决权比例（</w:t>
                        </w:r>
                        <w:r>
                          <w:rPr>
                            <w:rFonts w:ascii="Times New Roman" w:hAnsi="Times New Roman" w:cs="Times New Roman" w:eastAsia="Times New Roman" w:hint="default"/>
                            <w:spacing w:val="-8"/>
                            <w:sz w:val="21"/>
                            <w:szCs w:val="21"/>
                          </w:rPr>
                          <w:t>%</w:t>
                        </w:r>
                      </w:p>
                    </w:tc>
                  </w:tr>
                  <w:tr>
                    <w:trPr>
                      <w:trHeight w:val="307" w:hRule="exact"/>
                    </w:trPr>
                    <w:tc>
                      <w:tcPr>
                        <w:tcW w:w="3497"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4" w:right="0"/>
                          <w:jc w:val="left"/>
                          <w:rPr>
                            <w:rFonts w:ascii="宋体" w:hAnsi="宋体" w:cs="宋体" w:eastAsia="宋体" w:hint="default"/>
                            <w:sz w:val="21"/>
                            <w:szCs w:val="21"/>
                          </w:rPr>
                        </w:pPr>
                        <w:r>
                          <w:rPr>
                            <w:rFonts w:ascii="宋体" w:hAnsi="宋体" w:cs="宋体" w:eastAsia="宋体" w:hint="default"/>
                            <w:sz w:val="21"/>
                            <w:szCs w:val="21"/>
                          </w:rPr>
                          <w:t>深圳市连邦信息技术有限公司</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4" w:right="0"/>
                          <w:jc w:val="left"/>
                          <w:rPr>
                            <w:rFonts w:ascii="宋体" w:hAnsi="宋体" w:cs="宋体" w:eastAsia="宋体" w:hint="default"/>
                            <w:sz w:val="21"/>
                            <w:szCs w:val="21"/>
                          </w:rPr>
                        </w:pPr>
                        <w:r>
                          <w:rPr>
                            <w:rFonts w:ascii="宋体" w:hAnsi="宋体" w:cs="宋体" w:eastAsia="宋体" w:hint="default"/>
                            <w:sz w:val="21"/>
                            <w:szCs w:val="21"/>
                          </w:rPr>
                          <w:t>全资子公司</w:t>
                        </w:r>
                      </w:p>
                    </w:tc>
                    <w:tc>
                      <w:tcPr>
                        <w:tcW w:w="732"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2" w:right="0"/>
                          <w:jc w:val="center"/>
                          <w:rPr>
                            <w:rFonts w:ascii="宋体" w:hAnsi="宋体" w:cs="宋体" w:eastAsia="宋体" w:hint="default"/>
                            <w:sz w:val="21"/>
                            <w:szCs w:val="21"/>
                          </w:rPr>
                        </w:pPr>
                        <w:r>
                          <w:rPr>
                            <w:rFonts w:ascii="宋体" w:hAnsi="宋体" w:cs="宋体" w:eastAsia="宋体" w:hint="default"/>
                            <w:sz w:val="21"/>
                            <w:szCs w:val="21"/>
                          </w:rPr>
                          <w:t>一级</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1"/>
                          <w:jc w:val="right"/>
                          <w:rPr>
                            <w:rFonts w:ascii="Times New Roman" w:hAnsi="Times New Roman" w:cs="Times New Roman" w:eastAsia="Times New Roman" w:hint="default"/>
                            <w:sz w:val="21"/>
                            <w:szCs w:val="21"/>
                          </w:rPr>
                        </w:pPr>
                        <w:r>
                          <w:rPr>
                            <w:rFonts w:ascii="Times New Roman"/>
                            <w:sz w:val="21"/>
                          </w:rPr>
                          <w:t>100.00</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left="921" w:right="-1"/>
                          <w:jc w:val="left"/>
                          <w:rPr>
                            <w:rFonts w:ascii="Times New Roman" w:hAnsi="Times New Roman" w:cs="Times New Roman" w:eastAsia="Times New Roman" w:hint="default"/>
                            <w:sz w:val="21"/>
                            <w:szCs w:val="21"/>
                          </w:rPr>
                        </w:pPr>
                        <w:r>
                          <w:rPr>
                            <w:rFonts w:ascii="Times New Roman"/>
                            <w:sz w:val="21"/>
                          </w:rPr>
                          <w:t>100.00</w:t>
                        </w:r>
                      </w:p>
                    </w:tc>
                  </w:tr>
                </w:tbl>
                <w:p>
                  <w:pPr/>
                </w:p>
              </w:txbxContent>
            </v:textbox>
            <w10:wrap type="none"/>
          </v:shape>
        </w:pict>
      </w:r>
      <w:r>
        <w:rPr>
          <w:w w:val="100"/>
        </w:rPr>
        <w:t>）</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spacing w:line="292" w:lineRule="auto"/>
        <w:ind w:left="572" w:right="106" w:hanging="37"/>
        <w:jc w:val="left"/>
      </w:pPr>
      <w:r>
        <w:rPr/>
        <w:t>本期纳入合并财务报表范围的主体较上期相比，未发生变化。</w:t>
      </w:r>
      <w:r>
        <w:rPr>
          <w:w w:val="100"/>
        </w:rPr>
        <w:t> </w:t>
      </w:r>
      <w:r>
        <w:rPr/>
        <w:t>本公司原持有深圳市连邦软件有限公司</w:t>
      </w:r>
      <w:r>
        <w:rPr>
          <w:rFonts w:ascii="宋体" w:hAnsi="宋体" w:cs="宋体" w:eastAsia="宋体" w:hint="default"/>
        </w:rPr>
        <w:t>37.50%</w:t>
      </w:r>
      <w:r>
        <w:rPr/>
        <w:t>的股权，</w:t>
      </w:r>
      <w:r>
        <w:rPr>
          <w:rFonts w:ascii="宋体" w:hAnsi="宋体" w:cs="宋体" w:eastAsia="宋体" w:hint="default"/>
        </w:rPr>
        <w:t>2006</w:t>
      </w:r>
      <w:r>
        <w:rPr/>
        <w:t>年</w:t>
      </w:r>
      <w:r>
        <w:rPr>
          <w:rFonts w:ascii="宋体" w:hAnsi="宋体" w:cs="宋体" w:eastAsia="宋体" w:hint="default"/>
        </w:rPr>
        <w:t>2</w:t>
      </w:r>
      <w:r>
        <w:rPr/>
        <w:t>月</w:t>
      </w:r>
      <w:r>
        <w:rPr>
          <w:rFonts w:ascii="宋体" w:hAnsi="宋体" w:cs="宋体" w:eastAsia="宋体" w:hint="default"/>
        </w:rPr>
        <w:t>27</w:t>
      </w:r>
      <w:r>
        <w:rPr/>
        <w:t>日，经深圳国际高新技术产权交</w:t>
      </w:r>
    </w:p>
    <w:p>
      <w:pPr>
        <w:pStyle w:val="BodyText"/>
        <w:spacing w:line="314" w:lineRule="auto" w:before="39"/>
        <w:ind w:right="215"/>
        <w:jc w:val="both"/>
      </w:pPr>
      <w:r>
        <w:rPr/>
        <w:t>易所以“深高交所见（</w:t>
      </w:r>
      <w:r>
        <w:rPr>
          <w:rFonts w:ascii="宋体" w:hAnsi="宋体" w:cs="宋体" w:eastAsia="宋体" w:hint="default"/>
        </w:rPr>
        <w:t>2006</w:t>
      </w:r>
      <w:r>
        <w:rPr/>
        <w:t>）字第</w:t>
      </w:r>
      <w:r>
        <w:rPr>
          <w:rFonts w:ascii="宋体" w:hAnsi="宋体" w:cs="宋体" w:eastAsia="宋体" w:hint="default"/>
        </w:rPr>
        <w:t>688</w:t>
      </w:r>
      <w:r>
        <w:rPr/>
        <w:t>号”《股权转让见证书》见证，刘浪（又名刘乙丁）将所持深圳市</w:t>
      </w:r>
      <w:r>
        <w:rPr>
          <w:spacing w:val="-31"/>
        </w:rPr>
        <w:t> </w:t>
      </w:r>
      <w:r>
        <w:rPr>
          <w:spacing w:val="-31"/>
        </w:rPr>
      </w:r>
      <w:r>
        <w:rPr>
          <w:spacing w:val="-2"/>
        </w:rPr>
        <w:t>连邦软件有限公司</w:t>
      </w:r>
      <w:r>
        <w:rPr>
          <w:rFonts w:ascii="宋体" w:hAnsi="宋体" w:cs="宋体" w:eastAsia="宋体" w:hint="default"/>
          <w:spacing w:val="-2"/>
        </w:rPr>
        <w:t>37.50%</w:t>
      </w:r>
      <w:r>
        <w:rPr>
          <w:spacing w:val="-2"/>
        </w:rPr>
        <w:t>的股权以人民币</w:t>
      </w:r>
      <w:r>
        <w:rPr>
          <w:rFonts w:ascii="宋体" w:hAnsi="宋体" w:cs="宋体" w:eastAsia="宋体" w:hint="default"/>
          <w:spacing w:val="-2"/>
        </w:rPr>
        <w:t>15.00</w:t>
      </w:r>
      <w:r>
        <w:rPr>
          <w:spacing w:val="-2"/>
        </w:rPr>
        <w:t>万元的价格转让给本公司，并于</w:t>
      </w:r>
      <w:r>
        <w:rPr>
          <w:rFonts w:ascii="宋体" w:hAnsi="宋体" w:cs="宋体" w:eastAsia="宋体" w:hint="default"/>
          <w:spacing w:val="-2"/>
        </w:rPr>
        <w:t>2006</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29</w:t>
      </w:r>
      <w:r>
        <w:rPr>
          <w:spacing w:val="-2"/>
        </w:rPr>
        <w:t>日完成股权转</w:t>
      </w:r>
      <w:r>
        <w:rPr>
          <w:spacing w:val="-35"/>
        </w:rPr>
        <w:t> </w:t>
      </w:r>
      <w:r>
        <w:rPr>
          <w:spacing w:val="-35"/>
        </w:rPr>
      </w:r>
      <w:r>
        <w:rPr/>
        <w:t>让的工商变更登记手续，变更后本公司持有深圳市连邦软件有限公司</w:t>
      </w:r>
      <w:r>
        <w:rPr>
          <w:rFonts w:ascii="宋体" w:hAnsi="宋体" w:cs="宋体" w:eastAsia="宋体" w:hint="default"/>
        </w:rPr>
        <w:t>75%</w:t>
      </w:r>
      <w:r>
        <w:rPr/>
        <w:t>的股权。</w:t>
      </w:r>
    </w:p>
    <w:p>
      <w:pPr>
        <w:pStyle w:val="BodyText"/>
        <w:spacing w:line="314" w:lineRule="auto" w:before="17"/>
        <w:ind w:right="106" w:firstLine="420"/>
        <w:jc w:val="left"/>
      </w:pPr>
      <w:r>
        <w:rPr>
          <w:rFonts w:ascii="宋体" w:hAnsi="宋体" w:cs="宋体" w:eastAsia="宋体" w:hint="default"/>
        </w:rPr>
        <w:t>2007</w:t>
      </w:r>
      <w:r>
        <w:rPr/>
        <w:t>年</w:t>
      </w:r>
      <w:r>
        <w:rPr>
          <w:rFonts w:ascii="宋体" w:hAnsi="宋体" w:cs="宋体" w:eastAsia="宋体" w:hint="default"/>
        </w:rPr>
        <w:t>5</w:t>
      </w:r>
      <w:r>
        <w:rPr/>
        <w:t>月</w:t>
      </w:r>
      <w:r>
        <w:rPr>
          <w:rFonts w:ascii="宋体" w:hAnsi="宋体" w:cs="宋体" w:eastAsia="宋体" w:hint="default"/>
        </w:rPr>
        <w:t>30</w:t>
      </w:r>
      <w:r>
        <w:rPr/>
        <w:t>日，经深圳国际高新技术产权交易所以“深高交所见（</w:t>
      </w:r>
      <w:r>
        <w:rPr>
          <w:rFonts w:ascii="宋体" w:hAnsi="宋体" w:cs="宋体" w:eastAsia="宋体" w:hint="default"/>
        </w:rPr>
        <w:t>2007</w:t>
      </w:r>
      <w:r>
        <w:rPr/>
        <w:t>）字第</w:t>
      </w:r>
      <w:r>
        <w:rPr>
          <w:rFonts w:ascii="宋体" w:hAnsi="宋体" w:cs="宋体" w:eastAsia="宋体" w:hint="default"/>
        </w:rPr>
        <w:t>3225</w:t>
      </w:r>
      <w:r>
        <w:rPr/>
        <w:t>号”《股权转让</w:t>
      </w:r>
      <w:r>
        <w:rPr>
          <w:w w:val="100"/>
        </w:rPr>
        <w:t> </w:t>
      </w:r>
      <w:r>
        <w:rPr>
          <w:spacing w:val="-4"/>
        </w:rPr>
        <w:t>见证书》见证，缪洪将其持有深圳市连邦软件有限公司</w:t>
      </w:r>
      <w:r>
        <w:rPr>
          <w:rFonts w:ascii="宋体" w:hAnsi="宋体" w:cs="宋体" w:eastAsia="宋体" w:hint="default"/>
          <w:spacing w:val="-4"/>
        </w:rPr>
        <w:t>25%</w:t>
      </w:r>
      <w:r>
        <w:rPr>
          <w:spacing w:val="-4"/>
        </w:rPr>
        <w:t>的股权以人民币</w:t>
      </w:r>
      <w:r>
        <w:rPr>
          <w:rFonts w:ascii="宋体" w:hAnsi="宋体" w:cs="宋体" w:eastAsia="宋体" w:hint="default"/>
          <w:spacing w:val="-4"/>
        </w:rPr>
        <w:t>10.00</w:t>
      </w:r>
      <w:r>
        <w:rPr>
          <w:spacing w:val="-4"/>
        </w:rPr>
        <w:t>万元的价格转让给本公司，</w:t>
      </w:r>
      <w:r>
        <w:rPr>
          <w:spacing w:val="-47"/>
        </w:rPr>
        <w:t> </w:t>
      </w:r>
      <w:r>
        <w:rPr>
          <w:spacing w:val="-47"/>
        </w:rPr>
      </w:r>
      <w:r>
        <w:rPr>
          <w:spacing w:val="-2"/>
        </w:rPr>
        <w:t>并于</w:t>
      </w:r>
      <w:r>
        <w:rPr>
          <w:rFonts w:ascii="宋体" w:hAnsi="宋体" w:cs="宋体" w:eastAsia="宋体" w:hint="default"/>
          <w:spacing w:val="-2"/>
        </w:rPr>
        <w:t>2007</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6</w:t>
      </w:r>
      <w:r>
        <w:rPr>
          <w:spacing w:val="-2"/>
        </w:rPr>
        <w:t>日完成股权转让的工商变更登记手续。变更后深圳市连邦软件有限公司成为本公司的全资</w:t>
      </w:r>
      <w:r>
        <w:rPr>
          <w:spacing w:val="-37"/>
        </w:rPr>
        <w:t> </w:t>
      </w:r>
      <w:r>
        <w:rPr>
          <w:spacing w:val="-37"/>
        </w:rPr>
      </w:r>
      <w:r>
        <w:rPr/>
        <w:t>子公司。</w:t>
      </w:r>
    </w:p>
    <w:p>
      <w:pPr>
        <w:pStyle w:val="BodyText"/>
        <w:spacing w:line="314" w:lineRule="auto" w:before="17"/>
        <w:ind w:right="106" w:firstLine="420"/>
        <w:jc w:val="left"/>
      </w:pPr>
      <w:r>
        <w:rPr>
          <w:rFonts w:ascii="宋体" w:hAnsi="宋体" w:cs="宋体" w:eastAsia="宋体" w:hint="default"/>
        </w:rPr>
        <w:t>2007</w:t>
      </w:r>
      <w:r>
        <w:rPr/>
        <w:t>年</w:t>
      </w:r>
      <w:r>
        <w:rPr>
          <w:rFonts w:ascii="宋体" w:hAnsi="宋体" w:cs="宋体" w:eastAsia="宋体" w:hint="default"/>
        </w:rPr>
        <w:t>6</w:t>
      </w:r>
      <w:r>
        <w:rPr/>
        <w:t>月，本公司对深圳市连邦软件有限公司增资人民币</w:t>
      </w:r>
      <w:r>
        <w:rPr>
          <w:rFonts w:ascii="宋体" w:hAnsi="宋体" w:cs="宋体" w:eastAsia="宋体" w:hint="default"/>
        </w:rPr>
        <w:t>160.00</w:t>
      </w:r>
      <w:r>
        <w:rPr/>
        <w:t>万元，增资后深圳市连邦软件有限</w:t>
      </w:r>
      <w:r>
        <w:rPr>
          <w:w w:val="100"/>
        </w:rPr>
        <w:t> </w:t>
      </w:r>
      <w:r>
        <w:rPr/>
        <w:t>公司注册资本变更为人民币</w:t>
      </w:r>
      <w:r>
        <w:rPr>
          <w:rFonts w:ascii="宋体" w:hAnsi="宋体" w:cs="宋体" w:eastAsia="宋体" w:hint="default"/>
        </w:rPr>
        <w:t>200.00</w:t>
      </w:r>
      <w:r>
        <w:rPr/>
        <w:t>万元。</w:t>
      </w:r>
    </w:p>
    <w:p>
      <w:pPr>
        <w:pStyle w:val="BodyText"/>
        <w:spacing w:line="240" w:lineRule="auto" w:before="17"/>
        <w:ind w:left="572" w:right="106"/>
        <w:jc w:val="left"/>
      </w:pPr>
      <w:r>
        <w:rPr>
          <w:rFonts w:ascii="宋体" w:hAnsi="宋体" w:cs="宋体" w:eastAsia="宋体" w:hint="default"/>
        </w:rPr>
        <w:t>2009</w:t>
      </w:r>
      <w:r>
        <w:rPr/>
        <w:t>年</w:t>
      </w:r>
      <w:r>
        <w:rPr>
          <w:rFonts w:ascii="宋体" w:hAnsi="宋体" w:cs="宋体" w:eastAsia="宋体" w:hint="default"/>
        </w:rPr>
        <w:t>8</w:t>
      </w:r>
      <w:r>
        <w:rPr/>
        <w:t>月</w:t>
      </w:r>
      <w:r>
        <w:rPr>
          <w:rFonts w:ascii="宋体" w:hAnsi="宋体" w:cs="宋体" w:eastAsia="宋体" w:hint="default"/>
        </w:rPr>
        <w:t>25</w:t>
      </w:r>
      <w:r>
        <w:rPr/>
        <w:t>日，深圳市连邦软件有限公司名称变更为深圳市连邦信息技术有限公司。</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9"/>
          <w:szCs w:val="29"/>
        </w:rPr>
      </w:pPr>
    </w:p>
    <w:p>
      <w:pPr>
        <w:pStyle w:val="Heading4"/>
        <w:spacing w:line="240" w:lineRule="auto"/>
        <w:ind w:right="0"/>
        <w:jc w:val="both"/>
        <w:rPr>
          <w:b w:val="0"/>
          <w:bCs w:val="0"/>
        </w:rPr>
      </w:pPr>
      <w:bookmarkStart w:name="四、财务报表的编制基础" w:id="123"/>
      <w:bookmarkEnd w:id="123"/>
      <w:r>
        <w:rPr>
          <w:b w:val="0"/>
          <w:bCs w:val="0"/>
        </w:rPr>
      </w:r>
      <w:r>
        <w:rPr/>
        <w:t>四、财务报表的编制基础</w:t>
      </w:r>
      <w:r>
        <w:rPr>
          <w:b w:val="0"/>
          <w:bCs w:val="0"/>
        </w:rPr>
      </w:r>
    </w:p>
    <w:p>
      <w:pPr>
        <w:spacing w:line="240" w:lineRule="auto" w:before="0"/>
        <w:rPr>
          <w:rFonts w:ascii="宋体" w:hAnsi="宋体" w:cs="宋体" w:eastAsia="宋体" w:hint="default"/>
          <w:b/>
          <w:bCs/>
          <w:sz w:val="24"/>
          <w:szCs w:val="24"/>
        </w:rPr>
      </w:pPr>
    </w:p>
    <w:p>
      <w:pPr>
        <w:spacing w:line="240" w:lineRule="auto" w:before="8"/>
        <w:rPr>
          <w:rFonts w:ascii="宋体" w:hAnsi="宋体" w:cs="宋体" w:eastAsia="宋体" w:hint="default"/>
          <w:b/>
          <w:bCs/>
          <w:sz w:val="23"/>
          <w:szCs w:val="23"/>
        </w:rPr>
      </w:pPr>
    </w:p>
    <w:p>
      <w:pPr>
        <w:pStyle w:val="Heading5"/>
        <w:spacing w:line="240" w:lineRule="auto"/>
        <w:ind w:right="0"/>
        <w:jc w:val="both"/>
        <w:rPr>
          <w:b w:val="0"/>
          <w:bCs w:val="0"/>
        </w:rPr>
      </w:pPr>
      <w:bookmarkStart w:name="1、编制基础" w:id="124"/>
      <w:bookmarkEnd w:id="124"/>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312" w:lineRule="auto"/>
        <w:ind w:right="210" w:firstLine="419"/>
        <w:jc w:val="both"/>
      </w:pPr>
      <w:r>
        <w:rPr>
          <w:spacing w:val="-2"/>
        </w:rPr>
        <w:t>本公司以持续经营为基础，根据实际发生的交易和事项，按照财政部颁布的《企业会计准则</w:t>
      </w:r>
      <w:r>
        <w:rPr>
          <w:rFonts w:ascii="宋体" w:hAnsi="宋体" w:cs="宋体" w:eastAsia="宋体" w:hint="default"/>
          <w:spacing w:val="-2"/>
        </w:rPr>
        <w:t>——</w:t>
      </w:r>
      <w:r>
        <w:rPr>
          <w:spacing w:val="-2"/>
        </w:rPr>
        <w:t>基本</w:t>
      </w:r>
      <w:r>
        <w:rPr>
          <w:spacing w:val="-3"/>
          <w:w w:val="100"/>
        </w:rPr>
        <w:t> </w:t>
      </w:r>
      <w:r>
        <w:rPr/>
        <w:t>准则》和具体企业会计准则、企业会计准则应用指南、企业会计准则解释及其他相关规定</w:t>
      </w:r>
      <w:r>
        <w:rPr>
          <w:rFonts w:ascii="宋体" w:hAnsi="宋体" w:cs="宋体" w:eastAsia="宋体" w:hint="default"/>
        </w:rPr>
        <w:t>(</w:t>
      </w:r>
      <w:r>
        <w:rPr/>
        <w:t>以下合称“企</w:t>
      </w:r>
      <w:r>
        <w:rPr>
          <w:spacing w:val="-25"/>
        </w:rPr>
        <w:t> </w:t>
      </w:r>
      <w:r>
        <w:rPr>
          <w:spacing w:val="-25"/>
        </w:rPr>
      </w:r>
      <w:r>
        <w:rPr/>
        <w:t>业会计准则”</w:t>
      </w:r>
      <w:r>
        <w:rPr>
          <w:rFonts w:ascii="宋体" w:hAnsi="宋体" w:cs="宋体" w:eastAsia="宋体" w:hint="default"/>
        </w:rPr>
        <w:t>)</w:t>
      </w:r>
      <w:r>
        <w:rPr/>
        <w:t>进行确认和计量，在此基础上，结合中国证券监督管理委员会《公开发行证券的公司信息</w:t>
      </w:r>
      <w:r>
        <w:rPr>
          <w:spacing w:val="-25"/>
        </w:rPr>
        <w:t> </w:t>
      </w:r>
      <w:r>
        <w:rPr>
          <w:spacing w:val="-25"/>
        </w:rPr>
      </w:r>
      <w:r>
        <w:rPr/>
        <w:t>披露编报规则第</w:t>
      </w:r>
      <w:r>
        <w:rPr>
          <w:rFonts w:ascii="宋体" w:hAnsi="宋体" w:cs="宋体" w:eastAsia="宋体" w:hint="default"/>
        </w:rPr>
        <w:t>15</w:t>
      </w:r>
      <w:r>
        <w:rPr/>
        <w:t>号</w:t>
      </w:r>
      <w:r>
        <w:rPr>
          <w:rFonts w:ascii="宋体" w:hAnsi="宋体" w:cs="宋体" w:eastAsia="宋体" w:hint="default"/>
        </w:rPr>
        <w:t>——</w:t>
      </w:r>
      <w:r>
        <w:rPr/>
        <w:t>财务报告的一般规定》</w:t>
      </w:r>
      <w:r>
        <w:rPr>
          <w:rFonts w:ascii="宋体" w:hAnsi="宋体" w:cs="宋体" w:eastAsia="宋体" w:hint="default"/>
        </w:rPr>
        <w:t>(2014</w:t>
      </w:r>
      <w:r>
        <w:rPr/>
        <w:t>年修订</w:t>
      </w:r>
      <w:r>
        <w:rPr>
          <w:rFonts w:ascii="宋体" w:hAnsi="宋体" w:cs="宋体" w:eastAsia="宋体" w:hint="default"/>
        </w:rPr>
        <w:t>)</w:t>
      </w:r>
      <w:r>
        <w:rPr/>
        <w:t>的规定，编制财务报表。</w:t>
      </w:r>
    </w:p>
    <w:p>
      <w:pPr>
        <w:spacing w:line="240" w:lineRule="auto" w:before="10"/>
        <w:rPr>
          <w:rFonts w:ascii="宋体" w:hAnsi="宋体" w:cs="宋体" w:eastAsia="宋体" w:hint="default"/>
          <w:sz w:val="22"/>
          <w:szCs w:val="22"/>
        </w:rPr>
      </w:pPr>
    </w:p>
    <w:p>
      <w:pPr>
        <w:pStyle w:val="Heading5"/>
        <w:spacing w:line="240" w:lineRule="auto"/>
        <w:ind w:right="0"/>
        <w:jc w:val="both"/>
        <w:rPr>
          <w:b w:val="0"/>
          <w:bCs w:val="0"/>
        </w:rPr>
      </w:pPr>
      <w:bookmarkStart w:name="2、持续经营" w:id="125"/>
      <w:bookmarkEnd w:id="125"/>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72" w:right="106"/>
        <w:jc w:val="left"/>
      </w:pPr>
      <w:r>
        <w:rPr/>
        <w:t>本公司自报告期末起</w:t>
      </w:r>
      <w:r>
        <w:rPr>
          <w:rFonts w:ascii="宋体" w:hAnsi="宋体" w:cs="宋体" w:eastAsia="宋体" w:hint="default"/>
        </w:rPr>
        <w:t>12</w:t>
      </w:r>
      <w:r>
        <w:rPr/>
        <w:t>个月不存在对本公司持续经营能力产生重大疑虑的事项或情况。</w:t>
      </w:r>
    </w:p>
    <w:p>
      <w:pPr>
        <w:spacing w:after="0" w:line="240" w:lineRule="auto"/>
        <w:jc w:val="left"/>
        <w:sectPr>
          <w:pgSz w:w="11910" w:h="16840"/>
          <w:pgMar w:header="880" w:footer="979" w:top="1060" w:bottom="1160" w:left="980" w:right="920"/>
        </w:sectPr>
      </w:pPr>
    </w:p>
    <w:p>
      <w:pPr>
        <w:spacing w:line="240" w:lineRule="auto" w:before="6"/>
        <w:rPr>
          <w:rFonts w:ascii="宋体" w:hAnsi="宋体" w:cs="宋体" w:eastAsia="宋体" w:hint="default"/>
          <w:sz w:val="23"/>
          <w:szCs w:val="23"/>
        </w:rPr>
      </w:pPr>
    </w:p>
    <w:p>
      <w:pPr>
        <w:pStyle w:val="Heading4"/>
        <w:spacing w:line="240" w:lineRule="auto" w:before="26"/>
        <w:ind w:right="0"/>
        <w:jc w:val="left"/>
        <w:rPr>
          <w:b w:val="0"/>
          <w:bCs w:val="0"/>
        </w:rPr>
      </w:pPr>
      <w:r>
        <w:rPr/>
        <w:t>五、重要会计政策及会计估计</w:t>
      </w:r>
      <w:r>
        <w:rPr>
          <w:b w:val="0"/>
          <w:bCs w:val="0"/>
        </w:rPr>
      </w:r>
    </w:p>
    <w:p>
      <w:pPr>
        <w:spacing w:line="240" w:lineRule="auto" w:before="10"/>
        <w:rPr>
          <w:rFonts w:ascii="宋体" w:hAnsi="宋体" w:cs="宋体" w:eastAsia="宋体" w:hint="default"/>
          <w:b/>
          <w:bCs/>
          <w:sz w:val="26"/>
          <w:szCs w:val="26"/>
        </w:rPr>
      </w:pPr>
    </w:p>
    <w:p>
      <w:pPr>
        <w:pStyle w:val="BodyText"/>
        <w:spacing w:line="240" w:lineRule="auto"/>
        <w:ind w:left="572" w:right="0"/>
        <w:jc w:val="left"/>
      </w:pPr>
      <w:bookmarkStart w:name="五、重要会计政策及会计估计" w:id="126"/>
      <w:bookmarkEnd w:id="126"/>
      <w:r>
        <w:rPr/>
      </w:r>
      <w:r>
        <w:rPr/>
        <w:t>具体会计政策和会计估计提示：</w:t>
      </w:r>
    </w:p>
    <w:p>
      <w:pPr>
        <w:spacing w:line="620" w:lineRule="atLeast" w:before="29"/>
        <w:ind w:left="575" w:right="0" w:hanging="423"/>
        <w:jc w:val="left"/>
        <w:rPr>
          <w:rFonts w:ascii="宋体" w:hAnsi="宋体" w:cs="宋体" w:eastAsia="宋体" w:hint="default"/>
          <w:sz w:val="21"/>
          <w:szCs w:val="21"/>
        </w:rPr>
      </w:pPr>
      <w:bookmarkStart w:name="1、遵循企业会计准则的声明" w:id="127"/>
      <w:bookmarkEnd w:id="127"/>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、遵循企业会计准则的声明</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本公司所编制的财务报表符合企业会计准则的要求，真实、完整地反映了报告期公司的财务状况、经</w:t>
      </w:r>
    </w:p>
    <w:p>
      <w:pPr>
        <w:pStyle w:val="BodyText"/>
        <w:spacing w:line="240" w:lineRule="auto" w:before="82"/>
        <w:ind w:right="0"/>
        <w:jc w:val="left"/>
      </w:pPr>
      <w:r>
        <w:rPr/>
        <w:t>营成果、现金流量等有关信息。</w:t>
      </w:r>
    </w:p>
    <w:p>
      <w:pPr>
        <w:spacing w:line="240" w:lineRule="auto" w:before="8"/>
        <w:rPr>
          <w:rFonts w:ascii="宋体" w:hAnsi="宋体" w:cs="宋体" w:eastAsia="宋体" w:hint="default"/>
          <w:sz w:val="27"/>
          <w:szCs w:val="27"/>
        </w:rPr>
      </w:pPr>
    </w:p>
    <w:p>
      <w:pPr>
        <w:pStyle w:val="Heading5"/>
        <w:spacing w:line="240" w:lineRule="auto"/>
        <w:ind w:right="0"/>
        <w:jc w:val="left"/>
        <w:rPr>
          <w:b w:val="0"/>
          <w:bCs w:val="0"/>
        </w:rPr>
      </w:pPr>
      <w:bookmarkStart w:name="2、会计期间" w:id="128"/>
      <w:bookmarkEnd w:id="128"/>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75" w:right="0"/>
        <w:jc w:val="left"/>
      </w:pPr>
      <w:r>
        <w:rPr/>
        <w:t>本公司采用公历年为会计期间，即自每年一月一日至十二月三十一日止为一个会计期间。</w:t>
      </w:r>
    </w:p>
    <w:p>
      <w:pPr>
        <w:spacing w:line="240" w:lineRule="auto" w:before="8"/>
        <w:rPr>
          <w:rFonts w:ascii="宋体" w:hAnsi="宋体" w:cs="宋体" w:eastAsia="宋体" w:hint="default"/>
          <w:sz w:val="27"/>
          <w:szCs w:val="27"/>
        </w:rPr>
      </w:pPr>
    </w:p>
    <w:p>
      <w:pPr>
        <w:pStyle w:val="Heading5"/>
        <w:spacing w:line="240" w:lineRule="auto"/>
        <w:ind w:right="0"/>
        <w:jc w:val="left"/>
        <w:rPr>
          <w:b w:val="0"/>
          <w:bCs w:val="0"/>
        </w:rPr>
      </w:pPr>
      <w:bookmarkStart w:name="3、营业周期" w:id="129"/>
      <w:bookmarkEnd w:id="129"/>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75" w:right="0"/>
        <w:jc w:val="left"/>
      </w:pPr>
      <w:r>
        <w:rPr/>
        <w:t>本公司营业周期为</w:t>
      </w:r>
      <w:r>
        <w:rPr>
          <w:rFonts w:ascii="宋体" w:hAnsi="宋体" w:cs="宋体" w:eastAsia="宋体" w:hint="default"/>
        </w:rPr>
        <w:t>12</w:t>
      </w:r>
      <w:r>
        <w:rPr/>
        <w:t>个月，并以营业周期作为资产和负债的流动性划分标准。</w:t>
      </w:r>
    </w:p>
    <w:p>
      <w:pPr>
        <w:spacing w:line="240" w:lineRule="auto" w:before="8"/>
        <w:rPr>
          <w:rFonts w:ascii="宋体" w:hAnsi="宋体" w:cs="宋体" w:eastAsia="宋体" w:hint="default"/>
          <w:sz w:val="27"/>
          <w:szCs w:val="27"/>
        </w:rPr>
      </w:pPr>
    </w:p>
    <w:p>
      <w:pPr>
        <w:pStyle w:val="Heading5"/>
        <w:spacing w:line="240" w:lineRule="auto"/>
        <w:ind w:right="0"/>
        <w:jc w:val="left"/>
        <w:rPr>
          <w:b w:val="0"/>
          <w:bCs w:val="0"/>
        </w:rPr>
      </w:pPr>
      <w:bookmarkStart w:name="4、记账本位币" w:id="130"/>
      <w:bookmarkEnd w:id="130"/>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784" w:right="0"/>
        <w:jc w:val="left"/>
      </w:pPr>
      <w:r>
        <w:rPr/>
        <w:t>本公司以人民币为记账本位币。</w:t>
      </w:r>
    </w:p>
    <w:p>
      <w:pPr>
        <w:spacing w:line="240" w:lineRule="auto" w:before="4"/>
        <w:rPr>
          <w:rFonts w:ascii="宋体" w:hAnsi="宋体" w:cs="宋体" w:eastAsia="宋体" w:hint="default"/>
          <w:sz w:val="26"/>
          <w:szCs w:val="26"/>
        </w:rPr>
      </w:pPr>
    </w:p>
    <w:p>
      <w:pPr>
        <w:pStyle w:val="Heading5"/>
        <w:spacing w:line="620" w:lineRule="atLeast"/>
        <w:ind w:left="572" w:right="0" w:hanging="420"/>
        <w:jc w:val="left"/>
        <w:rPr>
          <w:b w:val="0"/>
          <w:bCs w:val="0"/>
        </w:rPr>
      </w:pPr>
      <w:bookmarkStart w:name="5、同一控制下和非同一控制下企业合并的会计处理方法" w:id="131"/>
      <w:bookmarkEnd w:id="131"/>
      <w:r>
        <w:rPr>
          <w:b w:val="0"/>
          <w:bCs w:val="0"/>
        </w:rPr>
      </w:r>
      <w:r>
        <w:rPr>
          <w:rFonts w:ascii="Times New Roman" w:hAnsi="Times New Roman" w:cs="Times New Roman" w:eastAsia="Times New Roman" w:hint="default"/>
        </w:rPr>
        <w:t>5</w:t>
      </w:r>
      <w:r>
        <w:rPr/>
        <w:t>、同一控制下和非同一控制下企业合并的会计处理方法</w:t>
      </w:r>
      <w:r>
        <w:rPr>
          <w:w w:val="100"/>
        </w:rPr>
        <w:t> </w:t>
      </w:r>
      <w:r>
        <w:rPr>
          <w:spacing w:val="-2"/>
        </w:rPr>
        <w:t>一、分步实现企业合并过程中的各项交易的条款、条件以及经济影响符合以下一种或多种情况，将多</w:t>
      </w:r>
      <w:r>
        <w:rPr>
          <w:b w:val="0"/>
          <w:bCs w:val="0"/>
          <w:spacing w:val="-2"/>
        </w:rPr>
      </w:r>
    </w:p>
    <w:p>
      <w:pPr>
        <w:spacing w:line="312" w:lineRule="auto" w:before="85"/>
        <w:ind w:left="572" w:right="3068" w:hanging="420"/>
        <w:jc w:val="left"/>
        <w:rPr>
          <w:rFonts w:ascii="宋体" w:hAnsi="宋体" w:cs="宋体" w:eastAsia="宋体" w:hint="default"/>
          <w:sz w:val="21"/>
          <w:szCs w:val="21"/>
        </w:rPr>
      </w:pPr>
      <w:r>
        <w:rPr>
          <w:rFonts w:ascii="宋体" w:hAnsi="宋体" w:cs="宋体" w:eastAsia="宋体" w:hint="default"/>
          <w:b/>
          <w:bCs/>
          <w:sz w:val="21"/>
          <w:szCs w:val="21"/>
        </w:rPr>
        <w:t>次交易事项作为一揽子交易进行会计处理：</w:t>
      </w:r>
      <w:r>
        <w:rPr>
          <w:rFonts w:ascii="宋体" w:hAnsi="宋体" w:cs="宋体" w:eastAsia="宋体" w:hint="default"/>
          <w:b/>
          <w:bCs/>
          <w:w w:val="100"/>
          <w:sz w:val="21"/>
          <w:szCs w:val="21"/>
        </w:rPr>
        <w:t> </w:t>
      </w:r>
      <w:r>
        <w:rPr>
          <w:rFonts w:ascii="宋体" w:hAnsi="宋体" w:cs="宋体" w:eastAsia="宋体" w:hint="default"/>
          <w:sz w:val="21"/>
          <w:szCs w:val="21"/>
        </w:rPr>
        <w:t>这些交易是同时或者在考虑了彼此影响的情况下订立的；</w:t>
      </w:r>
      <w:r>
        <w:rPr>
          <w:rFonts w:ascii="宋体" w:hAnsi="宋体" w:cs="宋体" w:eastAsia="宋体" w:hint="default"/>
          <w:w w:val="100"/>
          <w:sz w:val="21"/>
          <w:szCs w:val="21"/>
        </w:rPr>
        <w:t> </w:t>
      </w:r>
      <w:r>
        <w:rPr>
          <w:rFonts w:ascii="宋体" w:hAnsi="宋体" w:cs="宋体" w:eastAsia="宋体" w:hint="default"/>
          <w:sz w:val="21"/>
          <w:szCs w:val="21"/>
        </w:rPr>
        <w:t>这些交易整体才能达成一项完整的商业结果；</w:t>
      </w:r>
      <w:r>
        <w:rPr>
          <w:rFonts w:ascii="宋体" w:hAnsi="宋体" w:cs="宋体" w:eastAsia="宋体" w:hint="default"/>
          <w:w w:val="100"/>
          <w:sz w:val="21"/>
          <w:szCs w:val="21"/>
        </w:rPr>
        <w:t> </w:t>
      </w:r>
      <w:r>
        <w:rPr>
          <w:rFonts w:ascii="宋体" w:hAnsi="宋体" w:cs="宋体" w:eastAsia="宋体" w:hint="default"/>
          <w:sz w:val="21"/>
          <w:szCs w:val="21"/>
        </w:rPr>
        <w:t>一项交易的发生取决于其他至少一项交易的发生；</w:t>
      </w:r>
      <w:r>
        <w:rPr>
          <w:rFonts w:ascii="宋体" w:hAnsi="宋体" w:cs="宋体" w:eastAsia="宋体" w:hint="default"/>
          <w:w w:val="100"/>
          <w:sz w:val="21"/>
          <w:szCs w:val="21"/>
        </w:rPr>
        <w:t> </w:t>
      </w:r>
      <w:r>
        <w:rPr>
          <w:rFonts w:ascii="宋体" w:hAnsi="宋体" w:cs="宋体" w:eastAsia="宋体" w:hint="default"/>
          <w:spacing w:val="-2"/>
          <w:sz w:val="21"/>
          <w:szCs w:val="21"/>
        </w:rPr>
        <w:t>一项交易单独看是不经济的，但是和其他交易一并考虑时是经济的。</w:t>
      </w:r>
      <w:r>
        <w:rPr>
          <w:rFonts w:ascii="宋体" w:hAnsi="宋体" w:cs="宋体" w:eastAsia="宋体" w:hint="default"/>
          <w:w w:val="100"/>
          <w:sz w:val="21"/>
          <w:szCs w:val="21"/>
        </w:rPr>
        <w:t> </w:t>
      </w:r>
      <w:r>
        <w:rPr>
          <w:rFonts w:ascii="宋体" w:hAnsi="宋体" w:cs="宋体" w:eastAsia="宋体" w:hint="default"/>
          <w:b/>
          <w:bCs/>
          <w:sz w:val="21"/>
          <w:szCs w:val="21"/>
        </w:rPr>
        <w:t>二、同一控制下的企业合并</w:t>
      </w:r>
      <w:r>
        <w:rPr>
          <w:rFonts w:ascii="宋体" w:hAnsi="宋体" w:cs="宋体" w:eastAsia="宋体" w:hint="default"/>
          <w:sz w:val="21"/>
          <w:szCs w:val="21"/>
        </w:rPr>
      </w:r>
    </w:p>
    <w:p>
      <w:pPr>
        <w:pStyle w:val="BodyText"/>
        <w:spacing w:line="312" w:lineRule="auto" w:before="22"/>
        <w:ind w:left="572" w:right="0"/>
        <w:jc w:val="left"/>
      </w:pPr>
      <w:r>
        <w:rPr/>
        <w:t>（</w:t>
      </w:r>
      <w:r>
        <w:rPr>
          <w:rFonts w:ascii="宋体" w:hAnsi="宋体" w:cs="宋体" w:eastAsia="宋体" w:hint="default"/>
        </w:rPr>
        <w:t>1</w:t>
      </w:r>
      <w:r>
        <w:rPr/>
        <w:t>）个别财务报表</w:t>
      </w:r>
      <w:r>
        <w:rPr>
          <w:w w:val="100"/>
        </w:rPr>
        <w:t> </w:t>
      </w:r>
      <w:r>
        <w:rPr>
          <w:spacing w:val="-2"/>
        </w:rPr>
        <w:t>公司以支付现金、转让非现金资产、承担债务方式或以发行权益性证券作为合并对价的，在合并日按</w:t>
      </w:r>
      <w:r>
        <w:rPr/>
      </w:r>
    </w:p>
    <w:p>
      <w:pPr>
        <w:pStyle w:val="BodyText"/>
        <w:spacing w:line="312" w:lineRule="auto" w:before="22"/>
        <w:ind w:right="147"/>
        <w:jc w:val="both"/>
      </w:pPr>
      <w:r>
        <w:rPr>
          <w:spacing w:val="2"/>
        </w:rPr>
        <w:t>照被合并方所有者权益在最终控制方合并财务报表中的账面价值的份额作为长期股权投资的初始投资成</w:t>
      </w:r>
      <w:r>
        <w:rPr>
          <w:spacing w:val="-28"/>
        </w:rPr>
        <w:t> </w:t>
      </w:r>
      <w:r>
        <w:rPr>
          <w:spacing w:val="-28"/>
        </w:rPr>
      </w:r>
      <w:r>
        <w:rPr>
          <w:spacing w:val="-2"/>
        </w:rPr>
        <w:t>本。长期股权投资初始投资成本与支付合并对价之间的差额，调整资本公积；资本公积不足冲减的，调整</w:t>
      </w:r>
      <w:r>
        <w:rPr>
          <w:spacing w:val="-47"/>
        </w:rPr>
        <w:t> </w:t>
      </w:r>
      <w:r>
        <w:rPr>
          <w:spacing w:val="-47"/>
        </w:rPr>
      </w:r>
      <w:r>
        <w:rPr>
          <w:spacing w:val="-2"/>
        </w:rPr>
        <w:t>留存收益。如果存在或有对价并需要确认预计负债或资产，该预计负债或资产金额与后续或有对价结算金</w:t>
      </w:r>
      <w:r>
        <w:rPr>
          <w:spacing w:val="-43"/>
        </w:rPr>
        <w:t> </w:t>
      </w:r>
      <w:r>
        <w:rPr>
          <w:spacing w:val="-43"/>
        </w:rPr>
      </w:r>
      <w:r>
        <w:rPr/>
        <w:t>额的差额，调整资本公积（资本溢价或股本溢价），资本公积不足的，调整留存收益。</w:t>
      </w:r>
    </w:p>
    <w:p>
      <w:pPr>
        <w:pStyle w:val="BodyText"/>
        <w:spacing w:line="312" w:lineRule="auto" w:before="22"/>
        <w:ind w:right="146" w:firstLine="420"/>
        <w:jc w:val="both"/>
      </w:pPr>
      <w:r>
        <w:rPr>
          <w:spacing w:val="-2"/>
        </w:rPr>
        <w:t>对于通过多次交易最终实现企业合并的，属于一揽子交易的，将各项交易作为一项取得控制权的交易</w:t>
      </w:r>
      <w:r>
        <w:rPr>
          <w:w w:val="100"/>
        </w:rPr>
        <w:t> </w:t>
      </w:r>
      <w:r>
        <w:rPr>
          <w:spacing w:val="-3"/>
        </w:rPr>
        <w:t>进行会计处理；不属于一揽子交易的，在取得控制权日，长期股权投资初始投资成本，与达到合并前的长</w:t>
      </w:r>
      <w:r>
        <w:rPr>
          <w:spacing w:val="-5"/>
        </w:rPr>
        <w:t> </w:t>
      </w:r>
      <w:r>
        <w:rPr>
          <w:spacing w:val="-5"/>
        </w:rPr>
      </w:r>
      <w:r>
        <w:rPr>
          <w:spacing w:val="-2"/>
        </w:rPr>
        <w:t>期股权投资账面价值加上合并日进一步取得股份新支付对价的账面价值之和的差额，调整资本公积；资本</w:t>
      </w:r>
      <w:r>
        <w:rPr>
          <w:spacing w:val="-43"/>
        </w:rPr>
        <w:t> </w:t>
      </w:r>
      <w:r>
        <w:rPr>
          <w:spacing w:val="-43"/>
        </w:rPr>
      </w:r>
      <w:r>
        <w:rPr>
          <w:spacing w:val="-2"/>
        </w:rPr>
        <w:t>公积不足冲减的，调整留存收益。对于合并日之前持有的股权投资，因采用权益法核算或金融工具确认和</w:t>
      </w:r>
    </w:p>
    <w:p>
      <w:pPr>
        <w:spacing w:after="0" w:line="312" w:lineRule="auto"/>
        <w:jc w:val="both"/>
        <w:sectPr>
          <w:pgSz w:w="11910" w:h="16840"/>
          <w:pgMar w:header="880" w:footer="979" w:top="1060" w:bottom="1160" w:left="980" w:right="980"/>
        </w:sectPr>
      </w:pPr>
    </w:p>
    <w:p>
      <w:pPr>
        <w:spacing w:line="240" w:lineRule="auto" w:before="6"/>
        <w:rPr>
          <w:rFonts w:ascii="宋体" w:hAnsi="宋体" w:cs="宋体" w:eastAsia="宋体" w:hint="default"/>
          <w:sz w:val="26"/>
          <w:szCs w:val="26"/>
        </w:rPr>
      </w:pPr>
    </w:p>
    <w:p>
      <w:pPr>
        <w:pStyle w:val="BodyText"/>
        <w:spacing w:line="312" w:lineRule="auto" w:before="36"/>
        <w:ind w:right="185"/>
        <w:jc w:val="both"/>
      </w:pPr>
      <w:r>
        <w:rPr>
          <w:spacing w:val="-2"/>
        </w:rPr>
        <w:t>计量准则核算而确认的其他综合收益，暂不进行会计处理，直至处置该项投资时采用与被投资单位直接处</w:t>
      </w:r>
      <w:r>
        <w:rPr>
          <w:spacing w:val="-44"/>
        </w:rPr>
        <w:t> </w:t>
      </w:r>
      <w:r>
        <w:rPr>
          <w:spacing w:val="-44"/>
        </w:rPr>
      </w:r>
      <w:r>
        <w:rPr>
          <w:spacing w:val="-2"/>
        </w:rPr>
        <w:t>置相关资产或负债相同的基础进行会计处理；因采用权益法核算而确认的被投资单位净资产中除净损益、</w:t>
      </w:r>
      <w:r>
        <w:rPr>
          <w:spacing w:val="-21"/>
        </w:rPr>
        <w:t> </w:t>
      </w:r>
      <w:r>
        <w:rPr>
          <w:spacing w:val="-21"/>
        </w:rPr>
      </w:r>
      <w:r>
        <w:rPr>
          <w:spacing w:val="-2"/>
        </w:rPr>
        <w:t>其他综合收益和利润分配以外的所有者权益其他变动，暂不进行会计处理，直至处置该项投资时转入当期</w:t>
      </w:r>
      <w:r>
        <w:rPr>
          <w:spacing w:val="-43"/>
        </w:rPr>
        <w:t> </w:t>
      </w:r>
      <w:r>
        <w:rPr>
          <w:spacing w:val="-43"/>
        </w:rPr>
      </w:r>
      <w:r>
        <w:rPr/>
        <w:t>损益。</w:t>
      </w:r>
    </w:p>
    <w:p>
      <w:pPr>
        <w:pStyle w:val="BodyText"/>
        <w:spacing w:line="312" w:lineRule="auto" w:before="22"/>
        <w:ind w:right="206" w:firstLine="420"/>
        <w:jc w:val="both"/>
      </w:pPr>
      <w:r>
        <w:rPr>
          <w:spacing w:val="-2"/>
        </w:rPr>
        <w:t>合并发生的各项直接相关费用，包括为进行合并而支付的审计费用、评估费用、法律服务费用等，于</w:t>
      </w:r>
      <w:r>
        <w:rPr>
          <w:w w:val="100"/>
        </w:rPr>
        <w:t> </w:t>
      </w:r>
      <w:r>
        <w:rPr>
          <w:spacing w:val="-2"/>
        </w:rPr>
        <w:t>发生时计入当期损益；与发行权益性工具作为合并对价直接相关的交易费用，冲减资本公积，资本公积不</w:t>
      </w:r>
      <w:r>
        <w:rPr>
          <w:spacing w:val="-44"/>
        </w:rPr>
        <w:t> </w:t>
      </w:r>
      <w:r>
        <w:rPr>
          <w:spacing w:val="-44"/>
        </w:rPr>
      </w:r>
      <w:r>
        <w:rPr>
          <w:spacing w:val="-2"/>
        </w:rPr>
        <w:t>足冲减的，依次冲减盈余公积和未分配利润；与发行债务性工具作为合并对价直接相关的交易费用，作为</w:t>
      </w:r>
      <w:r>
        <w:rPr>
          <w:spacing w:val="-43"/>
        </w:rPr>
        <w:t> </w:t>
      </w:r>
      <w:r>
        <w:rPr>
          <w:spacing w:val="-43"/>
        </w:rPr>
      </w:r>
      <w:r>
        <w:rPr/>
        <w:t>计入债务性工具的初始确认金额。</w:t>
      </w:r>
    </w:p>
    <w:p>
      <w:pPr>
        <w:pStyle w:val="BodyText"/>
        <w:spacing w:line="312" w:lineRule="auto" w:before="22"/>
        <w:ind w:right="207" w:firstLine="420"/>
        <w:jc w:val="both"/>
      </w:pPr>
      <w:r>
        <w:rPr>
          <w:spacing w:val="-2"/>
        </w:rPr>
        <w:t>被合并方存在合并财务报表，则以合并日被合并方合并财务报表中归属于母公司的所有者权益为基础</w:t>
      </w:r>
      <w:r>
        <w:rPr>
          <w:w w:val="100"/>
        </w:rPr>
        <w:t> </w:t>
      </w:r>
      <w:r>
        <w:rPr/>
        <w:t>确定长期股权投资的初始投资成本。</w:t>
      </w:r>
    </w:p>
    <w:p>
      <w:pPr>
        <w:pStyle w:val="BodyText"/>
        <w:spacing w:line="312" w:lineRule="auto" w:before="22"/>
        <w:ind w:left="572" w:right="106"/>
        <w:jc w:val="left"/>
      </w:pPr>
      <w:r>
        <w:rPr/>
        <w:t>（</w:t>
      </w:r>
      <w:r>
        <w:rPr>
          <w:rFonts w:ascii="宋体" w:hAnsi="宋体" w:cs="宋体" w:eastAsia="宋体" w:hint="default"/>
        </w:rPr>
        <w:t>2</w:t>
      </w:r>
      <w:r>
        <w:rPr/>
        <w:t>）合并财务报表</w:t>
      </w:r>
      <w:r>
        <w:rPr>
          <w:w w:val="100"/>
        </w:rPr>
        <w:t> </w:t>
      </w:r>
      <w:r>
        <w:rPr>
          <w:spacing w:val="-2"/>
        </w:rPr>
        <w:t>合并方在企业合并中取得的资产和负债，按照合并日在被合并方所有者权益在最终控制方合并财务报</w:t>
      </w:r>
    </w:p>
    <w:p>
      <w:pPr>
        <w:pStyle w:val="BodyText"/>
        <w:spacing w:line="312" w:lineRule="auto" w:before="22"/>
        <w:ind w:left="572" w:right="106" w:hanging="420"/>
        <w:jc w:val="left"/>
      </w:pPr>
      <w:r>
        <w:rPr/>
        <w:t>表中的账面价值计量。</w:t>
      </w:r>
      <w:r>
        <w:rPr>
          <w:w w:val="100"/>
        </w:rPr>
        <w:t> </w:t>
      </w:r>
      <w:r>
        <w:rPr>
          <w:spacing w:val="-2"/>
        </w:rPr>
        <w:t>对于通过多次交易最终实现企业合并的，属于一揽子交易的，将各项交易作为一项取得控制权的交易</w:t>
      </w:r>
    </w:p>
    <w:p>
      <w:pPr>
        <w:pStyle w:val="BodyText"/>
        <w:spacing w:line="314" w:lineRule="auto" w:before="22"/>
        <w:ind w:right="207"/>
        <w:jc w:val="both"/>
      </w:pPr>
      <w:r>
        <w:rPr>
          <w:spacing w:val="-2"/>
        </w:rPr>
        <w:t>进行会计处理；不属于一揽子交易的，合并方在达到合并之前持有的长期股权投资，在取得日与合并方与</w:t>
      </w:r>
      <w:r>
        <w:rPr>
          <w:spacing w:val="-43"/>
        </w:rPr>
        <w:t> </w:t>
      </w:r>
      <w:r>
        <w:rPr>
          <w:spacing w:val="-43"/>
        </w:rPr>
      </w:r>
      <w:r>
        <w:rPr>
          <w:spacing w:val="-2"/>
        </w:rPr>
        <w:t>被合并方同处于同一方最终控制之日孰晚日与合并日之间已确认有关损益、其他综合收益和其他所有者权</w:t>
      </w:r>
      <w:r>
        <w:rPr>
          <w:spacing w:val="-43"/>
        </w:rPr>
        <w:t> </w:t>
      </w:r>
      <w:r>
        <w:rPr>
          <w:spacing w:val="-43"/>
        </w:rPr>
      </w:r>
      <w:r>
        <w:rPr/>
        <w:t>益变动，分别冲减比较报表期间的期初留存收益或当期损益。</w:t>
      </w:r>
    </w:p>
    <w:p>
      <w:pPr>
        <w:pStyle w:val="BodyText"/>
        <w:spacing w:line="314" w:lineRule="auto" w:before="17"/>
        <w:ind w:right="207" w:firstLine="420"/>
        <w:jc w:val="both"/>
      </w:pPr>
      <w:r>
        <w:rPr>
          <w:spacing w:val="-2"/>
        </w:rPr>
        <w:t>被合并各方采用的会计政策与本公司不一致的，本公司在合并日按照本公司会计政策进行调整，在此</w:t>
      </w:r>
      <w:r>
        <w:rPr>
          <w:w w:val="100"/>
        </w:rPr>
        <w:t> </w:t>
      </w:r>
      <w:r>
        <w:rPr/>
        <w:t>基础上按照企业会计准则规定确认。</w:t>
      </w:r>
    </w:p>
    <w:p>
      <w:pPr>
        <w:spacing w:line="314" w:lineRule="auto" w:before="17"/>
        <w:ind w:left="572" w:right="106" w:firstLine="0"/>
        <w:jc w:val="left"/>
        <w:rPr>
          <w:rFonts w:ascii="宋体" w:hAnsi="宋体" w:cs="宋体" w:eastAsia="宋体" w:hint="default"/>
          <w:sz w:val="21"/>
          <w:szCs w:val="21"/>
        </w:rPr>
      </w:pPr>
      <w:r>
        <w:rPr>
          <w:rFonts w:ascii="宋体" w:hAnsi="宋体" w:cs="宋体" w:eastAsia="宋体" w:hint="default"/>
          <w:b/>
          <w:bCs/>
          <w:sz w:val="21"/>
          <w:szCs w:val="21"/>
        </w:rPr>
        <w:t>三、非同一控制下的企业合并</w:t>
      </w:r>
      <w:r>
        <w:rPr>
          <w:rFonts w:ascii="宋体" w:hAnsi="宋体" w:cs="宋体" w:eastAsia="宋体" w:hint="default"/>
          <w:b/>
          <w:bCs/>
          <w:w w:val="100"/>
          <w:sz w:val="21"/>
          <w:szCs w:val="21"/>
        </w:rPr>
        <w:t> </w:t>
      </w:r>
      <w:r>
        <w:rPr>
          <w:rFonts w:ascii="宋体" w:hAnsi="宋体" w:cs="宋体" w:eastAsia="宋体" w:hint="default"/>
          <w:spacing w:val="2"/>
          <w:sz w:val="21"/>
          <w:szCs w:val="21"/>
        </w:rPr>
        <w:t>对于非同一控制下的企业合并，合并成本为本公司在购买日为取得对被购买方的控制权而付出的资</w:t>
      </w:r>
    </w:p>
    <w:p>
      <w:pPr>
        <w:pStyle w:val="BodyText"/>
        <w:spacing w:line="314" w:lineRule="auto" w:before="17"/>
        <w:ind w:right="206"/>
        <w:jc w:val="both"/>
      </w:pPr>
      <w:r>
        <w:rPr>
          <w:spacing w:val="-2"/>
        </w:rPr>
        <w:t>产、发生或承担的负债以及发行的权益性工具或债务性工具的公允价值。在合并合同中对可能影响合并成</w:t>
      </w:r>
      <w:r>
        <w:rPr>
          <w:spacing w:val="-44"/>
        </w:rPr>
        <w:t> </w:t>
      </w:r>
      <w:r>
        <w:rPr>
          <w:spacing w:val="-44"/>
        </w:rPr>
      </w:r>
      <w:r>
        <w:rPr>
          <w:spacing w:val="-2"/>
        </w:rPr>
        <w:t>本的未来事项作出约定的，购买日如果估计未来事项很可能发生并且对合并成本的影响金额能够可靠计量</w:t>
      </w:r>
      <w:r>
        <w:rPr>
          <w:spacing w:val="-43"/>
        </w:rPr>
        <w:t> </w:t>
      </w:r>
      <w:r>
        <w:rPr>
          <w:spacing w:val="-43"/>
        </w:rPr>
      </w:r>
      <w:r>
        <w:rPr/>
        <w:t>的，也计入合并成本。</w:t>
      </w:r>
    </w:p>
    <w:p>
      <w:pPr>
        <w:pStyle w:val="BodyText"/>
        <w:spacing w:line="314" w:lineRule="auto" w:before="20"/>
        <w:ind w:right="207" w:firstLine="420"/>
        <w:jc w:val="both"/>
      </w:pPr>
      <w:r>
        <w:rPr>
          <w:spacing w:val="-2"/>
        </w:rPr>
        <w:t>本公司为进行企业合并发生的审计、法律服务、评估咨询等中介费用以及其他相关管理费用，于发生</w:t>
      </w:r>
      <w:r>
        <w:rPr>
          <w:w w:val="100"/>
        </w:rPr>
        <w:t> </w:t>
      </w:r>
      <w:r>
        <w:rPr>
          <w:spacing w:val="-2"/>
        </w:rPr>
        <w:t>时计入当期损益；本公司作为合并对价发行的权益性工具或债务性工具的交易费用，计入权益性工具或债</w:t>
      </w:r>
      <w:r>
        <w:rPr>
          <w:spacing w:val="-44"/>
        </w:rPr>
        <w:t> </w:t>
      </w:r>
      <w:r>
        <w:rPr>
          <w:spacing w:val="-44"/>
        </w:rPr>
      </w:r>
      <w:r>
        <w:rPr/>
        <w:t>务性工具的初始确认金额。</w:t>
      </w:r>
    </w:p>
    <w:p>
      <w:pPr>
        <w:pStyle w:val="BodyText"/>
        <w:spacing w:line="314" w:lineRule="auto" w:before="17"/>
        <w:ind w:right="207" w:firstLine="420"/>
        <w:jc w:val="both"/>
      </w:pPr>
      <w:r>
        <w:rPr>
          <w:spacing w:val="-2"/>
        </w:rPr>
        <w:t>本公司对合并成本大于合并中取得的被购买方可辨认净资产公允价值份额的差额，确认为商誉。本公</w:t>
      </w:r>
      <w:r>
        <w:rPr>
          <w:w w:val="100"/>
        </w:rPr>
        <w:t> </w:t>
      </w:r>
      <w:r>
        <w:rPr>
          <w:spacing w:val="-2"/>
        </w:rPr>
        <w:t>司对合并成本小于合并中取得的被购买方可辨认净资产公允价值份额的，经复核后合并成本仍小于合并中</w:t>
      </w:r>
      <w:r>
        <w:rPr>
          <w:spacing w:val="-43"/>
        </w:rPr>
        <w:t> </w:t>
      </w:r>
      <w:r>
        <w:rPr>
          <w:spacing w:val="-43"/>
        </w:rPr>
      </w:r>
      <w:r>
        <w:rPr/>
        <w:t>取得的被购买方可辨认净资产公允价值份额的差额，计入当期损益。</w:t>
      </w:r>
    </w:p>
    <w:p>
      <w:pPr>
        <w:pStyle w:val="BodyText"/>
        <w:spacing w:line="312" w:lineRule="auto" w:before="20"/>
        <w:ind w:right="106" w:firstLine="420"/>
        <w:jc w:val="left"/>
      </w:pPr>
      <w:r>
        <w:rPr/>
        <w:t>通过多次交换交易分步实现的非同一控制下企业合并，属于一揽子交易的，将各项交易作为一项取得</w:t>
      </w:r>
      <w:r>
        <w:rPr>
          <w:w w:val="100"/>
        </w:rPr>
        <w:t> </w:t>
      </w:r>
      <w:r>
        <w:rPr>
          <w:spacing w:val="-5"/>
        </w:rPr>
        <w:t>控制权的交易进行会计处理；不属于一揽子交易的，区分个别财务报表和合并财务报表进行相关会计处理：</w:t>
      </w:r>
    </w:p>
    <w:p>
      <w:pPr>
        <w:pStyle w:val="BodyText"/>
        <w:spacing w:line="312" w:lineRule="auto" w:before="22"/>
        <w:ind w:right="207" w:firstLine="420"/>
        <w:jc w:val="both"/>
      </w:pPr>
      <w:r>
        <w:rPr/>
        <w:t>（</w:t>
      </w:r>
      <w:r>
        <w:rPr>
          <w:rFonts w:ascii="宋体" w:hAnsi="宋体" w:cs="宋体" w:eastAsia="宋体" w:hint="default"/>
        </w:rPr>
        <w:t>1</w:t>
      </w:r>
      <w:r>
        <w:rPr/>
        <w:t>）在个别财务报表中，合并日之前持有的股权投资采用权益法核算的，以购买日之前所持被购买</w:t>
      </w:r>
      <w:r>
        <w:rPr>
          <w:w w:val="100"/>
        </w:rPr>
        <w:t> </w:t>
      </w:r>
      <w:r>
        <w:rPr>
          <w:spacing w:val="-2"/>
        </w:rPr>
        <w:t>方的股权投资的账面价值与购买日新增投资成本之和，作为该项投资的初始投资成本；购买日之前持有的</w:t>
      </w:r>
      <w:r>
        <w:rPr>
          <w:spacing w:val="-43"/>
        </w:rPr>
        <w:t> </w:t>
      </w:r>
      <w:r>
        <w:rPr>
          <w:spacing w:val="-43"/>
        </w:rPr>
      </w:r>
      <w:r>
        <w:rPr>
          <w:spacing w:val="-2"/>
        </w:rPr>
        <w:t>股权投资因采用权益法核算而确认的其他综合收益，在处置该项投资时采用与被投资单位直接处置相关资</w:t>
      </w:r>
      <w:r>
        <w:rPr>
          <w:spacing w:val="-43"/>
        </w:rPr>
        <w:t> </w:t>
      </w:r>
      <w:r>
        <w:rPr>
          <w:spacing w:val="-43"/>
        </w:rPr>
      </w:r>
      <w:r>
        <w:rPr/>
        <w:t>产或负债相同的基础进行会计处理。</w:t>
      </w:r>
    </w:p>
    <w:p>
      <w:pPr>
        <w:pStyle w:val="BodyText"/>
        <w:spacing w:line="314" w:lineRule="auto" w:before="22"/>
        <w:ind w:right="206" w:firstLine="420"/>
        <w:jc w:val="both"/>
      </w:pPr>
      <w:r>
        <w:rPr>
          <w:spacing w:val="-2"/>
        </w:rPr>
        <w:t>合并日之前持有的股权投资采用金融工具确认和计量准则核算的，以该股权投资在合并日的公允价值</w:t>
      </w:r>
      <w:r>
        <w:rPr>
          <w:w w:val="100"/>
        </w:rPr>
        <w:t> </w:t>
      </w:r>
      <w:r>
        <w:rPr>
          <w:spacing w:val="-2"/>
        </w:rPr>
        <w:t>加上新增投资成本之和，作为合并日的初始投资成本。原持有股权的公允价值与账面价值之间的差额以及</w:t>
      </w:r>
      <w:r>
        <w:rPr>
          <w:spacing w:val="-43"/>
        </w:rPr>
        <w:t> </w:t>
      </w:r>
      <w:r>
        <w:rPr>
          <w:spacing w:val="-43"/>
        </w:rPr>
      </w:r>
      <w:r>
        <w:rPr/>
        <w:t>原计入其他综合收益的累计公允价值变动应全部转入合并日当期的投资收益。</w:t>
      </w:r>
    </w:p>
    <w:p>
      <w:pPr>
        <w:spacing w:after="0" w:line="314" w:lineRule="auto"/>
        <w:jc w:val="both"/>
        <w:sectPr>
          <w:pgSz w:w="11910" w:h="16840"/>
          <w:pgMar w:header="880" w:footer="979" w:top="1060" w:bottom="1160" w:left="980" w:right="920"/>
        </w:sectPr>
      </w:pPr>
    </w:p>
    <w:p>
      <w:pPr>
        <w:spacing w:line="240" w:lineRule="auto" w:before="6"/>
        <w:rPr>
          <w:rFonts w:ascii="宋体" w:hAnsi="宋体" w:cs="宋体" w:eastAsia="宋体" w:hint="default"/>
          <w:sz w:val="26"/>
          <w:szCs w:val="26"/>
        </w:rPr>
      </w:pPr>
    </w:p>
    <w:p>
      <w:pPr>
        <w:pStyle w:val="BodyText"/>
        <w:spacing w:line="314" w:lineRule="auto" w:before="36"/>
        <w:ind w:right="147" w:firstLine="420"/>
        <w:jc w:val="both"/>
      </w:pPr>
      <w:r>
        <w:rPr/>
        <w:t>（</w:t>
      </w:r>
      <w:r>
        <w:rPr>
          <w:rFonts w:ascii="宋体" w:hAnsi="宋体" w:cs="宋体" w:eastAsia="宋体" w:hint="default"/>
        </w:rPr>
        <w:t>2</w:t>
      </w:r>
      <w:r>
        <w:rPr/>
        <w:t>）在合并财务报表中，对于购买日之前持有的被购买方的股权，按照该股权在购买日的公允价值</w:t>
      </w:r>
      <w:r>
        <w:rPr>
          <w:w w:val="100"/>
        </w:rPr>
        <w:t> </w:t>
      </w:r>
      <w:r>
        <w:rPr>
          <w:spacing w:val="-2"/>
        </w:rPr>
        <w:t>进行重新计量，公允价值与其账面价值的差额计入当期投资收益；购买日之前持有的被购买方的股权涉及</w:t>
      </w:r>
      <w:r>
        <w:rPr>
          <w:spacing w:val="-42"/>
        </w:rPr>
        <w:t> </w:t>
      </w:r>
      <w:r>
        <w:rPr>
          <w:spacing w:val="-42"/>
        </w:rPr>
      </w:r>
      <w:r>
        <w:rPr/>
        <w:t>权益法核算下的其他综合收益等的，与其相关的其他综合收益等转为购买日所属当期投资收益。</w:t>
      </w:r>
    </w:p>
    <w:p>
      <w:pPr>
        <w:spacing w:line="240" w:lineRule="auto" w:before="2"/>
        <w:rPr>
          <w:rFonts w:ascii="宋体" w:hAnsi="宋体" w:cs="宋体" w:eastAsia="宋体" w:hint="default"/>
          <w:sz w:val="21"/>
          <w:szCs w:val="21"/>
        </w:rPr>
      </w:pPr>
    </w:p>
    <w:p>
      <w:pPr>
        <w:spacing w:line="620" w:lineRule="atLeast" w:before="0"/>
        <w:ind w:left="572" w:right="0" w:hanging="420"/>
        <w:jc w:val="left"/>
        <w:rPr>
          <w:rFonts w:ascii="宋体" w:hAnsi="宋体" w:cs="宋体" w:eastAsia="宋体" w:hint="default"/>
          <w:sz w:val="21"/>
          <w:szCs w:val="21"/>
        </w:rPr>
      </w:pPr>
      <w:bookmarkStart w:name="6、合并财务报表的编制方法" w:id="132"/>
      <w:bookmarkEnd w:id="132"/>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、合并财务报表的编制方法</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本公司合并财务报表的合并范围以控制为基础确定，所有子公司（包括母公司所控制的单独主体）均</w:t>
      </w:r>
    </w:p>
    <w:p>
      <w:pPr>
        <w:pStyle w:val="BodyText"/>
        <w:spacing w:line="312" w:lineRule="auto" w:before="85"/>
        <w:ind w:left="572" w:right="0" w:hanging="421"/>
        <w:jc w:val="left"/>
      </w:pPr>
      <w:r>
        <w:rPr/>
        <w:t>纳入合并财务报表。</w:t>
      </w:r>
      <w:r>
        <w:rPr>
          <w:w w:val="100"/>
        </w:rPr>
        <w:t> </w:t>
      </w:r>
      <w:r>
        <w:rPr>
          <w:spacing w:val="-2"/>
        </w:rPr>
        <w:t>所有纳入合并财务报表合并范围的子公司所采用的会计政策、会计期间与本公司一致，如子公司采用</w:t>
      </w:r>
    </w:p>
    <w:p>
      <w:pPr>
        <w:pStyle w:val="BodyText"/>
        <w:spacing w:line="312" w:lineRule="auto" w:before="22"/>
        <w:ind w:right="0"/>
        <w:jc w:val="left"/>
      </w:pPr>
      <w:r>
        <w:rPr>
          <w:spacing w:val="-3"/>
        </w:rPr>
        <w:t>的会计政策、会计期间与本公司不一致的，在编制合并财务报表时，按本公司的会计政策、会计期间进行</w:t>
      </w:r>
      <w:r>
        <w:rPr>
          <w:spacing w:val="-5"/>
        </w:rPr>
        <w:t> </w:t>
      </w:r>
      <w:r>
        <w:rPr>
          <w:spacing w:val="-5"/>
        </w:rPr>
      </w:r>
      <w:r>
        <w:rPr/>
        <w:t>必要的调整。</w:t>
      </w:r>
    </w:p>
    <w:p>
      <w:pPr>
        <w:pStyle w:val="BodyText"/>
        <w:spacing w:line="312" w:lineRule="auto" w:before="22"/>
        <w:ind w:left="572" w:right="0"/>
        <w:jc w:val="left"/>
      </w:pPr>
      <w:r>
        <w:rPr/>
        <w:t>合并财务报表以本公司及子公司的财务报表为基础，根据其他有关资料由本公司编制。</w:t>
      </w:r>
      <w:r>
        <w:rPr>
          <w:w w:val="100"/>
        </w:rPr>
        <w:t> </w:t>
      </w:r>
      <w:r>
        <w:rPr>
          <w:spacing w:val="-2"/>
        </w:rPr>
        <w:t>合并财务报表时抵销本公司与各子公司、各子公司相互之间发生的内部交易对合并资产负债表、合并</w:t>
      </w:r>
    </w:p>
    <w:p>
      <w:pPr>
        <w:pStyle w:val="BodyText"/>
        <w:spacing w:line="312" w:lineRule="auto" w:before="22"/>
        <w:ind w:left="572" w:right="0" w:hanging="421"/>
        <w:jc w:val="left"/>
      </w:pPr>
      <w:r>
        <w:rPr/>
        <w:t>利润表、合并现金流量表、合并股东权益变动表的影响。</w:t>
      </w:r>
      <w:r>
        <w:rPr>
          <w:w w:val="100"/>
        </w:rPr>
        <w:t> </w:t>
      </w:r>
      <w:r>
        <w:rPr>
          <w:spacing w:val="-2"/>
        </w:rPr>
        <w:t>子公司少数股东分担的当期亏损超过了少数股东在该子公司期初所有者权益中所享有的份额的，其余</w:t>
      </w:r>
    </w:p>
    <w:p>
      <w:pPr>
        <w:pStyle w:val="BodyText"/>
        <w:spacing w:line="312" w:lineRule="auto" w:before="22"/>
        <w:ind w:left="572" w:right="0" w:hanging="421"/>
        <w:jc w:val="left"/>
      </w:pPr>
      <w:r>
        <w:rPr/>
        <w:t>额仍应当冲减少数股东权益。</w:t>
      </w:r>
      <w:r>
        <w:rPr>
          <w:w w:val="100"/>
        </w:rPr>
        <w:t> </w:t>
      </w:r>
      <w:r>
        <w:rPr>
          <w:spacing w:val="-2"/>
        </w:rPr>
        <w:t>在报告期内，若因同一控制下企业合并增加子公司以及业务的，则调整合并资产负债表的期初数；将</w:t>
      </w:r>
    </w:p>
    <w:p>
      <w:pPr>
        <w:pStyle w:val="BodyText"/>
        <w:spacing w:line="312" w:lineRule="auto" w:before="22"/>
        <w:ind w:right="0"/>
        <w:jc w:val="left"/>
      </w:pPr>
      <w:r>
        <w:rPr>
          <w:spacing w:val="-2"/>
        </w:rPr>
        <w:t>子公司以及业务合并当期期初至报告期末的收入、费用、利润纳入合并利润表；将子公司以及业务合并当</w:t>
      </w:r>
      <w:r>
        <w:rPr>
          <w:spacing w:val="-43"/>
        </w:rPr>
        <w:t> </w:t>
      </w:r>
      <w:r>
        <w:rPr>
          <w:spacing w:val="-43"/>
        </w:rPr>
      </w:r>
      <w:r>
        <w:rPr/>
        <w:t>期期初至报告期末的现金流量纳入合并现金流量表。</w:t>
      </w:r>
    </w:p>
    <w:p>
      <w:pPr>
        <w:pStyle w:val="BodyText"/>
        <w:spacing w:line="314" w:lineRule="auto" w:before="19"/>
        <w:ind w:right="125" w:firstLine="420"/>
        <w:jc w:val="both"/>
      </w:pPr>
      <w:r>
        <w:rPr>
          <w:spacing w:val="-2"/>
        </w:rPr>
        <w:t>在报告期内，若因非同一控制下企业合并增加子公司以及业务的，则不调整合并资产负债表期初数；</w:t>
      </w:r>
      <w:r>
        <w:rPr>
          <w:w w:val="100"/>
        </w:rPr>
        <w:t> </w:t>
      </w:r>
      <w:r>
        <w:rPr>
          <w:spacing w:val="-2"/>
        </w:rPr>
        <w:t>将子公司以及业务自购买日至报告期末的收入、费用、利润纳入合并利润表；该子公司以及业务自购买日</w:t>
      </w:r>
      <w:r>
        <w:rPr>
          <w:spacing w:val="-44"/>
        </w:rPr>
        <w:t> </w:t>
      </w:r>
      <w:r>
        <w:rPr>
          <w:spacing w:val="-44"/>
        </w:rPr>
      </w:r>
      <w:r>
        <w:rPr/>
        <w:t>至报告期末的现金流量纳入合并现金流量表。</w:t>
      </w:r>
    </w:p>
    <w:p>
      <w:pPr>
        <w:pStyle w:val="BodyText"/>
        <w:spacing w:line="312" w:lineRule="auto" w:before="20"/>
        <w:ind w:right="149" w:firstLine="420"/>
        <w:jc w:val="both"/>
      </w:pPr>
      <w:r>
        <w:rPr>
          <w:spacing w:val="-2"/>
        </w:rPr>
        <w:t>在报告期内，本公司处置子公司以及业务，则该子公司以及业务期初至处置日的收入、费用、利润纳</w:t>
      </w:r>
      <w:r>
        <w:rPr>
          <w:w w:val="100"/>
        </w:rPr>
        <w:t> </w:t>
      </w:r>
      <w:r>
        <w:rPr/>
        <w:t>入合并利润表；该子公司以及业务期初至处置日的现金流量纳入合并现金流量表。</w:t>
      </w:r>
    </w:p>
    <w:p>
      <w:pPr>
        <w:pStyle w:val="BodyText"/>
        <w:spacing w:line="314" w:lineRule="auto" w:before="22"/>
        <w:ind w:right="125" w:firstLine="420"/>
        <w:jc w:val="both"/>
      </w:pPr>
      <w:r>
        <w:rPr>
          <w:spacing w:val="-2"/>
        </w:rPr>
        <w:t>本公司因处置部分股权投资或其他原因丧失了对原有子公司控制权的，在合并财务报表中，对于剩余</w:t>
      </w:r>
      <w:r>
        <w:rPr>
          <w:w w:val="100"/>
        </w:rPr>
        <w:t> </w:t>
      </w:r>
      <w:r>
        <w:rPr>
          <w:spacing w:val="-2"/>
        </w:rPr>
        <w:t>股权，按照其在丧失控制权日的公允价值进行重新计量。处置股权取得的对价与剩余股权公允价值之和，</w:t>
      </w:r>
      <w:r>
        <w:rPr>
          <w:spacing w:val="-21"/>
        </w:rPr>
        <w:t> </w:t>
      </w:r>
      <w:r>
        <w:rPr>
          <w:spacing w:val="-21"/>
        </w:rPr>
      </w:r>
      <w:r>
        <w:rPr>
          <w:spacing w:val="-2"/>
        </w:rPr>
        <w:t>减去按原持股比例计算应享有原有子公司自购买日开始持续计算的净资产的份额之间的差额，计入丧失控</w:t>
      </w:r>
      <w:r>
        <w:rPr>
          <w:spacing w:val="-43"/>
        </w:rPr>
        <w:t> </w:t>
      </w:r>
      <w:r>
        <w:rPr>
          <w:spacing w:val="-43"/>
        </w:rPr>
      </w:r>
      <w:r>
        <w:rPr>
          <w:spacing w:val="-2"/>
        </w:rPr>
        <w:t>制权当期的投资收益。与原有子公司股权投资相关的其他综合收益，应当在丧失控制权时转为当期投资收</w:t>
      </w:r>
      <w:r>
        <w:rPr>
          <w:spacing w:val="-44"/>
        </w:rPr>
        <w:t> </w:t>
      </w:r>
      <w:r>
        <w:rPr>
          <w:spacing w:val="-44"/>
        </w:rPr>
      </w:r>
      <w:r>
        <w:rPr/>
        <w:t>益。</w:t>
      </w:r>
    </w:p>
    <w:p>
      <w:pPr>
        <w:spacing w:line="638" w:lineRule="exact" w:before="28"/>
        <w:ind w:left="572" w:right="0" w:hanging="420"/>
        <w:jc w:val="left"/>
        <w:rPr>
          <w:rFonts w:ascii="宋体" w:hAnsi="宋体" w:cs="宋体" w:eastAsia="宋体" w:hint="default"/>
          <w:sz w:val="21"/>
          <w:szCs w:val="21"/>
        </w:rPr>
      </w:pPr>
      <w:bookmarkStart w:name="7、现金及现金等价物的确定标准" w:id="133"/>
      <w:bookmarkEnd w:id="133"/>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pacing w:val="-2"/>
          <w:sz w:val="21"/>
          <w:szCs w:val="21"/>
        </w:rPr>
        <w:t>在编制现金流量表时，将本公司库存现金以及可以随时用于支付的存款确认为现金。将同时具备期限</w:t>
      </w:r>
    </w:p>
    <w:p>
      <w:pPr>
        <w:pStyle w:val="BodyText"/>
        <w:spacing w:line="312" w:lineRule="auto"/>
        <w:ind w:right="0"/>
        <w:jc w:val="left"/>
      </w:pPr>
      <w:r>
        <w:rPr>
          <w:spacing w:val="-2"/>
        </w:rPr>
        <w:t>短（一般从购买日起，三个月内到期）、流动性强、易于转换为已知现金、价值变动风险很小四个条件的</w:t>
      </w:r>
      <w:r>
        <w:rPr>
          <w:spacing w:val="-42"/>
        </w:rPr>
        <w:t> </w:t>
      </w:r>
      <w:r>
        <w:rPr>
          <w:spacing w:val="-42"/>
        </w:rPr>
      </w:r>
      <w:r>
        <w:rPr/>
        <w:t>投资，确定为现金等价物。</w:t>
      </w:r>
    </w:p>
    <w:p>
      <w:pPr>
        <w:spacing w:after="0" w:line="312" w:lineRule="auto"/>
        <w:jc w:val="left"/>
        <w:sectPr>
          <w:pgSz w:w="11910" w:h="16840"/>
          <w:pgMar w:header="880" w:footer="979" w:top="1060" w:bottom="1160" w:left="980" w:right="980"/>
        </w:sectPr>
      </w:pPr>
    </w:p>
    <w:p>
      <w:pPr>
        <w:spacing w:line="240" w:lineRule="auto" w:before="8"/>
        <w:rPr>
          <w:rFonts w:ascii="宋体" w:hAnsi="宋体" w:cs="宋体" w:eastAsia="宋体" w:hint="default"/>
          <w:sz w:val="24"/>
          <w:szCs w:val="24"/>
        </w:rPr>
      </w:pPr>
    </w:p>
    <w:p>
      <w:pPr>
        <w:pStyle w:val="Heading5"/>
        <w:spacing w:line="240" w:lineRule="auto" w:before="36"/>
        <w:ind w:right="0"/>
        <w:jc w:val="left"/>
        <w:rPr>
          <w:b w:val="0"/>
          <w:bCs w:val="0"/>
        </w:rPr>
      </w:pPr>
      <w:r>
        <w:rPr>
          <w:rFonts w:ascii="Times New Roman" w:hAnsi="Times New Roman" w:cs="Times New Roman" w:eastAsia="Times New Roman" w:hint="default"/>
        </w:rPr>
        <w:t>8</w:t>
      </w:r>
      <w:r>
        <w:rPr/>
        <w:t>、外币业务和外币报表折算</w:t>
      </w:r>
      <w:r>
        <w:rPr>
          <w:b w:val="0"/>
          <w:bCs w:val="0"/>
        </w:rPr>
      </w:r>
    </w:p>
    <w:p>
      <w:pPr>
        <w:spacing w:line="240" w:lineRule="auto" w:before="7"/>
        <w:rPr>
          <w:rFonts w:ascii="宋体" w:hAnsi="宋体" w:cs="宋体" w:eastAsia="宋体" w:hint="default"/>
          <w:b/>
          <w:bCs/>
          <w:sz w:val="26"/>
          <w:szCs w:val="26"/>
        </w:rPr>
      </w:pPr>
    </w:p>
    <w:p>
      <w:pPr>
        <w:pStyle w:val="BodyText"/>
        <w:spacing w:line="314" w:lineRule="auto"/>
        <w:ind w:left="572" w:right="0" w:firstLine="2"/>
        <w:jc w:val="left"/>
      </w:pPr>
      <w:bookmarkStart w:name="8、外币业务和外币报表折算" w:id="134"/>
      <w:bookmarkEnd w:id="134"/>
      <w:r>
        <w:rPr/>
      </w:r>
      <w:r>
        <w:rPr/>
        <w:t>（</w:t>
      </w:r>
      <w:r>
        <w:rPr>
          <w:rFonts w:ascii="宋体" w:hAnsi="宋体" w:cs="宋体" w:eastAsia="宋体" w:hint="default"/>
        </w:rPr>
        <w:t>1</w:t>
      </w:r>
      <w:r>
        <w:rPr/>
        <w:t>）、外币业务</w:t>
      </w:r>
      <w:r>
        <w:rPr>
          <w:spacing w:val="-3"/>
          <w:w w:val="100"/>
        </w:rPr>
        <w:t> </w:t>
      </w:r>
      <w:r>
        <w:rPr/>
        <w:t>外币业务交易在初始确认时，采用交易发生日的即期汇率作为折算汇率折合成人民币记账。</w:t>
      </w:r>
      <w:r>
        <w:rPr>
          <w:w w:val="100"/>
        </w:rPr>
        <w:t> </w:t>
      </w:r>
      <w:r>
        <w:rPr>
          <w:spacing w:val="-2"/>
        </w:rPr>
        <w:t>资产负债表日，外币货币性项目按资产负债表日即期汇率折算，由此产生的汇兑差额，除属于与购建</w:t>
      </w:r>
    </w:p>
    <w:p>
      <w:pPr>
        <w:pStyle w:val="BodyText"/>
        <w:spacing w:line="314" w:lineRule="auto" w:before="17"/>
        <w:ind w:right="146"/>
        <w:jc w:val="both"/>
      </w:pPr>
      <w:r>
        <w:rPr>
          <w:spacing w:val="-2"/>
        </w:rPr>
        <w:t>符合资本化条件的资产相关的外币专门借款产生的汇兑差额按照借款费用资本化的原则处理外，均计入当</w:t>
      </w:r>
      <w:r>
        <w:rPr>
          <w:spacing w:val="-43"/>
        </w:rPr>
        <w:t> </w:t>
      </w:r>
      <w:r>
        <w:rPr>
          <w:spacing w:val="-43"/>
        </w:rPr>
      </w:r>
      <w:r>
        <w:rPr>
          <w:spacing w:val="-2"/>
        </w:rPr>
        <w:t>期损益。以历史成本计量的外币非货币性项目，仍采用交易发生日的即期汇率折算，不改变其记账本位币</w:t>
      </w:r>
      <w:r>
        <w:rPr>
          <w:spacing w:val="-43"/>
        </w:rPr>
        <w:t> </w:t>
      </w:r>
      <w:r>
        <w:rPr>
          <w:spacing w:val="-43"/>
        </w:rPr>
      </w:r>
      <w:r>
        <w:rPr/>
        <w:t>金额。</w:t>
      </w:r>
    </w:p>
    <w:p>
      <w:pPr>
        <w:pStyle w:val="BodyText"/>
        <w:spacing w:line="314" w:lineRule="auto" w:before="20"/>
        <w:ind w:right="146" w:firstLine="420"/>
        <w:jc w:val="both"/>
      </w:pPr>
      <w:r>
        <w:rPr>
          <w:spacing w:val="-2"/>
        </w:rPr>
        <w:t>以公允价值计量的外币非货币性项目，采用公允价值确定日的即期汇率折算，由此产生的汇兑差额作</w:t>
      </w:r>
      <w:r>
        <w:rPr>
          <w:w w:val="100"/>
        </w:rPr>
        <w:t> </w:t>
      </w:r>
      <w:r>
        <w:rPr>
          <w:spacing w:val="-2"/>
        </w:rPr>
        <w:t>为公允价值变动损益计入当期损益。如属于可供出售外币非货币性项目的，形成的汇兑差额计入其他综合</w:t>
      </w:r>
      <w:r>
        <w:rPr>
          <w:spacing w:val="-42"/>
        </w:rPr>
        <w:t> </w:t>
      </w:r>
      <w:r>
        <w:rPr>
          <w:spacing w:val="-42"/>
        </w:rPr>
      </w:r>
      <w:r>
        <w:rPr/>
        <w:t>收益。</w:t>
      </w:r>
    </w:p>
    <w:p>
      <w:pPr>
        <w:pStyle w:val="BodyText"/>
        <w:spacing w:line="314" w:lineRule="auto" w:before="17"/>
        <w:ind w:left="572" w:right="0"/>
        <w:jc w:val="left"/>
      </w:pPr>
      <w:r>
        <w:rPr/>
        <w:t>（</w:t>
      </w:r>
      <w:r>
        <w:rPr>
          <w:rFonts w:ascii="宋体" w:hAnsi="宋体" w:cs="宋体" w:eastAsia="宋体" w:hint="default"/>
        </w:rPr>
        <w:t>2</w:t>
      </w:r>
      <w:r>
        <w:rPr/>
        <w:t>）、外币财务报表折算</w:t>
      </w:r>
      <w:r>
        <w:rPr>
          <w:spacing w:val="-3"/>
          <w:w w:val="100"/>
        </w:rPr>
        <w:t> </w:t>
      </w:r>
      <w:r>
        <w:rPr>
          <w:spacing w:val="-2"/>
        </w:rPr>
        <w:t>资产负债表中的资产和负债项目，采用资产负债表日的即期汇率折算；所有者权益项目除“未分配利</w:t>
      </w:r>
    </w:p>
    <w:p>
      <w:pPr>
        <w:pStyle w:val="BodyText"/>
        <w:spacing w:line="314" w:lineRule="auto" w:before="17"/>
        <w:ind w:right="149"/>
        <w:jc w:val="both"/>
      </w:pPr>
      <w:r>
        <w:rPr>
          <w:spacing w:val="-2"/>
        </w:rPr>
        <w:t>润”项目外，其他项目采用发生时的即期汇率折算。利润表中的收入和费用项目，采用交易发生日的即期</w:t>
      </w:r>
      <w:r>
        <w:rPr>
          <w:spacing w:val="-47"/>
        </w:rPr>
        <w:t> </w:t>
      </w:r>
      <w:r>
        <w:rPr>
          <w:spacing w:val="-47"/>
        </w:rPr>
      </w:r>
      <w:r>
        <w:rPr/>
        <w:t>汇率折算。按照上述折算产生的外币财务报表折算差额计入其他综合收益。</w:t>
      </w:r>
    </w:p>
    <w:p>
      <w:pPr>
        <w:pStyle w:val="BodyText"/>
        <w:spacing w:line="314" w:lineRule="auto" w:before="17"/>
        <w:ind w:right="146" w:firstLine="422"/>
        <w:jc w:val="both"/>
      </w:pPr>
      <w:r>
        <w:rPr>
          <w:spacing w:val="-2"/>
        </w:rPr>
        <w:t>处置境外经营时，将资产负债表中其他综合收益项目中列示的、与该境外经营相关的外币财务报表折</w:t>
      </w:r>
      <w:r>
        <w:rPr>
          <w:w w:val="100"/>
        </w:rPr>
        <w:t> </w:t>
      </w:r>
      <w:r>
        <w:rPr>
          <w:spacing w:val="-2"/>
        </w:rPr>
        <w:t>算差额，自其他综合收益项目转入处置当期损益；部分处置境外经营的，按处置的比例计算处置部分的外</w:t>
      </w:r>
      <w:r>
        <w:rPr>
          <w:spacing w:val="-43"/>
        </w:rPr>
        <w:t> </w:t>
      </w:r>
      <w:r>
        <w:rPr>
          <w:spacing w:val="-43"/>
        </w:rPr>
      </w:r>
      <w:r>
        <w:rPr/>
        <w:t>币财务报表折算差额，转入处置当期损益。</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pStyle w:val="Heading5"/>
        <w:spacing w:line="240" w:lineRule="auto"/>
        <w:ind w:right="0"/>
        <w:jc w:val="left"/>
        <w:rPr>
          <w:b w:val="0"/>
          <w:bCs w:val="0"/>
        </w:rPr>
      </w:pPr>
      <w:bookmarkStart w:name="9、金融工具" w:id="135"/>
      <w:bookmarkEnd w:id="135"/>
      <w:r>
        <w:rPr>
          <w:b w:val="0"/>
          <w:bCs w:val="0"/>
        </w:rPr>
      </w:r>
      <w:r>
        <w:rPr>
          <w:rFonts w:ascii="Times New Roman" w:hAnsi="Times New Roman" w:cs="Times New Roman" w:eastAsia="Times New Roman" w:hint="default"/>
        </w:rPr>
        <w:t>9</w:t>
      </w:r>
      <w:r>
        <w:rPr/>
        <w:t>、金融工具</w:t>
      </w:r>
      <w:r>
        <w:rPr>
          <w:b w:val="0"/>
          <w:bCs w:val="0"/>
        </w:rPr>
      </w:r>
    </w:p>
    <w:p>
      <w:pPr>
        <w:spacing w:line="240" w:lineRule="auto" w:before="7"/>
        <w:rPr>
          <w:rFonts w:ascii="宋体" w:hAnsi="宋体" w:cs="宋体" w:eastAsia="宋体" w:hint="default"/>
          <w:b/>
          <w:bCs/>
          <w:sz w:val="26"/>
          <w:szCs w:val="26"/>
        </w:rPr>
      </w:pPr>
    </w:p>
    <w:p>
      <w:pPr>
        <w:spacing w:line="314" w:lineRule="auto" w:before="0"/>
        <w:ind w:left="572" w:right="3800" w:firstLine="0"/>
        <w:jc w:val="left"/>
        <w:rPr>
          <w:rFonts w:ascii="宋体" w:hAnsi="宋体" w:cs="宋体" w:eastAsia="宋体" w:hint="default"/>
          <w:sz w:val="21"/>
          <w:szCs w:val="21"/>
        </w:rPr>
      </w:pPr>
      <w:r>
        <w:rPr>
          <w:rFonts w:ascii="宋体" w:hAnsi="宋体" w:cs="宋体" w:eastAsia="宋体" w:hint="default"/>
          <w:spacing w:val="-2"/>
          <w:sz w:val="21"/>
          <w:szCs w:val="21"/>
        </w:rPr>
        <w:t>金融工具包括金融资产、金融负债和权益工具。</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b/>
          <w:bCs/>
          <w:sz w:val="21"/>
          <w:szCs w:val="21"/>
        </w:rPr>
        <w:t>一、金融工具的分类</w:t>
      </w:r>
      <w:r>
        <w:rPr>
          <w:rFonts w:ascii="宋体" w:hAnsi="宋体" w:cs="宋体" w:eastAsia="宋体" w:hint="default"/>
          <w:sz w:val="21"/>
          <w:szCs w:val="21"/>
        </w:rPr>
      </w:r>
    </w:p>
    <w:p>
      <w:pPr>
        <w:pStyle w:val="BodyText"/>
        <w:spacing w:line="314" w:lineRule="auto" w:before="17"/>
        <w:ind w:right="146" w:firstLine="420"/>
        <w:jc w:val="both"/>
      </w:pPr>
      <w:r>
        <w:rPr>
          <w:spacing w:val="-2"/>
        </w:rPr>
        <w:t>管理层根据所发行金融工具的合同条款及其所反映的经济实质而非仅以法律形式，结合取得持有金融</w:t>
      </w:r>
      <w:r>
        <w:rPr>
          <w:w w:val="100"/>
        </w:rPr>
        <w:t> </w:t>
      </w:r>
      <w:r>
        <w:rPr>
          <w:spacing w:val="-2"/>
        </w:rPr>
        <w:t>资产和承担金融负债的目的，将金融资产和金融负债分为不同类别：以公允价值计量且其变动计入当期损</w:t>
      </w:r>
      <w:r>
        <w:rPr>
          <w:spacing w:val="-44"/>
        </w:rPr>
        <w:t> </w:t>
      </w:r>
      <w:r>
        <w:rPr>
          <w:spacing w:val="-44"/>
        </w:rPr>
      </w:r>
      <w:r>
        <w:rPr/>
        <w:t>益的金融资产（或金融负债）；持有至到期投资；应收款项；可供出售金融资产；其他金融负债等。</w:t>
      </w:r>
    </w:p>
    <w:p>
      <w:pPr>
        <w:pStyle w:val="Heading5"/>
        <w:spacing w:line="240" w:lineRule="auto" w:before="20"/>
        <w:ind w:left="572" w:right="0"/>
        <w:jc w:val="left"/>
        <w:rPr>
          <w:b w:val="0"/>
          <w:bCs w:val="0"/>
        </w:rPr>
      </w:pPr>
      <w:r>
        <w:rPr/>
        <w:t>二、金融工具的确认依据和计量方法</w:t>
      </w:r>
      <w:r>
        <w:rPr>
          <w:b w:val="0"/>
          <w:bCs w:val="0"/>
        </w:rPr>
      </w:r>
    </w:p>
    <w:p>
      <w:pPr>
        <w:pStyle w:val="BodyText"/>
        <w:spacing w:line="314" w:lineRule="auto" w:before="82"/>
        <w:ind w:left="572" w:right="0"/>
        <w:jc w:val="left"/>
      </w:pPr>
      <w:r>
        <w:rPr/>
        <w:t>（</w:t>
      </w:r>
      <w:r>
        <w:rPr>
          <w:rFonts w:ascii="宋体" w:hAnsi="宋体" w:cs="宋体" w:eastAsia="宋体" w:hint="default"/>
        </w:rPr>
        <w:t>1</w:t>
      </w:r>
      <w:r>
        <w:rPr/>
        <w:t>）以公允价值计量且其变动计入当期损益的金融资产（金融负债）</w:t>
      </w:r>
      <w:r>
        <w:rPr>
          <w:spacing w:val="-3"/>
          <w:w w:val="100"/>
        </w:rPr>
        <w:t> </w:t>
      </w:r>
      <w:r>
        <w:rPr>
          <w:spacing w:val="-2"/>
        </w:rPr>
        <w:t>以公允价值计量且其变动计入当期损益的金融资产或金融负债，包括交易性金融资产或金融负债和直</w:t>
      </w:r>
    </w:p>
    <w:p>
      <w:pPr>
        <w:pStyle w:val="BodyText"/>
        <w:spacing w:line="314" w:lineRule="auto" w:before="17"/>
        <w:ind w:left="572" w:right="0" w:hanging="421"/>
        <w:jc w:val="left"/>
      </w:pPr>
      <w:r>
        <w:rPr/>
        <w:t>接指定为以公允价值计量且其变动计入当期损益的金融资产或金融负债。</w:t>
      </w:r>
      <w:r>
        <w:rPr>
          <w:w w:val="100"/>
        </w:rPr>
        <w:t> </w:t>
      </w:r>
      <w:r>
        <w:rPr>
          <w:spacing w:val="-2"/>
        </w:rPr>
        <w:t>交易性金融资产或金融负债是指满足下列条件之一的金融资产或金融负债：</w:t>
      </w:r>
      <w:r>
        <w:rPr>
          <w:w w:val="100"/>
        </w:rPr>
        <w:t> </w:t>
      </w:r>
      <w:r>
        <w:rPr>
          <w:rFonts w:ascii="宋体" w:hAnsi="宋体" w:cs="宋体" w:eastAsia="宋体" w:hint="default"/>
        </w:rPr>
        <w:t>1</w:t>
      </w:r>
      <w:r>
        <w:rPr/>
        <w:t>）取得该金融资产或金融负债的目的是为了在短期内出售、回购或赎回；</w:t>
      </w:r>
    </w:p>
    <w:p>
      <w:pPr>
        <w:pStyle w:val="BodyText"/>
        <w:spacing w:line="312" w:lineRule="auto" w:before="20"/>
        <w:ind w:right="154" w:firstLine="420"/>
        <w:jc w:val="both"/>
      </w:pPr>
      <w:r>
        <w:rPr>
          <w:rFonts w:ascii="宋体" w:hAnsi="宋体" w:cs="宋体" w:eastAsia="宋体" w:hint="default"/>
        </w:rPr>
        <w:t>2</w:t>
      </w:r>
      <w:r>
        <w:rPr/>
        <w:t>）属于进行集中管理的可辨认金融工具组合的一部分，且有客观证据表明本公司近期采用短期获利</w:t>
      </w:r>
      <w:r>
        <w:rPr>
          <w:w w:val="100"/>
        </w:rPr>
        <w:t> </w:t>
      </w:r>
      <w:r>
        <w:rPr/>
        <w:t>方式对该组合进行管理；</w:t>
      </w:r>
    </w:p>
    <w:p>
      <w:pPr>
        <w:pStyle w:val="BodyText"/>
        <w:spacing w:line="314" w:lineRule="auto" w:before="22"/>
        <w:ind w:right="152" w:firstLine="420"/>
        <w:jc w:val="both"/>
      </w:pPr>
      <w:r>
        <w:rPr>
          <w:rFonts w:ascii="宋体" w:hAnsi="宋体" w:cs="宋体" w:eastAsia="宋体" w:hint="default"/>
        </w:rPr>
        <w:t>3</w:t>
      </w:r>
      <w:r>
        <w:rPr/>
        <w:t>）属于衍生金融工具，但是被指定为有效套期工具的衍生工具、属于财务担保合同的衍生工具、与</w:t>
      </w:r>
      <w:r>
        <w:rPr>
          <w:w w:val="100"/>
        </w:rPr>
        <w:t> </w:t>
      </w:r>
      <w:r>
        <w:rPr>
          <w:spacing w:val="2"/>
        </w:rPr>
        <w:t>在活跃市场中没有报价且其公允价值不能可靠计量的权益工具投资挂钩并须通过交付该权益工具结算的</w:t>
      </w:r>
      <w:r>
        <w:rPr>
          <w:spacing w:val="-28"/>
        </w:rPr>
        <w:t> </w:t>
      </w:r>
      <w:r>
        <w:rPr>
          <w:spacing w:val="-28"/>
        </w:rPr>
      </w:r>
      <w:r>
        <w:rPr/>
        <w:t>衍生工具除外。</w:t>
      </w:r>
    </w:p>
    <w:p>
      <w:pPr>
        <w:pStyle w:val="BodyText"/>
        <w:spacing w:line="240" w:lineRule="auto" w:before="17"/>
        <w:ind w:left="572" w:right="0"/>
        <w:jc w:val="left"/>
      </w:pPr>
      <w:r>
        <w:rPr/>
        <w:t>只有符合以下条件之一，金融资产或金融负债才可在初始计量时指定为以公允价值计量且其变动计入</w:t>
      </w:r>
    </w:p>
    <w:p>
      <w:pPr>
        <w:spacing w:after="0" w:line="240" w:lineRule="auto"/>
        <w:jc w:val="left"/>
        <w:sectPr>
          <w:pgSz w:w="11910" w:h="16840"/>
          <w:pgMar w:header="880" w:footer="979" w:top="1060" w:bottom="1160" w:left="980" w:right="980"/>
        </w:sectPr>
      </w:pPr>
    </w:p>
    <w:p>
      <w:pPr>
        <w:spacing w:line="240" w:lineRule="auto" w:before="6"/>
        <w:rPr>
          <w:rFonts w:ascii="宋体" w:hAnsi="宋体" w:cs="宋体" w:eastAsia="宋体" w:hint="default"/>
          <w:sz w:val="26"/>
          <w:szCs w:val="26"/>
        </w:rPr>
      </w:pPr>
    </w:p>
    <w:p>
      <w:pPr>
        <w:pStyle w:val="BodyText"/>
        <w:spacing w:line="240" w:lineRule="auto" w:before="36"/>
        <w:ind w:right="0"/>
        <w:jc w:val="left"/>
      </w:pPr>
      <w:r>
        <w:rPr/>
        <w:t>损益的金融资产或金融负债：</w:t>
      </w:r>
    </w:p>
    <w:p>
      <w:pPr>
        <w:pStyle w:val="BodyText"/>
        <w:spacing w:line="314" w:lineRule="auto" w:before="82"/>
        <w:ind w:right="154" w:firstLine="420"/>
        <w:jc w:val="both"/>
      </w:pPr>
      <w:r>
        <w:rPr>
          <w:rFonts w:ascii="宋体" w:hAnsi="宋体" w:cs="宋体" w:eastAsia="宋体" w:hint="default"/>
        </w:rPr>
        <w:t>1</w:t>
      </w:r>
      <w:r>
        <w:rPr/>
        <w:t>）该项指定可以消除或明显减少由于金融资产或金融负债的计量基础不同所导致的相关利得或损失</w:t>
      </w:r>
      <w:r>
        <w:rPr>
          <w:w w:val="100"/>
        </w:rPr>
        <w:t> </w:t>
      </w:r>
      <w:r>
        <w:rPr/>
        <w:t>在确认或计量方面不一致的情况；</w:t>
      </w:r>
    </w:p>
    <w:p>
      <w:pPr>
        <w:pStyle w:val="BodyText"/>
        <w:spacing w:line="314" w:lineRule="auto" w:before="17"/>
        <w:ind w:right="154" w:firstLine="420"/>
        <w:jc w:val="both"/>
      </w:pPr>
      <w:r>
        <w:rPr>
          <w:rFonts w:ascii="宋体" w:hAnsi="宋体" w:cs="宋体" w:eastAsia="宋体" w:hint="default"/>
        </w:rPr>
        <w:t>2</w:t>
      </w:r>
      <w:r>
        <w:rPr/>
        <w:t>）风险管理或投资策略的正式书面文件已载明，该金融资产组合、该金融负债组合、或该金融资产</w:t>
      </w:r>
      <w:r>
        <w:rPr>
          <w:w w:val="100"/>
        </w:rPr>
        <w:t> </w:t>
      </w:r>
      <w:r>
        <w:rPr/>
        <w:t>和金融负债组合，以公允价值为基础进行管理、评价并向关键管理人员报告；</w:t>
      </w:r>
    </w:p>
    <w:p>
      <w:pPr>
        <w:pStyle w:val="BodyText"/>
        <w:spacing w:line="314" w:lineRule="auto" w:before="17"/>
        <w:ind w:right="154" w:firstLine="420"/>
        <w:jc w:val="both"/>
      </w:pPr>
      <w:r>
        <w:rPr>
          <w:rFonts w:ascii="宋体" w:hAnsi="宋体" w:cs="宋体" w:eastAsia="宋体" w:hint="default"/>
        </w:rPr>
        <w:t>3</w:t>
      </w:r>
      <w:r>
        <w:rPr/>
        <w:t>）包含一项或多项嵌入衍生工具的混合工具，除非嵌入衍生工具对混合工具的现金流量没有重大改</w:t>
      </w:r>
      <w:r>
        <w:rPr>
          <w:w w:val="100"/>
        </w:rPr>
        <w:t> </w:t>
      </w:r>
      <w:r>
        <w:rPr/>
        <w:t>变，或所嵌入的衍生工具明显不应当从相关混合工具中分拆；</w:t>
      </w:r>
    </w:p>
    <w:p>
      <w:pPr>
        <w:pStyle w:val="BodyText"/>
        <w:spacing w:line="314" w:lineRule="auto" w:before="17"/>
        <w:ind w:right="154" w:firstLine="420"/>
        <w:jc w:val="both"/>
      </w:pPr>
      <w:r>
        <w:rPr>
          <w:rFonts w:ascii="宋体" w:hAnsi="宋体" w:cs="宋体" w:eastAsia="宋体" w:hint="default"/>
        </w:rPr>
        <w:t>4</w:t>
      </w:r>
      <w:r>
        <w:rPr/>
        <w:t>）包含需要分拆但无法在取得时或后续的资产负债表日对其进行单独计量的嵌入衍生工具的混合工</w:t>
      </w:r>
      <w:r>
        <w:rPr>
          <w:w w:val="100"/>
        </w:rPr>
        <w:t> </w:t>
      </w:r>
      <w:r>
        <w:rPr/>
        <w:t>具。</w:t>
      </w:r>
    </w:p>
    <w:p>
      <w:pPr>
        <w:pStyle w:val="BodyText"/>
        <w:spacing w:line="314" w:lineRule="auto" w:before="17"/>
        <w:ind w:right="126" w:firstLine="420"/>
        <w:jc w:val="both"/>
      </w:pPr>
      <w:r>
        <w:rPr>
          <w:spacing w:val="-2"/>
        </w:rPr>
        <w:t>本公司对以公允价值计量且其变动计入当期损益的金融资产或金融负债，在取得时以公允价值（扣除</w:t>
      </w:r>
      <w:r>
        <w:rPr>
          <w:w w:val="100"/>
        </w:rPr>
        <w:t> </w:t>
      </w:r>
      <w:r>
        <w:rPr>
          <w:spacing w:val="-2"/>
        </w:rPr>
        <w:t>已宣告但尚未发放的现金股利或已到付息期但尚未领取的债券利息）作为初始确认金额，相关的交易费用</w:t>
      </w:r>
      <w:r>
        <w:rPr>
          <w:spacing w:val="-44"/>
        </w:rPr>
        <w:t> </w:t>
      </w:r>
      <w:r>
        <w:rPr>
          <w:spacing w:val="-44"/>
        </w:rPr>
      </w:r>
      <w:r>
        <w:rPr>
          <w:spacing w:val="-2"/>
        </w:rPr>
        <w:t>计入当期损益。持有期间将取得的利息或现金股利确认为投资收益，期末将公允价值变动计入当期损益。</w:t>
      </w:r>
      <w:r>
        <w:rPr>
          <w:spacing w:val="-21"/>
        </w:rPr>
        <w:t> </w:t>
      </w:r>
      <w:r>
        <w:rPr>
          <w:spacing w:val="-21"/>
        </w:rPr>
      </w:r>
      <w:r>
        <w:rPr/>
        <w:t>处置时，其公允价值与初始入账金额之间的差额确认为投资收益，同时调整公允价值变动损益。</w:t>
      </w:r>
    </w:p>
    <w:p>
      <w:pPr>
        <w:pStyle w:val="BodyText"/>
        <w:spacing w:line="314" w:lineRule="auto" w:before="17"/>
        <w:ind w:left="572" w:right="0"/>
        <w:jc w:val="left"/>
      </w:pPr>
      <w:r>
        <w:rPr/>
        <w:t>（</w:t>
      </w:r>
      <w:r>
        <w:rPr>
          <w:rFonts w:ascii="宋体" w:hAnsi="宋体" w:cs="宋体" w:eastAsia="宋体" w:hint="default"/>
        </w:rPr>
        <w:t>2</w:t>
      </w:r>
      <w:r>
        <w:rPr/>
        <w:t>）持有至到期投资</w:t>
      </w:r>
      <w:r>
        <w:rPr>
          <w:spacing w:val="-3"/>
          <w:w w:val="100"/>
        </w:rPr>
        <w:t> </w:t>
      </w:r>
      <w:r>
        <w:rPr>
          <w:spacing w:val="-2"/>
        </w:rPr>
        <w:t>持有至到期投资是指到期日固定、回收金额固定或可确定，且本公司有明确意图和能力持有至到期的</w:t>
      </w:r>
    </w:p>
    <w:p>
      <w:pPr>
        <w:pStyle w:val="BodyText"/>
        <w:spacing w:line="314" w:lineRule="auto" w:before="17"/>
        <w:ind w:left="572" w:right="0" w:hanging="421"/>
        <w:jc w:val="left"/>
      </w:pPr>
      <w:r>
        <w:rPr/>
        <w:t>非衍生性金融资产。</w:t>
      </w:r>
      <w:r>
        <w:rPr>
          <w:w w:val="100"/>
        </w:rPr>
        <w:t> </w:t>
      </w:r>
      <w:r>
        <w:rPr>
          <w:spacing w:val="-2"/>
        </w:rPr>
        <w:t>本公司对持有至到期投资，在取得时按公允价值（扣除已到付息期但尚未领取的债券利息）和相关交</w:t>
      </w:r>
    </w:p>
    <w:p>
      <w:pPr>
        <w:pStyle w:val="BodyText"/>
        <w:spacing w:line="314" w:lineRule="auto" w:before="17"/>
        <w:ind w:right="146"/>
        <w:jc w:val="both"/>
      </w:pPr>
      <w:r>
        <w:rPr>
          <w:spacing w:val="-2"/>
        </w:rPr>
        <w:t>易费用之和作为初始确认金额。持有期间按照摊余成本和实际利率计算确认利息收入，计入投资收益。实</w:t>
      </w:r>
      <w:r>
        <w:rPr>
          <w:spacing w:val="-44"/>
        </w:rPr>
        <w:t> </w:t>
      </w:r>
      <w:r>
        <w:rPr>
          <w:spacing w:val="-44"/>
        </w:rPr>
      </w:r>
      <w:r>
        <w:rPr>
          <w:spacing w:val="-2"/>
        </w:rPr>
        <w:t>际利率在取得时确定，在该预期存续期间或适用的更短期间内保持不变。处置时，将所取得价款与该投资</w:t>
      </w:r>
      <w:r>
        <w:rPr>
          <w:spacing w:val="-48"/>
        </w:rPr>
        <w:t> </w:t>
      </w:r>
      <w:r>
        <w:rPr>
          <w:spacing w:val="-48"/>
        </w:rPr>
      </w:r>
      <w:r>
        <w:rPr/>
        <w:t>账面价值之间的差额计入投资收益。</w:t>
      </w:r>
    </w:p>
    <w:p>
      <w:pPr>
        <w:pStyle w:val="BodyText"/>
        <w:spacing w:line="312" w:lineRule="auto" w:before="20"/>
        <w:ind w:right="147" w:firstLine="420"/>
        <w:jc w:val="both"/>
      </w:pPr>
      <w:r>
        <w:rPr>
          <w:spacing w:val="-2"/>
        </w:rPr>
        <w:t>如果持有至到期投资处置或重分类为其他类金融资产的金额，相对于本公司全部持有至到期投资在出</w:t>
      </w:r>
      <w:r>
        <w:rPr>
          <w:w w:val="100"/>
        </w:rPr>
        <w:t> </w:t>
      </w:r>
      <w:r>
        <w:rPr>
          <w:spacing w:val="-2"/>
        </w:rPr>
        <w:t>售或重分类前的总额较大，在处置或重分类后应立即将其剩余的持有至到期投资重分类为可供出售金融资</w:t>
      </w:r>
      <w:r>
        <w:rPr>
          <w:spacing w:val="-43"/>
        </w:rPr>
        <w:t> </w:t>
      </w:r>
      <w:r>
        <w:rPr>
          <w:spacing w:val="-43"/>
        </w:rPr>
      </w:r>
      <w:r>
        <w:rPr>
          <w:spacing w:val="-2"/>
        </w:rPr>
        <w:t>产；重分类日，该投资的账面价值与其公允价值之间的差额计入其他综合收益，在该可供出售金融资产发</w:t>
      </w:r>
      <w:r>
        <w:rPr>
          <w:spacing w:val="-43"/>
        </w:rPr>
        <w:t> </w:t>
      </w:r>
      <w:r>
        <w:rPr>
          <w:spacing w:val="-43"/>
        </w:rPr>
      </w:r>
      <w:r>
        <w:rPr/>
        <w:t>生减值或终止确认时转出，计入当期损益。但是，遇到下列情况可以除外：</w:t>
      </w:r>
    </w:p>
    <w:p>
      <w:pPr>
        <w:pStyle w:val="BodyText"/>
        <w:spacing w:line="312" w:lineRule="auto" w:before="22"/>
        <w:ind w:right="151" w:firstLine="420"/>
        <w:jc w:val="both"/>
      </w:pPr>
      <w:r>
        <w:rPr>
          <w:rFonts w:ascii="宋体" w:hAnsi="宋体" w:cs="宋体" w:eastAsia="宋体" w:hint="default"/>
        </w:rPr>
        <w:t>1</w:t>
      </w:r>
      <w:r>
        <w:rPr/>
        <w:t>）出售日或重分类日距离该项投资到期日或赎回日较近</w:t>
      </w:r>
      <w:r>
        <w:rPr>
          <w:rFonts w:ascii="宋体" w:hAnsi="宋体" w:cs="宋体" w:eastAsia="宋体" w:hint="default"/>
        </w:rPr>
        <w:t>(</w:t>
      </w:r>
      <w:r>
        <w:rPr/>
        <w:t>如到期前三个月内</w:t>
      </w:r>
      <w:r>
        <w:rPr>
          <w:rFonts w:ascii="宋体" w:hAnsi="宋体" w:cs="宋体" w:eastAsia="宋体" w:hint="default"/>
        </w:rPr>
        <w:t>)</w:t>
      </w:r>
      <w:r>
        <w:rPr/>
        <w:t>，且市场利率变化对该</w:t>
      </w:r>
      <w:r>
        <w:rPr>
          <w:w w:val="100"/>
        </w:rPr>
        <w:t> </w:t>
      </w:r>
      <w:r>
        <w:rPr/>
        <w:t>项投资的公允价值没有显著影响。</w:t>
      </w:r>
    </w:p>
    <w:p>
      <w:pPr>
        <w:pStyle w:val="BodyText"/>
        <w:spacing w:line="240" w:lineRule="auto" w:before="22"/>
        <w:ind w:left="572" w:right="0"/>
        <w:jc w:val="left"/>
      </w:pPr>
      <w:r>
        <w:rPr>
          <w:rFonts w:ascii="宋体" w:hAnsi="宋体" w:cs="宋体" w:eastAsia="宋体" w:hint="default"/>
        </w:rPr>
        <w:t>2</w:t>
      </w:r>
      <w:r>
        <w:rPr/>
        <w:t>）根据合同约定的偿付方式，企业已收回几乎所有初始本金。</w:t>
      </w:r>
    </w:p>
    <w:p>
      <w:pPr>
        <w:pStyle w:val="BodyText"/>
        <w:spacing w:line="240" w:lineRule="auto" w:before="82"/>
        <w:ind w:left="572" w:right="0"/>
        <w:jc w:val="left"/>
      </w:pPr>
      <w:r>
        <w:rPr>
          <w:rFonts w:ascii="宋体" w:hAnsi="宋体" w:cs="宋体" w:eastAsia="宋体" w:hint="default"/>
        </w:rPr>
        <w:t>3</w:t>
      </w:r>
      <w:r>
        <w:rPr/>
        <w:t>）出售或重分类是由于企业无法控制、预期不会重复发生且难以合理预计的独立事件所引起。</w:t>
      </w:r>
    </w:p>
    <w:p>
      <w:pPr>
        <w:pStyle w:val="BodyText"/>
        <w:spacing w:line="312" w:lineRule="auto" w:before="85"/>
        <w:ind w:left="572" w:right="0"/>
        <w:jc w:val="left"/>
      </w:pPr>
      <w:r>
        <w:rPr/>
        <w:t>（</w:t>
      </w:r>
      <w:r>
        <w:rPr>
          <w:rFonts w:ascii="宋体" w:hAnsi="宋体" w:cs="宋体" w:eastAsia="宋体" w:hint="default"/>
        </w:rPr>
        <w:t>3</w:t>
      </w:r>
      <w:r>
        <w:rPr/>
        <w:t>）应收款项</w:t>
      </w:r>
      <w:r>
        <w:rPr>
          <w:w w:val="100"/>
        </w:rPr>
        <w:t> </w:t>
      </w:r>
      <w:r>
        <w:rPr>
          <w:spacing w:val="-2"/>
        </w:rPr>
        <w:t>公司对外销售商品或提供劳务形成的应收债权，以及公司持有的其他企业的不包括在活跃市场上有报</w:t>
      </w:r>
    </w:p>
    <w:p>
      <w:pPr>
        <w:pStyle w:val="BodyText"/>
        <w:spacing w:line="312" w:lineRule="auto" w:before="22"/>
        <w:ind w:right="147"/>
        <w:jc w:val="both"/>
      </w:pPr>
      <w:r>
        <w:rPr>
          <w:spacing w:val="-2"/>
        </w:rPr>
        <w:t>价的债务工具的债权，包括应收账款、应收票据、预付款项、其他应收款等，以向购货方应收的合同或协</w:t>
      </w:r>
      <w:r>
        <w:rPr>
          <w:spacing w:val="-43"/>
        </w:rPr>
        <w:t> </w:t>
      </w:r>
      <w:r>
        <w:rPr>
          <w:spacing w:val="-43"/>
        </w:rPr>
      </w:r>
      <w:r>
        <w:rPr/>
        <w:t>议价款作为初始确认金额；具有融资性质的，按其现值进行初始确认。</w:t>
      </w:r>
    </w:p>
    <w:p>
      <w:pPr>
        <w:pStyle w:val="BodyText"/>
        <w:spacing w:line="240" w:lineRule="auto" w:before="22"/>
        <w:ind w:left="572" w:right="0"/>
        <w:jc w:val="left"/>
      </w:pPr>
      <w:r>
        <w:rPr/>
        <w:t>收回或处置时，将取得的价款与该应收款项账面价值之间的差额计入当期损益。</w:t>
      </w:r>
    </w:p>
    <w:p>
      <w:pPr>
        <w:pStyle w:val="BodyText"/>
        <w:spacing w:line="314" w:lineRule="auto" w:before="82"/>
        <w:ind w:left="572" w:right="0"/>
        <w:jc w:val="left"/>
      </w:pPr>
      <w:r>
        <w:rPr/>
        <w:t>（</w:t>
      </w:r>
      <w:r>
        <w:rPr>
          <w:rFonts w:ascii="宋体" w:hAnsi="宋体" w:cs="宋体" w:eastAsia="宋体" w:hint="default"/>
        </w:rPr>
        <w:t>4</w:t>
      </w:r>
      <w:r>
        <w:rPr/>
        <w:t>）可供出售金融资产</w:t>
      </w:r>
      <w:r>
        <w:rPr>
          <w:w w:val="100"/>
        </w:rPr>
        <w:t> </w:t>
      </w:r>
      <w:r>
        <w:rPr>
          <w:spacing w:val="-2"/>
        </w:rPr>
        <w:t>可供出售金融资产，是指初始确认时即指定为可供出售的非衍生金融资产，以及除其他金融资产类别</w:t>
      </w:r>
    </w:p>
    <w:p>
      <w:pPr>
        <w:pStyle w:val="BodyText"/>
        <w:spacing w:line="314" w:lineRule="auto" w:before="17"/>
        <w:ind w:left="572" w:right="0" w:hanging="421"/>
        <w:jc w:val="left"/>
      </w:pPr>
      <w:r>
        <w:rPr/>
        <w:t>以外的金融资产。</w:t>
      </w:r>
      <w:r>
        <w:rPr>
          <w:w w:val="100"/>
        </w:rPr>
        <w:t> </w:t>
      </w:r>
      <w:r>
        <w:rPr>
          <w:spacing w:val="-2"/>
        </w:rPr>
        <w:t>本公司对可供出售金融资产，在取得时按公允价值（扣除已宣告但尚未发放的现金股利或已到付息期</w:t>
      </w:r>
    </w:p>
    <w:p>
      <w:pPr>
        <w:pStyle w:val="BodyText"/>
        <w:spacing w:line="314" w:lineRule="auto" w:before="17"/>
        <w:ind w:right="147"/>
        <w:jc w:val="both"/>
      </w:pPr>
      <w:r>
        <w:rPr>
          <w:spacing w:val="-2"/>
        </w:rPr>
        <w:t>但尚未领取的债券利息）和相关交易费用之和作为初始确认金额。持有期间将取得的利息或现金股利确认</w:t>
      </w:r>
      <w:r>
        <w:rPr>
          <w:spacing w:val="-42"/>
        </w:rPr>
        <w:t> </w:t>
      </w:r>
      <w:r>
        <w:rPr>
          <w:spacing w:val="-42"/>
        </w:rPr>
      </w:r>
      <w:r>
        <w:rPr>
          <w:spacing w:val="-2"/>
        </w:rPr>
        <w:t>为投资收益。可供出售金融资产的公允价值变动形成的利得或损失，除减值损失和外币货币性金融资产形</w:t>
      </w:r>
    </w:p>
    <w:p>
      <w:pPr>
        <w:spacing w:after="0" w:line="314" w:lineRule="auto"/>
        <w:jc w:val="both"/>
        <w:sectPr>
          <w:pgSz w:w="11910" w:h="16840"/>
          <w:pgMar w:header="880" w:footer="979" w:top="1060" w:bottom="1160" w:left="980" w:right="980"/>
        </w:sectPr>
      </w:pPr>
    </w:p>
    <w:p>
      <w:pPr>
        <w:spacing w:line="240" w:lineRule="auto" w:before="6"/>
        <w:rPr>
          <w:rFonts w:ascii="宋体" w:hAnsi="宋体" w:cs="宋体" w:eastAsia="宋体" w:hint="default"/>
          <w:sz w:val="26"/>
          <w:szCs w:val="26"/>
        </w:rPr>
      </w:pPr>
    </w:p>
    <w:p>
      <w:pPr>
        <w:pStyle w:val="BodyText"/>
        <w:spacing w:line="314" w:lineRule="auto" w:before="36"/>
        <w:ind w:right="146"/>
        <w:jc w:val="both"/>
      </w:pPr>
      <w:r>
        <w:rPr>
          <w:spacing w:val="-2"/>
        </w:rPr>
        <w:t>成的汇兑差额外，直接计入其他综合收益。处置可供出售金融资产时，将取得的价款与该金融资产账面价</w:t>
      </w:r>
      <w:r>
        <w:rPr>
          <w:spacing w:val="-44"/>
        </w:rPr>
        <w:t> </w:t>
      </w:r>
      <w:r>
        <w:rPr>
          <w:spacing w:val="-44"/>
        </w:rPr>
      </w:r>
      <w:r>
        <w:rPr>
          <w:spacing w:val="-2"/>
        </w:rPr>
        <w:t>值之间的差额，计入投资损益；同时，将原直接计入其他综合收益的公允价值变动累计额对应处置部分的</w:t>
      </w:r>
      <w:r>
        <w:rPr>
          <w:spacing w:val="-45"/>
        </w:rPr>
        <w:t> </w:t>
      </w:r>
      <w:r>
        <w:rPr>
          <w:spacing w:val="-45"/>
        </w:rPr>
      </w:r>
      <w:r>
        <w:rPr/>
        <w:t>金额转出，计入投资损益。</w:t>
      </w:r>
    </w:p>
    <w:p>
      <w:pPr>
        <w:pStyle w:val="BodyText"/>
        <w:spacing w:line="314" w:lineRule="auto" w:before="17"/>
        <w:ind w:right="146" w:firstLine="420"/>
        <w:jc w:val="both"/>
      </w:pPr>
      <w:r>
        <w:rPr>
          <w:spacing w:val="-2"/>
        </w:rPr>
        <w:t>本公司对在活跃市场中没有报价且其公允价值不能可靠计量的权益工具投资，以及与该权益工具挂钩</w:t>
      </w:r>
      <w:r>
        <w:rPr>
          <w:w w:val="100"/>
        </w:rPr>
        <w:t> </w:t>
      </w:r>
      <w:r>
        <w:rPr/>
        <w:t>并须通过交付该权益工具结算的衍生金融资产，按照成本计量。</w:t>
      </w:r>
    </w:p>
    <w:p>
      <w:pPr>
        <w:pStyle w:val="BodyText"/>
        <w:spacing w:line="314" w:lineRule="auto" w:before="17"/>
        <w:ind w:left="572" w:right="0"/>
        <w:jc w:val="left"/>
      </w:pPr>
      <w:r>
        <w:rPr/>
        <w:t>（</w:t>
      </w:r>
      <w:r>
        <w:rPr>
          <w:rFonts w:ascii="宋体" w:hAnsi="宋体" w:cs="宋体" w:eastAsia="宋体" w:hint="default"/>
        </w:rPr>
        <w:t>5</w:t>
      </w:r>
      <w:r>
        <w:rPr/>
        <w:t>）其他金融负债</w:t>
      </w:r>
      <w:r>
        <w:rPr>
          <w:w w:val="100"/>
        </w:rPr>
        <w:t> </w:t>
      </w:r>
      <w:r>
        <w:rPr/>
        <w:t>按其公允价值和相关交易费用之和作为初始确认金额。采用摊余成本进行后续计量。</w:t>
      </w:r>
      <w:r>
        <w:rPr>
          <w:w w:val="100"/>
        </w:rPr>
        <w:t> </w:t>
      </w:r>
      <w:r>
        <w:rPr>
          <w:rFonts w:ascii="宋体" w:hAnsi="宋体" w:cs="宋体" w:eastAsia="宋体" w:hint="default"/>
          <w:b/>
          <w:bCs/>
        </w:rPr>
        <w:t>三、金融资产转移的确认依据和计量方法</w:t>
      </w:r>
      <w:r>
        <w:rPr>
          <w:rFonts w:ascii="宋体" w:hAnsi="宋体" w:cs="宋体" w:eastAsia="宋体" w:hint="default"/>
          <w:b/>
          <w:bCs/>
          <w:w w:val="100"/>
        </w:rPr>
        <w:t> </w:t>
      </w:r>
      <w:r>
        <w:rPr>
          <w:spacing w:val="-2"/>
        </w:rPr>
        <w:t>本公司发生金融资产转移时，如已将金融资产所有权上几乎所有的风险和报酬转移给转入方，则终止</w:t>
      </w:r>
    </w:p>
    <w:p>
      <w:pPr>
        <w:pStyle w:val="BodyText"/>
        <w:spacing w:line="314" w:lineRule="auto" w:before="17"/>
        <w:ind w:left="572" w:right="0" w:hanging="421"/>
        <w:jc w:val="left"/>
      </w:pPr>
      <w:r>
        <w:rPr/>
        <w:t>确认该金融资产；如保留了金融资产所有权上几乎所有的风险和报酬的，则不终止确认该金融资产。</w:t>
      </w:r>
      <w:r>
        <w:rPr>
          <w:w w:val="100"/>
        </w:rPr>
        <w:t> </w:t>
      </w:r>
      <w:r>
        <w:rPr>
          <w:spacing w:val="-2"/>
        </w:rPr>
        <w:t>在判断金融资产转移是否满足上述金融资产终止确认条件时，采用实质重于形式的原则。公司将金融</w:t>
      </w:r>
    </w:p>
    <w:p>
      <w:pPr>
        <w:pStyle w:val="BodyText"/>
        <w:spacing w:line="314" w:lineRule="auto" w:before="17"/>
        <w:ind w:right="147"/>
        <w:jc w:val="both"/>
      </w:pPr>
      <w:r>
        <w:rPr>
          <w:spacing w:val="-2"/>
        </w:rPr>
        <w:t>资产转移区分为金融资产整体转移和部分转移。金融资产整体转移满足终止确认条件的，将下列两项金额</w:t>
      </w:r>
      <w:r>
        <w:rPr>
          <w:spacing w:val="-44"/>
        </w:rPr>
        <w:t> </w:t>
      </w:r>
      <w:r>
        <w:rPr>
          <w:spacing w:val="-44"/>
        </w:rPr>
      </w:r>
      <w:r>
        <w:rPr/>
        <w:t>的差额计入当期损益：</w:t>
      </w:r>
    </w:p>
    <w:p>
      <w:pPr>
        <w:pStyle w:val="BodyText"/>
        <w:spacing w:line="240" w:lineRule="auto" w:before="17"/>
        <w:ind w:left="572" w:right="0"/>
        <w:jc w:val="left"/>
      </w:pPr>
      <w:r>
        <w:rPr/>
        <w:t>（</w:t>
      </w:r>
      <w:r>
        <w:rPr>
          <w:rFonts w:ascii="宋体" w:hAnsi="宋体" w:cs="宋体" w:eastAsia="宋体" w:hint="default"/>
        </w:rPr>
        <w:t>1</w:t>
      </w:r>
      <w:r>
        <w:rPr/>
        <w:t>）所转移金融资产的账面价值；</w:t>
      </w:r>
    </w:p>
    <w:p>
      <w:pPr>
        <w:pStyle w:val="BodyText"/>
        <w:spacing w:line="312" w:lineRule="auto" w:before="85"/>
        <w:ind w:right="154" w:firstLine="420"/>
        <w:jc w:val="both"/>
      </w:pPr>
      <w:r>
        <w:rPr/>
        <w:t>（</w:t>
      </w:r>
      <w:r>
        <w:rPr>
          <w:rFonts w:ascii="宋体" w:hAnsi="宋体" w:cs="宋体" w:eastAsia="宋体" w:hint="default"/>
        </w:rPr>
        <w:t>2</w:t>
      </w:r>
      <w:r>
        <w:rPr/>
        <w:t>）因转移而收到的对价，与原直接计入所有者权益的公允价值变动累计额（涉及转移的金融资产</w:t>
      </w:r>
      <w:r>
        <w:rPr>
          <w:w w:val="100"/>
        </w:rPr>
        <w:t> </w:t>
      </w:r>
      <w:r>
        <w:rPr/>
        <w:t>为可供出售金融资产的情形）之和。</w:t>
      </w:r>
    </w:p>
    <w:p>
      <w:pPr>
        <w:pStyle w:val="BodyText"/>
        <w:spacing w:line="312" w:lineRule="auto" w:before="22"/>
        <w:ind w:right="147" w:firstLine="420"/>
        <w:jc w:val="both"/>
      </w:pPr>
      <w:r>
        <w:rPr>
          <w:spacing w:val="-2"/>
        </w:rPr>
        <w:t>金融资产部分转移满足终止确认条件的，将所转移金融资产整体的账面价值，在终止确认部分和未终</w:t>
      </w:r>
      <w:r>
        <w:rPr>
          <w:w w:val="100"/>
        </w:rPr>
        <w:t> </w:t>
      </w:r>
      <w:r>
        <w:rPr/>
        <w:t>止确认部分之间，按照各自的相对公允价值进行分摊，并将下列两项金额的差额计入当期损益：</w:t>
      </w:r>
    </w:p>
    <w:p>
      <w:pPr>
        <w:pStyle w:val="BodyText"/>
        <w:spacing w:line="240" w:lineRule="auto" w:before="22"/>
        <w:ind w:left="572" w:right="0"/>
        <w:jc w:val="left"/>
      </w:pPr>
      <w:r>
        <w:rPr/>
        <w:t>（</w:t>
      </w:r>
      <w:r>
        <w:rPr>
          <w:rFonts w:ascii="宋体" w:hAnsi="宋体" w:cs="宋体" w:eastAsia="宋体" w:hint="default"/>
        </w:rPr>
        <w:t>1</w:t>
      </w:r>
      <w:r>
        <w:rPr/>
        <w:t>）终止确认部分的账面价值；</w:t>
      </w:r>
    </w:p>
    <w:p>
      <w:pPr>
        <w:pStyle w:val="BodyText"/>
        <w:spacing w:line="314" w:lineRule="auto" w:before="82"/>
        <w:ind w:right="154" w:firstLine="420"/>
        <w:jc w:val="both"/>
      </w:pPr>
      <w:r>
        <w:rPr/>
        <w:t>（</w:t>
      </w:r>
      <w:r>
        <w:rPr>
          <w:rFonts w:ascii="宋体" w:hAnsi="宋体" w:cs="宋体" w:eastAsia="宋体" w:hint="default"/>
        </w:rPr>
        <w:t>2</w:t>
      </w:r>
      <w:r>
        <w:rPr/>
        <w:t>）终止确认部分的对价，与原直接计入所有者权益的公允价值变动累计额中对应终止确认部分的</w:t>
      </w:r>
      <w:r>
        <w:rPr>
          <w:w w:val="100"/>
        </w:rPr>
        <w:t> </w:t>
      </w:r>
      <w:r>
        <w:rPr/>
        <w:t>金额（涉及转移的金融资产为可供出售金融资产的情形）之和。</w:t>
      </w:r>
    </w:p>
    <w:p>
      <w:pPr>
        <w:pStyle w:val="BodyText"/>
        <w:spacing w:line="314" w:lineRule="auto" w:before="17"/>
        <w:ind w:left="572" w:right="0" w:hanging="1"/>
        <w:jc w:val="left"/>
      </w:pPr>
      <w:r>
        <w:rPr/>
        <w:t>金融资产转移不满足终止确认条件的，继续确认该金融资产，所收到的对价确认为一项金融负债。</w:t>
      </w:r>
      <w:r>
        <w:rPr>
          <w:w w:val="100"/>
        </w:rPr>
        <w:t> </w:t>
      </w:r>
      <w:r>
        <w:rPr>
          <w:rFonts w:ascii="宋体" w:hAnsi="宋体" w:cs="宋体" w:eastAsia="宋体" w:hint="default"/>
          <w:b/>
          <w:bCs/>
        </w:rPr>
        <w:t>四、金融负债终止确认条件</w:t>
      </w:r>
      <w:r>
        <w:rPr>
          <w:rFonts w:ascii="宋体" w:hAnsi="宋体" w:cs="宋体" w:eastAsia="宋体" w:hint="default"/>
          <w:b/>
          <w:bCs/>
          <w:w w:val="100"/>
        </w:rPr>
        <w:t> </w:t>
      </w:r>
      <w:r>
        <w:rPr>
          <w:spacing w:val="-2"/>
        </w:rPr>
        <w:t>金融负债的现时义务全部或部分已经解除的，则终止确认该金融负债或其一部分；本公司若与债权人</w:t>
      </w:r>
    </w:p>
    <w:p>
      <w:pPr>
        <w:pStyle w:val="BodyText"/>
        <w:spacing w:line="312" w:lineRule="auto" w:before="20"/>
        <w:ind w:right="147"/>
        <w:jc w:val="both"/>
      </w:pPr>
      <w:r>
        <w:rPr>
          <w:spacing w:val="-2"/>
        </w:rPr>
        <w:t>签定协议，以承担新金融负债方式替换现存金融负债，且新金融负债与现存金融负债的合同条款实质上不</w:t>
      </w:r>
      <w:r>
        <w:rPr>
          <w:spacing w:val="-43"/>
        </w:rPr>
        <w:t> </w:t>
      </w:r>
      <w:r>
        <w:rPr>
          <w:spacing w:val="-43"/>
        </w:rPr>
      </w:r>
      <w:r>
        <w:rPr/>
        <w:t>同的，则终止确认现存金融负债，并同时确认新金融负债。</w:t>
      </w:r>
    </w:p>
    <w:p>
      <w:pPr>
        <w:pStyle w:val="BodyText"/>
        <w:spacing w:line="312" w:lineRule="auto" w:before="22"/>
        <w:ind w:right="147" w:firstLine="420"/>
        <w:jc w:val="both"/>
      </w:pPr>
      <w:r>
        <w:rPr>
          <w:spacing w:val="-2"/>
        </w:rPr>
        <w:t>对现存金融负债全部或部分合同条款作出实质性修改的，则终止确认现存金融负债或其一部分，同时</w:t>
      </w:r>
      <w:r>
        <w:rPr>
          <w:w w:val="100"/>
        </w:rPr>
        <w:t> </w:t>
      </w:r>
      <w:r>
        <w:rPr/>
        <w:t>将修改条款后的金融负债确认为一项新金融负债。</w:t>
      </w:r>
    </w:p>
    <w:p>
      <w:pPr>
        <w:pStyle w:val="BodyText"/>
        <w:spacing w:line="312" w:lineRule="auto" w:before="22"/>
        <w:ind w:right="147" w:firstLine="420"/>
        <w:jc w:val="both"/>
      </w:pPr>
      <w:r>
        <w:rPr>
          <w:spacing w:val="-2"/>
        </w:rPr>
        <w:t>金融负债全部或部分终止确认时，终止确认的金融负债账面价值与支付对价（包括转出的非现金资产</w:t>
      </w:r>
      <w:r>
        <w:rPr>
          <w:w w:val="100"/>
        </w:rPr>
        <w:t> </w:t>
      </w:r>
      <w:r>
        <w:rPr/>
        <w:t>或承担的新金融负债）之间的差额，计入当期损益。</w:t>
      </w:r>
    </w:p>
    <w:p>
      <w:pPr>
        <w:pStyle w:val="BodyText"/>
        <w:spacing w:line="314" w:lineRule="auto" w:before="22"/>
        <w:ind w:right="147" w:firstLine="420"/>
        <w:jc w:val="both"/>
      </w:pPr>
      <w:r>
        <w:rPr>
          <w:spacing w:val="-2"/>
        </w:rPr>
        <w:t>本公司若回购部分金融负债的，在回购日按照继续确认部分与终止确认部分的相对公允价值，将该金</w:t>
      </w:r>
      <w:r>
        <w:rPr>
          <w:w w:val="100"/>
        </w:rPr>
        <w:t> </w:t>
      </w:r>
      <w:r>
        <w:rPr>
          <w:spacing w:val="-2"/>
        </w:rPr>
        <w:t>融负债整体的账面价值进行分配。分配给终止确认部分的账面价值与支付的对价（包括转出的非现金资产</w:t>
      </w:r>
      <w:r>
        <w:rPr>
          <w:spacing w:val="-44"/>
        </w:rPr>
        <w:t> </w:t>
      </w:r>
      <w:r>
        <w:rPr>
          <w:spacing w:val="-44"/>
        </w:rPr>
      </w:r>
      <w:r>
        <w:rPr/>
        <w:t>或承担的新金融负债）之间的差额，计入当期损益。</w:t>
      </w:r>
    </w:p>
    <w:p>
      <w:pPr>
        <w:spacing w:line="314" w:lineRule="auto" w:before="17"/>
        <w:ind w:left="572" w:right="0" w:firstLine="0"/>
        <w:jc w:val="left"/>
        <w:rPr>
          <w:rFonts w:ascii="宋体" w:hAnsi="宋体" w:cs="宋体" w:eastAsia="宋体" w:hint="default"/>
          <w:sz w:val="21"/>
          <w:szCs w:val="21"/>
        </w:rPr>
      </w:pPr>
      <w:r>
        <w:rPr>
          <w:rFonts w:ascii="宋体" w:hAnsi="宋体" w:cs="宋体" w:eastAsia="宋体" w:hint="default"/>
          <w:b/>
          <w:bCs/>
          <w:sz w:val="21"/>
          <w:szCs w:val="21"/>
        </w:rPr>
        <w:t>五、金融资产和金融负债公允价值的确定方法</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本公司采用公允价值计量的金融资产和金融负债存在活跃市场的金融资产或金融负债，以活跃市场的</w:t>
      </w:r>
    </w:p>
    <w:p>
      <w:pPr>
        <w:pStyle w:val="BodyText"/>
        <w:spacing w:line="314" w:lineRule="auto" w:before="17"/>
        <w:ind w:right="146"/>
        <w:jc w:val="both"/>
      </w:pPr>
      <w:r>
        <w:rPr>
          <w:spacing w:val="-2"/>
        </w:rPr>
        <w:t>报价确定其公允价值；不存在活跃市场的金融资产或金融负债，采用估值技术（包括参考熟悉情况并自愿</w:t>
      </w:r>
      <w:r>
        <w:rPr>
          <w:spacing w:val="-44"/>
        </w:rPr>
        <w:t> </w:t>
      </w:r>
      <w:r>
        <w:rPr>
          <w:spacing w:val="-44"/>
        </w:rPr>
      </w:r>
      <w:r>
        <w:rPr>
          <w:spacing w:val="-2"/>
        </w:rPr>
        <w:t>交易的各方最近进行的市场交易中使用的价格、参照实质上相同的其他金融工具的当前公允价值、现金流</w:t>
      </w:r>
      <w:r>
        <w:rPr>
          <w:spacing w:val="-44"/>
        </w:rPr>
        <w:t> </w:t>
      </w:r>
      <w:r>
        <w:rPr>
          <w:spacing w:val="-44"/>
        </w:rPr>
      </w:r>
      <w:r>
        <w:rPr>
          <w:spacing w:val="-2"/>
        </w:rPr>
        <w:t>量折现法和期权定价模型等）确定其公允价值；初始取得或源生的金融资产或承担的金融负债，以市场交</w:t>
      </w:r>
      <w:r>
        <w:rPr>
          <w:spacing w:val="-42"/>
        </w:rPr>
        <w:t> </w:t>
      </w:r>
      <w:r>
        <w:rPr>
          <w:spacing w:val="-42"/>
        </w:rPr>
      </w:r>
      <w:r>
        <w:rPr/>
        <w:t>易价格作为确定其公允价值的基础。</w:t>
      </w:r>
    </w:p>
    <w:p>
      <w:pPr>
        <w:spacing w:after="0" w:line="314" w:lineRule="auto"/>
        <w:jc w:val="both"/>
        <w:sectPr>
          <w:footerReference w:type="default" r:id="rId80"/>
          <w:pgSz w:w="11910" w:h="16840"/>
          <w:pgMar w:footer="979" w:header="880" w:top="1060" w:bottom="1160" w:left="980" w:right="980"/>
          <w:pgNumType w:start="139"/>
        </w:sectPr>
      </w:pPr>
    </w:p>
    <w:p>
      <w:pPr>
        <w:spacing w:line="240" w:lineRule="auto" w:before="6"/>
        <w:rPr>
          <w:rFonts w:ascii="宋体" w:hAnsi="宋体" w:cs="宋体" w:eastAsia="宋体" w:hint="default"/>
          <w:sz w:val="26"/>
          <w:szCs w:val="26"/>
        </w:rPr>
      </w:pPr>
    </w:p>
    <w:p>
      <w:pPr>
        <w:spacing w:line="312" w:lineRule="auto" w:before="36"/>
        <w:ind w:left="572" w:right="0" w:firstLine="0"/>
        <w:jc w:val="left"/>
        <w:rPr>
          <w:rFonts w:ascii="宋体" w:hAnsi="宋体" w:cs="宋体" w:eastAsia="宋体" w:hint="default"/>
          <w:sz w:val="21"/>
          <w:szCs w:val="21"/>
        </w:rPr>
      </w:pPr>
      <w:r>
        <w:rPr>
          <w:rFonts w:ascii="宋体" w:hAnsi="宋体" w:cs="宋体" w:eastAsia="宋体" w:hint="default"/>
          <w:b/>
          <w:bCs/>
          <w:sz w:val="21"/>
          <w:szCs w:val="21"/>
        </w:rPr>
        <w:t>六、金融资产（不含应收款项）减值准备计提</w:t>
      </w:r>
      <w:r>
        <w:rPr>
          <w:rFonts w:ascii="宋体" w:hAnsi="宋体" w:cs="宋体" w:eastAsia="宋体" w:hint="default"/>
          <w:b/>
          <w:bCs/>
          <w:w w:val="100"/>
          <w:sz w:val="21"/>
          <w:szCs w:val="21"/>
        </w:rPr>
        <w:t> </w:t>
      </w:r>
      <w:r>
        <w:rPr>
          <w:rFonts w:ascii="宋体" w:hAnsi="宋体" w:cs="宋体" w:eastAsia="宋体" w:hint="default"/>
          <w:spacing w:val="2"/>
          <w:sz w:val="21"/>
          <w:szCs w:val="21"/>
        </w:rPr>
        <w:t>资产负债表日对以公允价值计量且其变动计入当期损益的金融资产以外的金融资产的账面价值进行</w:t>
      </w:r>
    </w:p>
    <w:p>
      <w:pPr>
        <w:pStyle w:val="BodyText"/>
        <w:spacing w:line="312" w:lineRule="auto" w:before="22"/>
        <w:ind w:left="572" w:right="0" w:hanging="420"/>
        <w:jc w:val="left"/>
      </w:pPr>
      <w:r>
        <w:rPr>
          <w:spacing w:val="-2"/>
        </w:rPr>
        <w:t>检查，如有客观证据表明该金融资产发生减值的，计提减值准备。</w:t>
      </w:r>
      <w:r>
        <w:rPr>
          <w:spacing w:val="-49"/>
        </w:rPr>
        <w:t> </w:t>
      </w:r>
      <w:r>
        <w:rPr>
          <w:spacing w:val="-49"/>
        </w:rPr>
      </w:r>
      <w:r>
        <w:rPr/>
        <w:t>金融资产发生减值的客观证据，包括但不限于：</w:t>
      </w:r>
    </w:p>
    <w:p>
      <w:pPr>
        <w:pStyle w:val="BodyText"/>
        <w:spacing w:line="240" w:lineRule="auto" w:before="22"/>
        <w:ind w:left="572" w:right="0"/>
        <w:jc w:val="left"/>
      </w:pPr>
      <w:r>
        <w:rPr/>
        <w:t>（</w:t>
      </w:r>
      <w:r>
        <w:rPr>
          <w:rFonts w:ascii="宋体" w:hAnsi="宋体" w:cs="宋体" w:eastAsia="宋体" w:hint="default"/>
        </w:rPr>
        <w:t>1</w:t>
      </w:r>
      <w:r>
        <w:rPr/>
        <w:t>）发行方或债务人发生严重财务困难；</w:t>
      </w:r>
    </w:p>
    <w:p>
      <w:pPr>
        <w:pStyle w:val="BodyText"/>
        <w:spacing w:line="240" w:lineRule="auto" w:before="82"/>
        <w:ind w:left="572" w:right="0"/>
        <w:jc w:val="left"/>
      </w:pPr>
      <w:r>
        <w:rPr/>
        <w:t>（</w:t>
      </w:r>
      <w:r>
        <w:rPr>
          <w:rFonts w:ascii="宋体" w:hAnsi="宋体" w:cs="宋体" w:eastAsia="宋体" w:hint="default"/>
        </w:rPr>
        <w:t>2</w:t>
      </w:r>
      <w:r>
        <w:rPr/>
        <w:t>）债务人违反了合同条款，如偿付利息或本金发生违约或逾期等；</w:t>
      </w:r>
    </w:p>
    <w:p>
      <w:pPr>
        <w:pStyle w:val="BodyText"/>
        <w:spacing w:line="240" w:lineRule="auto" w:before="85"/>
        <w:ind w:left="572" w:right="0"/>
        <w:jc w:val="left"/>
      </w:pPr>
      <w:r>
        <w:rPr/>
        <w:t>（</w:t>
      </w:r>
      <w:r>
        <w:rPr>
          <w:rFonts w:ascii="宋体" w:hAnsi="宋体" w:cs="宋体" w:eastAsia="宋体" w:hint="default"/>
        </w:rPr>
        <w:t>3</w:t>
      </w:r>
      <w:r>
        <w:rPr/>
        <w:t>）债权人出于经济或法律等方面因素的考虑，对发生财务困难的债务人作出让步；</w:t>
      </w:r>
    </w:p>
    <w:p>
      <w:pPr>
        <w:pStyle w:val="BodyText"/>
        <w:spacing w:line="240" w:lineRule="auto" w:before="82"/>
        <w:ind w:left="572" w:right="0"/>
        <w:jc w:val="left"/>
      </w:pPr>
      <w:r>
        <w:rPr/>
        <w:t>（</w:t>
      </w:r>
      <w:r>
        <w:rPr>
          <w:rFonts w:ascii="宋体" w:hAnsi="宋体" w:cs="宋体" w:eastAsia="宋体" w:hint="default"/>
        </w:rPr>
        <w:t>4</w:t>
      </w:r>
      <w:r>
        <w:rPr/>
        <w:t>）债务人很可能倒闭或进行其他财务重组；</w:t>
      </w:r>
    </w:p>
    <w:p>
      <w:pPr>
        <w:pStyle w:val="BodyText"/>
        <w:spacing w:line="240" w:lineRule="auto" w:before="85"/>
        <w:ind w:left="572" w:right="0"/>
        <w:jc w:val="left"/>
      </w:pPr>
      <w:r>
        <w:rPr/>
        <w:t>（</w:t>
      </w:r>
      <w:r>
        <w:rPr>
          <w:rFonts w:ascii="宋体" w:hAnsi="宋体" w:cs="宋体" w:eastAsia="宋体" w:hint="default"/>
        </w:rPr>
        <w:t>5</w:t>
      </w:r>
      <w:r>
        <w:rPr/>
        <w:t>）因发行方发生重大财务困难，该金融资产无法在活跃市场继续交易；</w:t>
      </w:r>
    </w:p>
    <w:p>
      <w:pPr>
        <w:pStyle w:val="BodyText"/>
        <w:spacing w:line="314" w:lineRule="auto" w:before="82"/>
        <w:ind w:right="125" w:firstLine="420"/>
        <w:jc w:val="both"/>
      </w:pPr>
      <w:r>
        <w:rPr/>
        <w:t>（</w:t>
      </w:r>
      <w:r>
        <w:rPr>
          <w:rFonts w:ascii="宋体" w:hAnsi="宋体" w:cs="宋体" w:eastAsia="宋体" w:hint="default"/>
        </w:rPr>
        <w:t>6</w:t>
      </w:r>
      <w:r>
        <w:rPr/>
        <w:t>）无法辨认一组金融资产中的某项资产的现金流量是否已经减少，但根据公开的数据对其进行总</w:t>
      </w:r>
      <w:r>
        <w:rPr>
          <w:w w:val="100"/>
        </w:rPr>
        <w:t> </w:t>
      </w:r>
      <w:r>
        <w:rPr>
          <w:spacing w:val="-2"/>
        </w:rPr>
        <w:t>体评价后发现，该组金融资产自初始确认以来的预计未来现金流量确已减少且可计量，如该组金融资产的</w:t>
      </w:r>
      <w:r>
        <w:rPr>
          <w:spacing w:val="-42"/>
        </w:rPr>
        <w:t> </w:t>
      </w:r>
      <w:r>
        <w:rPr>
          <w:spacing w:val="-42"/>
        </w:rPr>
      </w:r>
      <w:r>
        <w:rPr>
          <w:spacing w:val="-2"/>
        </w:rPr>
        <w:t>债务人支付能力逐步恶化，或债务人所在国家或地区失业率提高、担保物在其所在地区的价格明显下降、</w:t>
      </w:r>
      <w:r>
        <w:rPr>
          <w:spacing w:val="-21"/>
        </w:rPr>
        <w:t> </w:t>
      </w:r>
      <w:r>
        <w:rPr>
          <w:spacing w:val="-21"/>
        </w:rPr>
      </w:r>
      <w:r>
        <w:rPr/>
        <w:t>所处行业不景气等；</w:t>
      </w:r>
    </w:p>
    <w:p>
      <w:pPr>
        <w:pStyle w:val="BodyText"/>
        <w:spacing w:line="314" w:lineRule="auto" w:before="17"/>
        <w:ind w:right="154" w:firstLine="420"/>
        <w:jc w:val="both"/>
      </w:pPr>
      <w:r>
        <w:rPr/>
        <w:t>（</w:t>
      </w:r>
      <w:r>
        <w:rPr>
          <w:rFonts w:ascii="宋体" w:hAnsi="宋体" w:cs="宋体" w:eastAsia="宋体" w:hint="default"/>
        </w:rPr>
        <w:t>7</w:t>
      </w:r>
      <w:r>
        <w:rPr/>
        <w:t>）权益工具发行方经营所处的技术、市场、经济或法律环境等发生重大不利变化，使权益工具投</w:t>
      </w:r>
      <w:r>
        <w:rPr>
          <w:w w:val="100"/>
        </w:rPr>
        <w:t> </w:t>
      </w:r>
      <w:r>
        <w:rPr/>
        <w:t>资人可能无法收回投资成本；</w:t>
      </w:r>
    </w:p>
    <w:p>
      <w:pPr>
        <w:pStyle w:val="BodyText"/>
        <w:spacing w:line="314" w:lineRule="auto" w:before="17"/>
        <w:ind w:left="572" w:right="3068"/>
        <w:jc w:val="left"/>
      </w:pPr>
      <w:r>
        <w:rPr>
          <w:spacing w:val="-2"/>
        </w:rPr>
        <w:t>（</w:t>
      </w:r>
      <w:r>
        <w:rPr>
          <w:rFonts w:ascii="宋体" w:hAnsi="宋体" w:cs="宋体" w:eastAsia="宋体" w:hint="default"/>
          <w:spacing w:val="-2"/>
        </w:rPr>
        <w:t>8</w:t>
      </w:r>
      <w:r>
        <w:rPr>
          <w:spacing w:val="-2"/>
        </w:rPr>
        <w:t>）权益工具投资的公允价值发生严重或非暂时性下跌。</w:t>
      </w:r>
      <w:r>
        <w:rPr>
          <w:spacing w:val="-56"/>
        </w:rPr>
        <w:t> </w:t>
      </w:r>
      <w:r>
        <w:rPr>
          <w:spacing w:val="-56"/>
        </w:rPr>
      </w:r>
      <w:r>
        <w:rPr/>
        <w:t>金融资产的具体减值方法如下：</w:t>
      </w:r>
    </w:p>
    <w:p>
      <w:pPr>
        <w:pStyle w:val="BodyText"/>
        <w:spacing w:line="314" w:lineRule="auto" w:before="17"/>
        <w:ind w:left="572" w:right="0"/>
        <w:jc w:val="left"/>
      </w:pPr>
      <w:r>
        <w:rPr/>
        <w:t>（</w:t>
      </w:r>
      <w:r>
        <w:rPr>
          <w:rFonts w:ascii="宋体" w:hAnsi="宋体" w:cs="宋体" w:eastAsia="宋体" w:hint="default"/>
        </w:rPr>
        <w:t>1</w:t>
      </w:r>
      <w:r>
        <w:rPr/>
        <w:t>）可供出售金融资产的减值准备</w:t>
      </w:r>
      <w:r>
        <w:rPr>
          <w:spacing w:val="-3"/>
          <w:w w:val="100"/>
        </w:rPr>
        <w:t> </w:t>
      </w:r>
      <w:r>
        <w:rPr>
          <w:spacing w:val="-2"/>
        </w:rPr>
        <w:t>本公司于资产负债表日对各项可供出售权益工具投资单独进行检查，若该权益工具投资于资产负债表</w:t>
      </w:r>
    </w:p>
    <w:p>
      <w:pPr>
        <w:pStyle w:val="BodyText"/>
        <w:spacing w:line="314" w:lineRule="auto" w:before="17"/>
        <w:ind w:right="126" w:hanging="1"/>
        <w:jc w:val="both"/>
      </w:pPr>
      <w:r>
        <w:rPr>
          <w:spacing w:val="-2"/>
        </w:rPr>
        <w:t>日的公允价值低于其初始投资成本超过</w:t>
      </w:r>
      <w:r>
        <w:rPr>
          <w:rFonts w:ascii="宋体" w:hAnsi="宋体" w:cs="宋体" w:eastAsia="宋体" w:hint="default"/>
          <w:spacing w:val="-2"/>
        </w:rPr>
        <w:t>50%</w:t>
      </w:r>
      <w:r>
        <w:rPr>
          <w:spacing w:val="-2"/>
        </w:rPr>
        <w:t>（含</w:t>
      </w:r>
      <w:r>
        <w:rPr>
          <w:rFonts w:ascii="宋体" w:hAnsi="宋体" w:cs="宋体" w:eastAsia="宋体" w:hint="default"/>
          <w:spacing w:val="-2"/>
        </w:rPr>
        <w:t>50%</w:t>
      </w:r>
      <w:r>
        <w:rPr>
          <w:spacing w:val="-2"/>
        </w:rPr>
        <w:t>）或低于其初始投资成本持续时间超过一年（含一年）</w:t>
      </w:r>
      <w:r>
        <w:rPr>
          <w:spacing w:val="-16"/>
        </w:rPr>
        <w:t> </w:t>
      </w:r>
      <w:r>
        <w:rPr>
          <w:spacing w:val="-16"/>
        </w:rPr>
      </w:r>
      <w:r>
        <w:rPr/>
        <w:t>的，则表明其发生减值；若该权益工具投资于资产负债表日的公允价值低于其初始投资成本超过</w:t>
      </w:r>
      <w:r>
        <w:rPr>
          <w:rFonts w:ascii="宋体" w:hAnsi="宋体" w:cs="宋体" w:eastAsia="宋体" w:hint="default"/>
        </w:rPr>
        <w:t>20%</w:t>
      </w:r>
      <w:r>
        <w:rPr/>
        <w:t>（含</w:t>
      </w:r>
      <w:r>
        <w:rPr>
          <w:spacing w:val="-28"/>
        </w:rPr>
        <w:t> </w:t>
      </w:r>
      <w:r>
        <w:rPr>
          <w:rFonts w:ascii="宋体" w:hAnsi="宋体" w:cs="宋体" w:eastAsia="宋体" w:hint="default"/>
          <w:spacing w:val="-2"/>
        </w:rPr>
        <w:t>20%</w:t>
      </w:r>
      <w:r>
        <w:rPr>
          <w:spacing w:val="-2"/>
        </w:rPr>
        <w:t>）但尚未达到</w:t>
      </w:r>
      <w:r>
        <w:rPr>
          <w:rFonts w:ascii="宋体" w:hAnsi="宋体" w:cs="宋体" w:eastAsia="宋体" w:hint="default"/>
          <w:spacing w:val="-2"/>
        </w:rPr>
        <w:t>50%</w:t>
      </w:r>
      <w:r>
        <w:rPr>
          <w:spacing w:val="-2"/>
        </w:rPr>
        <w:t>的，本公司会综合考虑其他相关因素诸如价格波动率等，判断该权益工具投资是否发</w:t>
      </w:r>
      <w:r>
        <w:rPr>
          <w:spacing w:val="-38"/>
        </w:rPr>
        <w:t> </w:t>
      </w:r>
      <w:r>
        <w:rPr>
          <w:spacing w:val="-38"/>
        </w:rPr>
      </w:r>
      <w:r>
        <w:rPr/>
        <w:t>生减值。</w:t>
      </w:r>
    </w:p>
    <w:p>
      <w:pPr>
        <w:pStyle w:val="BodyText"/>
        <w:spacing w:line="314" w:lineRule="auto" w:before="17"/>
        <w:ind w:right="146" w:firstLine="420"/>
        <w:jc w:val="both"/>
      </w:pPr>
      <w:r>
        <w:rPr>
          <w:spacing w:val="-2"/>
        </w:rPr>
        <w:t>可供出售金融资产发生减值时，即使该金融资产没有终止确认，本公司将原直接计入其他综合收益的</w:t>
      </w:r>
      <w:r>
        <w:rPr>
          <w:w w:val="100"/>
        </w:rPr>
        <w:t> </w:t>
      </w:r>
      <w:r>
        <w:rPr>
          <w:spacing w:val="-2"/>
        </w:rPr>
        <w:t>因公允价值下降形成的累计损失从其他综合收益转出，计入当期损益。该转出的累计损失，等于可供出售</w:t>
      </w:r>
      <w:r>
        <w:rPr>
          <w:spacing w:val="-44"/>
        </w:rPr>
        <w:t> </w:t>
      </w:r>
      <w:r>
        <w:rPr>
          <w:spacing w:val="-44"/>
        </w:rPr>
      </w:r>
      <w:r>
        <w:rPr>
          <w:spacing w:val="-2"/>
        </w:rPr>
        <w:t>金融资产的初始取得成本扣除已收回本金和已摊余金额、当前公允价值和原已计入损益的减值损失后的余</w:t>
      </w:r>
      <w:r>
        <w:rPr>
          <w:spacing w:val="-43"/>
        </w:rPr>
        <w:t> </w:t>
      </w:r>
      <w:r>
        <w:rPr>
          <w:spacing w:val="-43"/>
        </w:rPr>
      </w:r>
      <w:r>
        <w:rPr/>
        <w:t>额。</w:t>
      </w:r>
    </w:p>
    <w:p>
      <w:pPr>
        <w:pStyle w:val="BodyText"/>
        <w:spacing w:line="314" w:lineRule="auto" w:before="17"/>
        <w:ind w:right="147" w:firstLine="420"/>
        <w:jc w:val="both"/>
      </w:pPr>
      <w:r>
        <w:rPr>
          <w:spacing w:val="-2"/>
        </w:rPr>
        <w:t>对于已确认减值损失的可供出售债务工具，在随后的会计期间公允价值已上升且客观上与确认原减值</w:t>
      </w:r>
      <w:r>
        <w:rPr>
          <w:w w:val="100"/>
        </w:rPr>
        <w:t> </w:t>
      </w:r>
      <w:r>
        <w:rPr>
          <w:spacing w:val="-2"/>
        </w:rPr>
        <w:t>损失后发生的事项有关的，原确认的减值损失予以转回计入当期损益；对于可供出售权益工具投资发生的</w:t>
      </w:r>
      <w:r>
        <w:rPr>
          <w:spacing w:val="-43"/>
        </w:rPr>
        <w:t> </w:t>
      </w:r>
      <w:r>
        <w:rPr>
          <w:spacing w:val="-43"/>
        </w:rPr>
      </w:r>
      <w:r>
        <w:rPr>
          <w:spacing w:val="-2"/>
        </w:rPr>
        <w:t>减值损失，在该权益工具价值回升时通过权益转回；但在活跃市场中没有报价且其公允价值不能可靠计量</w:t>
      </w:r>
      <w:r>
        <w:rPr>
          <w:spacing w:val="-43"/>
        </w:rPr>
        <w:t> </w:t>
      </w:r>
      <w:r>
        <w:rPr>
          <w:spacing w:val="-43"/>
        </w:rPr>
      </w:r>
      <w:r>
        <w:rPr>
          <w:spacing w:val="-2"/>
        </w:rPr>
        <w:t>的权益工具投资，或与该权益工具挂钩并须通过交付该权益工具结算的衍生金融资产发生的减值损失，不</w:t>
      </w:r>
      <w:r>
        <w:rPr>
          <w:spacing w:val="-45"/>
        </w:rPr>
        <w:t> </w:t>
      </w:r>
      <w:r>
        <w:rPr>
          <w:spacing w:val="-45"/>
        </w:rPr>
      </w:r>
      <w:r>
        <w:rPr/>
        <w:t>得转回。</w:t>
      </w:r>
    </w:p>
    <w:p>
      <w:pPr>
        <w:pStyle w:val="BodyText"/>
        <w:spacing w:line="312" w:lineRule="auto" w:before="20"/>
        <w:ind w:left="572" w:right="0"/>
        <w:jc w:val="left"/>
      </w:pPr>
      <w:r>
        <w:rPr/>
        <w:t>（</w:t>
      </w:r>
      <w:r>
        <w:rPr>
          <w:rFonts w:ascii="宋体" w:hAnsi="宋体" w:cs="宋体" w:eastAsia="宋体" w:hint="default"/>
        </w:rPr>
        <w:t>2</w:t>
      </w:r>
      <w:r>
        <w:rPr/>
        <w:t>）持有至到期投资的减值准备</w:t>
      </w:r>
      <w:r>
        <w:rPr>
          <w:w w:val="100"/>
        </w:rPr>
        <w:t> </w:t>
      </w:r>
      <w:r>
        <w:rPr>
          <w:spacing w:val="-2"/>
        </w:rPr>
        <w:t>对于持有至到期投资，有客观证据表明其发生了减值的，根据其账面价值与预计未来现金流量现值之</w:t>
      </w:r>
    </w:p>
    <w:p>
      <w:pPr>
        <w:pStyle w:val="BodyText"/>
        <w:spacing w:line="312" w:lineRule="auto" w:before="22"/>
        <w:ind w:right="147"/>
        <w:jc w:val="both"/>
      </w:pPr>
      <w:r>
        <w:rPr>
          <w:spacing w:val="-2"/>
        </w:rPr>
        <w:t>间差额计算确认减值损失；计提后如有证据表明其价值已恢复，原确认的减值损失可予以转回，记入当期</w:t>
      </w:r>
      <w:r>
        <w:rPr>
          <w:spacing w:val="-43"/>
        </w:rPr>
        <w:t> </w:t>
      </w:r>
      <w:r>
        <w:rPr>
          <w:spacing w:val="-43"/>
        </w:rPr>
      </w:r>
      <w:r>
        <w:rPr/>
        <w:t>损益，但该转回的账面价值不超过假定不计提减值准备情况下该金融资产在转回日的摊余成本。</w:t>
      </w:r>
    </w:p>
    <w:p>
      <w:pPr>
        <w:spacing w:line="312" w:lineRule="auto" w:before="21"/>
        <w:ind w:left="572" w:right="0" w:firstLine="0"/>
        <w:jc w:val="left"/>
        <w:rPr>
          <w:rFonts w:ascii="宋体" w:hAnsi="宋体" w:cs="宋体" w:eastAsia="宋体" w:hint="default"/>
          <w:sz w:val="21"/>
          <w:szCs w:val="21"/>
        </w:rPr>
      </w:pPr>
      <w:r>
        <w:rPr>
          <w:rFonts w:ascii="宋体" w:hAnsi="宋体" w:cs="宋体" w:eastAsia="宋体" w:hint="default"/>
          <w:b/>
          <w:bCs/>
          <w:sz w:val="21"/>
          <w:szCs w:val="21"/>
        </w:rPr>
        <w:t>七、金融资产及金融负债的抵销</w:t>
      </w:r>
      <w:r>
        <w:rPr>
          <w:rFonts w:ascii="宋体" w:hAnsi="宋体" w:cs="宋体" w:eastAsia="宋体" w:hint="default"/>
          <w:b/>
          <w:bCs/>
          <w:w w:val="100"/>
          <w:sz w:val="21"/>
          <w:szCs w:val="21"/>
        </w:rPr>
        <w:t> </w:t>
      </w:r>
      <w:r>
        <w:rPr>
          <w:rFonts w:ascii="宋体" w:hAnsi="宋体" w:cs="宋体" w:eastAsia="宋体" w:hint="default"/>
          <w:spacing w:val="-2"/>
          <w:sz w:val="21"/>
          <w:szCs w:val="21"/>
        </w:rPr>
        <w:t>金融资产和金融负债在资产负债表内分别列示，没有相互抵销。但是，同时满足下列条件的，以相互</w:t>
      </w:r>
    </w:p>
    <w:p>
      <w:pPr>
        <w:pStyle w:val="BodyText"/>
        <w:spacing w:line="240" w:lineRule="auto" w:before="22"/>
        <w:ind w:right="0"/>
        <w:jc w:val="both"/>
      </w:pPr>
      <w:r>
        <w:rPr/>
        <w:t>抵销后的净额在资产负债表内列示：</w:t>
      </w:r>
    </w:p>
    <w:p>
      <w:pPr>
        <w:spacing w:after="0" w:line="240" w:lineRule="auto"/>
        <w:jc w:val="both"/>
        <w:sectPr>
          <w:footerReference w:type="default" r:id="rId81"/>
          <w:pgSz w:w="11910" w:h="16840"/>
          <w:pgMar w:footer="979" w:header="880" w:top="1060" w:bottom="1160" w:left="980" w:right="980"/>
          <w:pgNumType w:start="140"/>
        </w:sectPr>
      </w:pPr>
    </w:p>
    <w:p>
      <w:pPr>
        <w:spacing w:line="240" w:lineRule="auto" w:before="6"/>
        <w:rPr>
          <w:rFonts w:ascii="宋体" w:hAnsi="宋体" w:cs="宋体" w:eastAsia="宋体" w:hint="default"/>
          <w:sz w:val="26"/>
          <w:szCs w:val="26"/>
        </w:rPr>
      </w:pPr>
    </w:p>
    <w:p>
      <w:pPr>
        <w:pStyle w:val="BodyText"/>
        <w:spacing w:line="240" w:lineRule="auto" w:before="36"/>
        <w:ind w:left="572" w:right="0"/>
        <w:jc w:val="left"/>
      </w:pPr>
      <w:r>
        <w:rPr/>
        <w:t>（</w:t>
      </w:r>
      <w:r>
        <w:rPr>
          <w:rFonts w:ascii="宋体" w:hAnsi="宋体" w:cs="宋体" w:eastAsia="宋体" w:hint="default"/>
        </w:rPr>
        <w:t>1</w:t>
      </w:r>
      <w:r>
        <w:rPr/>
        <w:t>）本公司具有抵销已确认金额的法定权利，且该种法定权利是当前可执行的；</w:t>
      </w:r>
    </w:p>
    <w:p>
      <w:pPr>
        <w:pStyle w:val="BodyText"/>
        <w:spacing w:line="240" w:lineRule="auto" w:before="82"/>
        <w:ind w:left="572" w:right="0"/>
        <w:jc w:val="left"/>
      </w:pPr>
      <w:r>
        <w:rPr/>
        <w:t>（</w:t>
      </w:r>
      <w:r>
        <w:rPr>
          <w:rFonts w:ascii="宋体" w:hAnsi="宋体" w:cs="宋体" w:eastAsia="宋体" w:hint="default"/>
        </w:rPr>
        <w:t>2</w:t>
      </w:r>
      <w:r>
        <w:rPr/>
        <w:t>）本公司计划以净额结算，或同时变现该金融资产和清偿该金融负债。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49"/>
        <w:ind w:right="0"/>
        <w:jc w:val="left"/>
        <w:rPr>
          <w:b w:val="0"/>
          <w:bCs w:val="0"/>
        </w:rPr>
      </w:pPr>
      <w:bookmarkStart w:name="10、应收款项" w:id="136"/>
      <w:bookmarkEnd w:id="136"/>
      <w:r>
        <w:rPr>
          <w:b w:val="0"/>
          <w:bCs w:val="0"/>
        </w:rPr>
      </w:r>
      <w:r>
        <w:rPr>
          <w:rFonts w:ascii="Times New Roman" w:hAnsi="Times New Roman" w:cs="Times New Roman" w:eastAsia="Times New Roman" w:hint="default"/>
        </w:rPr>
        <w:t>10</w:t>
      </w:r>
      <w:r>
        <w:rPr/>
        <w:t>、应收款项</w:t>
      </w:r>
      <w:r>
        <w:rPr>
          <w:b w:val="0"/>
          <w:bCs w:val="0"/>
        </w:rPr>
      </w:r>
    </w:p>
    <w:p>
      <w:pPr>
        <w:spacing w:line="240" w:lineRule="auto" w:before="0"/>
        <w:rPr>
          <w:rFonts w:ascii="宋体" w:hAnsi="宋体" w:cs="宋体" w:eastAsia="宋体" w:hint="default"/>
          <w:b/>
          <w:bCs/>
          <w:sz w:val="22"/>
          <w:szCs w:val="22"/>
        </w:rPr>
      </w:pPr>
    </w:p>
    <w:p>
      <w:pPr>
        <w:spacing w:line="240" w:lineRule="auto" w:before="9"/>
        <w:rPr>
          <w:rFonts w:ascii="宋体" w:hAnsi="宋体" w:cs="宋体" w:eastAsia="宋体" w:hint="default"/>
          <w:b/>
          <w:bCs/>
          <w:sz w:val="25"/>
          <w:szCs w:val="25"/>
        </w:rPr>
      </w:pPr>
    </w:p>
    <w:p>
      <w:pPr>
        <w:pStyle w:val="Heading5"/>
        <w:spacing w:line="240" w:lineRule="auto"/>
        <w:ind w:right="0"/>
        <w:jc w:val="left"/>
        <w:rPr>
          <w:b w:val="0"/>
          <w:bCs w:val="0"/>
        </w:rPr>
      </w:pPr>
      <w:bookmarkStart w:name="（1）单项金额重大并单独计提坏账准备的应收款项" w:id="137"/>
      <w:bookmarkEnd w:id="137"/>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11"/>
        <w:rPr>
          <w:rFonts w:ascii="宋体" w:hAnsi="宋体" w:cs="宋体" w:eastAsia="宋体" w:hint="default"/>
          <w:b/>
          <w:bCs/>
          <w:sz w:val="20"/>
          <w:szCs w:val="20"/>
        </w:rPr>
      </w:pPr>
    </w:p>
    <w:p>
      <w:pPr>
        <w:pStyle w:val="BodyText"/>
        <w:spacing w:line="274" w:lineRule="exact" w:before="36"/>
        <w:ind w:left="0" w:right="145"/>
        <w:jc w:val="right"/>
      </w:pPr>
      <w:r>
        <w:rPr/>
        <w:pict>
          <v:shape style="position:absolute;margin-left:56.459999pt;margin-top:3.023689pt;width:479.1pt;height:83.4pt;mso-position-horizontal-relative:page;mso-position-vertical-relative:paragraph;z-index:33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2"/>
                    <w:gridCol w:w="4786"/>
                  </w:tblGrid>
                  <w:tr>
                    <w:trPr>
                      <w:trHeight w:val="557"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1"/>
                            <w:szCs w:val="21"/>
                          </w:rPr>
                        </w:pPr>
                        <w:r>
                          <w:rPr>
                            <w:rFonts w:ascii="宋体" w:hAnsi="宋体" w:cs="宋体" w:eastAsia="宋体" w:hint="default"/>
                            <w:sz w:val="21"/>
                            <w:szCs w:val="21"/>
                          </w:rPr>
                          <w:t>应收账款：单项金额在</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万元（含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万元）以上</w:t>
                        </w:r>
                      </w:p>
                      <w:p>
                        <w:pPr>
                          <w:pStyle w:val="TableParagraph"/>
                          <w:spacing w:line="282" w:lineRule="exact"/>
                          <w:ind w:left="23" w:right="0"/>
                          <w:jc w:val="left"/>
                          <w:rPr>
                            <w:rFonts w:ascii="宋体" w:hAnsi="宋体" w:cs="宋体" w:eastAsia="宋体" w:hint="default"/>
                            <w:sz w:val="21"/>
                            <w:szCs w:val="21"/>
                          </w:rPr>
                        </w:pPr>
                        <w:r>
                          <w:rPr>
                            <w:rFonts w:ascii="宋体" w:hAnsi="宋体" w:cs="宋体" w:eastAsia="宋体" w:hint="default"/>
                            <w:spacing w:val="-8"/>
                            <w:sz w:val="21"/>
                            <w:szCs w:val="21"/>
                          </w:rPr>
                          <w:t>其他应收款：单项金额在</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50</w:t>
                        </w:r>
                        <w:r>
                          <w:rPr>
                            <w:rFonts w:ascii="Times New Roman" w:hAnsi="Times New Roman" w:cs="Times New Roman" w:eastAsia="Times New Roman" w:hint="default"/>
                            <w:spacing w:val="6"/>
                            <w:sz w:val="21"/>
                            <w:szCs w:val="21"/>
                          </w:rPr>
                          <w:t> </w:t>
                        </w:r>
                        <w:r>
                          <w:rPr>
                            <w:rFonts w:ascii="宋体" w:hAnsi="宋体" w:cs="宋体" w:eastAsia="宋体" w:hint="default"/>
                            <w:spacing w:val="-18"/>
                            <w:sz w:val="21"/>
                            <w:szCs w:val="21"/>
                          </w:rPr>
                          <w:t>万元（含</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50</w:t>
                        </w:r>
                        <w:r>
                          <w:rPr>
                            <w:rFonts w:ascii="Times New Roman" w:hAnsi="Times New Roman" w:cs="Times New Roman" w:eastAsia="Times New Roman" w:hint="default"/>
                            <w:spacing w:val="6"/>
                            <w:sz w:val="21"/>
                            <w:szCs w:val="21"/>
                          </w:rPr>
                          <w:t> </w:t>
                        </w:r>
                        <w:r>
                          <w:rPr>
                            <w:rFonts w:ascii="宋体" w:hAnsi="宋体" w:cs="宋体" w:eastAsia="宋体" w:hint="default"/>
                            <w:spacing w:val="-15"/>
                            <w:sz w:val="21"/>
                            <w:szCs w:val="21"/>
                          </w:rPr>
                          <w:t>万元）以上</w:t>
                        </w:r>
                      </w:p>
                    </w:tc>
                  </w:tr>
                  <w:tr>
                    <w:trPr>
                      <w:trHeight w:val="11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单项金额重大并单项计提坏账准备的计提方法</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both"/>
                          <w:rPr>
                            <w:rFonts w:ascii="宋体" w:hAnsi="宋体" w:cs="宋体" w:eastAsia="宋体" w:hint="default"/>
                            <w:sz w:val="21"/>
                            <w:szCs w:val="21"/>
                          </w:rPr>
                        </w:pPr>
                        <w:r>
                          <w:rPr>
                            <w:rFonts w:ascii="宋体" w:hAnsi="宋体" w:cs="宋体" w:eastAsia="宋体" w:hint="default"/>
                            <w:w w:val="100"/>
                            <w:sz w:val="21"/>
                            <w:szCs w:val="21"/>
                          </w:rPr>
                          <w:t>单独</w:t>
                        </w:r>
                        <w:r>
                          <w:rPr>
                            <w:rFonts w:ascii="宋体" w:hAnsi="宋体" w:cs="宋体" w:eastAsia="宋体" w:hint="default"/>
                            <w:spacing w:val="-3"/>
                            <w:w w:val="100"/>
                            <w:sz w:val="21"/>
                            <w:szCs w:val="21"/>
                          </w:rPr>
                          <w:t>进</w:t>
                        </w:r>
                        <w:r>
                          <w:rPr>
                            <w:rFonts w:ascii="宋体" w:hAnsi="宋体" w:cs="宋体" w:eastAsia="宋体" w:hint="default"/>
                            <w:w w:val="100"/>
                            <w:sz w:val="21"/>
                            <w:szCs w:val="21"/>
                          </w:rPr>
                          <w:t>行</w:t>
                        </w:r>
                        <w:r>
                          <w:rPr>
                            <w:rFonts w:ascii="宋体" w:hAnsi="宋体" w:cs="宋体" w:eastAsia="宋体" w:hint="default"/>
                            <w:spacing w:val="-3"/>
                            <w:w w:val="100"/>
                            <w:sz w:val="21"/>
                            <w:szCs w:val="21"/>
                          </w:rPr>
                          <w:t>减</w:t>
                        </w:r>
                        <w:r>
                          <w:rPr>
                            <w:rFonts w:ascii="宋体" w:hAnsi="宋体" w:cs="宋体" w:eastAsia="宋体" w:hint="default"/>
                            <w:w w:val="100"/>
                            <w:sz w:val="21"/>
                            <w:szCs w:val="21"/>
                          </w:rPr>
                          <w:t>值</w:t>
                        </w:r>
                        <w:r>
                          <w:rPr>
                            <w:rFonts w:ascii="宋体" w:hAnsi="宋体" w:cs="宋体" w:eastAsia="宋体" w:hint="default"/>
                            <w:spacing w:val="-3"/>
                            <w:w w:val="100"/>
                            <w:sz w:val="21"/>
                            <w:szCs w:val="21"/>
                          </w:rPr>
                          <w:t>测</w:t>
                        </w:r>
                        <w:r>
                          <w:rPr>
                            <w:rFonts w:ascii="宋体" w:hAnsi="宋体" w:cs="宋体" w:eastAsia="宋体" w:hint="default"/>
                            <w:w w:val="100"/>
                            <w:sz w:val="21"/>
                            <w:szCs w:val="21"/>
                          </w:rPr>
                          <w:t>试</w:t>
                        </w:r>
                        <w:r>
                          <w:rPr>
                            <w:rFonts w:ascii="宋体" w:hAnsi="宋体" w:cs="宋体" w:eastAsia="宋体" w:hint="default"/>
                            <w:spacing w:val="-104"/>
                            <w:w w:val="100"/>
                            <w:sz w:val="21"/>
                            <w:szCs w:val="21"/>
                          </w:rPr>
                          <w:t>，</w:t>
                        </w:r>
                        <w:r>
                          <w:rPr>
                            <w:rFonts w:ascii="宋体" w:hAnsi="宋体" w:cs="宋体" w:eastAsia="宋体" w:hint="default"/>
                            <w:spacing w:val="-3"/>
                            <w:w w:val="100"/>
                            <w:sz w:val="21"/>
                            <w:szCs w:val="21"/>
                          </w:rPr>
                          <w:t>按</w:t>
                        </w:r>
                        <w:r>
                          <w:rPr>
                            <w:rFonts w:ascii="宋体" w:hAnsi="宋体" w:cs="宋体" w:eastAsia="宋体" w:hint="default"/>
                            <w:w w:val="100"/>
                            <w:sz w:val="21"/>
                            <w:szCs w:val="21"/>
                          </w:rPr>
                          <w:t>预</w:t>
                        </w:r>
                        <w:r>
                          <w:rPr>
                            <w:rFonts w:ascii="宋体" w:hAnsi="宋体" w:cs="宋体" w:eastAsia="宋体" w:hint="default"/>
                            <w:spacing w:val="-3"/>
                            <w:w w:val="100"/>
                            <w:sz w:val="21"/>
                            <w:szCs w:val="21"/>
                          </w:rPr>
                          <w:t>计</w:t>
                        </w:r>
                        <w:r>
                          <w:rPr>
                            <w:rFonts w:ascii="宋体" w:hAnsi="宋体" w:cs="宋体" w:eastAsia="宋体" w:hint="default"/>
                            <w:w w:val="100"/>
                            <w:sz w:val="21"/>
                            <w:szCs w:val="21"/>
                          </w:rPr>
                          <w:t>未来</w:t>
                        </w:r>
                        <w:r>
                          <w:rPr>
                            <w:rFonts w:ascii="宋体" w:hAnsi="宋体" w:cs="宋体" w:eastAsia="宋体" w:hint="default"/>
                            <w:spacing w:val="-3"/>
                            <w:w w:val="100"/>
                            <w:sz w:val="21"/>
                            <w:szCs w:val="21"/>
                          </w:rPr>
                          <w:t>现</w:t>
                        </w:r>
                        <w:r>
                          <w:rPr>
                            <w:rFonts w:ascii="宋体" w:hAnsi="宋体" w:cs="宋体" w:eastAsia="宋体" w:hint="default"/>
                            <w:w w:val="100"/>
                            <w:sz w:val="21"/>
                            <w:szCs w:val="21"/>
                          </w:rPr>
                          <w:t>金</w:t>
                        </w:r>
                        <w:r>
                          <w:rPr>
                            <w:rFonts w:ascii="宋体" w:hAnsi="宋体" w:cs="宋体" w:eastAsia="宋体" w:hint="default"/>
                            <w:spacing w:val="-3"/>
                            <w:w w:val="100"/>
                            <w:sz w:val="21"/>
                            <w:szCs w:val="21"/>
                          </w:rPr>
                          <w:t>流</w:t>
                        </w:r>
                        <w:r>
                          <w:rPr>
                            <w:rFonts w:ascii="宋体" w:hAnsi="宋体" w:cs="宋体" w:eastAsia="宋体" w:hint="default"/>
                            <w:w w:val="100"/>
                            <w:sz w:val="21"/>
                            <w:szCs w:val="21"/>
                          </w:rPr>
                          <w:t>量</w:t>
                        </w:r>
                        <w:r>
                          <w:rPr>
                            <w:rFonts w:ascii="宋体" w:hAnsi="宋体" w:cs="宋体" w:eastAsia="宋体" w:hint="default"/>
                            <w:spacing w:val="-3"/>
                            <w:w w:val="100"/>
                            <w:sz w:val="21"/>
                            <w:szCs w:val="21"/>
                          </w:rPr>
                          <w:t>现</w:t>
                        </w:r>
                        <w:r>
                          <w:rPr>
                            <w:rFonts w:ascii="宋体" w:hAnsi="宋体" w:cs="宋体" w:eastAsia="宋体" w:hint="default"/>
                            <w:w w:val="100"/>
                            <w:sz w:val="21"/>
                            <w:szCs w:val="21"/>
                          </w:rPr>
                          <w:t>值</w:t>
                        </w:r>
                        <w:r>
                          <w:rPr>
                            <w:rFonts w:ascii="宋体" w:hAnsi="宋体" w:cs="宋体" w:eastAsia="宋体" w:hint="default"/>
                            <w:spacing w:val="-3"/>
                            <w:w w:val="100"/>
                            <w:sz w:val="21"/>
                            <w:szCs w:val="21"/>
                          </w:rPr>
                          <w:t>低</w:t>
                        </w:r>
                        <w:r>
                          <w:rPr>
                            <w:rFonts w:ascii="宋体" w:hAnsi="宋体" w:cs="宋体" w:eastAsia="宋体" w:hint="default"/>
                            <w:w w:val="100"/>
                            <w:sz w:val="21"/>
                            <w:szCs w:val="21"/>
                          </w:rPr>
                          <w:t>于其</w:t>
                        </w:r>
                      </w:p>
                      <w:p>
                        <w:pPr>
                          <w:pStyle w:val="TableParagraph"/>
                          <w:spacing w:line="237" w:lineRule="auto" w:before="2"/>
                          <w:ind w:left="23" w:right="16"/>
                          <w:jc w:val="both"/>
                          <w:rPr>
                            <w:rFonts w:ascii="宋体" w:hAnsi="宋体" w:cs="宋体" w:eastAsia="宋体" w:hint="default"/>
                            <w:sz w:val="21"/>
                            <w:szCs w:val="21"/>
                          </w:rPr>
                        </w:pPr>
                        <w:r>
                          <w:rPr>
                            <w:rFonts w:ascii="宋体" w:hAnsi="宋体" w:cs="宋体" w:eastAsia="宋体" w:hint="default"/>
                            <w:spacing w:val="-6"/>
                            <w:sz w:val="21"/>
                            <w:szCs w:val="21"/>
                          </w:rPr>
                          <w:t>账面价值的差额计提坏账准备，计入当期损益。单独</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pacing w:val="-6"/>
                            <w:w w:val="100"/>
                            <w:sz w:val="21"/>
                            <w:szCs w:val="21"/>
                          </w:rPr>
                          <w:t>测试未发生减值的应收款项，将其归入相应组合计提</w:t>
                        </w:r>
                        <w:r>
                          <w:rPr>
                            <w:rFonts w:ascii="宋体" w:hAnsi="宋体" w:cs="宋体" w:eastAsia="宋体" w:hint="default"/>
                            <w:spacing w:val="-99"/>
                            <w:w w:val="100"/>
                            <w:sz w:val="21"/>
                            <w:szCs w:val="21"/>
                          </w:rPr>
                          <w:t> </w:t>
                        </w:r>
                        <w:r>
                          <w:rPr>
                            <w:rFonts w:ascii="宋体" w:hAnsi="宋体" w:cs="宋体" w:eastAsia="宋体" w:hint="default"/>
                            <w:spacing w:val="-99"/>
                            <w:w w:val="100"/>
                            <w:sz w:val="21"/>
                            <w:szCs w:val="21"/>
                          </w:rPr>
                        </w:r>
                        <w:r>
                          <w:rPr>
                            <w:rFonts w:ascii="宋体" w:hAnsi="宋体" w:cs="宋体" w:eastAsia="宋体" w:hint="default"/>
                            <w:sz w:val="21"/>
                            <w:szCs w:val="21"/>
                          </w:rPr>
                          <w:t>坏账准备。</w:t>
                        </w:r>
                      </w:p>
                    </w:tc>
                  </w:tr>
                </w:tbl>
                <w:p>
                  <w:pPr/>
                </w:p>
              </w:txbxContent>
            </v:textbox>
            <w10:wrap type="none"/>
          </v:shape>
        </w:pict>
      </w:r>
      <w:r>
        <w:rPr>
          <w:w w:val="100"/>
        </w:rPr>
        <w:t>。</w:t>
      </w:r>
    </w:p>
    <w:p>
      <w:pPr>
        <w:pStyle w:val="BodyText"/>
        <w:spacing w:line="274" w:lineRule="exact"/>
        <w:ind w:left="0" w:right="143"/>
        <w:jc w:val="right"/>
      </w:pPr>
      <w:r>
        <w:rPr>
          <w:w w:val="100"/>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6"/>
          <w:szCs w:val="26"/>
        </w:rPr>
      </w:pPr>
    </w:p>
    <w:p>
      <w:pPr>
        <w:pStyle w:val="Heading5"/>
        <w:spacing w:line="240" w:lineRule="auto" w:before="36"/>
        <w:ind w:right="0"/>
        <w:jc w:val="left"/>
        <w:rPr>
          <w:b w:val="0"/>
          <w:bCs w:val="0"/>
        </w:rPr>
      </w:pPr>
      <w:bookmarkStart w:name="（2）按信用风险特征组合计提坏账准备的应收款项" w:id="138"/>
      <w:bookmarkEnd w:id="138"/>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3"/>
        <w:gridCol w:w="4786"/>
      </w:tblGrid>
      <w:tr>
        <w:trPr>
          <w:trHeight w:val="283"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组合名称</w:t>
            </w:r>
          </w:p>
        </w:tc>
        <w:tc>
          <w:tcPr>
            <w:tcW w:w="4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547" w:right="0"/>
              <w:jc w:val="left"/>
              <w:rPr>
                <w:rFonts w:ascii="宋体" w:hAnsi="宋体" w:cs="宋体" w:eastAsia="宋体" w:hint="default"/>
                <w:sz w:val="21"/>
                <w:szCs w:val="21"/>
              </w:rPr>
            </w:pPr>
            <w:r>
              <w:rPr>
                <w:rFonts w:ascii="宋体" w:hAnsi="宋体" w:cs="宋体" w:eastAsia="宋体" w:hint="default"/>
                <w:sz w:val="21"/>
                <w:szCs w:val="21"/>
              </w:rPr>
              <w:t>坏账准备计提方法</w:t>
            </w:r>
          </w:p>
        </w:tc>
      </w:tr>
      <w:tr>
        <w:trPr>
          <w:trHeight w:val="28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以账龄特征划分为若干应收款项组合</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bl>
    <w:p>
      <w:pPr>
        <w:pStyle w:val="BodyText"/>
        <w:spacing w:line="262" w:lineRule="exact"/>
        <w:ind w:right="0"/>
        <w:jc w:val="left"/>
      </w:pPr>
      <w:r>
        <w:rPr/>
        <w:t>组合中，采用账龄分析法计提坏账准备的：</w:t>
      </w:r>
    </w:p>
    <w:p>
      <w:pPr>
        <w:pStyle w:val="BodyText"/>
        <w:spacing w:line="240" w:lineRule="auto" w:before="3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8"/>
        <w:rPr>
          <w:rFonts w:ascii="宋体" w:hAnsi="宋体" w:cs="宋体" w:eastAsia="宋体" w:hint="default"/>
          <w:sz w:val="2"/>
          <w:szCs w:val="2"/>
        </w:rPr>
      </w:pPr>
    </w:p>
    <w:tbl>
      <w:tblPr>
        <w:tblW w:w="0" w:type="auto"/>
        <w:jc w:val="left"/>
        <w:tblInd w:w="160" w:type="dxa"/>
        <w:tblLayout w:type="fixed"/>
        <w:tblCellMar>
          <w:top w:w="0" w:type="dxa"/>
          <w:left w:w="0" w:type="dxa"/>
          <w:bottom w:w="0" w:type="dxa"/>
          <w:right w:w="0" w:type="dxa"/>
        </w:tblCellMar>
        <w:tblLook w:val="01E0"/>
      </w:tblPr>
      <w:tblGrid>
        <w:gridCol w:w="3167"/>
        <w:gridCol w:w="3200"/>
        <w:gridCol w:w="3190"/>
      </w:tblGrid>
      <w:tr>
        <w:trPr>
          <w:trHeight w:val="28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761" w:right="0"/>
              <w:jc w:val="left"/>
              <w:rPr>
                <w:rFonts w:ascii="宋体" w:hAnsi="宋体" w:cs="宋体" w:eastAsia="宋体" w:hint="default"/>
                <w:sz w:val="21"/>
                <w:szCs w:val="21"/>
              </w:rPr>
            </w:pPr>
            <w:r>
              <w:rPr>
                <w:rFonts w:ascii="宋体" w:hAnsi="宋体" w:cs="宋体" w:eastAsia="宋体" w:hint="default"/>
                <w:sz w:val="21"/>
                <w:szCs w:val="21"/>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645" w:right="0"/>
              <w:jc w:val="left"/>
              <w:rPr>
                <w:rFonts w:ascii="宋体" w:hAnsi="宋体" w:cs="宋体" w:eastAsia="宋体" w:hint="default"/>
                <w:sz w:val="21"/>
                <w:szCs w:val="21"/>
              </w:rPr>
            </w:pPr>
            <w:r>
              <w:rPr>
                <w:rFonts w:ascii="宋体" w:hAnsi="宋体" w:cs="宋体" w:eastAsia="宋体" w:hint="default"/>
                <w:sz w:val="21"/>
                <w:szCs w:val="21"/>
              </w:rPr>
              <w:t>其他应收款计提比例</w:t>
            </w:r>
          </w:p>
        </w:tc>
      </w:tr>
      <w:tr>
        <w:trPr>
          <w:trHeight w:val="28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57" w:lineRule="exact"/>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年以内（含</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8"/>
              <w:ind w:right="16"/>
              <w:jc w:val="right"/>
              <w:rPr>
                <w:rFonts w:ascii="Times New Roman" w:hAnsi="Times New Roman" w:cs="Times New Roman" w:eastAsia="Times New Roman" w:hint="default"/>
                <w:sz w:val="21"/>
                <w:szCs w:val="21"/>
              </w:rPr>
            </w:pPr>
            <w:r>
              <w:rPr>
                <w:rFonts w:ascii="Times New Roman"/>
                <w:sz w:val="21"/>
              </w:rPr>
              <w:t>1.00%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59" w:lineRule="exact"/>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0"/>
              <w:ind w:right="16"/>
              <w:jc w:val="right"/>
              <w:rPr>
                <w:rFonts w:ascii="Times New Roman" w:hAnsi="Times New Roman" w:cs="Times New Roman" w:eastAsia="Times New Roman" w:hint="default"/>
                <w:sz w:val="21"/>
                <w:szCs w:val="21"/>
              </w:rPr>
            </w:pPr>
            <w:r>
              <w:rPr>
                <w:rFonts w:ascii="Times New Roman"/>
                <w:sz w:val="21"/>
              </w:rPr>
              <w:t>10.00%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59" w:lineRule="exact"/>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0"/>
              <w:ind w:right="16"/>
              <w:jc w:val="right"/>
              <w:rPr>
                <w:rFonts w:ascii="Times New Roman" w:hAnsi="Times New Roman" w:cs="Times New Roman" w:eastAsia="Times New Roman" w:hint="default"/>
                <w:sz w:val="21"/>
                <w:szCs w:val="21"/>
              </w:rPr>
            </w:pPr>
            <w:r>
              <w:rPr>
                <w:rFonts w:ascii="Times New Roman"/>
                <w:sz w:val="21"/>
              </w:rPr>
              <w:t>30.00%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57" w:lineRule="exact"/>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年以上</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0"/>
              <w:ind w:right="16"/>
              <w:jc w:val="right"/>
              <w:rPr>
                <w:rFonts w:ascii="Times New Roman" w:hAnsi="Times New Roman" w:cs="Times New Roman" w:eastAsia="Times New Roman" w:hint="default"/>
                <w:sz w:val="21"/>
                <w:szCs w:val="21"/>
              </w:rPr>
            </w:pPr>
            <w:r>
              <w:rPr>
                <w:rFonts w:ascii="Times New Roman"/>
                <w:sz w:val="21"/>
              </w:rPr>
              <w:t>100.00%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62" w:lineRule="exact"/>
        <w:ind w:right="0"/>
        <w:jc w:val="left"/>
      </w:pPr>
      <w:r>
        <w:rPr/>
        <w:t>组合中，采用余额百分比法计提坏账准备的：</w:t>
      </w:r>
    </w:p>
    <w:p>
      <w:pPr>
        <w:pStyle w:val="BodyText"/>
        <w:spacing w:line="256" w:lineRule="auto" w:before="37"/>
        <w:ind w:right="5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组合中，采用其他方法计提坏账准备的：</w:t>
      </w:r>
    </w:p>
    <w:p>
      <w:pPr>
        <w:pStyle w:val="BodyText"/>
        <w:spacing w:line="240" w:lineRule="auto" w:before="2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7"/>
        <w:rPr>
          <w:rFonts w:ascii="宋体" w:hAnsi="宋体" w:cs="宋体" w:eastAsia="宋体" w:hint="default"/>
          <w:sz w:val="24"/>
          <w:szCs w:val="24"/>
        </w:rPr>
      </w:pPr>
    </w:p>
    <w:p>
      <w:pPr>
        <w:pStyle w:val="Heading5"/>
        <w:spacing w:line="240" w:lineRule="auto"/>
        <w:ind w:right="0"/>
        <w:jc w:val="left"/>
        <w:rPr>
          <w:b w:val="0"/>
          <w:bCs w:val="0"/>
        </w:rPr>
      </w:pPr>
      <w:bookmarkStart w:name="（3）单项金额不重大但单独计提坏账准备的应收款项" w:id="139"/>
      <w:bookmarkEnd w:id="139"/>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11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b/>
                <w:bCs/>
                <w:sz w:val="28"/>
                <w:szCs w:val="28"/>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both"/>
              <w:rPr>
                <w:rFonts w:ascii="宋体" w:hAnsi="宋体" w:cs="宋体" w:eastAsia="宋体" w:hint="default"/>
                <w:sz w:val="21"/>
                <w:szCs w:val="21"/>
              </w:rPr>
            </w:pPr>
            <w:r>
              <w:rPr>
                <w:rFonts w:ascii="宋体" w:hAnsi="宋体" w:cs="宋体" w:eastAsia="宋体" w:hint="default"/>
                <w:w w:val="100"/>
                <w:sz w:val="21"/>
                <w:szCs w:val="21"/>
              </w:rPr>
              <w:t>单项</w:t>
            </w:r>
            <w:r>
              <w:rPr>
                <w:rFonts w:ascii="宋体" w:hAnsi="宋体" w:cs="宋体" w:eastAsia="宋体" w:hint="default"/>
                <w:spacing w:val="-3"/>
                <w:w w:val="100"/>
                <w:sz w:val="21"/>
                <w:szCs w:val="21"/>
              </w:rPr>
              <w:t>计</w:t>
            </w:r>
            <w:r>
              <w:rPr>
                <w:rFonts w:ascii="宋体" w:hAnsi="宋体" w:cs="宋体" w:eastAsia="宋体" w:hint="default"/>
                <w:w w:val="100"/>
                <w:sz w:val="21"/>
                <w:szCs w:val="21"/>
              </w:rPr>
              <w:t>提</w:t>
            </w:r>
            <w:r>
              <w:rPr>
                <w:rFonts w:ascii="宋体" w:hAnsi="宋体" w:cs="宋体" w:eastAsia="宋体" w:hint="default"/>
                <w:spacing w:val="-3"/>
                <w:w w:val="100"/>
                <w:sz w:val="21"/>
                <w:szCs w:val="21"/>
              </w:rPr>
              <w:t>坏</w:t>
            </w:r>
            <w:r>
              <w:rPr>
                <w:rFonts w:ascii="宋体" w:hAnsi="宋体" w:cs="宋体" w:eastAsia="宋体" w:hint="default"/>
                <w:w w:val="100"/>
                <w:sz w:val="21"/>
                <w:szCs w:val="21"/>
              </w:rPr>
              <w:t>账</w:t>
            </w:r>
            <w:r>
              <w:rPr>
                <w:rFonts w:ascii="宋体" w:hAnsi="宋体" w:cs="宋体" w:eastAsia="宋体" w:hint="default"/>
                <w:spacing w:val="-3"/>
                <w:w w:val="100"/>
                <w:sz w:val="21"/>
                <w:szCs w:val="21"/>
              </w:rPr>
              <w:t>准</w:t>
            </w:r>
            <w:r>
              <w:rPr>
                <w:rFonts w:ascii="宋体" w:hAnsi="宋体" w:cs="宋体" w:eastAsia="宋体" w:hint="default"/>
                <w:w w:val="100"/>
                <w:sz w:val="21"/>
                <w:szCs w:val="21"/>
              </w:rPr>
              <w:t>备</w:t>
            </w:r>
            <w:r>
              <w:rPr>
                <w:rFonts w:ascii="宋体" w:hAnsi="宋体" w:cs="宋体" w:eastAsia="宋体" w:hint="default"/>
                <w:spacing w:val="-3"/>
                <w:w w:val="100"/>
                <w:sz w:val="21"/>
                <w:szCs w:val="21"/>
              </w:rPr>
              <w:t>的</w:t>
            </w:r>
            <w:r>
              <w:rPr>
                <w:rFonts w:ascii="宋体" w:hAnsi="宋体" w:cs="宋体" w:eastAsia="宋体" w:hint="default"/>
                <w:w w:val="100"/>
                <w:sz w:val="21"/>
                <w:szCs w:val="21"/>
              </w:rPr>
              <w:t>理由</w:t>
            </w:r>
            <w:r>
              <w:rPr>
                <w:rFonts w:ascii="宋体" w:hAnsi="宋体" w:cs="宋体" w:eastAsia="宋体" w:hint="default"/>
                <w:spacing w:val="-106"/>
                <w:w w:val="100"/>
                <w:sz w:val="21"/>
                <w:szCs w:val="21"/>
              </w:rPr>
              <w:t>：</w:t>
            </w:r>
            <w:r>
              <w:rPr>
                <w:rFonts w:ascii="宋体" w:hAnsi="宋体" w:cs="宋体" w:eastAsia="宋体" w:hint="default"/>
                <w:w w:val="100"/>
                <w:sz w:val="21"/>
                <w:szCs w:val="21"/>
              </w:rPr>
              <w:t>有客</w:t>
            </w:r>
            <w:r>
              <w:rPr>
                <w:rFonts w:ascii="宋体" w:hAnsi="宋体" w:cs="宋体" w:eastAsia="宋体" w:hint="default"/>
                <w:spacing w:val="-3"/>
                <w:w w:val="100"/>
                <w:sz w:val="21"/>
                <w:szCs w:val="21"/>
              </w:rPr>
              <w:t>观</w:t>
            </w:r>
            <w:r>
              <w:rPr>
                <w:rFonts w:ascii="宋体" w:hAnsi="宋体" w:cs="宋体" w:eastAsia="宋体" w:hint="default"/>
                <w:w w:val="100"/>
                <w:sz w:val="21"/>
                <w:szCs w:val="21"/>
              </w:rPr>
              <w:t>证</w:t>
            </w:r>
            <w:r>
              <w:rPr>
                <w:rFonts w:ascii="宋体" w:hAnsi="宋体" w:cs="宋体" w:eastAsia="宋体" w:hint="default"/>
                <w:spacing w:val="-3"/>
                <w:w w:val="100"/>
                <w:sz w:val="21"/>
                <w:szCs w:val="21"/>
              </w:rPr>
              <w:t>据</w:t>
            </w:r>
            <w:r>
              <w:rPr>
                <w:rFonts w:ascii="宋体" w:hAnsi="宋体" w:cs="宋体" w:eastAsia="宋体" w:hint="default"/>
                <w:w w:val="100"/>
                <w:sz w:val="21"/>
                <w:szCs w:val="21"/>
              </w:rPr>
              <w:t>表</w:t>
            </w:r>
            <w:r>
              <w:rPr>
                <w:rFonts w:ascii="宋体" w:hAnsi="宋体" w:cs="宋体" w:eastAsia="宋体" w:hint="default"/>
                <w:spacing w:val="-3"/>
                <w:w w:val="100"/>
                <w:sz w:val="21"/>
                <w:szCs w:val="21"/>
              </w:rPr>
              <w:t>明</w:t>
            </w:r>
            <w:r>
              <w:rPr>
                <w:rFonts w:ascii="宋体" w:hAnsi="宋体" w:cs="宋体" w:eastAsia="宋体" w:hint="default"/>
                <w:w w:val="100"/>
                <w:sz w:val="21"/>
                <w:szCs w:val="21"/>
              </w:rPr>
              <w:t>可</w:t>
            </w:r>
            <w:r>
              <w:rPr>
                <w:rFonts w:ascii="宋体" w:hAnsi="宋体" w:cs="宋体" w:eastAsia="宋体" w:hint="default"/>
                <w:spacing w:val="-3"/>
                <w:w w:val="100"/>
                <w:sz w:val="21"/>
                <w:szCs w:val="21"/>
              </w:rPr>
              <w:t>能</w:t>
            </w:r>
            <w:r>
              <w:rPr>
                <w:rFonts w:ascii="宋体" w:hAnsi="宋体" w:cs="宋体" w:eastAsia="宋体" w:hint="default"/>
                <w:w w:val="100"/>
                <w:sz w:val="21"/>
                <w:szCs w:val="21"/>
              </w:rPr>
              <w:t>发生</w:t>
            </w:r>
          </w:p>
          <w:p>
            <w:pPr>
              <w:pStyle w:val="TableParagraph"/>
              <w:spacing w:line="237" w:lineRule="auto" w:before="2"/>
              <w:ind w:left="23" w:right="18"/>
              <w:jc w:val="both"/>
              <w:rPr>
                <w:rFonts w:ascii="宋体" w:hAnsi="宋体" w:cs="宋体" w:eastAsia="宋体" w:hint="default"/>
                <w:sz w:val="21"/>
                <w:szCs w:val="21"/>
              </w:rPr>
            </w:pPr>
            <w:r>
              <w:rPr>
                <w:rFonts w:ascii="宋体" w:hAnsi="宋体" w:cs="宋体" w:eastAsia="宋体" w:hint="default"/>
                <w:spacing w:val="-6"/>
                <w:sz w:val="21"/>
                <w:szCs w:val="21"/>
              </w:rPr>
              <w:t>了减值，如债务人出现撤销、破产或死亡，以其破产</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7"/>
                <w:sz w:val="21"/>
                <w:szCs w:val="21"/>
              </w:rPr>
              <w:t>财产或遗产清偿后，仍不能收回、现金流量严重不足</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z w:val="21"/>
                <w:szCs w:val="21"/>
              </w:rPr>
              <w:t>等情况的。</w:t>
            </w:r>
          </w:p>
        </w:tc>
      </w:tr>
      <w:tr>
        <w:trPr>
          <w:trHeight w:val="830"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坏账</w:t>
            </w:r>
            <w:r>
              <w:rPr>
                <w:rFonts w:ascii="宋体" w:hAnsi="宋体" w:cs="宋体" w:eastAsia="宋体" w:hint="default"/>
                <w:spacing w:val="-3"/>
                <w:w w:val="100"/>
                <w:sz w:val="21"/>
                <w:szCs w:val="21"/>
              </w:rPr>
              <w:t>准</w:t>
            </w:r>
            <w:r>
              <w:rPr>
                <w:rFonts w:ascii="宋体" w:hAnsi="宋体" w:cs="宋体" w:eastAsia="宋体" w:hint="default"/>
                <w:w w:val="100"/>
                <w:sz w:val="21"/>
                <w:szCs w:val="21"/>
              </w:rPr>
              <w:t>备</w:t>
            </w:r>
            <w:r>
              <w:rPr>
                <w:rFonts w:ascii="宋体" w:hAnsi="宋体" w:cs="宋体" w:eastAsia="宋体" w:hint="default"/>
                <w:spacing w:val="-3"/>
                <w:w w:val="100"/>
                <w:sz w:val="21"/>
                <w:szCs w:val="21"/>
              </w:rPr>
              <w:t>的</w:t>
            </w:r>
            <w:r>
              <w:rPr>
                <w:rFonts w:ascii="宋体" w:hAnsi="宋体" w:cs="宋体" w:eastAsia="宋体" w:hint="default"/>
                <w:w w:val="100"/>
                <w:sz w:val="21"/>
                <w:szCs w:val="21"/>
              </w:rPr>
              <w:t>计</w:t>
            </w:r>
            <w:r>
              <w:rPr>
                <w:rFonts w:ascii="宋体" w:hAnsi="宋体" w:cs="宋体" w:eastAsia="宋体" w:hint="default"/>
                <w:spacing w:val="-3"/>
                <w:w w:val="100"/>
                <w:sz w:val="21"/>
                <w:szCs w:val="21"/>
              </w:rPr>
              <w:t>提</w:t>
            </w:r>
            <w:r>
              <w:rPr>
                <w:rFonts w:ascii="宋体" w:hAnsi="宋体" w:cs="宋体" w:eastAsia="宋体" w:hint="default"/>
                <w:w w:val="100"/>
                <w:sz w:val="21"/>
                <w:szCs w:val="21"/>
              </w:rPr>
              <w:t>方法</w:t>
            </w:r>
            <w:r>
              <w:rPr>
                <w:rFonts w:ascii="宋体" w:hAnsi="宋体" w:cs="宋体" w:eastAsia="宋体" w:hint="default"/>
                <w:spacing w:val="-106"/>
                <w:w w:val="100"/>
                <w:sz w:val="21"/>
                <w:szCs w:val="21"/>
              </w:rPr>
              <w:t>：</w:t>
            </w:r>
            <w:r>
              <w:rPr>
                <w:rFonts w:ascii="宋体" w:hAnsi="宋体" w:cs="宋体" w:eastAsia="宋体" w:hint="default"/>
                <w:w w:val="100"/>
                <w:sz w:val="21"/>
                <w:szCs w:val="21"/>
              </w:rPr>
              <w:t>对</w:t>
            </w:r>
            <w:r>
              <w:rPr>
                <w:rFonts w:ascii="宋体" w:hAnsi="宋体" w:cs="宋体" w:eastAsia="宋体" w:hint="default"/>
                <w:spacing w:val="-3"/>
                <w:w w:val="100"/>
                <w:sz w:val="21"/>
                <w:szCs w:val="21"/>
              </w:rPr>
              <w:t>有</w:t>
            </w:r>
            <w:r>
              <w:rPr>
                <w:rFonts w:ascii="宋体" w:hAnsi="宋体" w:cs="宋体" w:eastAsia="宋体" w:hint="default"/>
                <w:w w:val="100"/>
                <w:sz w:val="21"/>
                <w:szCs w:val="21"/>
              </w:rPr>
              <w:t>客观</w:t>
            </w:r>
            <w:r>
              <w:rPr>
                <w:rFonts w:ascii="宋体" w:hAnsi="宋体" w:cs="宋体" w:eastAsia="宋体" w:hint="default"/>
                <w:spacing w:val="-3"/>
                <w:w w:val="100"/>
                <w:sz w:val="21"/>
                <w:szCs w:val="21"/>
              </w:rPr>
              <w:t>证</w:t>
            </w:r>
            <w:r>
              <w:rPr>
                <w:rFonts w:ascii="宋体" w:hAnsi="宋体" w:cs="宋体" w:eastAsia="宋体" w:hint="default"/>
                <w:w w:val="100"/>
                <w:sz w:val="21"/>
                <w:szCs w:val="21"/>
              </w:rPr>
              <w:t>据</w:t>
            </w:r>
            <w:r>
              <w:rPr>
                <w:rFonts w:ascii="宋体" w:hAnsi="宋体" w:cs="宋体" w:eastAsia="宋体" w:hint="default"/>
                <w:spacing w:val="-3"/>
                <w:w w:val="100"/>
                <w:sz w:val="21"/>
                <w:szCs w:val="21"/>
              </w:rPr>
              <w:t>表</w:t>
            </w:r>
            <w:r>
              <w:rPr>
                <w:rFonts w:ascii="宋体" w:hAnsi="宋体" w:cs="宋体" w:eastAsia="宋体" w:hint="default"/>
                <w:w w:val="100"/>
                <w:sz w:val="21"/>
                <w:szCs w:val="21"/>
              </w:rPr>
              <w:t>明</w:t>
            </w:r>
            <w:r>
              <w:rPr>
                <w:rFonts w:ascii="宋体" w:hAnsi="宋体" w:cs="宋体" w:eastAsia="宋体" w:hint="default"/>
                <w:spacing w:val="-3"/>
                <w:w w:val="100"/>
                <w:sz w:val="21"/>
                <w:szCs w:val="21"/>
              </w:rPr>
              <w:t>可</w:t>
            </w:r>
            <w:r>
              <w:rPr>
                <w:rFonts w:ascii="宋体" w:hAnsi="宋体" w:cs="宋体" w:eastAsia="宋体" w:hint="default"/>
                <w:w w:val="100"/>
                <w:sz w:val="21"/>
                <w:szCs w:val="21"/>
              </w:rPr>
              <w:t>能</w:t>
            </w:r>
            <w:r>
              <w:rPr>
                <w:rFonts w:ascii="宋体" w:hAnsi="宋体" w:cs="宋体" w:eastAsia="宋体" w:hint="default"/>
                <w:spacing w:val="-3"/>
                <w:w w:val="100"/>
                <w:sz w:val="21"/>
                <w:szCs w:val="21"/>
              </w:rPr>
              <w:t>发</w:t>
            </w:r>
            <w:r>
              <w:rPr>
                <w:rFonts w:ascii="宋体" w:hAnsi="宋体" w:cs="宋体" w:eastAsia="宋体" w:hint="default"/>
                <w:w w:val="100"/>
                <w:sz w:val="21"/>
                <w:szCs w:val="21"/>
              </w:rPr>
              <w:t>生了</w:t>
            </w:r>
          </w:p>
          <w:p>
            <w:pPr>
              <w:pStyle w:val="TableParagraph"/>
              <w:spacing w:line="240" w:lineRule="auto"/>
              <w:ind w:left="23" w:right="23"/>
              <w:jc w:val="left"/>
              <w:rPr>
                <w:rFonts w:ascii="宋体" w:hAnsi="宋体" w:cs="宋体" w:eastAsia="宋体" w:hint="default"/>
                <w:sz w:val="21"/>
                <w:szCs w:val="21"/>
              </w:rPr>
            </w:pPr>
            <w:r>
              <w:rPr>
                <w:rFonts w:ascii="宋体" w:hAnsi="宋体" w:cs="宋体" w:eastAsia="宋体" w:hint="default"/>
                <w:spacing w:val="-7"/>
                <w:sz w:val="21"/>
                <w:szCs w:val="21"/>
              </w:rPr>
              <w:t>减值的应收款项，将其从相关组合中分离出来，单独</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进行减值测试，确认减值损失。</w:t>
            </w:r>
          </w:p>
        </w:tc>
      </w:tr>
    </w:tbl>
    <w:p>
      <w:pPr>
        <w:spacing w:line="240" w:lineRule="auto" w:before="3"/>
        <w:rPr>
          <w:rFonts w:ascii="宋体" w:hAnsi="宋体" w:cs="宋体" w:eastAsia="宋体" w:hint="default"/>
          <w:b/>
          <w:bCs/>
          <w:sz w:val="19"/>
          <w:szCs w:val="19"/>
        </w:rPr>
      </w:pPr>
    </w:p>
    <w:p>
      <w:pPr>
        <w:pStyle w:val="Heading5"/>
        <w:spacing w:line="240" w:lineRule="auto" w:before="36"/>
        <w:ind w:right="0"/>
        <w:jc w:val="left"/>
        <w:rPr>
          <w:b w:val="0"/>
          <w:bCs w:val="0"/>
        </w:rPr>
      </w:pPr>
      <w:bookmarkStart w:name="11、存货" w:id="140"/>
      <w:bookmarkEnd w:id="140"/>
      <w:r>
        <w:rPr>
          <w:b w:val="0"/>
          <w:bCs w:val="0"/>
        </w:rPr>
      </w:r>
      <w:r>
        <w:rPr>
          <w:rFonts w:ascii="Times New Roman" w:hAnsi="Times New Roman" w:cs="Times New Roman" w:eastAsia="Times New Roman" w:hint="default"/>
        </w:rPr>
        <w:t>11</w:t>
      </w:r>
      <w:r>
        <w:rPr/>
        <w:t>、存货</w:t>
      </w:r>
      <w:r>
        <w:rPr>
          <w:b w:val="0"/>
          <w:bCs w:val="0"/>
        </w:rPr>
      </w:r>
    </w:p>
    <w:p>
      <w:pPr>
        <w:spacing w:line="240" w:lineRule="auto" w:before="5"/>
        <w:rPr>
          <w:rFonts w:ascii="宋体" w:hAnsi="宋体" w:cs="宋体" w:eastAsia="宋体" w:hint="default"/>
          <w:b/>
          <w:bCs/>
          <w:sz w:val="26"/>
          <w:szCs w:val="26"/>
        </w:rPr>
      </w:pPr>
    </w:p>
    <w:p>
      <w:pPr>
        <w:pStyle w:val="BodyText"/>
        <w:spacing w:line="314" w:lineRule="auto"/>
        <w:ind w:left="572" w:right="0"/>
        <w:jc w:val="left"/>
      </w:pPr>
      <w:r>
        <w:rPr>
          <w:rFonts w:ascii="宋体" w:hAnsi="宋体" w:cs="宋体" w:eastAsia="宋体" w:hint="default"/>
          <w:b/>
          <w:bCs/>
        </w:rPr>
        <w:t>一、存货的分类</w:t>
      </w:r>
      <w:r>
        <w:rPr>
          <w:rFonts w:ascii="宋体" w:hAnsi="宋体" w:cs="宋体" w:eastAsia="宋体" w:hint="default"/>
          <w:b/>
          <w:bCs/>
          <w:w w:val="100"/>
        </w:rPr>
        <w:t> </w:t>
      </w:r>
      <w:r>
        <w:rPr>
          <w:spacing w:val="2"/>
        </w:rPr>
        <w:t>存货是指本公司在日常活动中持有以备出售的商品、已发送至客户但不符合收入确认条件的发出商</w:t>
      </w:r>
    </w:p>
    <w:p>
      <w:pPr>
        <w:spacing w:after="0" w:line="314" w:lineRule="auto"/>
        <w:jc w:val="left"/>
        <w:sectPr>
          <w:pgSz w:w="11910" w:h="16840"/>
          <w:pgMar w:header="880" w:footer="979" w:top="1060" w:bottom="1160" w:left="980" w:right="980"/>
        </w:sectPr>
      </w:pPr>
    </w:p>
    <w:p>
      <w:pPr>
        <w:spacing w:line="240" w:lineRule="auto" w:before="6"/>
        <w:rPr>
          <w:rFonts w:ascii="宋体" w:hAnsi="宋体" w:cs="宋体" w:eastAsia="宋体" w:hint="default"/>
          <w:sz w:val="26"/>
          <w:szCs w:val="26"/>
        </w:rPr>
      </w:pPr>
    </w:p>
    <w:p>
      <w:pPr>
        <w:pStyle w:val="BodyText"/>
        <w:spacing w:line="312" w:lineRule="auto" w:before="36"/>
        <w:ind w:right="147"/>
        <w:jc w:val="both"/>
      </w:pPr>
      <w:r>
        <w:rPr>
          <w:spacing w:val="-2"/>
        </w:rPr>
        <w:t>品、在生产过程或提供劳务过程中耗用的材料和物料等。主要包括原材料、包装物、低值易耗品、库存商</w:t>
      </w:r>
      <w:r>
        <w:rPr>
          <w:spacing w:val="-43"/>
        </w:rPr>
        <w:t> </w:t>
      </w:r>
      <w:r>
        <w:rPr>
          <w:spacing w:val="-43"/>
        </w:rPr>
      </w:r>
      <w:r>
        <w:rPr/>
        <w:t>品、发出商品等。</w:t>
      </w:r>
    </w:p>
    <w:p>
      <w:pPr>
        <w:pStyle w:val="BodyText"/>
        <w:spacing w:line="312" w:lineRule="auto" w:before="22"/>
        <w:ind w:left="572" w:right="0"/>
        <w:jc w:val="left"/>
      </w:pPr>
      <w:r>
        <w:rPr>
          <w:rFonts w:ascii="宋体" w:hAnsi="宋体" w:cs="宋体" w:eastAsia="宋体" w:hint="default"/>
          <w:b/>
          <w:bCs/>
        </w:rPr>
        <w:t>二、存货的计价方法</w:t>
      </w:r>
      <w:r>
        <w:rPr>
          <w:rFonts w:ascii="宋体" w:hAnsi="宋体" w:cs="宋体" w:eastAsia="宋体" w:hint="default"/>
          <w:b/>
          <w:bCs/>
          <w:w w:val="100"/>
        </w:rPr>
        <w:t> </w:t>
      </w:r>
      <w:r>
        <w:rPr>
          <w:spacing w:val="-3"/>
        </w:rPr>
        <w:t>存货在取得时，按成本进行初始计量，包括采购成本、加工成本和其他成本。存货发出时按移动加权</w:t>
      </w:r>
      <w:r>
        <w:rPr/>
      </w:r>
    </w:p>
    <w:p>
      <w:pPr>
        <w:pStyle w:val="BodyText"/>
        <w:spacing w:line="240" w:lineRule="auto" w:before="22"/>
        <w:ind w:right="0"/>
        <w:jc w:val="both"/>
      </w:pPr>
      <w:r>
        <w:rPr/>
        <w:t>平均法计价。</w:t>
      </w:r>
    </w:p>
    <w:p>
      <w:pPr>
        <w:spacing w:line="314" w:lineRule="auto" w:before="82"/>
        <w:ind w:left="572" w:right="0" w:firstLine="0"/>
        <w:jc w:val="left"/>
        <w:rPr>
          <w:rFonts w:ascii="宋体" w:hAnsi="宋体" w:cs="宋体" w:eastAsia="宋体" w:hint="default"/>
          <w:sz w:val="21"/>
          <w:szCs w:val="21"/>
        </w:rPr>
      </w:pPr>
      <w:r>
        <w:rPr>
          <w:rFonts w:ascii="宋体" w:hAnsi="宋体" w:cs="宋体" w:eastAsia="宋体" w:hint="default"/>
          <w:b/>
          <w:bCs/>
          <w:sz w:val="21"/>
          <w:szCs w:val="21"/>
        </w:rPr>
        <w:t>三、存货可变现净值的确定依据及存货跌价准备的计提方法</w:t>
      </w:r>
      <w:r>
        <w:rPr>
          <w:rFonts w:ascii="宋体" w:hAnsi="宋体" w:cs="宋体" w:eastAsia="宋体" w:hint="default"/>
          <w:b/>
          <w:bCs/>
          <w:w w:val="100"/>
          <w:sz w:val="21"/>
          <w:szCs w:val="21"/>
        </w:rPr>
        <w:t> </w:t>
      </w:r>
      <w:r>
        <w:rPr>
          <w:rFonts w:ascii="宋体" w:hAnsi="宋体" w:cs="宋体" w:eastAsia="宋体" w:hint="default"/>
          <w:spacing w:val="-2"/>
          <w:sz w:val="21"/>
          <w:szCs w:val="21"/>
        </w:rPr>
        <w:t>期末对存货进行全面清查后，按存货的成本与可变现净值孰低提取或调整存货跌价准备。库存商品和</w:t>
      </w:r>
    </w:p>
    <w:p>
      <w:pPr>
        <w:pStyle w:val="BodyText"/>
        <w:spacing w:line="314" w:lineRule="auto" w:before="17"/>
        <w:ind w:right="146"/>
        <w:jc w:val="both"/>
      </w:pPr>
      <w:r>
        <w:rPr>
          <w:spacing w:val="-2"/>
        </w:rPr>
        <w:t>用于出售的材料等直接用于出售的商品存货，在正常生产经营过程中，以该存货的估计售价减去估计的销</w:t>
      </w:r>
      <w:r>
        <w:rPr>
          <w:spacing w:val="-42"/>
        </w:rPr>
        <w:t> </w:t>
      </w:r>
      <w:r>
        <w:rPr>
          <w:spacing w:val="-42"/>
        </w:rPr>
      </w:r>
      <w:r>
        <w:rPr>
          <w:spacing w:val="-2"/>
        </w:rPr>
        <w:t>售费用和相关税费后的金额，确定其可变现净值；需要经过加工的材料存货，在正常生产经营过程中，以</w:t>
      </w:r>
      <w:r>
        <w:rPr>
          <w:spacing w:val="-50"/>
        </w:rPr>
        <w:t> </w:t>
      </w:r>
      <w:r>
        <w:rPr>
          <w:spacing w:val="-50"/>
        </w:rPr>
      </w:r>
      <w:r>
        <w:rPr>
          <w:spacing w:val="-2"/>
        </w:rPr>
        <w:t>所生产的产成品的估计售价减去至完工时估计将要发生的成本、估计的销售费用和相关税费后的金额，确</w:t>
      </w:r>
      <w:r>
        <w:rPr>
          <w:spacing w:val="-44"/>
        </w:rPr>
        <w:t> </w:t>
      </w:r>
      <w:r>
        <w:rPr>
          <w:spacing w:val="-44"/>
        </w:rPr>
      </w:r>
      <w:r>
        <w:rPr>
          <w:spacing w:val="-2"/>
        </w:rPr>
        <w:t>定其可变现净值；为执行销售合同或者劳务合同而持有的存货，其可变现净值以合同价格为基础计算，若</w:t>
      </w:r>
      <w:r>
        <w:rPr>
          <w:spacing w:val="-43"/>
        </w:rPr>
        <w:t> </w:t>
      </w:r>
      <w:r>
        <w:rPr>
          <w:spacing w:val="-43"/>
        </w:rPr>
      </w:r>
      <w:r>
        <w:rPr/>
        <w:t>持有存货的数量多于销售合同订购数量的，超出部分的存货的可变现净值以一般销售价格为基础计算。</w:t>
      </w:r>
    </w:p>
    <w:p>
      <w:pPr>
        <w:pStyle w:val="BodyText"/>
        <w:spacing w:line="314" w:lineRule="auto" w:before="20"/>
        <w:ind w:right="147" w:firstLine="420"/>
        <w:jc w:val="both"/>
      </w:pPr>
      <w:r>
        <w:rPr>
          <w:spacing w:val="-2"/>
        </w:rPr>
        <w:t>期末按照单个存货项目计提存货跌价准备；但对于数量繁多、单价较低的存货，按照存货类别计提存</w:t>
      </w:r>
      <w:r>
        <w:rPr>
          <w:w w:val="100"/>
        </w:rPr>
        <w:t> </w:t>
      </w:r>
      <w:r>
        <w:rPr>
          <w:spacing w:val="-2"/>
        </w:rPr>
        <w:t>货跌价准备；与在同一地区生产和销售的产品系列相关、具有相同或类似最终用途或目的，且难以与其他</w:t>
      </w:r>
      <w:r>
        <w:rPr>
          <w:spacing w:val="-44"/>
        </w:rPr>
        <w:t> </w:t>
      </w:r>
      <w:r>
        <w:rPr>
          <w:spacing w:val="-44"/>
        </w:rPr>
      </w:r>
      <w:r>
        <w:rPr/>
        <w:t>项目分开计量的存货，则合并计提存货跌价准备。</w:t>
      </w:r>
    </w:p>
    <w:p>
      <w:pPr>
        <w:pStyle w:val="BodyText"/>
        <w:spacing w:line="314" w:lineRule="auto" w:before="17"/>
        <w:ind w:right="147" w:firstLine="420"/>
        <w:jc w:val="both"/>
      </w:pPr>
      <w:r>
        <w:rPr>
          <w:spacing w:val="-2"/>
        </w:rPr>
        <w:t>以前减记存货价值的影响因素已经消失的，减记的金额予以恢复，并在原已计提的存货跌价准备金额</w:t>
      </w:r>
      <w:r>
        <w:rPr>
          <w:w w:val="100"/>
        </w:rPr>
        <w:t> </w:t>
      </w:r>
      <w:r>
        <w:rPr/>
        <w:t>内转回，转回的金额计入当期损益。</w:t>
      </w:r>
    </w:p>
    <w:p>
      <w:pPr>
        <w:spacing w:line="314" w:lineRule="auto" w:before="17"/>
        <w:ind w:left="572" w:right="5997" w:firstLine="0"/>
        <w:jc w:val="left"/>
        <w:rPr>
          <w:rFonts w:ascii="宋体" w:hAnsi="宋体" w:cs="宋体" w:eastAsia="宋体" w:hint="default"/>
          <w:sz w:val="21"/>
          <w:szCs w:val="21"/>
        </w:rPr>
      </w:pPr>
      <w:r>
        <w:rPr>
          <w:rFonts w:ascii="宋体" w:hAnsi="宋体" w:cs="宋体" w:eastAsia="宋体" w:hint="default"/>
          <w:b/>
          <w:bCs/>
          <w:sz w:val="21"/>
          <w:szCs w:val="21"/>
        </w:rPr>
        <w:t>四、存货的盘存制度</w:t>
      </w:r>
      <w:r>
        <w:rPr>
          <w:rFonts w:ascii="宋体" w:hAnsi="宋体" w:cs="宋体" w:eastAsia="宋体" w:hint="default"/>
          <w:b/>
          <w:bCs/>
          <w:w w:val="100"/>
          <w:sz w:val="21"/>
          <w:szCs w:val="21"/>
        </w:rPr>
        <w:t> </w:t>
      </w:r>
      <w:r>
        <w:rPr>
          <w:rFonts w:ascii="宋体" w:hAnsi="宋体" w:cs="宋体" w:eastAsia="宋体" w:hint="default"/>
          <w:sz w:val="21"/>
          <w:szCs w:val="21"/>
        </w:rPr>
        <w:t>存货采用永续盘存制。</w:t>
      </w:r>
      <w:r>
        <w:rPr>
          <w:rFonts w:ascii="宋体" w:hAnsi="宋体" w:cs="宋体" w:eastAsia="宋体" w:hint="default"/>
          <w:w w:val="100"/>
          <w:sz w:val="21"/>
          <w:szCs w:val="21"/>
        </w:rPr>
        <w:t> </w:t>
      </w:r>
      <w:r>
        <w:rPr>
          <w:rFonts w:ascii="宋体" w:hAnsi="宋体" w:cs="宋体" w:eastAsia="宋体" w:hint="default"/>
          <w:b/>
          <w:bCs/>
          <w:spacing w:val="-1"/>
          <w:sz w:val="21"/>
          <w:szCs w:val="21"/>
        </w:rPr>
        <w:t>五、低值易耗品和包装物的摊销方法</w:t>
      </w:r>
      <w:r>
        <w:rPr>
          <w:rFonts w:ascii="宋体" w:hAnsi="宋体" w:cs="宋体" w:eastAsia="宋体" w:hint="default"/>
          <w:b/>
          <w:bCs/>
          <w:spacing w:val="-99"/>
          <w:sz w:val="21"/>
          <w:szCs w:val="21"/>
        </w:rPr>
        <w:t> </w:t>
      </w:r>
      <w:r>
        <w:rPr>
          <w:rFonts w:ascii="宋体" w:hAnsi="宋体" w:cs="宋体" w:eastAsia="宋体" w:hint="default"/>
          <w:b/>
          <w:bCs/>
          <w:spacing w:val="-99"/>
          <w:sz w:val="21"/>
          <w:szCs w:val="21"/>
        </w:rPr>
      </w:r>
      <w:r>
        <w:rPr>
          <w:rFonts w:ascii="宋体" w:hAnsi="宋体" w:cs="宋体" w:eastAsia="宋体" w:hint="default"/>
          <w:sz w:val="21"/>
          <w:szCs w:val="21"/>
        </w:rPr>
        <w:t>周转材料采用一次摊销法摊销。</w:t>
      </w:r>
    </w:p>
    <w:p>
      <w:pPr>
        <w:pStyle w:val="Heading5"/>
        <w:spacing w:line="638" w:lineRule="exact" w:before="28"/>
        <w:ind w:left="572" w:right="7466" w:hanging="420"/>
        <w:jc w:val="left"/>
        <w:rPr>
          <w:b w:val="0"/>
          <w:bCs w:val="0"/>
        </w:rPr>
      </w:pPr>
      <w:bookmarkStart w:name="12、长期股权投资" w:id="141"/>
      <w:bookmarkEnd w:id="141"/>
      <w:r>
        <w:rPr>
          <w:b w:val="0"/>
          <w:bCs w:val="0"/>
        </w:rPr>
      </w:r>
      <w:r>
        <w:rPr>
          <w:rFonts w:ascii="Times New Roman" w:hAnsi="Times New Roman" w:cs="Times New Roman" w:eastAsia="Times New Roman" w:hint="default"/>
        </w:rPr>
        <w:t>12</w:t>
      </w:r>
      <w:r>
        <w:rPr/>
        <w:t>、长期股权投资</w:t>
      </w:r>
      <w:r>
        <w:rPr>
          <w:w w:val="100"/>
        </w:rPr>
        <w:t> </w:t>
      </w:r>
      <w:r>
        <w:rPr>
          <w:spacing w:val="-1"/>
        </w:rPr>
        <w:t>一、投资成本的确定</w:t>
      </w:r>
      <w:r>
        <w:rPr>
          <w:b w:val="0"/>
          <w:bCs w:val="0"/>
          <w:spacing w:val="-1"/>
        </w:rPr>
      </w:r>
    </w:p>
    <w:p>
      <w:pPr>
        <w:pStyle w:val="BodyText"/>
        <w:spacing w:line="260" w:lineRule="exact"/>
        <w:ind w:left="572" w:right="0"/>
        <w:jc w:val="left"/>
      </w:pPr>
      <w:r>
        <w:rPr/>
        <w:t>（</w:t>
      </w:r>
      <w:r>
        <w:rPr>
          <w:rFonts w:ascii="宋体" w:hAnsi="宋体" w:cs="宋体" w:eastAsia="宋体" w:hint="default"/>
        </w:rPr>
        <w:t>1</w:t>
      </w:r>
      <w:r>
        <w:rPr/>
        <w:t>）企业合并形成的长期股权投资，具体会计政策详见本附注四（五）同一控制下和非同一控制下</w:t>
      </w:r>
    </w:p>
    <w:p>
      <w:pPr>
        <w:pStyle w:val="BodyText"/>
        <w:spacing w:line="240" w:lineRule="auto" w:before="85"/>
        <w:ind w:right="0"/>
        <w:jc w:val="both"/>
      </w:pPr>
      <w:r>
        <w:rPr/>
        <w:t>企业合并的会计处理方法</w:t>
      </w:r>
    </w:p>
    <w:p>
      <w:pPr>
        <w:pStyle w:val="BodyText"/>
        <w:spacing w:line="314" w:lineRule="auto" w:before="82"/>
        <w:ind w:left="572" w:right="0"/>
        <w:jc w:val="left"/>
      </w:pPr>
      <w:r>
        <w:rPr/>
        <w:t>（</w:t>
      </w:r>
      <w:r>
        <w:rPr>
          <w:rFonts w:ascii="宋体" w:hAnsi="宋体" w:cs="宋体" w:eastAsia="宋体" w:hint="default"/>
        </w:rPr>
        <w:t>2</w:t>
      </w:r>
      <w:r>
        <w:rPr/>
        <w:t>）其他方式取得的长期股权投资</w:t>
      </w:r>
      <w:r>
        <w:rPr>
          <w:spacing w:val="-3"/>
          <w:w w:val="100"/>
        </w:rPr>
        <w:t> </w:t>
      </w:r>
      <w:r>
        <w:rPr>
          <w:spacing w:val="-2"/>
        </w:rPr>
        <w:t>以支付现金方式取得的长期股权投资，按照实际支付的购买价款作为初始投资成本。初始投资成本包</w:t>
      </w:r>
    </w:p>
    <w:p>
      <w:pPr>
        <w:pStyle w:val="BodyText"/>
        <w:spacing w:line="314" w:lineRule="auto" w:before="17"/>
        <w:ind w:left="572" w:right="0" w:hanging="420"/>
        <w:jc w:val="left"/>
      </w:pPr>
      <w:r>
        <w:rPr/>
        <w:t>括与取得长期股权投资直接相关的费用、税金及其他必要支出。</w:t>
      </w:r>
      <w:r>
        <w:rPr>
          <w:w w:val="100"/>
        </w:rPr>
        <w:t> </w:t>
      </w:r>
      <w:r>
        <w:rPr>
          <w:spacing w:val="-2"/>
        </w:rPr>
        <w:t>以发行权益性证券取得的长期股权投资，按照发行权益性证券的公允价值作为初始投资成本；发行或</w:t>
      </w:r>
    </w:p>
    <w:p>
      <w:pPr>
        <w:pStyle w:val="BodyText"/>
        <w:spacing w:line="314" w:lineRule="auto" w:before="17"/>
        <w:ind w:left="572" w:right="0" w:hanging="420"/>
        <w:jc w:val="left"/>
      </w:pPr>
      <w:r>
        <w:rPr/>
        <w:t>取得自身权益工具时发生的交易费用，可直接归属于权益性交易的从权益中扣减。</w:t>
      </w:r>
      <w:r>
        <w:rPr>
          <w:w w:val="100"/>
        </w:rPr>
        <w:t> </w:t>
      </w:r>
      <w:r>
        <w:rPr>
          <w:spacing w:val="-2"/>
        </w:rPr>
        <w:t>在非货币性资产交换具备商业实质和换入资产或换出资产的公允价值能够可靠计量的前提下，非货币</w:t>
      </w:r>
    </w:p>
    <w:p>
      <w:pPr>
        <w:pStyle w:val="BodyText"/>
        <w:spacing w:line="314" w:lineRule="auto" w:before="17"/>
        <w:ind w:right="147"/>
        <w:jc w:val="both"/>
      </w:pPr>
      <w:r>
        <w:rPr>
          <w:spacing w:val="-2"/>
        </w:rPr>
        <w:t>性资产交换换入的长期股权投资以换出资产的公允价值为基础确定其初始投资成本，除非有确凿证据表明</w:t>
      </w:r>
      <w:r>
        <w:rPr>
          <w:spacing w:val="-43"/>
        </w:rPr>
        <w:t> </w:t>
      </w:r>
      <w:r>
        <w:rPr>
          <w:spacing w:val="-43"/>
        </w:rPr>
      </w:r>
      <w:r>
        <w:rPr>
          <w:spacing w:val="-2"/>
        </w:rPr>
        <w:t>换入资产的公允价值更加可靠；不满足上述前提的非货币性资产交换，以换出资产的账面价值和应支付的</w:t>
      </w:r>
      <w:r>
        <w:rPr>
          <w:spacing w:val="-42"/>
        </w:rPr>
        <w:t> </w:t>
      </w:r>
      <w:r>
        <w:rPr>
          <w:spacing w:val="-42"/>
        </w:rPr>
      </w:r>
      <w:r>
        <w:rPr/>
        <w:t>相关税费作为换入长期股权投资的初始投资成本。</w:t>
      </w:r>
    </w:p>
    <w:p>
      <w:pPr>
        <w:spacing w:line="312" w:lineRule="auto" w:before="20"/>
        <w:ind w:left="572" w:right="0" w:hanging="1"/>
        <w:jc w:val="left"/>
        <w:rPr>
          <w:rFonts w:ascii="宋体" w:hAnsi="宋体" w:cs="宋体" w:eastAsia="宋体" w:hint="default"/>
          <w:sz w:val="21"/>
          <w:szCs w:val="21"/>
        </w:rPr>
      </w:pPr>
      <w:r>
        <w:rPr>
          <w:rFonts w:ascii="宋体" w:hAnsi="宋体" w:cs="宋体" w:eastAsia="宋体" w:hint="default"/>
          <w:spacing w:val="-2"/>
          <w:sz w:val="21"/>
          <w:szCs w:val="21"/>
        </w:rPr>
        <w:t>通过债务重组取得的长期股权投资，其初始投资成本按照公允价值为基础确定。</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b/>
          <w:bCs/>
          <w:sz w:val="21"/>
          <w:szCs w:val="21"/>
        </w:rPr>
        <w:t>二、后续计量及损益确认</w:t>
      </w:r>
      <w:r>
        <w:rPr>
          <w:rFonts w:ascii="宋体" w:hAnsi="宋体" w:cs="宋体" w:eastAsia="宋体" w:hint="default"/>
          <w:sz w:val="21"/>
          <w:szCs w:val="21"/>
        </w:rPr>
      </w:r>
    </w:p>
    <w:p>
      <w:pPr>
        <w:pStyle w:val="BodyText"/>
        <w:spacing w:line="240" w:lineRule="auto" w:before="22"/>
        <w:ind w:left="572" w:right="0"/>
        <w:jc w:val="left"/>
      </w:pPr>
      <w:r>
        <w:rPr/>
        <w:t>（</w:t>
      </w:r>
      <w:r>
        <w:rPr>
          <w:rFonts w:ascii="宋体" w:hAnsi="宋体" w:cs="宋体" w:eastAsia="宋体" w:hint="default"/>
        </w:rPr>
        <w:t>1</w:t>
      </w:r>
      <w:r>
        <w:rPr/>
        <w:t>）成本法</w:t>
      </w:r>
    </w:p>
    <w:p>
      <w:pPr>
        <w:spacing w:after="0" w:line="240" w:lineRule="auto"/>
        <w:jc w:val="left"/>
        <w:sectPr>
          <w:pgSz w:w="11910" w:h="16840"/>
          <w:pgMar w:header="880" w:footer="979" w:top="1060" w:bottom="1160" w:left="980" w:right="980"/>
        </w:sectPr>
      </w:pPr>
    </w:p>
    <w:p>
      <w:pPr>
        <w:spacing w:line="240" w:lineRule="auto" w:before="6"/>
        <w:rPr>
          <w:rFonts w:ascii="宋体" w:hAnsi="宋体" w:cs="宋体" w:eastAsia="宋体" w:hint="default"/>
          <w:sz w:val="26"/>
          <w:szCs w:val="26"/>
        </w:rPr>
      </w:pPr>
    </w:p>
    <w:p>
      <w:pPr>
        <w:pStyle w:val="BodyText"/>
        <w:spacing w:line="312" w:lineRule="auto" w:before="36"/>
        <w:ind w:right="147" w:firstLine="420"/>
        <w:jc w:val="both"/>
      </w:pPr>
      <w:r>
        <w:rPr>
          <w:spacing w:val="-2"/>
        </w:rPr>
        <w:t>本公司能够对被投资单位实施控制的长期股权投资采用成本法核算，并按照初始投资成本计价，追加</w:t>
      </w:r>
      <w:r>
        <w:rPr>
          <w:w w:val="100"/>
        </w:rPr>
        <w:t> </w:t>
      </w:r>
      <w:r>
        <w:rPr/>
        <w:t>或收回投资调整长期股权投资的成本。</w:t>
      </w:r>
    </w:p>
    <w:p>
      <w:pPr>
        <w:pStyle w:val="BodyText"/>
        <w:spacing w:line="312" w:lineRule="auto" w:before="22"/>
        <w:ind w:right="146" w:firstLine="420"/>
        <w:jc w:val="both"/>
      </w:pPr>
      <w:r>
        <w:rPr>
          <w:spacing w:val="-2"/>
        </w:rPr>
        <w:t>除取得投资时实际支付的价款或对价中包含的已宣告但尚未发放的现金股利或利润外，本公司按照享</w:t>
      </w:r>
      <w:r>
        <w:rPr>
          <w:w w:val="100"/>
        </w:rPr>
        <w:t> </w:t>
      </w:r>
      <w:r>
        <w:rPr/>
        <w:t>有被投资单位宣告分派的现金股利或利润确认为当期投资收益。</w:t>
      </w:r>
    </w:p>
    <w:p>
      <w:pPr>
        <w:pStyle w:val="BodyText"/>
        <w:spacing w:line="312" w:lineRule="auto" w:before="22"/>
        <w:ind w:left="572" w:right="0"/>
        <w:jc w:val="left"/>
      </w:pPr>
      <w:r>
        <w:rPr/>
        <w:t>（</w:t>
      </w:r>
      <w:r>
        <w:rPr>
          <w:rFonts w:ascii="宋体" w:hAnsi="宋体" w:cs="宋体" w:eastAsia="宋体" w:hint="default"/>
        </w:rPr>
        <w:t>2</w:t>
      </w:r>
      <w:r>
        <w:rPr/>
        <w:t>）权益法</w:t>
      </w:r>
      <w:r>
        <w:rPr>
          <w:spacing w:val="-3"/>
          <w:w w:val="100"/>
        </w:rPr>
        <w:t> </w:t>
      </w:r>
      <w:r>
        <w:rPr>
          <w:spacing w:val="-2"/>
        </w:rPr>
        <w:t>本公司对联营企业和合营企业的长期股权投资采用权益法核算；对于其中一部分通过风险投资机构、</w:t>
      </w:r>
    </w:p>
    <w:p>
      <w:pPr>
        <w:pStyle w:val="BodyText"/>
        <w:spacing w:line="312" w:lineRule="auto" w:before="22"/>
        <w:ind w:right="147"/>
        <w:jc w:val="both"/>
      </w:pPr>
      <w:r>
        <w:rPr>
          <w:spacing w:val="-2"/>
        </w:rPr>
        <w:t>共同基金、信托公司或包括投连险基金在内的类似主体间接持有的联营企业的权益性投资，采用公允价值</w:t>
      </w:r>
      <w:r>
        <w:rPr>
          <w:spacing w:val="-42"/>
        </w:rPr>
        <w:t> </w:t>
      </w:r>
      <w:r>
        <w:rPr>
          <w:spacing w:val="-42"/>
        </w:rPr>
      </w:r>
      <w:r>
        <w:rPr/>
        <w:t>计量且其变动计入损益。</w:t>
      </w:r>
    </w:p>
    <w:p>
      <w:pPr>
        <w:pStyle w:val="BodyText"/>
        <w:spacing w:line="314" w:lineRule="auto" w:before="22"/>
        <w:ind w:right="147" w:firstLine="420"/>
        <w:jc w:val="both"/>
      </w:pPr>
      <w:r>
        <w:rPr>
          <w:spacing w:val="-2"/>
        </w:rPr>
        <w:t>长期股权投资的初始投资成本大于投资时应享有被投资单位可辨认净资产公允价值份额的差额，不调</w:t>
      </w:r>
      <w:r>
        <w:rPr>
          <w:w w:val="100"/>
        </w:rPr>
        <w:t> </w:t>
      </w:r>
      <w:r>
        <w:rPr>
          <w:spacing w:val="-2"/>
        </w:rPr>
        <w:t>整长期股权投资的初始投资成本；初始投资成本小于投资时应享有被投资单位可辨认净资产公允价值份额</w:t>
      </w:r>
      <w:r>
        <w:rPr>
          <w:spacing w:val="-43"/>
        </w:rPr>
        <w:t> </w:t>
      </w:r>
      <w:r>
        <w:rPr>
          <w:spacing w:val="-43"/>
        </w:rPr>
      </w:r>
      <w:r>
        <w:rPr/>
        <w:t>的差额，计入当期损益。</w:t>
      </w:r>
    </w:p>
    <w:p>
      <w:pPr>
        <w:pStyle w:val="BodyText"/>
        <w:spacing w:line="314" w:lineRule="auto" w:before="17"/>
        <w:ind w:right="147" w:firstLine="420"/>
        <w:jc w:val="both"/>
      </w:pPr>
      <w:r>
        <w:rPr>
          <w:spacing w:val="2"/>
        </w:rPr>
        <w:t>本公司取得长期股权投资后，按照应享有或应分担的被投资单位实现的净损益和其他综合收益的份</w:t>
      </w:r>
      <w:r>
        <w:rPr>
          <w:w w:val="100"/>
        </w:rPr>
        <w:t> </w:t>
      </w:r>
      <w:r>
        <w:rPr>
          <w:spacing w:val="-2"/>
        </w:rPr>
        <w:t>额，分别确认投资收益和其他综合收益，同时调整长期股权投资的账面价值；并按照被投资单位宣告分派</w:t>
      </w:r>
      <w:r>
        <w:rPr>
          <w:spacing w:val="-44"/>
        </w:rPr>
        <w:t> </w:t>
      </w:r>
      <w:r>
        <w:rPr>
          <w:spacing w:val="-44"/>
        </w:rPr>
      </w:r>
      <w:r>
        <w:rPr>
          <w:spacing w:val="-2"/>
        </w:rPr>
        <w:t>的利润或现金股利计算应享有的部分，相应减少长期股权投资的账面价值；对于被投资单位除净损益、其</w:t>
      </w:r>
      <w:r>
        <w:rPr>
          <w:spacing w:val="-42"/>
        </w:rPr>
        <w:t> </w:t>
      </w:r>
      <w:r>
        <w:rPr>
          <w:spacing w:val="-42"/>
        </w:rPr>
      </w:r>
      <w:r>
        <w:rPr/>
        <w:t>他综合收益和利润分配以外所有者权益的其他变动，调整长期股权投资的账面价值并计入所有者权益。</w:t>
      </w:r>
    </w:p>
    <w:p>
      <w:pPr>
        <w:pStyle w:val="BodyText"/>
        <w:spacing w:line="314" w:lineRule="auto" w:before="17"/>
        <w:ind w:right="147" w:firstLine="420"/>
        <w:jc w:val="both"/>
      </w:pPr>
      <w:r>
        <w:rPr>
          <w:spacing w:val="-2"/>
        </w:rPr>
        <w:t>本公司在确认应享有被投资单位净损益的份额时，以取得投资时被投资单位各项可辨认资产等的公允</w:t>
      </w:r>
      <w:r>
        <w:rPr>
          <w:w w:val="100"/>
        </w:rPr>
        <w:t> </w:t>
      </w:r>
      <w:r>
        <w:rPr>
          <w:spacing w:val="-2"/>
        </w:rPr>
        <w:t>价值为基础，对被投资单位的净利润进行调整后确认。本公司与联营企业、合营企业之间发生的未实现内</w:t>
      </w:r>
      <w:r>
        <w:rPr>
          <w:spacing w:val="-42"/>
        </w:rPr>
        <w:t> </w:t>
      </w:r>
      <w:r>
        <w:rPr>
          <w:spacing w:val="-42"/>
        </w:rPr>
      </w:r>
      <w:r>
        <w:rPr/>
        <w:t>部交易损益按照应享有的比例计算归属于本公司的部分予以抵销，在此基础上确认投资损益。</w:t>
      </w:r>
    </w:p>
    <w:p>
      <w:pPr>
        <w:pStyle w:val="BodyText"/>
        <w:spacing w:line="312" w:lineRule="auto" w:before="20"/>
        <w:ind w:right="147" w:firstLine="420"/>
        <w:jc w:val="both"/>
      </w:pPr>
      <w:r>
        <w:rPr>
          <w:spacing w:val="-2"/>
        </w:rPr>
        <w:t>本公司确认应分担被投资单位发生的亏损时，按照以下顺序进行处理：首先，冲减长期股权投资的账</w:t>
      </w:r>
      <w:r>
        <w:rPr>
          <w:w w:val="100"/>
        </w:rPr>
        <w:t> </w:t>
      </w:r>
      <w:r>
        <w:rPr>
          <w:spacing w:val="-2"/>
        </w:rPr>
        <w:t>面价值。其次，长期股权投资的账面价值不足以冲减的，以其他实质上构成对被投资单位净投资的长期权</w:t>
      </w:r>
      <w:r>
        <w:rPr>
          <w:spacing w:val="-44"/>
        </w:rPr>
        <w:t> </w:t>
      </w:r>
      <w:r>
        <w:rPr>
          <w:spacing w:val="-44"/>
        </w:rPr>
      </w:r>
      <w:r>
        <w:rPr>
          <w:spacing w:val="-2"/>
        </w:rPr>
        <w:t>益账面价值为限继续确认投资损失，冲减长期应收项目等的账面价值。最后，经过上述处理，按照投资合</w:t>
      </w:r>
      <w:r>
        <w:rPr>
          <w:spacing w:val="-47"/>
        </w:rPr>
        <w:t> </w:t>
      </w:r>
      <w:r>
        <w:rPr>
          <w:spacing w:val="-47"/>
        </w:rPr>
      </w:r>
      <w:r>
        <w:rPr/>
        <w:t>同或协议约定企业仍承担额外义务的，按预计承担的义务确认预计负债，计入当期投资损失。</w:t>
      </w:r>
    </w:p>
    <w:p>
      <w:pPr>
        <w:pStyle w:val="BodyText"/>
        <w:spacing w:line="314" w:lineRule="auto" w:before="22"/>
        <w:ind w:right="147" w:firstLine="420"/>
        <w:jc w:val="both"/>
      </w:pPr>
      <w:r>
        <w:rPr>
          <w:spacing w:val="-2"/>
        </w:rPr>
        <w:t>被投资单位以后期间实现盈利的，公司在扣除未确认的亏损分担额后，按与上述相反的顺序处理，减</w:t>
      </w:r>
      <w:r>
        <w:rPr>
          <w:w w:val="100"/>
        </w:rPr>
        <w:t> </w:t>
      </w:r>
      <w:r>
        <w:rPr>
          <w:spacing w:val="-2"/>
        </w:rPr>
        <w:t>记已确认预计负债的账面余额、恢复其他实质上构成对被投资单位净投资的长期权益及长期股权投资的账</w:t>
      </w:r>
      <w:r>
        <w:rPr>
          <w:spacing w:val="-43"/>
        </w:rPr>
        <w:t> </w:t>
      </w:r>
      <w:r>
        <w:rPr>
          <w:spacing w:val="-43"/>
        </w:rPr>
      </w:r>
      <w:r>
        <w:rPr/>
        <w:t>面价值后，恢复确认投资收益。</w:t>
      </w:r>
    </w:p>
    <w:p>
      <w:pPr>
        <w:pStyle w:val="Heading5"/>
        <w:spacing w:line="240" w:lineRule="auto" w:before="17"/>
        <w:ind w:left="572" w:right="0"/>
        <w:jc w:val="left"/>
        <w:rPr>
          <w:b w:val="0"/>
          <w:bCs w:val="0"/>
        </w:rPr>
      </w:pPr>
      <w:r>
        <w:rPr/>
        <w:t>三、长期股权投资核算方法的转换</w:t>
      </w:r>
      <w:r>
        <w:rPr>
          <w:b w:val="0"/>
          <w:bCs w:val="0"/>
        </w:rPr>
      </w:r>
    </w:p>
    <w:p>
      <w:pPr>
        <w:pStyle w:val="BodyText"/>
        <w:spacing w:line="312" w:lineRule="auto" w:before="85"/>
        <w:ind w:left="572" w:right="0"/>
        <w:jc w:val="left"/>
      </w:pPr>
      <w:r>
        <w:rPr/>
        <w:t>（</w:t>
      </w:r>
      <w:r>
        <w:rPr>
          <w:rFonts w:ascii="宋体" w:hAnsi="宋体" w:cs="宋体" w:eastAsia="宋体" w:hint="default"/>
        </w:rPr>
        <w:t>1</w:t>
      </w:r>
      <w:r>
        <w:rPr/>
        <w:t>）公允价值计量转权益法核算</w:t>
      </w:r>
      <w:r>
        <w:rPr>
          <w:w w:val="100"/>
        </w:rPr>
        <w:t> </w:t>
      </w:r>
      <w:r>
        <w:rPr>
          <w:spacing w:val="-2"/>
        </w:rPr>
        <w:t>本公司原持有的对被投资单位不具有控制、共同控制或重大影响的按金融工具确认和计量准则进行会</w:t>
      </w:r>
    </w:p>
    <w:p>
      <w:pPr>
        <w:pStyle w:val="BodyText"/>
        <w:spacing w:line="314" w:lineRule="auto" w:before="22"/>
        <w:ind w:right="147"/>
        <w:jc w:val="both"/>
      </w:pPr>
      <w:r>
        <w:rPr>
          <w:spacing w:val="2"/>
        </w:rPr>
        <w:t>计处理的权益性投资，因追加投资等原因能够对被投资单位施加重大影响或实施共同控制但不构成控制</w:t>
      </w:r>
      <w:r>
        <w:rPr>
          <w:spacing w:val="-28"/>
        </w:rPr>
        <w:t> </w:t>
      </w:r>
      <w:r>
        <w:rPr>
          <w:spacing w:val="-28"/>
        </w:rPr>
      </w:r>
      <w:r>
        <w:rPr>
          <w:spacing w:val="-2"/>
        </w:rPr>
        <w:t>的，按照《企业会计准则第</w:t>
      </w:r>
      <w:r>
        <w:rPr>
          <w:rFonts w:ascii="宋体" w:hAnsi="宋体" w:cs="宋体" w:eastAsia="宋体" w:hint="default"/>
          <w:spacing w:val="-2"/>
        </w:rPr>
        <w:t>22</w:t>
      </w:r>
      <w:r>
        <w:rPr>
          <w:spacing w:val="-2"/>
        </w:rPr>
        <w:t>号</w:t>
      </w:r>
      <w:r>
        <w:rPr>
          <w:rFonts w:ascii="宋体" w:hAnsi="宋体" w:cs="宋体" w:eastAsia="宋体" w:hint="default"/>
          <w:spacing w:val="-2"/>
        </w:rPr>
        <w:t>——</w:t>
      </w:r>
      <w:r>
        <w:rPr>
          <w:spacing w:val="-2"/>
        </w:rPr>
        <w:t>金融工具确认和计量》确定的原持有的股权投资的公允价值加上新增</w:t>
      </w:r>
      <w:r>
        <w:rPr>
          <w:spacing w:val="-40"/>
        </w:rPr>
        <w:t> </w:t>
      </w:r>
      <w:r>
        <w:rPr>
          <w:spacing w:val="-40"/>
        </w:rPr>
      </w:r>
      <w:r>
        <w:rPr/>
        <w:t>投资成本之和，作为改按权益法核算的初始投资成本。</w:t>
      </w:r>
    </w:p>
    <w:p>
      <w:pPr>
        <w:pStyle w:val="BodyText"/>
        <w:spacing w:line="314" w:lineRule="auto" w:before="17"/>
        <w:ind w:right="147" w:firstLine="420"/>
        <w:jc w:val="both"/>
      </w:pPr>
      <w:r>
        <w:rPr>
          <w:spacing w:val="-2"/>
        </w:rPr>
        <w:t>原持有的股权投资分类为可供出售金融资产的，其公允价值与账面价值之间的差额，以及原计入其他</w:t>
      </w:r>
      <w:r>
        <w:rPr>
          <w:w w:val="100"/>
        </w:rPr>
        <w:t> </w:t>
      </w:r>
      <w:r>
        <w:rPr/>
        <w:t>综合收益的累计公允价值变动转入改按权益法核算的当期损益。</w:t>
      </w:r>
    </w:p>
    <w:p>
      <w:pPr>
        <w:pStyle w:val="BodyText"/>
        <w:spacing w:line="314" w:lineRule="auto" w:before="17"/>
        <w:ind w:right="147" w:firstLine="420"/>
        <w:jc w:val="both"/>
      </w:pPr>
      <w:r>
        <w:rPr>
          <w:spacing w:val="2"/>
        </w:rPr>
        <w:t>按权益法核算的初始投资成本小于按照追加投资后全新的持股比例计算确定的应享有被投资单位在</w:t>
      </w:r>
      <w:r>
        <w:rPr>
          <w:w w:val="100"/>
        </w:rPr>
        <w:t> </w:t>
      </w:r>
      <w:r>
        <w:rPr>
          <w:spacing w:val="-2"/>
        </w:rPr>
        <w:t>追加投资日可辨认净资产公允价值份额之间的差额，调整长期股权投资的账面价值，并计入当期营业外收</w:t>
      </w:r>
      <w:r>
        <w:rPr>
          <w:spacing w:val="-44"/>
        </w:rPr>
        <w:t> </w:t>
      </w:r>
      <w:r>
        <w:rPr>
          <w:spacing w:val="-44"/>
        </w:rPr>
      </w:r>
      <w:r>
        <w:rPr/>
        <w:t>入。</w:t>
      </w:r>
    </w:p>
    <w:p>
      <w:pPr>
        <w:pStyle w:val="BodyText"/>
        <w:spacing w:line="312" w:lineRule="auto" w:before="20"/>
        <w:ind w:left="572" w:right="0" w:hanging="1"/>
        <w:jc w:val="left"/>
      </w:pPr>
      <w:r>
        <w:rPr/>
        <w:t>（</w:t>
      </w:r>
      <w:r>
        <w:rPr>
          <w:rFonts w:ascii="宋体" w:hAnsi="宋体" w:cs="宋体" w:eastAsia="宋体" w:hint="default"/>
        </w:rPr>
        <w:t>2</w:t>
      </w:r>
      <w:r>
        <w:rPr/>
        <w:t>）公允价值计量或权益法核算转成本法核算</w:t>
      </w:r>
      <w:r>
        <w:rPr>
          <w:w w:val="100"/>
        </w:rPr>
        <w:t> </w:t>
      </w:r>
      <w:r>
        <w:rPr>
          <w:spacing w:val="-2"/>
        </w:rPr>
        <w:t>本公司原持有的对被投资单位不具有控制、共同控制或重大影响的按金融工具确认和计量准则进行会</w:t>
      </w:r>
    </w:p>
    <w:p>
      <w:pPr>
        <w:pStyle w:val="BodyText"/>
        <w:spacing w:line="240" w:lineRule="auto" w:before="22"/>
        <w:ind w:right="0"/>
        <w:jc w:val="both"/>
      </w:pPr>
      <w:r>
        <w:rPr/>
        <w:t>计处理的权益性投资，或原持有对联营企业、合营企业的长期股权投资，因追加投资等原因能够对非同一</w:t>
      </w:r>
    </w:p>
    <w:p>
      <w:pPr>
        <w:spacing w:after="0" w:line="240" w:lineRule="auto"/>
        <w:jc w:val="both"/>
        <w:sectPr>
          <w:pgSz w:w="11910" w:h="16840"/>
          <w:pgMar w:header="880" w:footer="979" w:top="1060" w:bottom="1160" w:left="980" w:right="980"/>
        </w:sectPr>
      </w:pPr>
    </w:p>
    <w:p>
      <w:pPr>
        <w:spacing w:line="240" w:lineRule="auto" w:before="6"/>
        <w:rPr>
          <w:rFonts w:ascii="宋体" w:hAnsi="宋体" w:cs="宋体" w:eastAsia="宋体" w:hint="default"/>
          <w:sz w:val="26"/>
          <w:szCs w:val="26"/>
        </w:rPr>
      </w:pPr>
    </w:p>
    <w:p>
      <w:pPr>
        <w:pStyle w:val="BodyText"/>
        <w:spacing w:line="312" w:lineRule="auto" w:before="36"/>
        <w:ind w:right="106"/>
        <w:jc w:val="left"/>
      </w:pPr>
      <w:r>
        <w:rPr>
          <w:spacing w:val="-2"/>
        </w:rPr>
        <w:t>控制下的被投资单位实施控制的，在编制个别财务报表时，按照原持有的股权投资账面价值加上新增投资</w:t>
      </w:r>
      <w:r>
        <w:rPr>
          <w:spacing w:val="-44"/>
        </w:rPr>
        <w:t> </w:t>
      </w:r>
      <w:r>
        <w:rPr>
          <w:spacing w:val="-44"/>
        </w:rPr>
      </w:r>
      <w:r>
        <w:rPr/>
        <w:t>成本之和，作为改按成本法核算的初始投资成本。</w:t>
      </w:r>
    </w:p>
    <w:p>
      <w:pPr>
        <w:pStyle w:val="BodyText"/>
        <w:spacing w:line="312" w:lineRule="auto" w:before="22"/>
        <w:ind w:right="106" w:firstLine="420"/>
        <w:jc w:val="left"/>
      </w:pPr>
      <w:r>
        <w:rPr>
          <w:spacing w:val="-2"/>
        </w:rPr>
        <w:t>购买日之前持有的股权投资因采用权益法核算而确认的其他综合收益，在处置该项投资时采用与被投</w:t>
      </w:r>
      <w:r>
        <w:rPr>
          <w:w w:val="100"/>
        </w:rPr>
        <w:t> </w:t>
      </w:r>
      <w:r>
        <w:rPr/>
        <w:t>资单位直接处置相关资产或负债相同的基础进行会计处理。</w:t>
      </w:r>
    </w:p>
    <w:p>
      <w:pPr>
        <w:pStyle w:val="BodyText"/>
        <w:spacing w:line="312" w:lineRule="auto" w:before="22"/>
        <w:ind w:right="106" w:firstLine="419"/>
        <w:jc w:val="left"/>
      </w:pPr>
      <w:r>
        <w:rPr>
          <w:spacing w:val="-2"/>
        </w:rPr>
        <w:t>购买日之前持有的股权投资按照《企业会计准则第</w:t>
      </w:r>
      <w:r>
        <w:rPr>
          <w:rFonts w:ascii="宋体" w:hAnsi="宋体" w:cs="宋体" w:eastAsia="宋体" w:hint="default"/>
          <w:spacing w:val="-2"/>
        </w:rPr>
        <w:t>22</w:t>
      </w:r>
      <w:r>
        <w:rPr>
          <w:spacing w:val="-2"/>
        </w:rPr>
        <w:t>号</w:t>
      </w:r>
      <w:r>
        <w:rPr>
          <w:rFonts w:ascii="宋体" w:hAnsi="宋体" w:cs="宋体" w:eastAsia="宋体" w:hint="default"/>
          <w:spacing w:val="-2"/>
        </w:rPr>
        <w:t>——</w:t>
      </w:r>
      <w:r>
        <w:rPr>
          <w:spacing w:val="-2"/>
        </w:rPr>
        <w:t>金融工具确认和计量》的有关规定进行会</w:t>
      </w:r>
      <w:r>
        <w:rPr>
          <w:spacing w:val="-3"/>
          <w:w w:val="100"/>
        </w:rPr>
        <w:t> </w:t>
      </w:r>
      <w:r>
        <w:rPr/>
        <w:t>计处理的，原计入其他综合收益的累计公允价值变动在改按成本法核算时转入当期损益。</w:t>
      </w:r>
    </w:p>
    <w:p>
      <w:pPr>
        <w:pStyle w:val="BodyText"/>
        <w:spacing w:line="312" w:lineRule="auto" w:before="22"/>
        <w:ind w:left="572" w:right="106"/>
        <w:jc w:val="left"/>
      </w:pPr>
      <w:r>
        <w:rPr/>
        <w:t>（</w:t>
      </w:r>
      <w:r>
        <w:rPr>
          <w:rFonts w:ascii="宋体" w:hAnsi="宋体" w:cs="宋体" w:eastAsia="宋体" w:hint="default"/>
        </w:rPr>
        <w:t>3</w:t>
      </w:r>
      <w:r>
        <w:rPr/>
        <w:t>）权益法核算转公允价值计量</w:t>
      </w:r>
      <w:r>
        <w:rPr>
          <w:w w:val="100"/>
        </w:rPr>
        <w:t> </w:t>
      </w:r>
      <w:r>
        <w:rPr>
          <w:spacing w:val="-2"/>
        </w:rPr>
        <w:t>本公司因处置部分股权投资等原因丧失了对被投资单位的共同控制或重大影响的，处置后的剩余股权</w:t>
      </w:r>
    </w:p>
    <w:p>
      <w:pPr>
        <w:pStyle w:val="BodyText"/>
        <w:spacing w:line="312" w:lineRule="auto" w:before="22"/>
        <w:ind w:right="106" w:hanging="1"/>
        <w:jc w:val="left"/>
      </w:pPr>
      <w:r>
        <w:rPr>
          <w:spacing w:val="-2"/>
        </w:rPr>
        <w:t>改按《企业会计准则第</w:t>
      </w:r>
      <w:r>
        <w:rPr>
          <w:rFonts w:ascii="宋体" w:hAnsi="宋体" w:cs="宋体" w:eastAsia="宋体" w:hint="default"/>
          <w:spacing w:val="-2"/>
        </w:rPr>
        <w:t>22</w:t>
      </w:r>
      <w:r>
        <w:rPr>
          <w:spacing w:val="-2"/>
        </w:rPr>
        <w:t>号</w:t>
      </w:r>
      <w:r>
        <w:rPr>
          <w:rFonts w:ascii="宋体" w:hAnsi="宋体" w:cs="宋体" w:eastAsia="宋体" w:hint="default"/>
          <w:spacing w:val="-2"/>
        </w:rPr>
        <w:t>——</w:t>
      </w:r>
      <w:r>
        <w:rPr>
          <w:spacing w:val="-2"/>
        </w:rPr>
        <w:t>金融工具确认和计量》核算，其在丧失共同控制或重大影响之日的公允价</w:t>
      </w:r>
      <w:r>
        <w:rPr>
          <w:spacing w:val="-41"/>
        </w:rPr>
        <w:t> </w:t>
      </w:r>
      <w:r>
        <w:rPr>
          <w:spacing w:val="-41"/>
        </w:rPr>
      </w:r>
      <w:r>
        <w:rPr/>
        <w:t>值与账面价值之间的差额计入当期损益。</w:t>
      </w:r>
    </w:p>
    <w:p>
      <w:pPr>
        <w:pStyle w:val="BodyText"/>
        <w:spacing w:line="312" w:lineRule="auto" w:before="22"/>
        <w:ind w:right="106" w:firstLine="420"/>
        <w:jc w:val="left"/>
      </w:pPr>
      <w:r>
        <w:rPr>
          <w:spacing w:val="-2"/>
        </w:rPr>
        <w:t>原股权投资因采用权益法核算而确认的其他综合收益，在终止采用权益法核算时采用与被投资单位直</w:t>
      </w:r>
      <w:r>
        <w:rPr>
          <w:w w:val="100"/>
        </w:rPr>
        <w:t> </w:t>
      </w:r>
      <w:r>
        <w:rPr/>
        <w:t>接处置相关资产或负债相同的基础进行会计处理。</w:t>
      </w:r>
    </w:p>
    <w:p>
      <w:pPr>
        <w:pStyle w:val="BodyText"/>
        <w:spacing w:line="312" w:lineRule="auto" w:before="22"/>
        <w:ind w:left="572" w:right="106"/>
        <w:jc w:val="left"/>
      </w:pPr>
      <w:r>
        <w:rPr/>
        <w:t>（</w:t>
      </w:r>
      <w:r>
        <w:rPr>
          <w:rFonts w:ascii="宋体" w:hAnsi="宋体" w:cs="宋体" w:eastAsia="宋体" w:hint="default"/>
        </w:rPr>
        <w:t>4</w:t>
      </w:r>
      <w:r>
        <w:rPr/>
        <w:t>）成本法转权益法</w:t>
      </w:r>
      <w:r>
        <w:rPr>
          <w:spacing w:val="-3"/>
          <w:w w:val="100"/>
        </w:rPr>
        <w:t> </w:t>
      </w:r>
      <w:r>
        <w:rPr>
          <w:spacing w:val="-2"/>
        </w:rPr>
        <w:t>本公司因处置部分权益性投资等原因丧失了对被投资单位的控制的，在编制个别财务报表时，处置后</w:t>
      </w:r>
    </w:p>
    <w:p>
      <w:pPr>
        <w:pStyle w:val="BodyText"/>
        <w:spacing w:line="312" w:lineRule="auto" w:before="22"/>
        <w:ind w:right="106"/>
        <w:jc w:val="left"/>
      </w:pPr>
      <w:r>
        <w:rPr>
          <w:spacing w:val="-2"/>
        </w:rPr>
        <w:t>的剩余股权能够对被投资单位实施共同控制或施加重大影响的，改按权益法核算，并对该剩余股权视同自</w:t>
      </w:r>
      <w:r>
        <w:rPr>
          <w:spacing w:val="-43"/>
        </w:rPr>
        <w:t> </w:t>
      </w:r>
      <w:r>
        <w:rPr>
          <w:spacing w:val="-43"/>
        </w:rPr>
      </w:r>
      <w:r>
        <w:rPr/>
        <w:t>取得时即采用权益法核算进行调整。</w:t>
      </w:r>
    </w:p>
    <w:p>
      <w:pPr>
        <w:spacing w:line="240" w:lineRule="auto" w:before="0"/>
        <w:rPr>
          <w:rFonts w:ascii="宋体" w:hAnsi="宋体" w:cs="宋体" w:eastAsia="宋体" w:hint="default"/>
          <w:sz w:val="29"/>
          <w:szCs w:val="29"/>
        </w:rPr>
      </w:pPr>
    </w:p>
    <w:p>
      <w:pPr>
        <w:pStyle w:val="BodyText"/>
        <w:spacing w:line="314" w:lineRule="auto"/>
        <w:ind w:left="572" w:right="106"/>
        <w:jc w:val="left"/>
      </w:pPr>
      <w:r>
        <w:rPr/>
        <w:t>（</w:t>
      </w:r>
      <w:r>
        <w:rPr>
          <w:rFonts w:ascii="宋体" w:hAnsi="宋体" w:cs="宋体" w:eastAsia="宋体" w:hint="default"/>
        </w:rPr>
        <w:t>5</w:t>
      </w:r>
      <w:r>
        <w:rPr/>
        <w:t>）成本法转公允价值计量</w:t>
      </w:r>
      <w:r>
        <w:rPr>
          <w:spacing w:val="-3"/>
          <w:w w:val="100"/>
        </w:rPr>
        <w:t> </w:t>
      </w:r>
      <w:r>
        <w:rPr>
          <w:spacing w:val="-2"/>
        </w:rPr>
        <w:t>本公司因处置部分权益性投资等原因丧失了对被投资单位的控制的，在编制个别财务报表时，处置后</w:t>
      </w:r>
    </w:p>
    <w:p>
      <w:pPr>
        <w:pStyle w:val="BodyText"/>
        <w:spacing w:line="314" w:lineRule="auto" w:before="17"/>
        <w:ind w:right="106" w:hanging="1"/>
        <w:jc w:val="left"/>
      </w:pPr>
      <w:r>
        <w:rPr>
          <w:spacing w:val="-2"/>
        </w:rPr>
        <w:t>的剩余股权不能对被投资单位实施共同控制或施加重大影响的，改按《企业会计准则第</w:t>
      </w:r>
      <w:r>
        <w:rPr>
          <w:rFonts w:ascii="宋体" w:hAnsi="宋体" w:cs="宋体" w:eastAsia="宋体" w:hint="default"/>
          <w:spacing w:val="-2"/>
        </w:rPr>
        <w:t>22</w:t>
      </w:r>
      <w:r>
        <w:rPr>
          <w:spacing w:val="-2"/>
        </w:rPr>
        <w:t>号</w:t>
      </w:r>
      <w:r>
        <w:rPr>
          <w:rFonts w:ascii="宋体" w:hAnsi="宋体" w:cs="宋体" w:eastAsia="宋体" w:hint="default"/>
          <w:spacing w:val="-2"/>
        </w:rPr>
        <w:t>——</w:t>
      </w:r>
      <w:r>
        <w:rPr>
          <w:spacing w:val="-2"/>
        </w:rPr>
        <w:t>金融工具</w:t>
      </w:r>
      <w:r>
        <w:rPr>
          <w:spacing w:val="-43"/>
        </w:rPr>
        <w:t> </w:t>
      </w:r>
      <w:r>
        <w:rPr>
          <w:spacing w:val="-43"/>
        </w:rPr>
      </w:r>
      <w:r>
        <w:rPr>
          <w:spacing w:val="-5"/>
        </w:rPr>
        <w:t>确认和计量》的有关规定进行会计处理，其在丧失控制之日的公允价值与账面价值间的差额计入当期损益。</w:t>
      </w:r>
      <w:r>
        <w:rPr/>
      </w:r>
    </w:p>
    <w:p>
      <w:pPr>
        <w:spacing w:line="314" w:lineRule="auto" w:before="17"/>
        <w:ind w:left="572" w:right="106" w:firstLine="0"/>
        <w:jc w:val="left"/>
        <w:rPr>
          <w:rFonts w:ascii="宋体" w:hAnsi="宋体" w:cs="宋体" w:eastAsia="宋体" w:hint="default"/>
          <w:sz w:val="21"/>
          <w:szCs w:val="21"/>
        </w:rPr>
      </w:pPr>
      <w:r>
        <w:rPr>
          <w:rFonts w:ascii="宋体" w:hAnsi="宋体" w:cs="宋体" w:eastAsia="宋体" w:hint="default"/>
          <w:b/>
          <w:bCs/>
          <w:sz w:val="21"/>
          <w:szCs w:val="21"/>
        </w:rPr>
        <w:t>四、长期股权投资的处置</w:t>
      </w:r>
      <w:r>
        <w:rPr>
          <w:rFonts w:ascii="宋体" w:hAnsi="宋体" w:cs="宋体" w:eastAsia="宋体" w:hint="default"/>
          <w:b/>
          <w:bCs/>
          <w:w w:val="100"/>
          <w:sz w:val="21"/>
          <w:szCs w:val="21"/>
        </w:rPr>
        <w:t> </w:t>
      </w:r>
      <w:r>
        <w:rPr>
          <w:rFonts w:ascii="宋体" w:hAnsi="宋体" w:cs="宋体" w:eastAsia="宋体" w:hint="default"/>
          <w:spacing w:val="-2"/>
          <w:sz w:val="21"/>
          <w:szCs w:val="21"/>
        </w:rPr>
        <w:t>处置长期股权投资，其账面价值与实际取得价款之间的差额，应当计入当期损益。采用权益法核算的</w:t>
      </w:r>
    </w:p>
    <w:p>
      <w:pPr>
        <w:pStyle w:val="BodyText"/>
        <w:spacing w:line="314" w:lineRule="auto" w:before="17"/>
        <w:ind w:right="106"/>
        <w:jc w:val="left"/>
      </w:pPr>
      <w:r>
        <w:rPr>
          <w:spacing w:val="-2"/>
        </w:rPr>
        <w:t>长期股权投资，在处置该项投资时，采用与被投资单位直接处置相关资产或负债相同的基础，按相应比例</w:t>
      </w:r>
      <w:r>
        <w:rPr>
          <w:spacing w:val="-48"/>
        </w:rPr>
        <w:t> </w:t>
      </w:r>
      <w:r>
        <w:rPr>
          <w:spacing w:val="-48"/>
        </w:rPr>
      </w:r>
      <w:r>
        <w:rPr/>
        <w:t>对原计入其他综合收益的部分进行会计处理。</w:t>
      </w:r>
    </w:p>
    <w:p>
      <w:pPr>
        <w:pStyle w:val="BodyText"/>
        <w:spacing w:line="314" w:lineRule="auto" w:before="17"/>
        <w:ind w:right="106" w:firstLine="420"/>
        <w:jc w:val="left"/>
      </w:pPr>
      <w:r>
        <w:rPr>
          <w:spacing w:val="-2"/>
        </w:rPr>
        <w:t>处置对子公司股权投资的各项交易的条款、条件以及经济影响符合以下一种或多种情况，将多次交易</w:t>
      </w:r>
      <w:r>
        <w:rPr>
          <w:w w:val="100"/>
        </w:rPr>
        <w:t> </w:t>
      </w:r>
      <w:r>
        <w:rPr/>
        <w:t>事项作为一揽子交易进行会计处理：</w:t>
      </w:r>
    </w:p>
    <w:p>
      <w:pPr>
        <w:pStyle w:val="BodyText"/>
        <w:spacing w:line="240" w:lineRule="auto" w:before="17"/>
        <w:ind w:left="572" w:right="106"/>
        <w:jc w:val="left"/>
      </w:pPr>
      <w:r>
        <w:rPr/>
        <w:t>（</w:t>
      </w:r>
      <w:r>
        <w:rPr>
          <w:rFonts w:ascii="宋体" w:hAnsi="宋体" w:cs="宋体" w:eastAsia="宋体" w:hint="default"/>
        </w:rPr>
        <w:t>1</w:t>
      </w:r>
      <w:r>
        <w:rPr/>
        <w:t>）这些交易是同时或者在考虑了彼此影响的情况下订立的；</w:t>
      </w:r>
    </w:p>
    <w:p>
      <w:pPr>
        <w:pStyle w:val="BodyText"/>
        <w:spacing w:line="240" w:lineRule="auto" w:before="85"/>
        <w:ind w:left="572" w:right="106"/>
        <w:jc w:val="left"/>
      </w:pPr>
      <w:r>
        <w:rPr/>
        <w:t>（</w:t>
      </w:r>
      <w:r>
        <w:rPr>
          <w:rFonts w:ascii="宋体" w:hAnsi="宋体" w:cs="宋体" w:eastAsia="宋体" w:hint="default"/>
        </w:rPr>
        <w:t>2</w:t>
      </w:r>
      <w:r>
        <w:rPr/>
        <w:t>）这些交易整体才能达成一项完整的商业结果；</w:t>
      </w:r>
    </w:p>
    <w:p>
      <w:pPr>
        <w:pStyle w:val="BodyText"/>
        <w:spacing w:line="240" w:lineRule="auto" w:before="82"/>
        <w:ind w:left="572" w:right="106"/>
        <w:jc w:val="left"/>
      </w:pPr>
      <w:r>
        <w:rPr/>
        <w:t>（</w:t>
      </w:r>
      <w:r>
        <w:rPr>
          <w:rFonts w:ascii="宋体" w:hAnsi="宋体" w:cs="宋体" w:eastAsia="宋体" w:hint="default"/>
        </w:rPr>
        <w:t>3</w:t>
      </w:r>
      <w:r>
        <w:rPr/>
        <w:t>）一项交易的发生取决于其他至少一项交易的发生；</w:t>
      </w:r>
    </w:p>
    <w:p>
      <w:pPr>
        <w:pStyle w:val="BodyText"/>
        <w:spacing w:line="312" w:lineRule="auto" w:before="85"/>
        <w:ind w:left="572" w:right="106"/>
        <w:jc w:val="left"/>
      </w:pPr>
      <w:r>
        <w:rPr/>
        <w:t>（</w:t>
      </w:r>
      <w:r>
        <w:rPr>
          <w:rFonts w:ascii="宋体" w:hAnsi="宋体" w:cs="宋体" w:eastAsia="宋体" w:hint="default"/>
        </w:rPr>
        <w:t>4</w:t>
      </w:r>
      <w:r>
        <w:rPr/>
        <w:t>）一项交易单独看是不经济的，但是和其他交易一并考虑时是经济的。</w:t>
      </w:r>
      <w:r>
        <w:rPr>
          <w:spacing w:val="-3"/>
          <w:w w:val="100"/>
        </w:rPr>
        <w:t> </w:t>
      </w:r>
      <w:r>
        <w:rPr>
          <w:spacing w:val="-2"/>
        </w:rPr>
        <w:t>因处置部分股权投资或其他原因丧失了对原有子公司控制权的，不属于一揽子交易的，应当区分个别</w:t>
      </w:r>
    </w:p>
    <w:p>
      <w:pPr>
        <w:pStyle w:val="BodyText"/>
        <w:spacing w:line="240" w:lineRule="auto" w:before="22"/>
        <w:ind w:right="106"/>
        <w:jc w:val="left"/>
      </w:pPr>
      <w:r>
        <w:rPr/>
        <w:t>财务报表和合并财务报表进行相关会计处理：</w:t>
      </w:r>
    </w:p>
    <w:p>
      <w:pPr>
        <w:pStyle w:val="BodyText"/>
        <w:spacing w:line="314" w:lineRule="auto" w:before="82"/>
        <w:ind w:right="207" w:firstLine="420"/>
        <w:jc w:val="both"/>
      </w:pPr>
      <w:r>
        <w:rPr/>
        <w:t>（</w:t>
      </w:r>
      <w:r>
        <w:rPr>
          <w:rFonts w:ascii="宋体" w:hAnsi="宋体" w:cs="宋体" w:eastAsia="宋体" w:hint="default"/>
        </w:rPr>
        <w:t>1</w:t>
      </w:r>
      <w:r>
        <w:rPr/>
        <w:t>）在个别财务报表中，对于处置的股权，其账面价值与实际取得价款之间的差额计入当期损益。</w:t>
      </w:r>
      <w:r>
        <w:rPr>
          <w:w w:val="100"/>
        </w:rPr>
        <w:t> </w:t>
      </w:r>
      <w:r>
        <w:rPr>
          <w:spacing w:val="-2"/>
        </w:rPr>
        <w:t>处置后的剩余股权能够对被投资单位实施共同控制或施加重大影响的，改按权益法核算，并对该剩余股权</w:t>
      </w:r>
      <w:r>
        <w:rPr>
          <w:spacing w:val="-43"/>
        </w:rPr>
        <w:t> </w:t>
      </w:r>
      <w:r>
        <w:rPr>
          <w:spacing w:val="-43"/>
        </w:rPr>
      </w:r>
      <w:r>
        <w:rPr>
          <w:spacing w:val="-2"/>
        </w:rPr>
        <w:t>视同自取得时即采用权益法核算进行调整；处置后的剩余股权不能对被投资单位实施共同控制或施加重大</w:t>
      </w:r>
      <w:r>
        <w:rPr>
          <w:spacing w:val="-43"/>
        </w:rPr>
        <w:t> </w:t>
      </w:r>
      <w:r>
        <w:rPr>
          <w:spacing w:val="-43"/>
        </w:rPr>
      </w:r>
      <w:r>
        <w:rPr>
          <w:spacing w:val="-2"/>
        </w:rPr>
        <w:t>影响的，改按《企业会计准则第</w:t>
      </w:r>
      <w:r>
        <w:rPr>
          <w:rFonts w:ascii="宋体" w:hAnsi="宋体" w:cs="宋体" w:eastAsia="宋体" w:hint="default"/>
          <w:spacing w:val="-2"/>
        </w:rPr>
        <w:t>22</w:t>
      </w:r>
      <w:r>
        <w:rPr>
          <w:spacing w:val="-2"/>
        </w:rPr>
        <w:t>号</w:t>
      </w:r>
      <w:r>
        <w:rPr>
          <w:rFonts w:ascii="宋体" w:hAnsi="宋体" w:cs="宋体" w:eastAsia="宋体" w:hint="default"/>
          <w:spacing w:val="-2"/>
        </w:rPr>
        <w:t>——</w:t>
      </w:r>
      <w:r>
        <w:rPr>
          <w:spacing w:val="-2"/>
        </w:rPr>
        <w:t>金融工具确认和计量》的有关规定进行会计处理，其在丧失控制</w:t>
      </w:r>
      <w:r>
        <w:rPr>
          <w:spacing w:val="-45"/>
        </w:rPr>
        <w:t> </w:t>
      </w:r>
      <w:r>
        <w:rPr>
          <w:spacing w:val="-45"/>
        </w:rPr>
      </w:r>
      <w:r>
        <w:rPr/>
        <w:t>之日的公允价值与账面价值间的差额计入当期损益。</w:t>
      </w:r>
    </w:p>
    <w:p>
      <w:pPr>
        <w:pStyle w:val="BodyText"/>
        <w:spacing w:line="240" w:lineRule="auto" w:before="19"/>
        <w:ind w:left="572" w:right="106"/>
        <w:jc w:val="left"/>
      </w:pPr>
      <w:r>
        <w:rPr/>
        <w:t>（</w:t>
      </w:r>
      <w:r>
        <w:rPr>
          <w:rFonts w:ascii="宋体" w:hAnsi="宋体" w:cs="宋体" w:eastAsia="宋体" w:hint="default"/>
        </w:rPr>
        <w:t>2</w:t>
      </w:r>
      <w:r>
        <w:rPr/>
        <w:t>）在合并财务报表中，对于在丧失对子公司控制权以前的各项交易，处置价款与处置长期股权投</w:t>
      </w:r>
    </w:p>
    <w:p>
      <w:pPr>
        <w:spacing w:after="0" w:line="240" w:lineRule="auto"/>
        <w:jc w:val="left"/>
        <w:sectPr>
          <w:footerReference w:type="default" r:id="rId82"/>
          <w:pgSz w:w="11910" w:h="16840"/>
          <w:pgMar w:footer="979" w:header="880" w:top="1060" w:bottom="1160" w:left="980" w:right="920"/>
          <w:pgNumType w:start="144"/>
        </w:sectPr>
      </w:pPr>
    </w:p>
    <w:p>
      <w:pPr>
        <w:spacing w:line="240" w:lineRule="auto" w:before="6"/>
        <w:rPr>
          <w:rFonts w:ascii="宋体" w:hAnsi="宋体" w:cs="宋体" w:eastAsia="宋体" w:hint="default"/>
          <w:sz w:val="26"/>
          <w:szCs w:val="26"/>
        </w:rPr>
      </w:pPr>
    </w:p>
    <w:p>
      <w:pPr>
        <w:pStyle w:val="BodyText"/>
        <w:spacing w:line="314" w:lineRule="auto" w:before="36"/>
        <w:ind w:right="125"/>
        <w:jc w:val="both"/>
      </w:pPr>
      <w:r>
        <w:rPr>
          <w:spacing w:val="2"/>
        </w:rPr>
        <w:t>资相应对享有子公司自购买日或合并日开始持续计算的净资产份额之间的差额，调整资本公积（股本溢</w:t>
      </w:r>
      <w:r>
        <w:rPr>
          <w:spacing w:val="-28"/>
        </w:rPr>
        <w:t> </w:t>
      </w:r>
      <w:r>
        <w:rPr>
          <w:spacing w:val="-28"/>
        </w:rPr>
      </w:r>
      <w:r>
        <w:rPr>
          <w:spacing w:val="-2"/>
        </w:rPr>
        <w:t>价），资本公积不足冲减的，调整留存收益；在丧失对子公司控制权时，对于剩余股权，按照其在丧失控</w:t>
      </w:r>
      <w:r>
        <w:rPr>
          <w:spacing w:val="-42"/>
        </w:rPr>
        <w:t> </w:t>
      </w:r>
      <w:r>
        <w:rPr>
          <w:spacing w:val="-42"/>
        </w:rPr>
      </w:r>
      <w:r>
        <w:rPr>
          <w:spacing w:val="-2"/>
        </w:rPr>
        <w:t>制权日的公允价值进行重新计量。处置股权取得的对价与剩余股权公允价值之和，减去按原持股比例计算</w:t>
      </w:r>
      <w:r>
        <w:rPr>
          <w:spacing w:val="-43"/>
        </w:rPr>
        <w:t> </w:t>
      </w:r>
      <w:r>
        <w:rPr>
          <w:spacing w:val="-43"/>
        </w:rPr>
      </w:r>
      <w:r>
        <w:rPr>
          <w:spacing w:val="-2"/>
        </w:rPr>
        <w:t>应享有原有子公司自购买日开始持续计算的净资产的份额之间的差额，计入丧失控制权当期的投资收益，</w:t>
      </w:r>
      <w:r>
        <w:rPr>
          <w:spacing w:val="-21"/>
        </w:rPr>
        <w:t> </w:t>
      </w:r>
      <w:r>
        <w:rPr>
          <w:spacing w:val="-21"/>
        </w:rPr>
      </w:r>
      <w:r>
        <w:rPr/>
        <w:t>同时冲减商誉。与原有子公司股权投资相关的其他综合收益等，在丧失控制权时转为当期投资收益。</w:t>
      </w:r>
    </w:p>
    <w:p>
      <w:pPr>
        <w:pStyle w:val="BodyText"/>
        <w:spacing w:line="314" w:lineRule="auto" w:before="17"/>
        <w:ind w:right="146" w:firstLine="420"/>
        <w:jc w:val="both"/>
      </w:pPr>
      <w:r>
        <w:rPr>
          <w:spacing w:val="-2"/>
        </w:rPr>
        <w:t>处置对子公司股权投资直至丧失控制权的各项交易属于一揽子交易的，将各项交易作为一项处置子公</w:t>
      </w:r>
      <w:r>
        <w:rPr>
          <w:w w:val="100"/>
        </w:rPr>
        <w:t> </w:t>
      </w:r>
      <w:r>
        <w:rPr/>
        <w:t>司股权投资并丧失控制权的交易进行会计处理，区分个别财务报表和合并财务报表进行相关会计处理：</w:t>
      </w:r>
    </w:p>
    <w:p>
      <w:pPr>
        <w:pStyle w:val="BodyText"/>
        <w:spacing w:line="314" w:lineRule="auto" w:before="17"/>
        <w:ind w:right="154" w:firstLine="420"/>
        <w:jc w:val="both"/>
      </w:pPr>
      <w:r>
        <w:rPr/>
        <w:t>（</w:t>
      </w:r>
      <w:r>
        <w:rPr>
          <w:rFonts w:ascii="宋体" w:hAnsi="宋体" w:cs="宋体" w:eastAsia="宋体" w:hint="default"/>
        </w:rPr>
        <w:t>1</w:t>
      </w:r>
      <w:r>
        <w:rPr/>
        <w:t>）在个别财务报表中，在丧失控制权之前每一次处置价款与处置的股权对应的长期股权投资账面</w:t>
      </w:r>
      <w:r>
        <w:rPr>
          <w:w w:val="100"/>
        </w:rPr>
        <w:t> </w:t>
      </w:r>
      <w:r>
        <w:rPr/>
        <w:t>价值之间的差额，确认为其他综合收益，在丧失控制权时一并转入丧失控制权当期的损益。</w:t>
      </w:r>
    </w:p>
    <w:p>
      <w:pPr>
        <w:pStyle w:val="BodyText"/>
        <w:spacing w:line="314" w:lineRule="auto" w:before="17"/>
        <w:ind w:right="154" w:firstLine="420"/>
        <w:jc w:val="both"/>
      </w:pPr>
      <w:r>
        <w:rPr/>
        <w:t>（</w:t>
      </w:r>
      <w:r>
        <w:rPr>
          <w:rFonts w:ascii="宋体" w:hAnsi="宋体" w:cs="宋体" w:eastAsia="宋体" w:hint="default"/>
        </w:rPr>
        <w:t>2</w:t>
      </w:r>
      <w:r>
        <w:rPr/>
        <w:t>）在合并财务报表中，在丧失控制权之前每一次处置价款与处置投资对应的享有该子公司净资产</w:t>
      </w:r>
      <w:r>
        <w:rPr>
          <w:w w:val="100"/>
        </w:rPr>
        <w:t> </w:t>
      </w:r>
      <w:r>
        <w:rPr/>
        <w:t>份额的差额，确认为其他综合收益，在丧失控制权时一并转入丧失控制权当期的损益。</w:t>
      </w:r>
    </w:p>
    <w:p>
      <w:pPr>
        <w:spacing w:line="314" w:lineRule="auto" w:before="17"/>
        <w:ind w:left="572" w:right="0" w:firstLine="0"/>
        <w:jc w:val="left"/>
        <w:rPr>
          <w:rFonts w:ascii="宋体" w:hAnsi="宋体" w:cs="宋体" w:eastAsia="宋体" w:hint="default"/>
          <w:sz w:val="21"/>
          <w:szCs w:val="21"/>
        </w:rPr>
      </w:pPr>
      <w:r>
        <w:rPr>
          <w:rFonts w:ascii="宋体" w:hAnsi="宋体" w:cs="宋体" w:eastAsia="宋体" w:hint="default"/>
          <w:b/>
          <w:bCs/>
          <w:sz w:val="21"/>
          <w:szCs w:val="21"/>
        </w:rPr>
        <w:t>五、共同控制、重大影响的判断标准</w:t>
      </w:r>
      <w:r>
        <w:rPr>
          <w:rFonts w:ascii="宋体" w:hAnsi="宋体" w:cs="宋体" w:eastAsia="宋体" w:hint="default"/>
          <w:b/>
          <w:bCs/>
          <w:w w:val="100"/>
          <w:sz w:val="21"/>
          <w:szCs w:val="21"/>
        </w:rPr>
        <w:t> </w:t>
      </w:r>
      <w:r>
        <w:rPr>
          <w:rFonts w:ascii="宋体" w:hAnsi="宋体" w:cs="宋体" w:eastAsia="宋体" w:hint="default"/>
          <w:spacing w:val="-2"/>
          <w:sz w:val="21"/>
          <w:szCs w:val="21"/>
        </w:rPr>
        <w:t>如果本公司按照相关约定与其他参与方集体控制某项安排，并且对该安排回报具有重大影响的活动决</w:t>
      </w:r>
    </w:p>
    <w:p>
      <w:pPr>
        <w:pStyle w:val="BodyText"/>
        <w:spacing w:line="314" w:lineRule="auto" w:before="17"/>
        <w:ind w:right="0"/>
        <w:jc w:val="left"/>
      </w:pPr>
      <w:r>
        <w:rPr>
          <w:spacing w:val="-2"/>
        </w:rPr>
        <w:t>策，需要经过分享控制权的参与方一致同意时才存在，则视为本公司与其他参与方共同控制某项安排，该</w:t>
      </w:r>
      <w:r>
        <w:rPr>
          <w:spacing w:val="-42"/>
        </w:rPr>
        <w:t> </w:t>
      </w:r>
      <w:r>
        <w:rPr>
          <w:spacing w:val="-42"/>
        </w:rPr>
      </w:r>
      <w:r>
        <w:rPr/>
        <w:t>安排即属于合营安排。</w:t>
      </w:r>
    </w:p>
    <w:p>
      <w:pPr>
        <w:pStyle w:val="BodyText"/>
        <w:spacing w:line="314" w:lineRule="auto" w:before="17"/>
        <w:ind w:right="147" w:firstLine="420"/>
        <w:jc w:val="both"/>
      </w:pPr>
      <w:r>
        <w:rPr>
          <w:spacing w:val="-2"/>
        </w:rPr>
        <w:t>合营安排通过单独主体达成的，根据相关约定判断本公司对该单独主体的净资产享有权利时，将该单</w:t>
      </w:r>
      <w:r>
        <w:rPr>
          <w:w w:val="100"/>
        </w:rPr>
        <w:t> </w:t>
      </w:r>
      <w:r>
        <w:rPr>
          <w:spacing w:val="-2"/>
        </w:rPr>
        <w:t>独主体作为合营企业，采用权益法核算。若根据相关约定判断本公司并非对该单独主体的净资产享有权利</w:t>
      </w:r>
      <w:r>
        <w:rPr>
          <w:spacing w:val="-43"/>
        </w:rPr>
        <w:t> </w:t>
      </w:r>
      <w:r>
        <w:rPr>
          <w:spacing w:val="-43"/>
        </w:rPr>
      </w:r>
      <w:r>
        <w:rPr>
          <w:spacing w:val="-2"/>
        </w:rPr>
        <w:t>时，该单独主体作为共同经营，本公司确认与共同经营利益份额相关的项目，并按照相关企业会计准则的</w:t>
      </w:r>
      <w:r>
        <w:rPr>
          <w:spacing w:val="-44"/>
        </w:rPr>
        <w:t> </w:t>
      </w:r>
      <w:r>
        <w:rPr>
          <w:spacing w:val="-44"/>
        </w:rPr>
      </w:r>
      <w:r>
        <w:rPr/>
        <w:t>规定进行会计处理。</w:t>
      </w:r>
    </w:p>
    <w:p>
      <w:pPr>
        <w:pStyle w:val="BodyText"/>
        <w:spacing w:line="314" w:lineRule="auto" w:before="17"/>
        <w:ind w:right="147" w:firstLine="420"/>
        <w:jc w:val="both"/>
      </w:pPr>
      <w:r>
        <w:rPr>
          <w:spacing w:val="-2"/>
        </w:rPr>
        <w:t>重大影响，是指投资方对被投资单位的财务和经营政策有参与决策的权力，但并不能够控制或者与其</w:t>
      </w:r>
      <w:r>
        <w:rPr>
          <w:w w:val="100"/>
        </w:rPr>
        <w:t> </w:t>
      </w:r>
      <w:r>
        <w:rPr>
          <w:spacing w:val="-2"/>
        </w:rPr>
        <w:t>他方一起共同控制这些政策的制定。本公司通过以下一种或多种情形，并综合考虑所有事实和情况后，判</w:t>
      </w:r>
      <w:r>
        <w:rPr>
          <w:spacing w:val="-43"/>
        </w:rPr>
        <w:t> </w:t>
      </w:r>
      <w:r>
        <w:rPr>
          <w:spacing w:val="-43"/>
        </w:rPr>
      </w:r>
      <w:r>
        <w:rPr>
          <w:spacing w:val="-2"/>
        </w:rPr>
        <w:t>断对被投资单位具有重大影响。（</w:t>
      </w:r>
      <w:r>
        <w:rPr>
          <w:rFonts w:ascii="宋体" w:hAnsi="宋体" w:cs="宋体" w:eastAsia="宋体" w:hint="default"/>
          <w:spacing w:val="-2"/>
        </w:rPr>
        <w:t>1</w:t>
      </w:r>
      <w:r>
        <w:rPr>
          <w:spacing w:val="-2"/>
        </w:rPr>
        <w:t>）在被投资单位的董事会或类似权力机构中派有代表；（</w:t>
      </w:r>
      <w:r>
        <w:rPr>
          <w:rFonts w:ascii="宋体" w:hAnsi="宋体" w:cs="宋体" w:eastAsia="宋体" w:hint="default"/>
          <w:spacing w:val="-2"/>
        </w:rPr>
        <w:t>2</w:t>
      </w:r>
      <w:r>
        <w:rPr>
          <w:spacing w:val="-2"/>
        </w:rPr>
        <w:t>）参与被投</w:t>
      </w:r>
      <w:r>
        <w:rPr>
          <w:spacing w:val="-49"/>
        </w:rPr>
        <w:t> </w:t>
      </w:r>
      <w:r>
        <w:rPr>
          <w:spacing w:val="-49"/>
        </w:rPr>
      </w:r>
      <w:r>
        <w:rPr>
          <w:spacing w:val="-2"/>
        </w:rPr>
        <w:t>资单位财务和经营政策制定过程；（</w:t>
      </w:r>
      <w:r>
        <w:rPr>
          <w:rFonts w:ascii="宋体" w:hAnsi="宋体" w:cs="宋体" w:eastAsia="宋体" w:hint="default"/>
          <w:spacing w:val="-2"/>
        </w:rPr>
        <w:t>3</w:t>
      </w:r>
      <w:r>
        <w:rPr>
          <w:spacing w:val="-2"/>
        </w:rPr>
        <w:t>）与被投资单位之间发生重要交易；（</w:t>
      </w:r>
      <w:r>
        <w:rPr>
          <w:rFonts w:ascii="宋体" w:hAnsi="宋体" w:cs="宋体" w:eastAsia="宋体" w:hint="default"/>
          <w:spacing w:val="-2"/>
        </w:rPr>
        <w:t>4</w:t>
      </w:r>
      <w:r>
        <w:rPr>
          <w:spacing w:val="-2"/>
        </w:rPr>
        <w:t>）向被投资单位派出管理人</w:t>
      </w:r>
      <w:r>
        <w:rPr>
          <w:spacing w:val="-49"/>
        </w:rPr>
        <w:t> </w:t>
      </w:r>
      <w:r>
        <w:rPr>
          <w:spacing w:val="-49"/>
        </w:rPr>
      </w:r>
      <w:r>
        <w:rPr/>
        <w:t>员；（</w:t>
      </w:r>
      <w:r>
        <w:rPr>
          <w:rFonts w:ascii="宋体" w:hAnsi="宋体" w:cs="宋体" w:eastAsia="宋体" w:hint="default"/>
        </w:rPr>
        <w:t>5</w:t>
      </w:r>
      <w:r>
        <w:rPr/>
        <w:t>）向被投资单位提供关键技术资料。</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pStyle w:val="Heading5"/>
        <w:spacing w:line="240" w:lineRule="auto"/>
        <w:ind w:right="0"/>
        <w:jc w:val="both"/>
        <w:rPr>
          <w:b w:val="0"/>
          <w:bCs w:val="0"/>
        </w:rPr>
      </w:pPr>
      <w:bookmarkStart w:name="13、投资性房地产" w:id="142"/>
      <w:bookmarkEnd w:id="142"/>
      <w:r>
        <w:rPr>
          <w:b w:val="0"/>
          <w:bCs w:val="0"/>
        </w:rPr>
      </w:r>
      <w:r>
        <w:rPr>
          <w:rFonts w:ascii="Times New Roman" w:hAnsi="Times New Roman" w:cs="Times New Roman" w:eastAsia="Times New Roman" w:hint="default"/>
        </w:rPr>
        <w:t>13</w:t>
      </w:r>
      <w:r>
        <w:rPr/>
        <w:t>、投资性房地产</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7572"/>
        <w:jc w:val="left"/>
      </w:pPr>
      <w:r>
        <w:rPr>
          <w:spacing w:val="-2"/>
        </w:rPr>
        <w:t>投资性房地产计量模式</w:t>
      </w:r>
      <w:r>
        <w:rPr>
          <w:spacing w:val="-85"/>
        </w:rPr>
        <w:t> </w:t>
      </w:r>
      <w:r>
        <w:rPr>
          <w:spacing w:val="-85"/>
        </w:rPr>
      </w:r>
      <w:r>
        <w:rPr/>
        <w:t>不适用</w:t>
      </w:r>
    </w:p>
    <w:p>
      <w:pPr>
        <w:spacing w:line="240" w:lineRule="auto" w:before="7"/>
        <w:rPr>
          <w:rFonts w:ascii="宋体" w:hAnsi="宋体" w:cs="宋体" w:eastAsia="宋体" w:hint="default"/>
          <w:sz w:val="23"/>
          <w:szCs w:val="23"/>
        </w:rPr>
      </w:pPr>
    </w:p>
    <w:p>
      <w:pPr>
        <w:pStyle w:val="Heading5"/>
        <w:spacing w:line="240" w:lineRule="auto"/>
        <w:ind w:right="0"/>
        <w:jc w:val="both"/>
        <w:rPr>
          <w:b w:val="0"/>
          <w:bCs w:val="0"/>
        </w:rPr>
      </w:pPr>
      <w:bookmarkStart w:name="14、固定资产" w:id="143"/>
      <w:bookmarkEnd w:id="143"/>
      <w:r>
        <w:rPr>
          <w:b w:val="0"/>
          <w:bCs w:val="0"/>
        </w:rPr>
      </w:r>
      <w:r>
        <w:rPr>
          <w:rFonts w:ascii="Times New Roman" w:hAnsi="Times New Roman" w:cs="Times New Roman" w:eastAsia="Times New Roman" w:hint="default"/>
        </w:rPr>
        <w:t>14</w:t>
      </w:r>
      <w:r>
        <w:rPr/>
        <w:t>、固定资产</w:t>
      </w:r>
      <w:r>
        <w:rPr>
          <w:b w:val="0"/>
          <w:bCs w:val="0"/>
        </w:rPr>
      </w:r>
    </w:p>
    <w:p>
      <w:pPr>
        <w:spacing w:line="240" w:lineRule="auto" w:before="0"/>
        <w:rPr>
          <w:rFonts w:ascii="宋体" w:hAnsi="宋体" w:cs="宋体" w:eastAsia="宋体" w:hint="default"/>
          <w:b/>
          <w:bCs/>
          <w:sz w:val="22"/>
          <w:szCs w:val="22"/>
        </w:rPr>
      </w:pPr>
    </w:p>
    <w:p>
      <w:pPr>
        <w:spacing w:line="240" w:lineRule="auto" w:before="9"/>
        <w:rPr>
          <w:rFonts w:ascii="宋体" w:hAnsi="宋体" w:cs="宋体" w:eastAsia="宋体" w:hint="default"/>
          <w:b/>
          <w:bCs/>
          <w:sz w:val="25"/>
          <w:szCs w:val="25"/>
        </w:rPr>
      </w:pPr>
    </w:p>
    <w:p>
      <w:pPr>
        <w:pStyle w:val="Heading5"/>
        <w:spacing w:line="240" w:lineRule="auto"/>
        <w:ind w:right="0"/>
        <w:jc w:val="both"/>
        <w:rPr>
          <w:b w:val="0"/>
          <w:bCs w:val="0"/>
        </w:rPr>
      </w:pPr>
      <w:bookmarkStart w:name="（1）确认条件" w:id="144"/>
      <w:bookmarkEnd w:id="144"/>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pStyle w:val="BodyText"/>
        <w:spacing w:line="312" w:lineRule="auto"/>
        <w:ind w:right="146" w:firstLine="420"/>
        <w:jc w:val="both"/>
      </w:pPr>
      <w:r>
        <w:rPr>
          <w:spacing w:val="-2"/>
        </w:rPr>
        <w:t>固定资产指为生产商品、提供劳务、出租或经营管理而持有，并且使用寿命超过一个会计年度的有形</w:t>
      </w:r>
      <w:r>
        <w:rPr>
          <w:w w:val="100"/>
        </w:rPr>
        <w:t> </w:t>
      </w:r>
      <w:r>
        <w:rPr/>
        <w:t>资产。固定资产在同时满足下列条件时予以确认：（</w:t>
      </w:r>
      <w:r>
        <w:rPr>
          <w:rFonts w:ascii="宋体" w:hAnsi="宋体" w:cs="宋体" w:eastAsia="宋体" w:hint="default"/>
        </w:rPr>
        <w:t>1</w:t>
      </w:r>
      <w:r>
        <w:rPr/>
        <w:t>）与该固定资产有关的经济利益很可能流入企业；</w:t>
      </w:r>
    </w:p>
    <w:p>
      <w:pPr>
        <w:pStyle w:val="BodyText"/>
        <w:spacing w:line="240" w:lineRule="auto" w:before="22"/>
        <w:ind w:right="0"/>
        <w:jc w:val="both"/>
      </w:pPr>
      <w:r>
        <w:rPr/>
        <w:t>（</w:t>
      </w:r>
      <w:r>
        <w:rPr>
          <w:rFonts w:ascii="宋体" w:hAnsi="宋体" w:cs="宋体" w:eastAsia="宋体" w:hint="default"/>
        </w:rPr>
        <w:t>2</w:t>
      </w:r>
      <w:r>
        <w:rPr/>
        <w:t>）该固定资产的成本能够可靠地计量。</w:t>
      </w:r>
    </w:p>
    <w:p>
      <w:pPr>
        <w:spacing w:after="0" w:line="240" w:lineRule="auto"/>
        <w:jc w:val="both"/>
        <w:sectPr>
          <w:pgSz w:w="11910" w:h="16840"/>
          <w:pgMar w:header="880" w:footer="979" w:top="1060" w:bottom="1160" w:left="980" w:right="980"/>
        </w:sectPr>
      </w:pPr>
    </w:p>
    <w:p>
      <w:pPr>
        <w:spacing w:line="240" w:lineRule="auto" w:before="8"/>
        <w:rPr>
          <w:rFonts w:ascii="宋体" w:hAnsi="宋体" w:cs="宋体" w:eastAsia="宋体" w:hint="default"/>
          <w:sz w:val="24"/>
          <w:szCs w:val="24"/>
        </w:rPr>
      </w:pPr>
    </w:p>
    <w:p>
      <w:pPr>
        <w:pStyle w:val="Heading5"/>
        <w:spacing w:line="240" w:lineRule="auto" w:before="36"/>
        <w:ind w:right="106"/>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5"/>
        <w:gridCol w:w="1913"/>
        <w:gridCol w:w="1915"/>
        <w:gridCol w:w="1913"/>
        <w:gridCol w:w="1915"/>
      </w:tblGrid>
      <w:tr>
        <w:trPr>
          <w:trHeight w:val="281"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right="0"/>
              <w:jc w:val="center"/>
              <w:rPr>
                <w:rFonts w:ascii="宋体" w:hAnsi="宋体" w:cs="宋体" w:eastAsia="宋体" w:hint="default"/>
                <w:sz w:val="21"/>
                <w:szCs w:val="21"/>
              </w:rPr>
            </w:pPr>
            <w:bookmarkStart w:name="（2）折旧方法" w:id="145"/>
            <w:bookmarkEnd w:id="145"/>
            <w:r>
              <w:rPr/>
            </w:r>
            <w:r>
              <w:rPr>
                <w:rFonts w:ascii="宋体" w:hAnsi="宋体" w:cs="宋体" w:eastAsia="宋体" w:hint="default"/>
                <w:sz w:val="21"/>
                <w:szCs w:val="21"/>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532" w:right="0"/>
              <w:jc w:val="left"/>
              <w:rPr>
                <w:rFonts w:ascii="宋体" w:hAnsi="宋体" w:cs="宋体" w:eastAsia="宋体" w:hint="default"/>
                <w:sz w:val="21"/>
                <w:szCs w:val="21"/>
              </w:rPr>
            </w:pPr>
            <w:r>
              <w:rPr>
                <w:rFonts w:ascii="宋体" w:hAnsi="宋体" w:cs="宋体" w:eastAsia="宋体" w:hint="default"/>
                <w:sz w:val="21"/>
                <w:szCs w:val="21"/>
              </w:rPr>
              <w:t>折旧方法</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532" w:right="0"/>
              <w:jc w:val="left"/>
              <w:rPr>
                <w:rFonts w:ascii="宋体" w:hAnsi="宋体" w:cs="宋体" w:eastAsia="宋体" w:hint="default"/>
                <w:sz w:val="21"/>
                <w:szCs w:val="21"/>
              </w:rPr>
            </w:pPr>
            <w:r>
              <w:rPr>
                <w:rFonts w:ascii="宋体" w:hAnsi="宋体" w:cs="宋体" w:eastAsia="宋体" w:hint="default"/>
                <w:sz w:val="21"/>
                <w:szCs w:val="21"/>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635" w:right="0"/>
              <w:jc w:val="left"/>
              <w:rPr>
                <w:rFonts w:ascii="宋体" w:hAnsi="宋体" w:cs="宋体" w:eastAsia="宋体" w:hint="default"/>
                <w:sz w:val="21"/>
                <w:szCs w:val="21"/>
              </w:rPr>
            </w:pPr>
            <w:r>
              <w:rPr>
                <w:rFonts w:ascii="宋体" w:hAnsi="宋体" w:cs="宋体" w:eastAsia="宋体" w:hint="default"/>
                <w:sz w:val="21"/>
                <w:szCs w:val="21"/>
              </w:rPr>
              <w:t>残值率</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532" w:right="0"/>
              <w:jc w:val="left"/>
              <w:rPr>
                <w:rFonts w:ascii="宋体" w:hAnsi="宋体" w:cs="宋体" w:eastAsia="宋体" w:hint="default"/>
                <w:sz w:val="21"/>
                <w:szCs w:val="21"/>
              </w:rPr>
            </w:pPr>
            <w:r>
              <w:rPr>
                <w:rFonts w:ascii="宋体" w:hAnsi="宋体" w:cs="宋体" w:eastAsia="宋体" w:hint="default"/>
                <w:sz w:val="21"/>
                <w:szCs w:val="21"/>
              </w:rPr>
              <w:t>年折旧率</w:t>
            </w:r>
          </w:p>
        </w:tc>
      </w:tr>
      <w:tr>
        <w:trPr>
          <w:trHeight w:val="28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21"/>
                <w:szCs w:val="21"/>
              </w:rPr>
            </w:pPr>
            <w:r>
              <w:rPr>
                <w:rFonts w:ascii="Times New Roman"/>
                <w:sz w:val="21"/>
              </w:rPr>
              <w:t>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6"/>
              <w:jc w:val="right"/>
              <w:rPr>
                <w:rFonts w:ascii="Times New Roman" w:hAnsi="Times New Roman" w:cs="Times New Roman" w:eastAsia="Times New Roman" w:hint="default"/>
                <w:sz w:val="21"/>
                <w:szCs w:val="21"/>
              </w:rPr>
            </w:pPr>
            <w:r>
              <w:rPr>
                <w:rFonts w:ascii="Times New Roman"/>
                <w:sz w:val="21"/>
              </w:rPr>
              <w:t>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21"/>
                <w:szCs w:val="21"/>
              </w:rPr>
            </w:pPr>
            <w:r>
              <w:rPr>
                <w:rFonts w:ascii="Times New Roman"/>
                <w:sz w:val="21"/>
              </w:rPr>
              <w:t>3.167</w:t>
            </w:r>
          </w:p>
        </w:tc>
      </w:tr>
      <w:tr>
        <w:trPr>
          <w:trHeight w:val="28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21"/>
                <w:szCs w:val="21"/>
              </w:rPr>
            </w:pPr>
            <w:r>
              <w:rPr>
                <w:rFonts w:ascii="Times New Roman"/>
                <w:w w:val="100"/>
                <w:sz w:val="21"/>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6"/>
              <w:jc w:val="right"/>
              <w:rPr>
                <w:rFonts w:ascii="Times New Roman" w:hAnsi="Times New Roman" w:cs="Times New Roman" w:eastAsia="Times New Roman" w:hint="default"/>
                <w:sz w:val="21"/>
                <w:szCs w:val="21"/>
              </w:rPr>
            </w:pPr>
            <w:r>
              <w:rPr>
                <w:rFonts w:ascii="Times New Roman"/>
                <w:sz w:val="21"/>
              </w:rPr>
              <w:t>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21"/>
                <w:szCs w:val="21"/>
              </w:rPr>
            </w:pPr>
            <w:r>
              <w:rPr>
                <w:rFonts w:ascii="Times New Roman"/>
                <w:sz w:val="21"/>
              </w:rPr>
              <w:t>19</w:t>
            </w:r>
          </w:p>
        </w:tc>
      </w:tr>
      <w:tr>
        <w:trPr>
          <w:trHeight w:val="28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21"/>
                <w:szCs w:val="21"/>
              </w:rPr>
            </w:pPr>
            <w:r>
              <w:rPr>
                <w:rFonts w:ascii="Times New Roman"/>
                <w:w w:val="100"/>
                <w:sz w:val="21"/>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6"/>
              <w:jc w:val="right"/>
              <w:rPr>
                <w:rFonts w:ascii="Times New Roman" w:hAnsi="Times New Roman" w:cs="Times New Roman" w:eastAsia="Times New Roman" w:hint="default"/>
                <w:sz w:val="21"/>
                <w:szCs w:val="21"/>
              </w:rPr>
            </w:pPr>
            <w:r>
              <w:rPr>
                <w:rFonts w:ascii="Times New Roman"/>
                <w:sz w:val="21"/>
              </w:rPr>
              <w:t>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21"/>
                <w:szCs w:val="21"/>
              </w:rPr>
            </w:pPr>
            <w:r>
              <w:rPr>
                <w:rFonts w:ascii="Times New Roman"/>
                <w:sz w:val="21"/>
              </w:rPr>
              <w:t>19</w:t>
            </w:r>
          </w:p>
        </w:tc>
      </w:tr>
      <w:tr>
        <w:trPr>
          <w:trHeight w:val="28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21"/>
                <w:szCs w:val="21"/>
              </w:rPr>
            </w:pPr>
            <w:r>
              <w:rPr>
                <w:rFonts w:ascii="Times New Roman"/>
                <w:w w:val="100"/>
                <w:sz w:val="21"/>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6"/>
              <w:jc w:val="right"/>
              <w:rPr>
                <w:rFonts w:ascii="Times New Roman" w:hAnsi="Times New Roman" w:cs="Times New Roman" w:eastAsia="Times New Roman" w:hint="default"/>
                <w:sz w:val="21"/>
                <w:szCs w:val="21"/>
              </w:rPr>
            </w:pPr>
            <w:r>
              <w:rPr>
                <w:rFonts w:ascii="Times New Roman"/>
                <w:sz w:val="21"/>
              </w:rPr>
              <w:t>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21"/>
                <w:szCs w:val="21"/>
              </w:rPr>
            </w:pPr>
            <w:r>
              <w:rPr>
                <w:rFonts w:ascii="Times New Roman"/>
                <w:sz w:val="21"/>
              </w:rPr>
              <w:t>19</w:t>
            </w:r>
          </w:p>
        </w:tc>
      </w:tr>
    </w:tbl>
    <w:p>
      <w:pPr>
        <w:spacing w:line="240" w:lineRule="auto" w:before="3"/>
        <w:rPr>
          <w:rFonts w:ascii="宋体" w:hAnsi="宋体" w:cs="宋体" w:eastAsia="宋体" w:hint="default"/>
          <w:b/>
          <w:bCs/>
          <w:sz w:val="19"/>
          <w:szCs w:val="19"/>
        </w:rPr>
      </w:pPr>
    </w:p>
    <w:p>
      <w:pPr>
        <w:pStyle w:val="Heading5"/>
        <w:spacing w:line="240" w:lineRule="auto" w:before="36"/>
        <w:ind w:right="0"/>
        <w:jc w:val="both"/>
        <w:rPr>
          <w:b w:val="0"/>
          <w:bCs w:val="0"/>
        </w:rPr>
      </w:pPr>
      <w:bookmarkStart w:name="（3）融资租入固定资产的认定依据、计价和折旧方法" w:id="146"/>
      <w:bookmarkEnd w:id="146"/>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6"/>
          <w:szCs w:val="26"/>
        </w:rPr>
      </w:pPr>
    </w:p>
    <w:p>
      <w:pPr>
        <w:pStyle w:val="BodyText"/>
        <w:spacing w:line="314" w:lineRule="auto"/>
        <w:ind w:right="106" w:firstLine="420"/>
        <w:jc w:val="left"/>
      </w:pPr>
      <w:r>
        <w:rPr/>
        <w:t>当本公司租入的固定资产符合下列一项或数项标准时，确认为融资租入固定资产：（</w:t>
      </w:r>
      <w:r>
        <w:rPr>
          <w:rFonts w:ascii="宋体" w:hAnsi="宋体" w:cs="宋体" w:eastAsia="宋体" w:hint="default"/>
        </w:rPr>
        <w:t>1</w:t>
      </w:r>
      <w:r>
        <w:rPr/>
        <w:t>）在租赁期届</w:t>
      </w:r>
      <w:r>
        <w:rPr>
          <w:w w:val="100"/>
        </w:rPr>
        <w:t> </w:t>
      </w:r>
      <w:r>
        <w:rPr/>
        <w:t>满时，租赁资产的所有权转移给本公司。（</w:t>
      </w:r>
      <w:r>
        <w:rPr>
          <w:rFonts w:ascii="宋体" w:hAnsi="宋体" w:cs="宋体" w:eastAsia="宋体" w:hint="default"/>
        </w:rPr>
        <w:t>2</w:t>
      </w:r>
      <w:r>
        <w:rPr/>
        <w:t>）本公司有购买租赁资产的选择权，所订立的购买价款预计</w:t>
      </w:r>
      <w:r>
        <w:rPr>
          <w:spacing w:val="-25"/>
        </w:rPr>
        <w:t> </w:t>
      </w:r>
      <w:r>
        <w:rPr>
          <w:spacing w:val="-25"/>
        </w:rPr>
      </w:r>
      <w:r>
        <w:rPr>
          <w:spacing w:val="-2"/>
        </w:rPr>
        <w:t>将远低于行使选择权时租赁资产的公允价值，因而在租赁开始日就可以合理确定本公司将会行使这种选择</w:t>
      </w:r>
      <w:r>
        <w:rPr>
          <w:spacing w:val="-43"/>
        </w:rPr>
        <w:t> </w:t>
      </w:r>
      <w:r>
        <w:rPr>
          <w:spacing w:val="-43"/>
        </w:rPr>
      </w:r>
      <w:r>
        <w:rPr>
          <w:spacing w:val="-2"/>
        </w:rPr>
        <w:t>权。（</w:t>
      </w:r>
      <w:r>
        <w:rPr>
          <w:rFonts w:ascii="宋体" w:hAnsi="宋体" w:cs="宋体" w:eastAsia="宋体" w:hint="default"/>
          <w:spacing w:val="-2"/>
        </w:rPr>
        <w:t>3</w:t>
      </w:r>
      <w:r>
        <w:rPr>
          <w:spacing w:val="-2"/>
        </w:rPr>
        <w:t>）即使资产的所有权不转移，但租赁期占租赁资产使用寿命的大部分。（</w:t>
      </w:r>
      <w:r>
        <w:rPr>
          <w:rFonts w:ascii="宋体" w:hAnsi="宋体" w:cs="宋体" w:eastAsia="宋体" w:hint="default"/>
          <w:spacing w:val="-2"/>
        </w:rPr>
        <w:t>4</w:t>
      </w:r>
      <w:r>
        <w:rPr>
          <w:spacing w:val="-2"/>
        </w:rPr>
        <w:t>）本公司在租赁开始日</w:t>
      </w:r>
      <w:r>
        <w:rPr>
          <w:spacing w:val="-47"/>
        </w:rPr>
        <w:t> </w:t>
      </w:r>
      <w:r>
        <w:rPr>
          <w:spacing w:val="-47"/>
        </w:rPr>
      </w:r>
      <w:r>
        <w:rPr/>
        <w:t>的最低租赁付款额现值，几乎相当于租赁开始日租赁资产公允价值。（</w:t>
      </w:r>
      <w:r>
        <w:rPr>
          <w:rFonts w:ascii="宋体" w:hAnsi="宋体" w:cs="宋体" w:eastAsia="宋体" w:hint="default"/>
        </w:rPr>
        <w:t>5</w:t>
      </w:r>
      <w:r>
        <w:rPr/>
        <w:t>）租赁资产性质特殊，如果不作</w:t>
      </w:r>
      <w:r>
        <w:rPr>
          <w:spacing w:val="-25"/>
        </w:rPr>
        <w:t> </w:t>
      </w:r>
      <w:r>
        <w:rPr>
          <w:spacing w:val="-25"/>
        </w:rPr>
      </w:r>
      <w:r>
        <w:rPr>
          <w:spacing w:val="-2"/>
        </w:rPr>
        <w:t>较大改造，只有本公司才能使用。融资租赁租入的固定资产，按租赁开始日租赁资产公允价值与最低租赁</w:t>
      </w:r>
      <w:r>
        <w:rPr>
          <w:spacing w:val="-44"/>
        </w:rPr>
        <w:t> </w:t>
      </w:r>
      <w:r>
        <w:rPr>
          <w:spacing w:val="-44"/>
        </w:rPr>
      </w:r>
      <w:r>
        <w:rPr>
          <w:spacing w:val="-2"/>
        </w:rPr>
        <w:t>付款额的现值两者中较低者，作为入账价值。最低租赁付款额作为长期应付款的入账价值，其差额作为未</w:t>
      </w:r>
      <w:r>
        <w:rPr>
          <w:spacing w:val="-45"/>
        </w:rPr>
        <w:t> </w:t>
      </w:r>
      <w:r>
        <w:rPr>
          <w:spacing w:val="-45"/>
        </w:rPr>
      </w:r>
      <w:r>
        <w:rPr>
          <w:spacing w:val="-5"/>
        </w:rPr>
        <w:t>确认融资费用。在租赁谈判和签订租赁合同过程中发生的，可归属于租赁项目的手续费、律师费、差旅费、</w:t>
      </w:r>
      <w:r>
        <w:rPr>
          <w:spacing w:val="-8"/>
        </w:rPr>
        <w:t> </w:t>
      </w:r>
      <w:r>
        <w:rPr>
          <w:spacing w:val="-8"/>
        </w:rPr>
      </w:r>
      <w:r>
        <w:rPr>
          <w:spacing w:val="-2"/>
        </w:rPr>
        <w:t>印花税等初始直接费用，计入租入资产价值。未确认融资费用在租赁期内各个期间采用实际利率法进行分</w:t>
      </w:r>
      <w:r>
        <w:rPr>
          <w:spacing w:val="-42"/>
        </w:rPr>
        <w:t> </w:t>
      </w:r>
      <w:r>
        <w:rPr>
          <w:spacing w:val="-42"/>
        </w:rPr>
      </w:r>
      <w:r>
        <w:rPr>
          <w:spacing w:val="-2"/>
        </w:rPr>
        <w:t>摊。本公司采用与自有固定资产相一致的折旧政策计提融资租入固定资产折旧。能够合理确定租赁期届满</w:t>
      </w:r>
      <w:r>
        <w:rPr>
          <w:spacing w:val="-44"/>
        </w:rPr>
        <w:t> </w:t>
      </w:r>
      <w:r>
        <w:rPr>
          <w:spacing w:val="-44"/>
        </w:rPr>
      </w:r>
      <w:r>
        <w:rPr>
          <w:spacing w:val="-2"/>
        </w:rPr>
        <w:t>时取得租赁资产所有权的，在租赁资产使用寿命内计提折旧。无法合理确定租赁期届满时能够取得租赁资</w:t>
      </w:r>
      <w:r>
        <w:rPr>
          <w:spacing w:val="-43"/>
        </w:rPr>
        <w:t> </w:t>
      </w:r>
      <w:r>
        <w:rPr>
          <w:spacing w:val="-43"/>
        </w:rPr>
      </w:r>
      <w:r>
        <w:rPr/>
        <w:t>产所有权的，在租赁期与租赁资产使用寿命两者中较短的期间内计提折旧。</w:t>
      </w:r>
    </w:p>
    <w:p>
      <w:pPr>
        <w:spacing w:line="240" w:lineRule="auto" w:before="8"/>
        <w:rPr>
          <w:rFonts w:ascii="宋体" w:hAnsi="宋体" w:cs="宋体" w:eastAsia="宋体" w:hint="default"/>
          <w:sz w:val="22"/>
          <w:szCs w:val="22"/>
        </w:rPr>
      </w:pPr>
    </w:p>
    <w:p>
      <w:pPr>
        <w:pStyle w:val="Heading5"/>
        <w:spacing w:line="240" w:lineRule="auto"/>
        <w:ind w:right="0"/>
        <w:jc w:val="both"/>
        <w:rPr>
          <w:b w:val="0"/>
          <w:bCs w:val="0"/>
        </w:rPr>
      </w:pPr>
      <w:bookmarkStart w:name="15、在建工程" w:id="147"/>
      <w:bookmarkEnd w:id="147"/>
      <w:r>
        <w:rPr>
          <w:b w:val="0"/>
          <w:bCs w:val="0"/>
        </w:rPr>
      </w:r>
      <w:r>
        <w:rPr>
          <w:rFonts w:ascii="Times New Roman" w:hAnsi="Times New Roman" w:cs="Times New Roman" w:eastAsia="Times New Roman" w:hint="default"/>
        </w:rPr>
        <w:t>15</w:t>
      </w:r>
      <w:r>
        <w:rPr/>
        <w:t>、在建工程</w:t>
      </w:r>
      <w:r>
        <w:rPr>
          <w:b w:val="0"/>
          <w:bCs w:val="0"/>
        </w:rPr>
      </w:r>
    </w:p>
    <w:p>
      <w:pPr>
        <w:spacing w:line="240" w:lineRule="auto" w:before="5"/>
        <w:rPr>
          <w:rFonts w:ascii="宋体" w:hAnsi="宋体" w:cs="宋体" w:eastAsia="宋体" w:hint="default"/>
          <w:b/>
          <w:bCs/>
          <w:sz w:val="26"/>
          <w:szCs w:val="26"/>
        </w:rPr>
      </w:pPr>
    </w:p>
    <w:p>
      <w:pPr>
        <w:pStyle w:val="BodyText"/>
        <w:spacing w:line="314" w:lineRule="auto"/>
        <w:ind w:left="572" w:right="106"/>
        <w:jc w:val="left"/>
      </w:pPr>
      <w:r>
        <w:rPr>
          <w:rFonts w:ascii="宋体" w:hAnsi="宋体" w:cs="宋体" w:eastAsia="宋体" w:hint="default"/>
          <w:b/>
          <w:bCs/>
        </w:rPr>
        <w:t>一、在建工程的类别</w:t>
      </w:r>
      <w:r>
        <w:rPr>
          <w:rFonts w:ascii="宋体" w:hAnsi="宋体" w:cs="宋体" w:eastAsia="宋体" w:hint="default"/>
          <w:b/>
          <w:bCs/>
          <w:w w:val="100"/>
        </w:rPr>
        <w:t> </w:t>
      </w:r>
      <w:r>
        <w:rPr>
          <w:spacing w:val="-2"/>
        </w:rPr>
        <w:t>本公司自行建造的在建工程按实际成本计价，实际成本由建造该项资产达到预定可使用状态前所发生</w:t>
      </w:r>
    </w:p>
    <w:p>
      <w:pPr>
        <w:pStyle w:val="BodyText"/>
        <w:spacing w:line="314" w:lineRule="auto" w:before="17"/>
        <w:ind w:right="209"/>
        <w:jc w:val="both"/>
      </w:pPr>
      <w:r>
        <w:rPr>
          <w:spacing w:val="-2"/>
        </w:rPr>
        <w:t>的必要支出构成，包括工程用物资成本、人工成本、交纳的相关税费、应予资本化的借款费用以及应分摊</w:t>
      </w:r>
      <w:r>
        <w:rPr>
          <w:spacing w:val="-47"/>
        </w:rPr>
        <w:t> </w:t>
      </w:r>
      <w:r>
        <w:rPr>
          <w:spacing w:val="-47"/>
        </w:rPr>
      </w:r>
      <w:r>
        <w:rPr/>
        <w:t>的间接费用等。本公司的在建工程以项目分类核算。</w:t>
      </w:r>
    </w:p>
    <w:p>
      <w:pPr>
        <w:spacing w:line="314" w:lineRule="auto" w:before="17"/>
        <w:ind w:left="572" w:right="106" w:firstLine="0"/>
        <w:jc w:val="left"/>
        <w:rPr>
          <w:rFonts w:ascii="宋体" w:hAnsi="宋体" w:cs="宋体" w:eastAsia="宋体" w:hint="default"/>
          <w:sz w:val="21"/>
          <w:szCs w:val="21"/>
        </w:rPr>
      </w:pPr>
      <w:r>
        <w:rPr>
          <w:rFonts w:ascii="宋体" w:hAnsi="宋体" w:cs="宋体" w:eastAsia="宋体" w:hint="default"/>
          <w:b/>
          <w:bCs/>
          <w:sz w:val="21"/>
          <w:szCs w:val="21"/>
        </w:rPr>
        <w:t>二、在建工程结转为固定资产的标准和时点</w:t>
      </w:r>
      <w:r>
        <w:rPr>
          <w:rFonts w:ascii="宋体" w:hAnsi="宋体" w:cs="宋体" w:eastAsia="宋体" w:hint="default"/>
          <w:b/>
          <w:bCs/>
          <w:w w:val="100"/>
          <w:sz w:val="21"/>
          <w:szCs w:val="21"/>
        </w:rPr>
        <w:t> </w:t>
      </w:r>
      <w:r>
        <w:rPr>
          <w:rFonts w:ascii="宋体" w:hAnsi="宋体" w:cs="宋体" w:eastAsia="宋体" w:hint="default"/>
          <w:spacing w:val="-2"/>
          <w:sz w:val="21"/>
          <w:szCs w:val="21"/>
        </w:rPr>
        <w:t>在建工程项目按建造该项资产达到预定可使用状态前所发生的全部支出，作为固定资产的入账价值。</w:t>
      </w:r>
    </w:p>
    <w:p>
      <w:pPr>
        <w:pStyle w:val="BodyText"/>
        <w:spacing w:line="314" w:lineRule="auto" w:before="17"/>
        <w:ind w:right="206"/>
        <w:jc w:val="both"/>
      </w:pPr>
      <w:r>
        <w:rPr>
          <w:spacing w:val="-2"/>
        </w:rPr>
        <w:t>所建造的固定资产在建工程已达到预定可使用状态，但尚未办理竣工决算的，自达到预定可使用状态之日</w:t>
      </w:r>
      <w:r>
        <w:rPr>
          <w:spacing w:val="-44"/>
        </w:rPr>
        <w:t> </w:t>
      </w:r>
      <w:r>
        <w:rPr>
          <w:spacing w:val="-44"/>
        </w:rPr>
      </w:r>
      <w:r>
        <w:rPr>
          <w:spacing w:val="-2"/>
        </w:rPr>
        <w:t>起，根据工程预算、造价或者工程实际成本等，按估计的价值转入固定资产，并按本公司固定资产折旧政</w:t>
      </w:r>
      <w:r>
        <w:rPr>
          <w:spacing w:val="-49"/>
        </w:rPr>
        <w:t> </w:t>
      </w:r>
      <w:r>
        <w:rPr>
          <w:spacing w:val="-49"/>
        </w:rPr>
      </w:r>
      <w:r>
        <w:rPr>
          <w:spacing w:val="-2"/>
        </w:rPr>
        <w:t>策计提固定资产的折旧，待办理竣工决算后，再按实际成本调整原来的暂估价值，但不调整原已计提的折</w:t>
      </w:r>
      <w:r>
        <w:rPr>
          <w:spacing w:val="-43"/>
        </w:rPr>
        <w:t> </w:t>
      </w:r>
      <w:r>
        <w:rPr>
          <w:spacing w:val="-43"/>
        </w:rPr>
      </w:r>
      <w:r>
        <w:rPr/>
        <w:t>旧额。</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p>
      <w:pPr>
        <w:pStyle w:val="Heading5"/>
        <w:spacing w:line="240" w:lineRule="auto"/>
        <w:ind w:right="0"/>
        <w:jc w:val="both"/>
        <w:rPr>
          <w:b w:val="0"/>
          <w:bCs w:val="0"/>
        </w:rPr>
      </w:pPr>
      <w:bookmarkStart w:name="16、借款费用" w:id="148"/>
      <w:bookmarkEnd w:id="148"/>
      <w:r>
        <w:rPr>
          <w:b w:val="0"/>
          <w:bCs w:val="0"/>
        </w:rPr>
      </w:r>
      <w:r>
        <w:rPr>
          <w:rFonts w:ascii="Times New Roman" w:hAnsi="Times New Roman" w:cs="Times New Roman" w:eastAsia="Times New Roman" w:hint="default"/>
        </w:rPr>
        <w:t>16</w:t>
      </w:r>
      <w:r>
        <w:rPr/>
        <w:t>、借款费用</w:t>
      </w:r>
      <w:r>
        <w:rPr>
          <w:b w:val="0"/>
          <w:bCs w:val="0"/>
        </w:rPr>
      </w:r>
    </w:p>
    <w:p>
      <w:pPr>
        <w:spacing w:line="240" w:lineRule="auto" w:before="7"/>
        <w:rPr>
          <w:rFonts w:ascii="宋体" w:hAnsi="宋体" w:cs="宋体" w:eastAsia="宋体" w:hint="default"/>
          <w:b/>
          <w:bCs/>
          <w:sz w:val="26"/>
          <w:szCs w:val="26"/>
        </w:rPr>
      </w:pPr>
    </w:p>
    <w:p>
      <w:pPr>
        <w:spacing w:line="312" w:lineRule="auto" w:before="0"/>
        <w:ind w:left="572" w:right="106" w:firstLine="0"/>
        <w:jc w:val="left"/>
        <w:rPr>
          <w:rFonts w:ascii="宋体" w:hAnsi="宋体" w:cs="宋体" w:eastAsia="宋体" w:hint="default"/>
          <w:sz w:val="21"/>
          <w:szCs w:val="21"/>
        </w:rPr>
      </w:pPr>
      <w:r>
        <w:rPr>
          <w:rFonts w:ascii="宋体" w:hAnsi="宋体" w:cs="宋体" w:eastAsia="宋体" w:hint="default"/>
          <w:b/>
          <w:bCs/>
          <w:sz w:val="21"/>
          <w:szCs w:val="21"/>
        </w:rPr>
        <w:t>一、借款费用资本化的确认原则</w:t>
      </w:r>
      <w:r>
        <w:rPr>
          <w:rFonts w:ascii="宋体" w:hAnsi="宋体" w:cs="宋体" w:eastAsia="宋体" w:hint="default"/>
          <w:b/>
          <w:bCs/>
          <w:w w:val="100"/>
          <w:sz w:val="21"/>
          <w:szCs w:val="21"/>
        </w:rPr>
        <w:t> </w:t>
      </w:r>
      <w:r>
        <w:rPr>
          <w:rFonts w:ascii="宋体" w:hAnsi="宋体" w:cs="宋体" w:eastAsia="宋体" w:hint="default"/>
          <w:spacing w:val="-2"/>
          <w:sz w:val="21"/>
          <w:szCs w:val="21"/>
        </w:rPr>
        <w:t>公司发生的借款费用，可直接归属于符合资本化条件的资产的购建或者生产的，在符合资本化条件的</w:t>
      </w:r>
    </w:p>
    <w:p>
      <w:pPr>
        <w:spacing w:after="0" w:line="312" w:lineRule="auto"/>
        <w:jc w:val="left"/>
        <w:rPr>
          <w:rFonts w:ascii="宋体" w:hAnsi="宋体" w:cs="宋体" w:eastAsia="宋体" w:hint="default"/>
          <w:sz w:val="21"/>
          <w:szCs w:val="21"/>
        </w:rPr>
        <w:sectPr>
          <w:pgSz w:w="11910" w:h="16840"/>
          <w:pgMar w:header="880" w:footer="979" w:top="1060" w:bottom="1160" w:left="980" w:right="920"/>
        </w:sectPr>
      </w:pPr>
    </w:p>
    <w:p>
      <w:pPr>
        <w:spacing w:line="240" w:lineRule="auto" w:before="6"/>
        <w:rPr>
          <w:rFonts w:ascii="宋体" w:hAnsi="宋体" w:cs="宋体" w:eastAsia="宋体" w:hint="default"/>
          <w:sz w:val="26"/>
          <w:szCs w:val="26"/>
        </w:rPr>
      </w:pPr>
    </w:p>
    <w:p>
      <w:pPr>
        <w:pStyle w:val="BodyText"/>
        <w:spacing w:line="312" w:lineRule="auto" w:before="36"/>
        <w:ind w:right="0"/>
        <w:jc w:val="left"/>
      </w:pPr>
      <w:r>
        <w:rPr>
          <w:spacing w:val="-2"/>
        </w:rPr>
        <w:t>情况下开始资本化，计入相关资产成本；其他借款费用，在发生时根据其发生额确认为费用，计入当期损</w:t>
      </w:r>
      <w:r>
        <w:rPr>
          <w:spacing w:val="-50"/>
        </w:rPr>
        <w:t> </w:t>
      </w:r>
      <w:r>
        <w:rPr>
          <w:spacing w:val="-50"/>
        </w:rPr>
      </w:r>
      <w:r>
        <w:rPr/>
        <w:t>益。</w:t>
      </w:r>
    </w:p>
    <w:p>
      <w:pPr>
        <w:pStyle w:val="BodyText"/>
        <w:spacing w:line="312" w:lineRule="auto" w:before="22"/>
        <w:ind w:right="0" w:firstLine="420"/>
        <w:jc w:val="left"/>
      </w:pPr>
      <w:r>
        <w:rPr>
          <w:spacing w:val="-2"/>
        </w:rPr>
        <w:t>符合资本化条件的资产，是指需要经过相当长时间的购建或者生产活动才能达到预定可使用或者可销</w:t>
      </w:r>
      <w:r>
        <w:rPr>
          <w:w w:val="100"/>
        </w:rPr>
        <w:t> </w:t>
      </w:r>
      <w:r>
        <w:rPr/>
        <w:t>售状态的固定资产、投资性房地产和存货等资产。</w:t>
      </w:r>
    </w:p>
    <w:p>
      <w:pPr>
        <w:pStyle w:val="BodyText"/>
        <w:spacing w:line="240" w:lineRule="auto" w:before="22"/>
        <w:ind w:left="572" w:right="0"/>
        <w:jc w:val="left"/>
      </w:pPr>
      <w:r>
        <w:rPr/>
        <w:t>借款费用同时满足下列条件时开始资本化：</w:t>
      </w:r>
    </w:p>
    <w:p>
      <w:pPr>
        <w:pStyle w:val="BodyText"/>
        <w:spacing w:line="314" w:lineRule="auto" w:before="82"/>
        <w:ind w:right="0" w:firstLine="420"/>
        <w:jc w:val="left"/>
      </w:pPr>
      <w:r>
        <w:rPr/>
        <w:t>（</w:t>
      </w:r>
      <w:r>
        <w:rPr>
          <w:rFonts w:ascii="宋体" w:hAnsi="宋体" w:cs="宋体" w:eastAsia="宋体" w:hint="default"/>
        </w:rPr>
        <w:t>1</w:t>
      </w:r>
      <w:r>
        <w:rPr/>
        <w:t>）资产支出已经发生，资产支出包括为购建或者生产符合资本化条件的资产而以支付现金、转移</w:t>
      </w:r>
      <w:r>
        <w:rPr>
          <w:w w:val="100"/>
        </w:rPr>
        <w:t> </w:t>
      </w:r>
      <w:r>
        <w:rPr/>
        <w:t>非现金资产或者承担带息债务形式发生的支出；</w:t>
      </w:r>
    </w:p>
    <w:p>
      <w:pPr>
        <w:pStyle w:val="BodyText"/>
        <w:spacing w:line="240" w:lineRule="auto" w:before="17"/>
        <w:ind w:left="572" w:right="0"/>
        <w:jc w:val="left"/>
      </w:pPr>
      <w:r>
        <w:rPr/>
        <w:t>（</w:t>
      </w:r>
      <w:r>
        <w:rPr>
          <w:rFonts w:ascii="宋体" w:hAnsi="宋体" w:cs="宋体" w:eastAsia="宋体" w:hint="default"/>
        </w:rPr>
        <w:t>2</w:t>
      </w:r>
      <w:r>
        <w:rPr/>
        <w:t>）借款费用已经发生；</w:t>
      </w:r>
    </w:p>
    <w:p>
      <w:pPr>
        <w:pStyle w:val="BodyText"/>
        <w:spacing w:line="314" w:lineRule="auto" w:before="85"/>
        <w:ind w:left="572" w:right="0" w:hanging="1"/>
        <w:jc w:val="left"/>
      </w:pPr>
      <w:r>
        <w:rPr/>
        <w:t>（</w:t>
      </w:r>
      <w:r>
        <w:rPr>
          <w:rFonts w:ascii="宋体" w:hAnsi="宋体" w:cs="宋体" w:eastAsia="宋体" w:hint="default"/>
        </w:rPr>
        <w:t>3</w:t>
      </w:r>
      <w:r>
        <w:rPr/>
        <w:t>）为使资产达到预定可使用或者可销售状态所必要的购建或者生产活动已经开始。</w:t>
      </w:r>
      <w:r>
        <w:rPr>
          <w:w w:val="100"/>
        </w:rPr>
        <w:t> </w:t>
      </w:r>
      <w:r>
        <w:rPr>
          <w:rFonts w:ascii="宋体" w:hAnsi="宋体" w:cs="宋体" w:eastAsia="宋体" w:hint="default"/>
          <w:b/>
          <w:bCs/>
        </w:rPr>
        <w:t>二、借款费用资本化期间</w:t>
      </w:r>
      <w:r>
        <w:rPr>
          <w:rFonts w:ascii="宋体" w:hAnsi="宋体" w:cs="宋体" w:eastAsia="宋体" w:hint="default"/>
          <w:b/>
          <w:bCs/>
          <w:w w:val="100"/>
        </w:rPr>
        <w:t> </w:t>
      </w:r>
      <w:r>
        <w:rPr>
          <w:spacing w:val="-2"/>
        </w:rPr>
        <w:t>资本化期间，指从借款费用开始资本化时点到停止资本化时点的期间，借款费用暂停资本化的期间不</w:t>
      </w:r>
    </w:p>
    <w:p>
      <w:pPr>
        <w:pStyle w:val="BodyText"/>
        <w:spacing w:line="240" w:lineRule="auto" w:before="17"/>
        <w:ind w:right="0"/>
        <w:jc w:val="both"/>
      </w:pPr>
      <w:r>
        <w:rPr/>
        <w:t>包括在内。</w:t>
      </w:r>
    </w:p>
    <w:p>
      <w:pPr>
        <w:pStyle w:val="BodyText"/>
        <w:spacing w:line="312" w:lineRule="auto" w:before="85"/>
        <w:ind w:left="572" w:right="0"/>
        <w:jc w:val="left"/>
      </w:pPr>
      <w:r>
        <w:rPr/>
        <w:t>当购建或者生产符合资本化条件的资产达到预定可使用或者可销售状态时，借款费用停止资本化。</w:t>
      </w:r>
      <w:r>
        <w:rPr>
          <w:w w:val="100"/>
        </w:rPr>
        <w:t> </w:t>
      </w:r>
      <w:r>
        <w:rPr>
          <w:spacing w:val="-2"/>
        </w:rPr>
        <w:t>当购建或者生产符合资本化条件的资产中部分项目分别完工且可单独使用时，该部分资产借款费用停</w:t>
      </w:r>
      <w:r>
        <w:rPr/>
      </w:r>
    </w:p>
    <w:p>
      <w:pPr>
        <w:pStyle w:val="BodyText"/>
        <w:spacing w:line="240" w:lineRule="auto" w:before="22"/>
        <w:ind w:right="0"/>
        <w:jc w:val="both"/>
      </w:pPr>
      <w:r>
        <w:rPr/>
        <w:t>止资本化。</w:t>
      </w:r>
    </w:p>
    <w:p>
      <w:pPr>
        <w:pStyle w:val="BodyText"/>
        <w:spacing w:line="314" w:lineRule="auto" w:before="82"/>
        <w:ind w:right="0" w:firstLine="420"/>
        <w:jc w:val="left"/>
      </w:pPr>
      <w:r>
        <w:rPr>
          <w:spacing w:val="-2"/>
        </w:rPr>
        <w:t>购建或者生产的资产的各部分分别完工，但必须等到整体完工后才可使用或可对外销售的，在该资产</w:t>
      </w:r>
      <w:r>
        <w:rPr>
          <w:w w:val="100"/>
        </w:rPr>
        <w:t> </w:t>
      </w:r>
      <w:r>
        <w:rPr/>
        <w:t>整体完工时停止借款费用资本化。</w:t>
      </w:r>
    </w:p>
    <w:p>
      <w:pPr>
        <w:pStyle w:val="BodyText"/>
        <w:spacing w:line="314" w:lineRule="auto" w:before="17"/>
        <w:ind w:left="572" w:right="0"/>
        <w:jc w:val="left"/>
      </w:pPr>
      <w:r>
        <w:rPr>
          <w:rFonts w:ascii="宋体" w:hAnsi="宋体" w:cs="宋体" w:eastAsia="宋体" w:hint="default"/>
          <w:b/>
          <w:bCs/>
        </w:rPr>
        <w:t>三、暂停资本化期间</w:t>
      </w:r>
      <w:r>
        <w:rPr>
          <w:rFonts w:ascii="宋体" w:hAnsi="宋体" w:cs="宋体" w:eastAsia="宋体" w:hint="default"/>
          <w:b/>
          <w:bCs/>
          <w:w w:val="100"/>
        </w:rPr>
        <w:t> </w:t>
      </w:r>
      <w:r>
        <w:rPr/>
        <w:t>符合资本化条件的资产在购建或生产过程中发生的非正常中断、且中断时间连续超过</w:t>
      </w:r>
      <w:r>
        <w:rPr>
          <w:rFonts w:ascii="宋体" w:hAnsi="宋体" w:cs="宋体" w:eastAsia="宋体" w:hint="default"/>
        </w:rPr>
        <w:t>3</w:t>
      </w:r>
      <w:r>
        <w:rPr/>
        <w:t>个月的，则借</w:t>
      </w:r>
    </w:p>
    <w:p>
      <w:pPr>
        <w:pStyle w:val="BodyText"/>
        <w:spacing w:line="314" w:lineRule="auto" w:before="17"/>
        <w:ind w:right="146"/>
        <w:jc w:val="both"/>
      </w:pPr>
      <w:r>
        <w:rPr>
          <w:spacing w:val="-2"/>
        </w:rPr>
        <w:t>款费用暂停资本化；该项中断如是所购建或生产的符合资本化条件的资产达到预定可使用状态或者可销售</w:t>
      </w:r>
      <w:r>
        <w:rPr>
          <w:spacing w:val="-43"/>
        </w:rPr>
        <w:t> </w:t>
      </w:r>
      <w:r>
        <w:rPr>
          <w:spacing w:val="-43"/>
        </w:rPr>
      </w:r>
      <w:r>
        <w:rPr>
          <w:spacing w:val="-2"/>
        </w:rPr>
        <w:t>状态必要的程序，则借款费用继续资本化。在中断期间发生的借款费用确认为当期损益，直至资产的购建</w:t>
      </w:r>
      <w:r>
        <w:rPr>
          <w:spacing w:val="-44"/>
        </w:rPr>
        <w:t> </w:t>
      </w:r>
      <w:r>
        <w:rPr>
          <w:spacing w:val="-44"/>
        </w:rPr>
      </w:r>
      <w:r>
        <w:rPr/>
        <w:t>或者生产活动重新开始后借款费用继续资本化。</w:t>
      </w:r>
    </w:p>
    <w:p>
      <w:pPr>
        <w:spacing w:line="312" w:lineRule="auto" w:before="20"/>
        <w:ind w:left="572" w:right="0" w:firstLine="0"/>
        <w:jc w:val="left"/>
        <w:rPr>
          <w:rFonts w:ascii="宋体" w:hAnsi="宋体" w:cs="宋体" w:eastAsia="宋体" w:hint="default"/>
          <w:sz w:val="21"/>
          <w:szCs w:val="21"/>
        </w:rPr>
      </w:pPr>
      <w:r>
        <w:rPr>
          <w:rFonts w:ascii="宋体" w:hAnsi="宋体" w:cs="宋体" w:eastAsia="宋体" w:hint="default"/>
          <w:b/>
          <w:bCs/>
          <w:sz w:val="21"/>
          <w:szCs w:val="21"/>
        </w:rPr>
        <w:t>四、借款费用资本化金额的计算方法</w:t>
      </w:r>
      <w:r>
        <w:rPr>
          <w:rFonts w:ascii="宋体" w:hAnsi="宋体" w:cs="宋体" w:eastAsia="宋体" w:hint="default"/>
          <w:b/>
          <w:bCs/>
          <w:w w:val="100"/>
          <w:sz w:val="21"/>
          <w:szCs w:val="21"/>
        </w:rPr>
        <w:t> </w:t>
      </w:r>
      <w:r>
        <w:rPr>
          <w:rFonts w:ascii="宋体" w:hAnsi="宋体" w:cs="宋体" w:eastAsia="宋体" w:hint="default"/>
          <w:spacing w:val="-2"/>
          <w:sz w:val="21"/>
          <w:szCs w:val="21"/>
        </w:rPr>
        <w:t>专门借款的利息费用（扣除尚未动用的借款资金存入银行取得的利息收入或者进行暂时性投资取得的</w:t>
      </w:r>
    </w:p>
    <w:p>
      <w:pPr>
        <w:pStyle w:val="BodyText"/>
        <w:spacing w:line="312" w:lineRule="auto" w:before="22"/>
        <w:ind w:right="0"/>
        <w:jc w:val="left"/>
      </w:pPr>
      <w:r>
        <w:rPr>
          <w:spacing w:val="-2"/>
        </w:rPr>
        <w:t>投资收益）及其辅助费用在所购建或者生产的符合资本化条件的资产达到预定可使用或者可销售状态前，</w:t>
      </w:r>
      <w:r>
        <w:rPr>
          <w:spacing w:val="-21"/>
        </w:rPr>
        <w:t> </w:t>
      </w:r>
      <w:r>
        <w:rPr>
          <w:spacing w:val="-21"/>
        </w:rPr>
      </w:r>
      <w:r>
        <w:rPr/>
        <w:t>予以资本化。</w:t>
      </w:r>
    </w:p>
    <w:p>
      <w:pPr>
        <w:pStyle w:val="BodyText"/>
        <w:spacing w:line="312" w:lineRule="auto" w:before="22"/>
        <w:ind w:right="0" w:firstLine="420"/>
        <w:jc w:val="left"/>
      </w:pPr>
      <w:r>
        <w:rPr>
          <w:spacing w:val="-2"/>
        </w:rPr>
        <w:t>根据累计资产支出超过专门借款部分的资产支出加权平均数乘以所占用一般借款的资本化率，计算确</w:t>
      </w:r>
      <w:r>
        <w:rPr>
          <w:w w:val="100"/>
        </w:rPr>
        <w:t> </w:t>
      </w:r>
      <w:r>
        <w:rPr/>
        <w:t>定一般借款应予资本化的利息金额。资本化率根据一般借款加权平均利率计算确定。</w:t>
      </w:r>
    </w:p>
    <w:p>
      <w:pPr>
        <w:pStyle w:val="BodyText"/>
        <w:spacing w:line="312" w:lineRule="auto" w:before="22"/>
        <w:ind w:right="0" w:firstLine="420"/>
        <w:jc w:val="left"/>
      </w:pPr>
      <w:r>
        <w:rPr>
          <w:spacing w:val="-2"/>
        </w:rPr>
        <w:t>借款存在折价或者溢价的，按照实际利率法确定每一会计期间应摊销的折价或者溢价金额，调整每期</w:t>
      </w:r>
      <w:r>
        <w:rPr>
          <w:w w:val="100"/>
        </w:rPr>
        <w:t> </w:t>
      </w:r>
      <w:r>
        <w:rPr/>
        <w:t>利息金额。</w:t>
      </w:r>
    </w:p>
    <w:p>
      <w:pPr>
        <w:spacing w:line="240" w:lineRule="auto" w:before="10"/>
        <w:rPr>
          <w:rFonts w:ascii="宋体" w:hAnsi="宋体" w:cs="宋体" w:eastAsia="宋体" w:hint="default"/>
          <w:sz w:val="22"/>
          <w:szCs w:val="22"/>
        </w:rPr>
      </w:pPr>
    </w:p>
    <w:p>
      <w:pPr>
        <w:pStyle w:val="Heading5"/>
        <w:spacing w:line="240" w:lineRule="auto"/>
        <w:ind w:right="0"/>
        <w:jc w:val="both"/>
        <w:rPr>
          <w:b w:val="0"/>
          <w:bCs w:val="0"/>
        </w:rPr>
      </w:pPr>
      <w:bookmarkStart w:name="17、无形资产" w:id="149"/>
      <w:bookmarkEnd w:id="149"/>
      <w:r>
        <w:rPr>
          <w:b w:val="0"/>
          <w:bCs w:val="0"/>
        </w:rPr>
      </w:r>
      <w:r>
        <w:rPr>
          <w:rFonts w:ascii="Times New Roman" w:hAnsi="Times New Roman" w:cs="Times New Roman" w:eastAsia="Times New Roman" w:hint="default"/>
        </w:rPr>
        <w:t>17</w:t>
      </w:r>
      <w:r>
        <w:rPr/>
        <w:t>、无形资产</w:t>
      </w:r>
      <w:r>
        <w:rPr>
          <w:b w:val="0"/>
          <w:bCs w:val="0"/>
        </w:rPr>
      </w:r>
    </w:p>
    <w:p>
      <w:pPr>
        <w:spacing w:line="240" w:lineRule="auto" w:before="4"/>
        <w:rPr>
          <w:rFonts w:ascii="宋体" w:hAnsi="宋体" w:cs="宋体" w:eastAsia="宋体" w:hint="default"/>
          <w:b/>
          <w:bCs/>
          <w:sz w:val="22"/>
          <w:szCs w:val="22"/>
        </w:rPr>
      </w:pPr>
    </w:p>
    <w:p>
      <w:pPr>
        <w:spacing w:line="620" w:lineRule="atLeast" w:before="0"/>
        <w:ind w:left="572" w:right="0" w:hanging="420"/>
        <w:jc w:val="left"/>
        <w:rPr>
          <w:rFonts w:ascii="宋体" w:hAnsi="宋体" w:cs="宋体" w:eastAsia="宋体" w:hint="default"/>
          <w:sz w:val="21"/>
          <w:szCs w:val="21"/>
        </w:rPr>
      </w:pPr>
      <w:bookmarkStart w:name="（1）计价方法、使用寿命、减值测试" w:id="150"/>
      <w:bookmarkEnd w:id="15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）计价方法、使用寿命、减值测试</w:t>
      </w:r>
      <w:r>
        <w:rPr>
          <w:rFonts w:ascii="宋体" w:hAnsi="宋体" w:cs="宋体" w:eastAsia="宋体" w:hint="default"/>
          <w:b/>
          <w:bCs/>
          <w:w w:val="100"/>
          <w:sz w:val="21"/>
          <w:szCs w:val="21"/>
        </w:rPr>
        <w:t> </w:t>
      </w:r>
      <w:r>
        <w:rPr>
          <w:rFonts w:ascii="宋体" w:hAnsi="宋体" w:cs="宋体" w:eastAsia="宋体" w:hint="default"/>
          <w:spacing w:val="-2"/>
          <w:sz w:val="21"/>
          <w:szCs w:val="21"/>
        </w:rPr>
        <w:t>无形资产是指本公司拥有或者控制的没有实物形态的可辨认非货币性资产，包括自行开发软件（同步</w:t>
      </w:r>
    </w:p>
    <w:p>
      <w:pPr>
        <w:pStyle w:val="BodyText"/>
        <w:spacing w:line="240" w:lineRule="auto" w:before="85"/>
        <w:ind w:right="0"/>
        <w:jc w:val="both"/>
      </w:pPr>
      <w:r>
        <w:rPr/>
        <w:t>课堂网络平台、分站式项目、中小学教材同步辅导、金太阳练习测评管理系统）、外购软件等。</w:t>
      </w:r>
    </w:p>
    <w:p>
      <w:pPr>
        <w:pStyle w:val="Heading5"/>
        <w:spacing w:line="240" w:lineRule="auto" w:before="82"/>
        <w:ind w:left="572" w:right="0"/>
        <w:jc w:val="left"/>
        <w:rPr>
          <w:b w:val="0"/>
          <w:bCs w:val="0"/>
        </w:rPr>
      </w:pPr>
      <w:r>
        <w:rPr>
          <w:rFonts w:ascii="宋体" w:hAnsi="宋体" w:cs="宋体" w:eastAsia="宋体" w:hint="default"/>
        </w:rPr>
        <w:t>1</w:t>
      </w:r>
      <w:r>
        <w:rPr/>
        <w:t>、无形资产的初始计量</w:t>
      </w:r>
      <w:r>
        <w:rPr>
          <w:b w:val="0"/>
          <w:bCs w:val="0"/>
        </w:rPr>
      </w:r>
    </w:p>
    <w:p>
      <w:pPr>
        <w:spacing w:after="0" w:line="240" w:lineRule="auto"/>
        <w:jc w:val="left"/>
        <w:sectPr>
          <w:pgSz w:w="11910" w:h="16840"/>
          <w:pgMar w:header="880" w:footer="979" w:top="1060" w:bottom="1160" w:left="980" w:right="980"/>
        </w:sectPr>
      </w:pPr>
    </w:p>
    <w:p>
      <w:pPr>
        <w:spacing w:line="240" w:lineRule="auto" w:before="6"/>
        <w:rPr>
          <w:rFonts w:ascii="宋体" w:hAnsi="宋体" w:cs="宋体" w:eastAsia="宋体" w:hint="default"/>
          <w:b/>
          <w:bCs/>
          <w:sz w:val="26"/>
          <w:szCs w:val="26"/>
        </w:rPr>
      </w:pPr>
    </w:p>
    <w:p>
      <w:pPr>
        <w:pStyle w:val="BodyText"/>
        <w:spacing w:line="314" w:lineRule="auto" w:before="36"/>
        <w:ind w:right="146" w:firstLine="420"/>
        <w:jc w:val="both"/>
      </w:pPr>
      <w:r>
        <w:rPr>
          <w:spacing w:val="-2"/>
        </w:rPr>
        <w:t>外购无形资产的成本，包括购买价款、相关税费以及直接归属于使该项资产达到预定用途所发生的其</w:t>
      </w:r>
      <w:r>
        <w:rPr>
          <w:w w:val="100"/>
        </w:rPr>
        <w:t> </w:t>
      </w:r>
      <w:r>
        <w:rPr>
          <w:spacing w:val="-2"/>
        </w:rPr>
        <w:t>他支出。购买无形资产的价款超过正常信用条件延期支付，实质上具有融资性质的，无形资产的成本以购</w:t>
      </w:r>
      <w:r>
        <w:rPr>
          <w:spacing w:val="-42"/>
        </w:rPr>
        <w:t> </w:t>
      </w:r>
      <w:r>
        <w:rPr>
          <w:spacing w:val="-42"/>
        </w:rPr>
      </w:r>
      <w:r>
        <w:rPr/>
        <w:t>买价款的现值为基础确定。</w:t>
      </w:r>
    </w:p>
    <w:p>
      <w:pPr>
        <w:pStyle w:val="BodyText"/>
        <w:spacing w:line="314" w:lineRule="auto" w:before="17"/>
        <w:ind w:right="147" w:firstLine="420"/>
        <w:jc w:val="both"/>
      </w:pPr>
      <w:r>
        <w:rPr>
          <w:spacing w:val="-2"/>
        </w:rPr>
        <w:t>债务重组取得债务人用以抵债的无形资产，以该无形资产的公允价值为基础确定其入账价值，并将重</w:t>
      </w:r>
      <w:r>
        <w:rPr>
          <w:w w:val="100"/>
        </w:rPr>
        <w:t> </w:t>
      </w:r>
      <w:r>
        <w:rPr/>
        <w:t>组债务的账面价值与该用以抵债的无形资产公允价值之间的差额，计入当期损益。</w:t>
      </w:r>
    </w:p>
    <w:p>
      <w:pPr>
        <w:pStyle w:val="BodyText"/>
        <w:spacing w:line="314" w:lineRule="auto" w:before="17"/>
        <w:ind w:right="147" w:firstLine="420"/>
        <w:jc w:val="both"/>
      </w:pPr>
      <w:r>
        <w:rPr>
          <w:spacing w:val="-2"/>
        </w:rPr>
        <w:t>在非货币性资产交换具备商业实质且换入资产或换出资产的公允价值能够可靠计量的前提下，非货币</w:t>
      </w:r>
      <w:r>
        <w:rPr>
          <w:w w:val="100"/>
        </w:rPr>
        <w:t> </w:t>
      </w:r>
      <w:r>
        <w:rPr>
          <w:spacing w:val="-2"/>
        </w:rPr>
        <w:t>性资产交换换入的无形资产以换出资产的公允价值为基础确定其入账价值，除非有确凿证据表明换入资产</w:t>
      </w:r>
      <w:r>
        <w:rPr>
          <w:spacing w:val="-43"/>
        </w:rPr>
        <w:t> </w:t>
      </w:r>
      <w:r>
        <w:rPr>
          <w:spacing w:val="-43"/>
        </w:rPr>
      </w:r>
      <w:r>
        <w:rPr>
          <w:spacing w:val="-2"/>
        </w:rPr>
        <w:t>的公允价值更加可靠；不满足上述前提的非货币性资产交换，以换出资产的账面价值和应支付的相关税费</w:t>
      </w:r>
      <w:r>
        <w:rPr>
          <w:spacing w:val="-43"/>
        </w:rPr>
        <w:t> </w:t>
      </w:r>
      <w:r>
        <w:rPr>
          <w:spacing w:val="-43"/>
        </w:rPr>
      </w:r>
      <w:r>
        <w:rPr/>
        <w:t>作为换入无形资产的成本，不确认损益。</w:t>
      </w:r>
    </w:p>
    <w:p>
      <w:pPr>
        <w:pStyle w:val="BodyText"/>
        <w:spacing w:line="314" w:lineRule="auto" w:before="17"/>
        <w:ind w:right="147" w:firstLine="420"/>
        <w:jc w:val="both"/>
      </w:pPr>
      <w:r>
        <w:rPr>
          <w:spacing w:val="-2"/>
        </w:rPr>
        <w:t>以同一控制下的企业吸收合并方式取得的无形资产按被合并方的账面价值确定其入账价值；以非同一</w:t>
      </w:r>
      <w:r>
        <w:rPr>
          <w:w w:val="100"/>
        </w:rPr>
        <w:t> </w:t>
      </w:r>
      <w:r>
        <w:rPr/>
        <w:t>控制下的企业吸收合并方式取得的无形资产按公允价值确定其入账价值。</w:t>
      </w:r>
    </w:p>
    <w:p>
      <w:pPr>
        <w:pStyle w:val="BodyText"/>
        <w:spacing w:line="314" w:lineRule="auto" w:before="17"/>
        <w:ind w:right="147" w:firstLine="420"/>
        <w:jc w:val="both"/>
      </w:pPr>
      <w:r>
        <w:rPr>
          <w:spacing w:val="-2"/>
        </w:rPr>
        <w:t>内部自行开发的无形资产，其成本包括：开发该无形资产时耗用的材料、劳务成本、注册费、在开发</w:t>
      </w:r>
      <w:r>
        <w:rPr>
          <w:w w:val="100"/>
        </w:rPr>
        <w:t> </w:t>
      </w:r>
      <w:r>
        <w:rPr>
          <w:spacing w:val="-2"/>
        </w:rPr>
        <w:t>过程中使用的其他专利权和特许权的摊销以及满足资本化条件的利息费用，以及为使该无形资产达到预定</w:t>
      </w:r>
      <w:r>
        <w:rPr>
          <w:spacing w:val="-43"/>
        </w:rPr>
        <w:t> </w:t>
      </w:r>
      <w:r>
        <w:rPr>
          <w:spacing w:val="-43"/>
        </w:rPr>
      </w:r>
      <w:r>
        <w:rPr/>
        <w:t>用途前所发生的其他直接费用。</w:t>
      </w:r>
    </w:p>
    <w:p>
      <w:pPr>
        <w:spacing w:line="312" w:lineRule="auto" w:before="19"/>
        <w:ind w:left="572" w:right="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、无形资产的后续计量</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本公司在取得无形资产时分析判断其使用寿命，划分为使用寿命有限和使用寿命不确定的无形资产。</w:t>
      </w:r>
    </w:p>
    <w:p>
      <w:pPr>
        <w:pStyle w:val="BodyText"/>
        <w:spacing w:line="312" w:lineRule="auto" w:before="22"/>
        <w:ind w:left="572" w:right="0"/>
        <w:jc w:val="left"/>
      </w:pPr>
      <w:r>
        <w:rPr/>
        <w:t>（</w:t>
      </w:r>
      <w:r>
        <w:rPr>
          <w:rFonts w:ascii="宋体" w:hAnsi="宋体" w:cs="宋体" w:eastAsia="宋体" w:hint="default"/>
        </w:rPr>
        <w:t>1</w:t>
      </w:r>
      <w:r>
        <w:rPr/>
        <w:t>）使用寿命有限的无形资产</w:t>
      </w:r>
      <w:r>
        <w:rPr>
          <w:w w:val="100"/>
        </w:rPr>
        <w:t> </w:t>
      </w:r>
      <w:r>
        <w:rPr>
          <w:spacing w:val="-2"/>
        </w:rPr>
        <w:t>对于使用寿命有限的无形资产，在为企业带来经济利益的期限内按直线法摊销。使用寿命有限的无形</w:t>
      </w:r>
    </w:p>
    <w:p>
      <w:pPr>
        <w:pStyle w:val="BodyText"/>
        <w:spacing w:line="240" w:lineRule="auto" w:before="22"/>
        <w:ind w:right="0"/>
        <w:jc w:val="left"/>
      </w:pPr>
      <w:r>
        <w:rPr/>
        <w:t>资产预计寿命及依据如下：</w:t>
      </w:r>
    </w:p>
    <w:p>
      <w:pPr>
        <w:spacing w:line="240" w:lineRule="auto" w:before="6"/>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4394"/>
        <w:gridCol w:w="3934"/>
      </w:tblGrid>
      <w:tr>
        <w:trPr>
          <w:trHeight w:val="310" w:hRule="exact"/>
        </w:trPr>
        <w:tc>
          <w:tcPr>
            <w:tcW w:w="4394"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7" w:right="0"/>
              <w:jc w:val="center"/>
              <w:rPr>
                <w:rFonts w:ascii="宋体" w:hAnsi="宋体" w:cs="宋体" w:eastAsia="宋体" w:hint="default"/>
                <w:sz w:val="21"/>
                <w:szCs w:val="21"/>
              </w:rPr>
            </w:pPr>
            <w:r>
              <w:rPr>
                <w:rFonts w:ascii="宋体" w:hAnsi="宋体" w:cs="宋体" w:eastAsia="宋体" w:hint="default"/>
                <w:sz w:val="21"/>
                <w:szCs w:val="21"/>
              </w:rPr>
              <w:t>无形资产类别</w:t>
            </w:r>
          </w:p>
        </w:tc>
        <w:tc>
          <w:tcPr>
            <w:tcW w:w="3934"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5" w:right="0"/>
              <w:jc w:val="center"/>
              <w:rPr>
                <w:rFonts w:ascii="宋体" w:hAnsi="宋体" w:cs="宋体" w:eastAsia="宋体" w:hint="default"/>
                <w:sz w:val="21"/>
                <w:szCs w:val="21"/>
              </w:rPr>
            </w:pPr>
            <w:r>
              <w:rPr>
                <w:rFonts w:ascii="宋体" w:hAnsi="宋体" w:cs="宋体" w:eastAsia="宋体" w:hint="default"/>
                <w:sz w:val="21"/>
                <w:szCs w:val="21"/>
              </w:rPr>
              <w:t>预计使用寿命</w:t>
            </w:r>
          </w:p>
        </w:tc>
      </w:tr>
      <w:tr>
        <w:trPr>
          <w:trHeight w:val="307" w:hRule="exact"/>
        </w:trPr>
        <w:tc>
          <w:tcPr>
            <w:tcW w:w="4394"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left="4" w:right="0"/>
              <w:jc w:val="left"/>
              <w:rPr>
                <w:rFonts w:ascii="宋体" w:hAnsi="宋体" w:cs="宋体" w:eastAsia="宋体" w:hint="default"/>
                <w:sz w:val="21"/>
                <w:szCs w:val="21"/>
              </w:rPr>
            </w:pPr>
            <w:r>
              <w:rPr>
                <w:rFonts w:ascii="宋体" w:hAnsi="宋体" w:cs="宋体" w:eastAsia="宋体" w:hint="default"/>
                <w:sz w:val="21"/>
                <w:szCs w:val="21"/>
              </w:rPr>
              <w:t>自行开发软件</w:t>
            </w:r>
            <w:r>
              <w:rPr>
                <w:rFonts w:ascii="Times New Roman" w:hAnsi="Times New Roman" w:cs="Times New Roman" w:eastAsia="Times New Roman" w:hint="default"/>
                <w:sz w:val="21"/>
                <w:szCs w:val="21"/>
              </w:rPr>
              <w:t>-</w:t>
            </w:r>
            <w:r>
              <w:rPr>
                <w:rFonts w:ascii="宋体" w:hAnsi="宋体" w:cs="宋体" w:eastAsia="宋体" w:hint="default"/>
                <w:sz w:val="21"/>
                <w:szCs w:val="21"/>
              </w:rPr>
              <w:t>同步课堂网络平台</w:t>
            </w:r>
          </w:p>
        </w:tc>
        <w:tc>
          <w:tcPr>
            <w:tcW w:w="3934"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left="367"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年</w:t>
            </w:r>
          </w:p>
        </w:tc>
      </w:tr>
      <w:tr>
        <w:trPr>
          <w:trHeight w:val="307" w:hRule="exact"/>
        </w:trPr>
        <w:tc>
          <w:tcPr>
            <w:tcW w:w="4394"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4" w:right="0"/>
              <w:jc w:val="left"/>
              <w:rPr>
                <w:rFonts w:ascii="宋体" w:hAnsi="宋体" w:cs="宋体" w:eastAsia="宋体" w:hint="default"/>
                <w:sz w:val="21"/>
                <w:szCs w:val="21"/>
              </w:rPr>
            </w:pPr>
            <w:r>
              <w:rPr>
                <w:rFonts w:ascii="宋体" w:hAnsi="宋体" w:cs="宋体" w:eastAsia="宋体" w:hint="default"/>
                <w:sz w:val="21"/>
                <w:szCs w:val="21"/>
              </w:rPr>
              <w:t>自行开发软件</w:t>
            </w:r>
            <w:r>
              <w:rPr>
                <w:rFonts w:ascii="Times New Roman" w:hAnsi="Times New Roman" w:cs="Times New Roman" w:eastAsia="Times New Roman" w:hint="default"/>
                <w:sz w:val="21"/>
                <w:szCs w:val="21"/>
              </w:rPr>
              <w:t>-</w:t>
            </w:r>
            <w:r>
              <w:rPr>
                <w:rFonts w:ascii="宋体" w:hAnsi="宋体" w:cs="宋体" w:eastAsia="宋体" w:hint="default"/>
                <w:sz w:val="21"/>
                <w:szCs w:val="21"/>
              </w:rPr>
              <w:t>分站式项目</w:t>
            </w:r>
          </w:p>
        </w:tc>
        <w:tc>
          <w:tcPr>
            <w:tcW w:w="3934"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367"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年</w:t>
            </w:r>
          </w:p>
        </w:tc>
      </w:tr>
      <w:tr>
        <w:trPr>
          <w:trHeight w:val="310" w:hRule="exact"/>
        </w:trPr>
        <w:tc>
          <w:tcPr>
            <w:tcW w:w="4394"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4" w:right="0"/>
              <w:jc w:val="left"/>
              <w:rPr>
                <w:rFonts w:ascii="宋体" w:hAnsi="宋体" w:cs="宋体" w:eastAsia="宋体" w:hint="default"/>
                <w:sz w:val="21"/>
                <w:szCs w:val="21"/>
              </w:rPr>
            </w:pPr>
            <w:r>
              <w:rPr>
                <w:rFonts w:ascii="宋体" w:hAnsi="宋体" w:cs="宋体" w:eastAsia="宋体" w:hint="default"/>
                <w:sz w:val="21"/>
                <w:szCs w:val="21"/>
              </w:rPr>
              <w:t>自行开发软件</w:t>
            </w:r>
            <w:r>
              <w:rPr>
                <w:rFonts w:ascii="Times New Roman" w:hAnsi="Times New Roman" w:cs="Times New Roman" w:eastAsia="Times New Roman" w:hint="default"/>
                <w:sz w:val="21"/>
                <w:szCs w:val="21"/>
              </w:rPr>
              <w:t>-</w:t>
            </w:r>
            <w:r>
              <w:rPr>
                <w:rFonts w:ascii="宋体" w:hAnsi="宋体" w:cs="宋体" w:eastAsia="宋体" w:hint="default"/>
                <w:sz w:val="21"/>
                <w:szCs w:val="21"/>
              </w:rPr>
              <w:t>中小学教材同步辅导</w:t>
            </w:r>
          </w:p>
        </w:tc>
        <w:tc>
          <w:tcPr>
            <w:tcW w:w="3934"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367"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z w:val="21"/>
                <w:szCs w:val="21"/>
              </w:rPr>
              <w:t>年</w:t>
            </w:r>
          </w:p>
        </w:tc>
      </w:tr>
      <w:tr>
        <w:trPr>
          <w:trHeight w:val="307" w:hRule="exact"/>
        </w:trPr>
        <w:tc>
          <w:tcPr>
            <w:tcW w:w="4394"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left="4" w:right="0"/>
              <w:jc w:val="left"/>
              <w:rPr>
                <w:rFonts w:ascii="宋体" w:hAnsi="宋体" w:cs="宋体" w:eastAsia="宋体" w:hint="default"/>
                <w:sz w:val="21"/>
                <w:szCs w:val="21"/>
              </w:rPr>
            </w:pPr>
            <w:r>
              <w:rPr>
                <w:rFonts w:ascii="宋体" w:hAnsi="宋体" w:cs="宋体" w:eastAsia="宋体" w:hint="default"/>
                <w:sz w:val="21"/>
                <w:szCs w:val="21"/>
              </w:rPr>
              <w:t>自行开发软件</w:t>
            </w:r>
            <w:r>
              <w:rPr>
                <w:rFonts w:ascii="Times New Roman" w:hAnsi="Times New Roman" w:cs="Times New Roman" w:eastAsia="Times New Roman" w:hint="default"/>
                <w:sz w:val="21"/>
                <w:szCs w:val="21"/>
              </w:rPr>
              <w:t>-</w:t>
            </w:r>
            <w:r>
              <w:rPr>
                <w:rFonts w:ascii="宋体" w:hAnsi="宋体" w:cs="宋体" w:eastAsia="宋体" w:hint="default"/>
                <w:sz w:val="21"/>
                <w:szCs w:val="21"/>
              </w:rPr>
              <w:t>金太阳练习测评管理系统</w:t>
            </w:r>
          </w:p>
        </w:tc>
        <w:tc>
          <w:tcPr>
            <w:tcW w:w="3934"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left="367"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年</w:t>
            </w:r>
          </w:p>
        </w:tc>
      </w:tr>
      <w:tr>
        <w:trPr>
          <w:trHeight w:val="310" w:hRule="exact"/>
        </w:trPr>
        <w:tc>
          <w:tcPr>
            <w:tcW w:w="4394"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4" w:right="0"/>
              <w:jc w:val="left"/>
              <w:rPr>
                <w:rFonts w:ascii="宋体" w:hAnsi="宋体" w:cs="宋体" w:eastAsia="宋体" w:hint="default"/>
                <w:sz w:val="21"/>
                <w:szCs w:val="21"/>
              </w:rPr>
            </w:pPr>
            <w:r>
              <w:rPr>
                <w:rFonts w:ascii="宋体" w:hAnsi="宋体" w:cs="宋体" w:eastAsia="宋体" w:hint="default"/>
                <w:sz w:val="21"/>
                <w:szCs w:val="21"/>
              </w:rPr>
              <w:t>外购软件</w:t>
            </w:r>
          </w:p>
        </w:tc>
        <w:tc>
          <w:tcPr>
            <w:tcW w:w="3934"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367"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年</w:t>
            </w:r>
          </w:p>
        </w:tc>
      </w:tr>
    </w:tbl>
    <w:p>
      <w:pPr>
        <w:pStyle w:val="BodyText"/>
        <w:spacing w:line="312" w:lineRule="auto" w:before="11"/>
        <w:ind w:right="0" w:firstLine="420"/>
        <w:jc w:val="left"/>
      </w:pPr>
      <w:r>
        <w:rPr>
          <w:spacing w:val="-2"/>
        </w:rPr>
        <w:t>每期末，对使用寿命有限的无形资产的使用寿命及摊销方法进行复核，如与原先估计数存在差异的，</w:t>
      </w:r>
      <w:r>
        <w:rPr>
          <w:w w:val="100"/>
        </w:rPr>
        <w:t> </w:t>
      </w:r>
      <w:r>
        <w:rPr/>
        <w:t>进行相应的调整。</w:t>
      </w:r>
    </w:p>
    <w:p>
      <w:pPr>
        <w:pStyle w:val="BodyText"/>
        <w:spacing w:line="240" w:lineRule="auto" w:before="22"/>
        <w:ind w:left="572" w:right="0"/>
        <w:jc w:val="left"/>
      </w:pPr>
      <w:r>
        <w:rPr/>
        <w:t>经复核，本期期末无形资产的使用寿命及摊销方法与以前估计未有不同。</w:t>
      </w:r>
    </w:p>
    <w:p>
      <w:pPr>
        <w:pStyle w:val="BodyText"/>
        <w:spacing w:line="314" w:lineRule="auto" w:before="82"/>
        <w:ind w:left="572" w:right="0"/>
        <w:jc w:val="left"/>
      </w:pPr>
      <w:r>
        <w:rPr/>
        <w:t>（</w:t>
      </w:r>
      <w:r>
        <w:rPr>
          <w:rFonts w:ascii="宋体" w:hAnsi="宋体" w:cs="宋体" w:eastAsia="宋体" w:hint="default"/>
        </w:rPr>
        <w:t>2</w:t>
      </w:r>
      <w:r>
        <w:rPr/>
        <w:t>）使用寿命不确定的无形资产</w:t>
      </w:r>
      <w:r>
        <w:rPr>
          <w:w w:val="100"/>
        </w:rPr>
        <w:t> </w:t>
      </w:r>
      <w:r>
        <w:rPr/>
        <w:t>无法预见无形资产为企业带来经济利益期限的，视为使用寿命不确定的无形资产。</w:t>
      </w:r>
      <w:r>
        <w:rPr>
          <w:w w:val="100"/>
        </w:rPr>
        <w:t> </w:t>
      </w:r>
      <w:r>
        <w:rPr>
          <w:spacing w:val="-2"/>
        </w:rPr>
        <w:t>对于使用寿命不确定的无形资产，在持有期间内不摊销，每期末对无形资产的寿命进行复核。如果期</w:t>
      </w:r>
      <w:r>
        <w:rPr/>
      </w:r>
    </w:p>
    <w:p>
      <w:pPr>
        <w:pStyle w:val="BodyText"/>
        <w:spacing w:line="312" w:lineRule="auto" w:before="20"/>
        <w:ind w:left="572" w:right="0" w:hanging="420"/>
        <w:jc w:val="left"/>
      </w:pPr>
      <w:r>
        <w:rPr>
          <w:spacing w:val="-2"/>
        </w:rPr>
        <w:t>末重新复核后仍为不确定的，在每个会计期间继续进行减值测试。</w:t>
      </w:r>
      <w:r>
        <w:rPr>
          <w:spacing w:val="-49"/>
        </w:rPr>
        <w:t> </w:t>
      </w:r>
      <w:r>
        <w:rPr>
          <w:spacing w:val="-49"/>
        </w:rPr>
      </w:r>
      <w:r>
        <w:rPr/>
        <w:t>经复核，该类无形资产的使用寿命仍为不确定。</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6"/>
          <w:szCs w:val="26"/>
        </w:rPr>
      </w:pPr>
    </w:p>
    <w:p>
      <w:pPr>
        <w:pStyle w:val="Heading5"/>
        <w:spacing w:line="240" w:lineRule="auto"/>
        <w:ind w:right="0"/>
        <w:jc w:val="left"/>
        <w:rPr>
          <w:b w:val="0"/>
          <w:bCs w:val="0"/>
        </w:rPr>
      </w:pPr>
      <w:bookmarkStart w:name="（2）内部研究开发支出会计政策" w:id="151"/>
      <w:bookmarkEnd w:id="151"/>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5"/>
        <w:rPr>
          <w:rFonts w:ascii="宋体" w:hAnsi="宋体" w:cs="宋体" w:eastAsia="宋体" w:hint="default"/>
          <w:b/>
          <w:bCs/>
          <w:sz w:val="26"/>
          <w:szCs w:val="26"/>
        </w:rPr>
      </w:pPr>
    </w:p>
    <w:p>
      <w:pPr>
        <w:pStyle w:val="BodyText"/>
        <w:spacing w:line="314" w:lineRule="auto"/>
        <w:ind w:left="572" w:right="0"/>
        <w:jc w:val="left"/>
      </w:pPr>
      <w:r>
        <w:rPr/>
        <w:t>研究阶段：为获取并理解新的科学或技术知识等而进行的独创性的有计划调查、研究活动的阶段。</w:t>
      </w:r>
      <w:r>
        <w:rPr>
          <w:w w:val="100"/>
        </w:rPr>
        <w:t> </w:t>
      </w:r>
      <w:r>
        <w:rPr>
          <w:spacing w:val="-2"/>
        </w:rPr>
        <w:t>开发阶段：在进行商业性生产或使用前，将研究成果或其他知识应用于某项计划或设计，以生产出新</w:t>
      </w:r>
    </w:p>
    <w:p>
      <w:pPr>
        <w:pStyle w:val="BodyText"/>
        <w:spacing w:line="240" w:lineRule="auto" w:before="17"/>
        <w:ind w:right="0"/>
        <w:jc w:val="left"/>
      </w:pPr>
      <w:r>
        <w:rPr/>
        <w:t>的或具有实质性改进的材料、装置、产品等活动的阶段。</w:t>
      </w:r>
    </w:p>
    <w:p>
      <w:pPr>
        <w:spacing w:after="0" w:line="240" w:lineRule="auto"/>
        <w:jc w:val="left"/>
        <w:sectPr>
          <w:pgSz w:w="11910" w:h="16840"/>
          <w:pgMar w:header="880" w:footer="979" w:top="1060" w:bottom="1160" w:left="980" w:right="980"/>
        </w:sectPr>
      </w:pPr>
    </w:p>
    <w:p>
      <w:pPr>
        <w:spacing w:line="240" w:lineRule="auto" w:before="6"/>
        <w:rPr>
          <w:rFonts w:ascii="宋体" w:hAnsi="宋体" w:cs="宋体" w:eastAsia="宋体" w:hint="default"/>
          <w:sz w:val="26"/>
          <w:szCs w:val="26"/>
        </w:rPr>
      </w:pPr>
    </w:p>
    <w:p>
      <w:pPr>
        <w:pStyle w:val="BodyText"/>
        <w:spacing w:line="312" w:lineRule="auto" w:before="36"/>
        <w:ind w:left="572" w:right="0"/>
        <w:jc w:val="left"/>
      </w:pPr>
      <w:r>
        <w:rPr/>
        <w:t>内部研究开发项目研究阶段的支出，在发生时计入当期损益。</w:t>
      </w:r>
      <w:r>
        <w:rPr>
          <w:w w:val="100"/>
        </w:rPr>
        <w:t> </w:t>
      </w:r>
      <w:r>
        <w:rPr>
          <w:spacing w:val="-2"/>
        </w:rPr>
        <w:t>公司根据软件项目开发管理的流程，将开发项目划分研究阶段和开发阶段。其中，项目策划阶段与项</w:t>
      </w:r>
      <w:r>
        <w:rPr/>
      </w:r>
    </w:p>
    <w:p>
      <w:pPr>
        <w:pStyle w:val="BodyText"/>
        <w:spacing w:line="312" w:lineRule="auto" w:before="22"/>
        <w:ind w:left="416" w:right="0" w:hanging="264"/>
        <w:jc w:val="left"/>
      </w:pPr>
      <w:r>
        <w:rPr/>
        <w:t>目立项阶段作为研究阶段；项目计划阶段、项目实施与执行阶段和项目验收阶段作为开发阶段。</w:t>
      </w:r>
      <w:r>
        <w:rPr>
          <w:w w:val="100"/>
        </w:rPr>
        <w:t> </w:t>
      </w:r>
      <w:r>
        <w:rPr>
          <w:spacing w:val="-2"/>
        </w:rPr>
        <w:t>研究阶段起点为项目策划阶段，终点为立项评审通过，表明公司开发部、市场部判断该项目在技术上、</w:t>
      </w:r>
    </w:p>
    <w:p>
      <w:pPr>
        <w:pStyle w:val="BodyText"/>
        <w:spacing w:line="312" w:lineRule="auto" w:before="22"/>
        <w:ind w:right="0"/>
        <w:jc w:val="left"/>
      </w:pPr>
      <w:r>
        <w:rPr>
          <w:spacing w:val="-2"/>
        </w:rPr>
        <w:t>商业上等具有可行性；开发阶段的起点为项目开发立项，终点为项目相关测试完成后可进入商业运营。开</w:t>
      </w:r>
      <w:r>
        <w:rPr>
          <w:spacing w:val="-44"/>
        </w:rPr>
        <w:t> </w:t>
      </w:r>
      <w:r>
        <w:rPr>
          <w:spacing w:val="-44"/>
        </w:rPr>
      </w:r>
      <w:r>
        <w:rPr/>
        <w:t>发项目研究阶段的支出，在发生时计入当期损益。</w:t>
      </w:r>
      <w:r>
        <w:rPr>
          <w:w w:val="100"/>
        </w:rPr>
        <w:t> </w:t>
      </w:r>
      <w:r>
        <w:rPr>
          <w:spacing w:val="-2"/>
        </w:rPr>
        <w:t>进入开发阶段的项目支出，则予以资本化，先在“开发支出”科目分项目进行明细核算，可商业运营时，</w:t>
      </w:r>
      <w:r>
        <w:rPr>
          <w:spacing w:val="-21"/>
        </w:rPr>
        <w:t> </w:t>
      </w:r>
      <w:r>
        <w:rPr>
          <w:spacing w:val="-21"/>
        </w:rPr>
      </w:r>
      <w:r>
        <w:rPr/>
        <w:t>再转入“无形资产”科目分项目进行明细核算。</w:t>
      </w:r>
    </w:p>
    <w:p>
      <w:pPr>
        <w:pStyle w:val="BodyText"/>
        <w:spacing w:line="240" w:lineRule="auto" w:before="22"/>
        <w:ind w:left="572" w:right="0"/>
        <w:jc w:val="left"/>
      </w:pPr>
      <w:r>
        <w:rPr/>
        <w:t>内部研究开发项目开发阶段的支出，同时满足下列条件时确认为无形资产：</w:t>
      </w:r>
    </w:p>
    <w:p>
      <w:pPr>
        <w:pStyle w:val="BodyText"/>
        <w:spacing w:line="240" w:lineRule="auto" w:before="82"/>
        <w:ind w:left="572" w:right="0"/>
        <w:jc w:val="left"/>
      </w:pPr>
      <w:r>
        <w:rPr/>
        <w:t>（</w:t>
      </w:r>
      <w:r>
        <w:rPr>
          <w:rFonts w:ascii="宋体" w:hAnsi="宋体" w:cs="宋体" w:eastAsia="宋体" w:hint="default"/>
        </w:rPr>
        <w:t>1</w:t>
      </w:r>
      <w:r>
        <w:rPr/>
        <w:t>）完成该无形资产以使其能够使用或出售在技术上具有可行性；</w:t>
      </w:r>
    </w:p>
    <w:p>
      <w:pPr>
        <w:pStyle w:val="BodyText"/>
        <w:spacing w:line="240" w:lineRule="auto" w:before="85"/>
        <w:ind w:left="572" w:right="0"/>
        <w:jc w:val="left"/>
      </w:pPr>
      <w:r>
        <w:rPr/>
        <w:t>（</w:t>
      </w:r>
      <w:r>
        <w:rPr>
          <w:rFonts w:ascii="宋体" w:hAnsi="宋体" w:cs="宋体" w:eastAsia="宋体" w:hint="default"/>
        </w:rPr>
        <w:t>2</w:t>
      </w:r>
      <w:r>
        <w:rPr/>
        <w:t>）具有完成该无形资产并使用或出售的意图；</w:t>
      </w:r>
    </w:p>
    <w:p>
      <w:pPr>
        <w:pStyle w:val="BodyText"/>
        <w:spacing w:line="314" w:lineRule="auto" w:before="82"/>
        <w:ind w:right="194" w:firstLine="420"/>
        <w:jc w:val="both"/>
      </w:pPr>
      <w:r>
        <w:rPr/>
        <w:t>（</w:t>
      </w:r>
      <w:r>
        <w:rPr>
          <w:rFonts w:ascii="宋体" w:hAnsi="宋体" w:cs="宋体" w:eastAsia="宋体" w:hint="default"/>
        </w:rPr>
        <w:t>3</w:t>
      </w:r>
      <w:r>
        <w:rPr/>
        <w:t>）无形资产产生经济利益的方式，包括能够证明运用该无形资产生产的产品存在市场或无形资产</w:t>
      </w:r>
      <w:r>
        <w:rPr>
          <w:w w:val="100"/>
        </w:rPr>
        <w:t> </w:t>
      </w:r>
      <w:r>
        <w:rPr/>
        <w:t>自身存在市场，无形资产将在内部使用的，能够证明其有用性；</w:t>
      </w:r>
    </w:p>
    <w:p>
      <w:pPr>
        <w:pStyle w:val="BodyText"/>
        <w:spacing w:line="314" w:lineRule="auto" w:before="17"/>
        <w:ind w:right="194" w:firstLine="420"/>
        <w:jc w:val="both"/>
      </w:pPr>
      <w:r>
        <w:rPr/>
        <w:t>（</w:t>
      </w:r>
      <w:r>
        <w:rPr>
          <w:rFonts w:ascii="宋体" w:hAnsi="宋体" w:cs="宋体" w:eastAsia="宋体" w:hint="default"/>
        </w:rPr>
        <w:t>4</w:t>
      </w:r>
      <w:r>
        <w:rPr/>
        <w:t>）有足够的技术、财务资源和其他资源支持，以完成该无形资产的开发，并有能力使用或出售该</w:t>
      </w:r>
      <w:r>
        <w:rPr>
          <w:w w:val="100"/>
        </w:rPr>
        <w:t> </w:t>
      </w:r>
      <w:r>
        <w:rPr/>
        <w:t>无形资产；</w:t>
      </w:r>
    </w:p>
    <w:p>
      <w:pPr>
        <w:pStyle w:val="BodyText"/>
        <w:spacing w:line="240" w:lineRule="auto" w:before="17"/>
        <w:ind w:left="572" w:right="0"/>
        <w:jc w:val="left"/>
      </w:pPr>
      <w:r>
        <w:rPr/>
        <w:t>（</w:t>
      </w:r>
      <w:r>
        <w:rPr>
          <w:rFonts w:ascii="宋体" w:hAnsi="宋体" w:cs="宋体" w:eastAsia="宋体" w:hint="default"/>
        </w:rPr>
        <w:t>5</w:t>
      </w:r>
      <w:r>
        <w:rPr/>
        <w:t>）归属于该无形资产开发阶段的支出能够可靠地计量。</w:t>
      </w:r>
    </w:p>
    <w:p>
      <w:pPr>
        <w:spacing w:line="240" w:lineRule="auto" w:before="3"/>
        <w:rPr>
          <w:rFonts w:ascii="宋体" w:hAnsi="宋体" w:cs="宋体" w:eastAsia="宋体" w:hint="default"/>
          <w:sz w:val="26"/>
          <w:szCs w:val="26"/>
        </w:rPr>
      </w:pPr>
    </w:p>
    <w:p>
      <w:pPr>
        <w:pStyle w:val="BodyText"/>
        <w:spacing w:line="620" w:lineRule="atLeast"/>
        <w:ind w:left="572" w:right="0" w:hanging="420"/>
        <w:jc w:val="left"/>
      </w:pPr>
      <w:bookmarkStart w:name="18、长期资产减值" w:id="152"/>
      <w:bookmarkEnd w:id="152"/>
      <w:r>
        <w:rPr/>
      </w:r>
      <w:r>
        <w:rPr>
          <w:rFonts w:ascii="Times New Roman" w:hAnsi="Times New Roman" w:cs="Times New Roman" w:eastAsia="Times New Roman" w:hint="default"/>
          <w:b/>
          <w:bCs/>
        </w:rPr>
        <w:t>18</w:t>
      </w:r>
      <w:r>
        <w:rPr>
          <w:rFonts w:ascii="宋体" w:hAnsi="宋体" w:cs="宋体" w:eastAsia="宋体" w:hint="default"/>
          <w:b/>
          <w:bCs/>
        </w:rPr>
        <w:t>、长期资产减值</w:t>
      </w:r>
      <w:r>
        <w:rPr>
          <w:rFonts w:ascii="宋体" w:hAnsi="宋体" w:cs="宋体" w:eastAsia="宋体" w:hint="default"/>
          <w:b/>
          <w:bCs/>
          <w:w w:val="100"/>
        </w:rPr>
        <w:t> </w:t>
      </w:r>
      <w:r>
        <w:rPr>
          <w:spacing w:val="-2"/>
        </w:rPr>
        <w:t>本公司在资产负债表日判断长期资产是否存在可能发生减值的迹象。如果长期资产存在减值迹象的，</w:t>
      </w:r>
    </w:p>
    <w:p>
      <w:pPr>
        <w:pStyle w:val="BodyText"/>
        <w:spacing w:line="312" w:lineRule="auto" w:before="85"/>
        <w:ind w:right="0"/>
        <w:jc w:val="left"/>
      </w:pPr>
      <w:r>
        <w:rPr>
          <w:spacing w:val="-2"/>
        </w:rPr>
        <w:t>以单项资产为基础估计其可收回金额；难以对单项资产的可收回金额进行估计的，以该资产所属的资产组</w:t>
      </w:r>
      <w:r>
        <w:rPr>
          <w:spacing w:val="-43"/>
        </w:rPr>
        <w:t> </w:t>
      </w:r>
      <w:r>
        <w:rPr>
          <w:spacing w:val="-43"/>
        </w:rPr>
      </w:r>
      <w:r>
        <w:rPr/>
        <w:t>为基础确定资产组的可收回金额。</w:t>
      </w:r>
    </w:p>
    <w:p>
      <w:pPr>
        <w:pStyle w:val="BodyText"/>
        <w:spacing w:line="312" w:lineRule="auto" w:before="22"/>
        <w:ind w:right="187" w:firstLine="420"/>
        <w:jc w:val="both"/>
      </w:pPr>
      <w:r>
        <w:rPr>
          <w:spacing w:val="-2"/>
        </w:rPr>
        <w:t>资产可收回金额的估计，根据其公允价值减去处置费用后的净额与资产预计未来现金流量的现值两者</w:t>
      </w:r>
      <w:r>
        <w:rPr>
          <w:w w:val="100"/>
        </w:rPr>
        <w:t> </w:t>
      </w:r>
      <w:r>
        <w:rPr/>
        <w:t>之间较高者确定。</w:t>
      </w:r>
    </w:p>
    <w:p>
      <w:pPr>
        <w:pStyle w:val="BodyText"/>
        <w:spacing w:line="314" w:lineRule="auto" w:before="22"/>
        <w:ind w:right="187" w:firstLine="420"/>
        <w:jc w:val="both"/>
      </w:pPr>
      <w:r>
        <w:rPr>
          <w:spacing w:val="-2"/>
        </w:rPr>
        <w:t>可收回金额的计量结果表明，长期资产的可收回金额低于其账面价值的，将长期资产的账面价值减记</w:t>
      </w:r>
      <w:r>
        <w:rPr>
          <w:w w:val="100"/>
        </w:rPr>
        <w:t> </w:t>
      </w:r>
      <w:r>
        <w:rPr>
          <w:spacing w:val="-2"/>
        </w:rPr>
        <w:t>至可收回金额，减记的金额确认为资产减值损失，计入当期损益，同时计提相应的资产减值准备。资产减</w:t>
      </w:r>
      <w:r>
        <w:rPr>
          <w:spacing w:val="-50"/>
        </w:rPr>
        <w:t> </w:t>
      </w:r>
      <w:r>
        <w:rPr>
          <w:spacing w:val="-50"/>
        </w:rPr>
      </w:r>
      <w:r>
        <w:rPr/>
        <w:t>值损失一经确认，在以后会计期间不得转回。</w:t>
      </w:r>
    </w:p>
    <w:p>
      <w:pPr>
        <w:pStyle w:val="BodyText"/>
        <w:spacing w:line="314" w:lineRule="auto" w:before="17"/>
        <w:ind w:right="187" w:firstLine="420"/>
        <w:jc w:val="both"/>
      </w:pPr>
      <w:r>
        <w:rPr>
          <w:spacing w:val="-2"/>
        </w:rPr>
        <w:t>资产减值损失确认后，减值资产的折旧或者摊销费用在未来期间作相应调整，以使该资产在剩余使用</w:t>
      </w:r>
      <w:r>
        <w:rPr>
          <w:w w:val="100"/>
        </w:rPr>
        <w:t> </w:t>
      </w:r>
      <w:r>
        <w:rPr/>
        <w:t>寿命内，系统地分摊调整后的资产账面价值（扣除预计净残值）。</w:t>
      </w:r>
    </w:p>
    <w:p>
      <w:pPr>
        <w:pStyle w:val="BodyText"/>
        <w:spacing w:line="314" w:lineRule="auto" w:before="17"/>
        <w:ind w:right="187" w:firstLine="420"/>
        <w:jc w:val="both"/>
      </w:pPr>
      <w:r>
        <w:rPr>
          <w:spacing w:val="-2"/>
        </w:rPr>
        <w:t>因企业合并所形成的商誉和使用寿命不确定的无形资产，无论是否存在减值迹象，每年都进行减值测</w:t>
      </w:r>
      <w:r>
        <w:rPr>
          <w:w w:val="100"/>
        </w:rPr>
        <w:t> </w:t>
      </w:r>
      <w:r>
        <w:rPr/>
        <w:t>试。</w:t>
      </w:r>
    </w:p>
    <w:p>
      <w:pPr>
        <w:pStyle w:val="BodyText"/>
        <w:spacing w:line="314" w:lineRule="auto" w:before="17"/>
        <w:ind w:right="187" w:firstLine="420"/>
        <w:jc w:val="both"/>
      </w:pPr>
      <w:r>
        <w:rPr>
          <w:spacing w:val="-2"/>
        </w:rPr>
        <w:t>商誉结合与其相关的资产组或者资产组组合进行减值测试。在对包含商誉的相关资产组或者资产组组</w:t>
      </w:r>
      <w:r>
        <w:rPr>
          <w:w w:val="100"/>
        </w:rPr>
        <w:t> </w:t>
      </w:r>
      <w:r>
        <w:rPr>
          <w:spacing w:val="-2"/>
        </w:rPr>
        <w:t>合进行减值测试时，如与商誉相关的资产组或者资产组组合存在减值迹象的，先对不包含商誉的资产组或</w:t>
      </w:r>
      <w:r>
        <w:rPr>
          <w:spacing w:val="-43"/>
        </w:rPr>
        <w:t> </w:t>
      </w:r>
      <w:r>
        <w:rPr>
          <w:spacing w:val="-43"/>
        </w:rPr>
      </w:r>
      <w:r>
        <w:rPr>
          <w:spacing w:val="-2"/>
        </w:rPr>
        <w:t>者资产组组合进行减值测试，计算可收回金额，并与相关账面价值相比较，确认相应的减值损失。再对包</w:t>
      </w:r>
      <w:r>
        <w:rPr>
          <w:spacing w:val="-48"/>
        </w:rPr>
        <w:t> </w:t>
      </w:r>
      <w:r>
        <w:rPr>
          <w:spacing w:val="-48"/>
        </w:rPr>
      </w:r>
      <w:r>
        <w:rPr>
          <w:spacing w:val="-2"/>
        </w:rPr>
        <w:t>含商誉的资产组或者资产组组合进行减值测试，比较这些相关资产组或者资产组组合的账面价值（包括所</w:t>
      </w:r>
      <w:r>
        <w:rPr>
          <w:spacing w:val="-43"/>
        </w:rPr>
        <w:t> </w:t>
      </w:r>
      <w:r>
        <w:rPr>
          <w:spacing w:val="-43"/>
        </w:rPr>
      </w:r>
      <w:r>
        <w:rPr>
          <w:spacing w:val="-2"/>
        </w:rPr>
        <w:t>分摊的商誉的账面价值部分）与其可收回金额，如相关资产组或者资产组组合的可收回金额低于其账面价</w:t>
      </w:r>
      <w:r>
        <w:rPr>
          <w:spacing w:val="-43"/>
        </w:rPr>
        <w:t> </w:t>
      </w:r>
      <w:r>
        <w:rPr>
          <w:spacing w:val="-43"/>
        </w:rPr>
      </w:r>
      <w:r>
        <w:rPr/>
        <w:t>值的，确认商誉的减值损失。</w:t>
      </w:r>
    </w:p>
    <w:p>
      <w:pPr>
        <w:spacing w:after="0" w:line="314" w:lineRule="auto"/>
        <w:jc w:val="both"/>
        <w:sectPr>
          <w:pgSz w:w="11910" w:h="16840"/>
          <w:pgMar w:header="880" w:footer="979" w:top="1060" w:bottom="1160" w:left="980" w:right="940"/>
        </w:sectPr>
      </w:pPr>
    </w:p>
    <w:p>
      <w:pPr>
        <w:spacing w:line="240" w:lineRule="auto" w:before="8"/>
        <w:rPr>
          <w:rFonts w:ascii="宋体" w:hAnsi="宋体" w:cs="宋体" w:eastAsia="宋体" w:hint="default"/>
          <w:sz w:val="24"/>
          <w:szCs w:val="24"/>
        </w:rPr>
      </w:pPr>
    </w:p>
    <w:p>
      <w:pPr>
        <w:pStyle w:val="Heading5"/>
        <w:spacing w:line="240" w:lineRule="auto" w:before="36"/>
        <w:ind w:left="575" w:right="106" w:hanging="423"/>
        <w:jc w:val="left"/>
        <w:rPr>
          <w:b w:val="0"/>
          <w:bCs w:val="0"/>
        </w:rPr>
      </w:pPr>
      <w:r>
        <w:rPr>
          <w:rFonts w:ascii="Times New Roman" w:hAnsi="Times New Roman" w:cs="Times New Roman" w:eastAsia="Times New Roman" w:hint="default"/>
        </w:rPr>
        <w:t>19</w:t>
      </w:r>
      <w:r>
        <w:rPr/>
        <w:t>、长期待摊费用</w:t>
      </w:r>
      <w:r>
        <w:rPr>
          <w:b w:val="0"/>
          <w:bCs w:val="0"/>
        </w:rPr>
      </w:r>
    </w:p>
    <w:p>
      <w:pPr>
        <w:spacing w:line="240" w:lineRule="auto" w:before="0"/>
        <w:rPr>
          <w:rFonts w:ascii="宋体" w:hAnsi="宋体" w:cs="宋体" w:eastAsia="宋体" w:hint="default"/>
          <w:b/>
          <w:bCs/>
          <w:sz w:val="22"/>
          <w:szCs w:val="22"/>
        </w:rPr>
      </w:pPr>
    </w:p>
    <w:p>
      <w:pPr>
        <w:pStyle w:val="BodyText"/>
        <w:spacing w:line="292" w:lineRule="auto" w:before="156"/>
        <w:ind w:left="572" w:right="106" w:firstLine="2"/>
        <w:jc w:val="left"/>
      </w:pPr>
      <w:bookmarkStart w:name="19、长期待摊费用" w:id="153"/>
      <w:bookmarkEnd w:id="153"/>
      <w:r>
        <w:rPr/>
      </w:r>
      <w:r>
        <w:rPr>
          <w:rFonts w:ascii="宋体" w:hAnsi="宋体" w:cs="宋体" w:eastAsia="宋体" w:hint="default"/>
          <w:b/>
          <w:bCs/>
        </w:rPr>
        <w:t>一．摊销方法</w:t>
      </w:r>
      <w:r>
        <w:rPr>
          <w:rFonts w:ascii="宋体" w:hAnsi="宋体" w:cs="宋体" w:eastAsia="宋体" w:hint="default"/>
          <w:b/>
          <w:bCs/>
          <w:w w:val="100"/>
        </w:rPr>
        <w:t> </w:t>
      </w:r>
      <w:r>
        <w:rPr/>
        <w:t>长期待摊费用，是指本公司已经发生但应由本期和以后各期负担的分摊期限在</w:t>
      </w:r>
      <w:r>
        <w:rPr>
          <w:rFonts w:ascii="宋体" w:hAnsi="宋体" w:cs="宋体" w:eastAsia="宋体" w:hint="default"/>
        </w:rPr>
        <w:t>1</w:t>
      </w:r>
      <w:r>
        <w:rPr/>
        <w:t>年以上的各项费用。</w:t>
      </w:r>
    </w:p>
    <w:p>
      <w:pPr>
        <w:spacing w:line="292" w:lineRule="auto" w:before="36"/>
        <w:ind w:left="575" w:right="4853" w:hanging="423"/>
        <w:jc w:val="left"/>
        <w:rPr>
          <w:rFonts w:ascii="宋体" w:hAnsi="宋体" w:cs="宋体" w:eastAsia="宋体" w:hint="default"/>
          <w:sz w:val="21"/>
          <w:szCs w:val="21"/>
        </w:rPr>
      </w:pPr>
      <w:r>
        <w:rPr>
          <w:rFonts w:ascii="宋体" w:hAnsi="宋体" w:cs="宋体" w:eastAsia="宋体" w:hint="default"/>
          <w:spacing w:val="-2"/>
          <w:sz w:val="21"/>
          <w:szCs w:val="21"/>
        </w:rPr>
        <w:t>长期待摊费用在受益期内按直接法分期摊销。</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b/>
          <w:bCs/>
          <w:sz w:val="21"/>
          <w:szCs w:val="21"/>
        </w:rPr>
        <w:t>二．摊销年限</w:t>
      </w:r>
      <w:r>
        <w:rPr>
          <w:rFonts w:ascii="宋体" w:hAnsi="宋体" w:cs="宋体" w:eastAsia="宋体" w:hint="default"/>
          <w:sz w:val="21"/>
          <w:szCs w:val="21"/>
        </w:rPr>
      </w:r>
    </w:p>
    <w:p>
      <w:pPr>
        <w:spacing w:line="240" w:lineRule="auto" w:before="1"/>
        <w:rPr>
          <w:rFonts w:ascii="宋体" w:hAnsi="宋体" w:cs="宋体" w:eastAsia="宋体" w:hint="default"/>
          <w:b/>
          <w:bCs/>
          <w:sz w:val="24"/>
          <w:szCs w:val="24"/>
        </w:rPr>
      </w:pPr>
    </w:p>
    <w:tbl>
      <w:tblPr>
        <w:tblW w:w="0" w:type="auto"/>
        <w:jc w:val="left"/>
        <w:tblInd w:w="145" w:type="dxa"/>
        <w:tblLayout w:type="fixed"/>
        <w:tblCellMar>
          <w:top w:w="0" w:type="dxa"/>
          <w:left w:w="0" w:type="dxa"/>
          <w:bottom w:w="0" w:type="dxa"/>
          <w:right w:w="0" w:type="dxa"/>
        </w:tblCellMar>
        <w:tblLook w:val="01E0"/>
      </w:tblPr>
      <w:tblGrid>
        <w:gridCol w:w="4003"/>
        <w:gridCol w:w="643"/>
        <w:gridCol w:w="3480"/>
      </w:tblGrid>
      <w:tr>
        <w:trPr>
          <w:trHeight w:val="307" w:hRule="exact"/>
        </w:trPr>
        <w:tc>
          <w:tcPr>
            <w:tcW w:w="4003"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1156" w:right="0"/>
              <w:jc w:val="left"/>
              <w:rPr>
                <w:rFonts w:ascii="宋体" w:hAnsi="宋体" w:cs="宋体" w:eastAsia="宋体" w:hint="default"/>
                <w:sz w:val="21"/>
                <w:szCs w:val="21"/>
              </w:rPr>
            </w:pPr>
            <w:r>
              <w:rPr>
                <w:rFonts w:ascii="宋体" w:hAnsi="宋体" w:cs="宋体" w:eastAsia="宋体" w:hint="default"/>
                <w:sz w:val="21"/>
                <w:szCs w:val="21"/>
              </w:rPr>
              <w:t>长期摊销费用类别</w:t>
            </w:r>
          </w:p>
        </w:tc>
        <w:tc>
          <w:tcPr>
            <w:tcW w:w="643" w:type="dxa"/>
            <w:tcBorders>
              <w:top w:val="single" w:sz="6" w:space="0" w:color="000000"/>
              <w:left w:val="single" w:sz="6" w:space="0" w:color="000000"/>
              <w:bottom w:val="single" w:sz="6" w:space="0" w:color="000000"/>
              <w:right w:val="single" w:sz="6" w:space="0" w:color="000000"/>
            </w:tcBorders>
          </w:tcPr>
          <w:p>
            <w:pPr/>
          </w:p>
        </w:tc>
        <w:tc>
          <w:tcPr>
            <w:tcW w:w="3480"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7" w:right="0"/>
              <w:jc w:val="center"/>
              <w:rPr>
                <w:rFonts w:ascii="宋体" w:hAnsi="宋体" w:cs="宋体" w:eastAsia="宋体" w:hint="default"/>
                <w:sz w:val="21"/>
                <w:szCs w:val="21"/>
              </w:rPr>
            </w:pPr>
            <w:r>
              <w:rPr>
                <w:rFonts w:ascii="宋体" w:hAnsi="宋体" w:cs="宋体" w:eastAsia="宋体" w:hint="default"/>
                <w:sz w:val="21"/>
                <w:szCs w:val="21"/>
              </w:rPr>
              <w:t>摊销年限</w:t>
            </w:r>
          </w:p>
        </w:tc>
      </w:tr>
      <w:tr>
        <w:trPr>
          <w:trHeight w:val="307" w:hRule="exact"/>
        </w:trPr>
        <w:tc>
          <w:tcPr>
            <w:tcW w:w="4003"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4" w:right="0"/>
              <w:jc w:val="left"/>
              <w:rPr>
                <w:rFonts w:ascii="宋体" w:hAnsi="宋体" w:cs="宋体" w:eastAsia="宋体" w:hint="default"/>
                <w:sz w:val="21"/>
                <w:szCs w:val="21"/>
              </w:rPr>
            </w:pPr>
            <w:r>
              <w:rPr>
                <w:rFonts w:ascii="宋体" w:hAnsi="宋体" w:cs="宋体" w:eastAsia="宋体" w:hint="default"/>
                <w:sz w:val="21"/>
                <w:szCs w:val="21"/>
              </w:rPr>
              <w:t>办公楼装修费</w:t>
            </w:r>
          </w:p>
        </w:tc>
        <w:tc>
          <w:tcPr>
            <w:tcW w:w="643" w:type="dxa"/>
            <w:tcBorders>
              <w:top w:val="single" w:sz="6" w:space="0" w:color="000000"/>
              <w:left w:val="single" w:sz="6" w:space="0" w:color="000000"/>
              <w:bottom w:val="single" w:sz="6" w:space="0" w:color="000000"/>
              <w:right w:val="single" w:sz="6" w:space="0" w:color="000000"/>
            </w:tcBorders>
          </w:tcPr>
          <w:p>
            <w:pPr/>
          </w:p>
        </w:tc>
        <w:tc>
          <w:tcPr>
            <w:tcW w:w="3480"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1231"/>
              <w:jc w:val="right"/>
              <w:rPr>
                <w:rFonts w:ascii="宋体" w:hAnsi="宋体" w:cs="宋体" w:eastAsia="宋体" w:hint="default"/>
                <w:sz w:val="21"/>
                <w:szCs w:val="21"/>
              </w:rPr>
            </w:pPr>
            <w:r>
              <w:rPr>
                <w:rFonts w:ascii="Times New Roman" w:hAnsi="Times New Roman" w:cs="Times New Roman" w:eastAsia="Times New Roman" w:hint="default"/>
                <w:sz w:val="21"/>
                <w:szCs w:val="21"/>
              </w:rPr>
              <w:t>60</w:t>
            </w:r>
            <w:r>
              <w:rPr>
                <w:rFonts w:ascii="宋体" w:hAnsi="宋体" w:cs="宋体" w:eastAsia="宋体" w:hint="default"/>
                <w:sz w:val="21"/>
                <w:szCs w:val="21"/>
              </w:rPr>
              <w:t>个月</w:t>
            </w:r>
          </w:p>
        </w:tc>
      </w:tr>
      <w:tr>
        <w:trPr>
          <w:trHeight w:val="310" w:hRule="exact"/>
        </w:trPr>
        <w:tc>
          <w:tcPr>
            <w:tcW w:w="4003"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4" w:right="0"/>
              <w:jc w:val="left"/>
              <w:rPr>
                <w:rFonts w:ascii="宋体" w:hAnsi="宋体" w:cs="宋体" w:eastAsia="宋体" w:hint="default"/>
                <w:sz w:val="21"/>
                <w:szCs w:val="21"/>
              </w:rPr>
            </w:pPr>
            <w:r>
              <w:rPr>
                <w:rFonts w:ascii="宋体" w:hAnsi="宋体" w:cs="宋体" w:eastAsia="宋体" w:hint="default"/>
                <w:sz w:val="21"/>
                <w:szCs w:val="21"/>
              </w:rPr>
              <w:t>仓库装修费</w:t>
            </w:r>
          </w:p>
        </w:tc>
        <w:tc>
          <w:tcPr>
            <w:tcW w:w="643" w:type="dxa"/>
            <w:tcBorders>
              <w:top w:val="single" w:sz="6" w:space="0" w:color="000000"/>
              <w:left w:val="single" w:sz="6" w:space="0" w:color="000000"/>
              <w:bottom w:val="single" w:sz="6" w:space="0" w:color="000000"/>
              <w:right w:val="single" w:sz="6" w:space="0" w:color="000000"/>
            </w:tcBorders>
          </w:tcPr>
          <w:p>
            <w:pPr/>
          </w:p>
        </w:tc>
        <w:tc>
          <w:tcPr>
            <w:tcW w:w="3480"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right="1231"/>
              <w:jc w:val="right"/>
              <w:rPr>
                <w:rFonts w:ascii="宋体" w:hAnsi="宋体" w:cs="宋体" w:eastAsia="宋体" w:hint="default"/>
                <w:sz w:val="21"/>
                <w:szCs w:val="21"/>
              </w:rPr>
            </w:pPr>
            <w:r>
              <w:rPr>
                <w:rFonts w:ascii="Times New Roman" w:hAnsi="Times New Roman" w:cs="Times New Roman" w:eastAsia="Times New Roman" w:hint="default"/>
                <w:sz w:val="21"/>
                <w:szCs w:val="21"/>
              </w:rPr>
              <w:t>29</w:t>
            </w:r>
            <w:r>
              <w:rPr>
                <w:rFonts w:ascii="宋体" w:hAnsi="宋体" w:cs="宋体" w:eastAsia="宋体" w:hint="default"/>
                <w:sz w:val="21"/>
                <w:szCs w:val="21"/>
              </w:rPr>
              <w:t>个月</w:t>
            </w:r>
          </w:p>
        </w:tc>
      </w:tr>
      <w:tr>
        <w:trPr>
          <w:trHeight w:val="307" w:hRule="exact"/>
        </w:trPr>
        <w:tc>
          <w:tcPr>
            <w:tcW w:w="4003"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left="4" w:right="0"/>
              <w:jc w:val="left"/>
              <w:rPr>
                <w:rFonts w:ascii="宋体" w:hAnsi="宋体" w:cs="宋体" w:eastAsia="宋体" w:hint="default"/>
                <w:sz w:val="21"/>
                <w:szCs w:val="21"/>
              </w:rPr>
            </w:pPr>
            <w:r>
              <w:rPr>
                <w:rFonts w:ascii="宋体" w:hAnsi="宋体" w:cs="宋体" w:eastAsia="宋体" w:hint="default"/>
                <w:sz w:val="21"/>
                <w:szCs w:val="21"/>
              </w:rPr>
              <w:t>企业</w:t>
            </w:r>
            <w:r>
              <w:rPr>
                <w:rFonts w:ascii="Times New Roman" w:hAnsi="Times New Roman" w:cs="Times New Roman" w:eastAsia="Times New Roman" w:hint="default"/>
                <w:sz w:val="21"/>
                <w:szCs w:val="21"/>
              </w:rPr>
              <w:t>QQ</w:t>
            </w:r>
            <w:r>
              <w:rPr>
                <w:rFonts w:ascii="宋体" w:hAnsi="宋体" w:cs="宋体" w:eastAsia="宋体" w:hint="default"/>
                <w:sz w:val="21"/>
                <w:szCs w:val="21"/>
              </w:rPr>
              <w:t>服务费</w:t>
            </w:r>
          </w:p>
        </w:tc>
        <w:tc>
          <w:tcPr>
            <w:tcW w:w="643" w:type="dxa"/>
            <w:tcBorders>
              <w:top w:val="single" w:sz="6" w:space="0" w:color="000000"/>
              <w:left w:val="single" w:sz="6" w:space="0" w:color="000000"/>
              <w:bottom w:val="single" w:sz="6" w:space="0" w:color="000000"/>
              <w:right w:val="single" w:sz="6" w:space="0" w:color="000000"/>
            </w:tcBorders>
          </w:tcPr>
          <w:p>
            <w:pPr/>
          </w:p>
        </w:tc>
        <w:tc>
          <w:tcPr>
            <w:tcW w:w="3480"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1231"/>
              <w:jc w:val="right"/>
              <w:rPr>
                <w:rFonts w:ascii="宋体" w:hAnsi="宋体" w:cs="宋体" w:eastAsia="宋体" w:hint="default"/>
                <w:sz w:val="21"/>
                <w:szCs w:val="21"/>
              </w:rPr>
            </w:pPr>
            <w:r>
              <w:rPr>
                <w:rFonts w:ascii="Times New Roman" w:hAnsi="Times New Roman" w:cs="Times New Roman" w:eastAsia="Times New Roman" w:hint="default"/>
                <w:sz w:val="21"/>
                <w:szCs w:val="21"/>
              </w:rPr>
              <w:t>48</w:t>
            </w:r>
            <w:r>
              <w:rPr>
                <w:rFonts w:ascii="宋体" w:hAnsi="宋体" w:cs="宋体" w:eastAsia="宋体" w:hint="default"/>
                <w:sz w:val="21"/>
                <w:szCs w:val="21"/>
              </w:rPr>
              <w:t>个月</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pStyle w:val="Heading5"/>
        <w:spacing w:line="240" w:lineRule="auto" w:before="36"/>
        <w:ind w:right="106"/>
        <w:jc w:val="left"/>
        <w:rPr>
          <w:b w:val="0"/>
          <w:bCs w:val="0"/>
        </w:rPr>
      </w:pPr>
      <w:bookmarkStart w:name="20、职工薪酬" w:id="154"/>
      <w:bookmarkEnd w:id="154"/>
      <w:r>
        <w:rPr>
          <w:b w:val="0"/>
          <w:bCs w:val="0"/>
        </w:rPr>
      </w:r>
      <w:r>
        <w:rPr>
          <w:rFonts w:ascii="Times New Roman" w:hAnsi="Times New Roman" w:cs="Times New Roman" w:eastAsia="Times New Roman" w:hint="default"/>
        </w:rPr>
        <w:t>20</w:t>
      </w:r>
      <w:r>
        <w:rPr/>
        <w:t>、职工薪酬</w:t>
      </w:r>
      <w:r>
        <w:rPr>
          <w:b w:val="0"/>
          <w:bCs w:val="0"/>
        </w:rPr>
      </w:r>
    </w:p>
    <w:p>
      <w:pPr>
        <w:spacing w:line="240" w:lineRule="auto" w:before="7"/>
        <w:rPr>
          <w:rFonts w:ascii="宋体" w:hAnsi="宋体" w:cs="宋体" w:eastAsia="宋体" w:hint="default"/>
          <w:b/>
          <w:bCs/>
          <w:sz w:val="22"/>
          <w:szCs w:val="22"/>
        </w:rPr>
      </w:pPr>
    </w:p>
    <w:p>
      <w:pPr>
        <w:spacing w:line="620" w:lineRule="atLeast" w:before="0"/>
        <w:ind w:left="572" w:right="106" w:hanging="420"/>
        <w:jc w:val="left"/>
        <w:rPr>
          <w:rFonts w:ascii="宋体" w:hAnsi="宋体" w:cs="宋体" w:eastAsia="宋体" w:hint="default"/>
          <w:sz w:val="21"/>
          <w:szCs w:val="21"/>
        </w:rPr>
      </w:pPr>
      <w:bookmarkStart w:name="（1）短期薪酬的会计处理方法" w:id="155"/>
      <w:bookmarkEnd w:id="15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短期薪酬是指本公司在职工提供相关服务的年度报告期间结束后十二个月内需要全部予以支付的职</w:t>
      </w:r>
    </w:p>
    <w:p>
      <w:pPr>
        <w:pStyle w:val="BodyText"/>
        <w:spacing w:line="312" w:lineRule="auto" w:before="85"/>
        <w:ind w:right="106"/>
        <w:jc w:val="left"/>
      </w:pPr>
      <w:r>
        <w:rPr>
          <w:spacing w:val="-5"/>
        </w:rPr>
        <w:t>工薪酬，离职后福利和辞退福利除外。本公司在职工提供服务的会计期间，将应付的短期薪酬确认为负债， </w:t>
      </w:r>
      <w:r>
        <w:rPr/>
        <w:t>并根据职工提供服务的受益对象计入相关资产成本和费用。</w:t>
      </w:r>
    </w:p>
    <w:p>
      <w:pPr>
        <w:spacing w:line="240" w:lineRule="auto" w:before="6"/>
        <w:rPr>
          <w:rFonts w:ascii="宋体" w:hAnsi="宋体" w:cs="宋体" w:eastAsia="宋体" w:hint="default"/>
          <w:sz w:val="21"/>
          <w:szCs w:val="21"/>
        </w:rPr>
      </w:pPr>
    </w:p>
    <w:p>
      <w:pPr>
        <w:spacing w:line="620" w:lineRule="atLeast" w:before="0"/>
        <w:ind w:left="572" w:right="106" w:hanging="420"/>
        <w:jc w:val="left"/>
        <w:rPr>
          <w:rFonts w:ascii="宋体" w:hAnsi="宋体" w:cs="宋体" w:eastAsia="宋体" w:hint="default"/>
          <w:sz w:val="21"/>
          <w:szCs w:val="21"/>
        </w:rPr>
      </w:pPr>
      <w:bookmarkStart w:name="（2）离职后福利的会计处理方法" w:id="156"/>
      <w:bookmarkEnd w:id="15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离职后福利是指本公司为获得职工提供的服务而在职工退休或与企业解除劳动关系后，提供的各种形</w:t>
      </w:r>
    </w:p>
    <w:p>
      <w:pPr>
        <w:pStyle w:val="BodyText"/>
        <w:spacing w:line="312" w:lineRule="auto" w:before="85"/>
        <w:ind w:left="572" w:right="106" w:hanging="421"/>
        <w:jc w:val="left"/>
      </w:pPr>
      <w:r>
        <w:rPr/>
        <w:t>式的报酬和福利，短期薪酬和辞退福利除外。离职后福利计划分类为设定提存计划和设定受益计划。</w:t>
      </w:r>
      <w:r>
        <w:rPr>
          <w:w w:val="100"/>
        </w:rPr>
        <w:t> </w:t>
      </w:r>
      <w:r>
        <w:rPr>
          <w:spacing w:val="-2"/>
        </w:rPr>
        <w:t>离职后福利设定提存计划主要为参加由各地劳动及社会保障机构组织实施的社会基本养老保险、失业</w:t>
      </w:r>
      <w:r>
        <w:rPr/>
      </w:r>
    </w:p>
    <w:p>
      <w:pPr>
        <w:pStyle w:val="BodyText"/>
        <w:spacing w:line="312" w:lineRule="auto" w:before="22"/>
        <w:ind w:right="106"/>
        <w:jc w:val="left"/>
      </w:pPr>
      <w:r>
        <w:rPr>
          <w:spacing w:val="-2"/>
        </w:rPr>
        <w:t>保险等。在职工为本公司提供服务的会计期间，将根据设定提存计划计算的应缴存金额确认为负债，并计</w:t>
      </w:r>
      <w:r>
        <w:rPr>
          <w:spacing w:val="-43"/>
        </w:rPr>
        <w:t> </w:t>
      </w:r>
      <w:r>
        <w:rPr>
          <w:spacing w:val="-43"/>
        </w:rPr>
      </w:r>
      <w:r>
        <w:rPr/>
        <w:t>入当期损益或相关资产成本。</w:t>
      </w:r>
    </w:p>
    <w:p>
      <w:pPr>
        <w:pStyle w:val="BodyText"/>
        <w:spacing w:line="240" w:lineRule="auto" w:before="22"/>
        <w:ind w:left="572" w:right="106"/>
        <w:jc w:val="left"/>
      </w:pPr>
      <w:r>
        <w:rPr/>
        <w:t>本公司按照国家规定的标准定期缴付上述款项后，不再有其他的支付义务。</w:t>
      </w:r>
    </w:p>
    <w:p>
      <w:pPr>
        <w:spacing w:line="240" w:lineRule="auto" w:before="1"/>
        <w:rPr>
          <w:rFonts w:ascii="宋体" w:hAnsi="宋体" w:cs="宋体" w:eastAsia="宋体" w:hint="default"/>
          <w:sz w:val="26"/>
          <w:szCs w:val="26"/>
        </w:rPr>
      </w:pPr>
    </w:p>
    <w:p>
      <w:pPr>
        <w:spacing w:line="620" w:lineRule="atLeast" w:before="0"/>
        <w:ind w:left="572" w:right="106" w:hanging="420"/>
        <w:jc w:val="left"/>
        <w:rPr>
          <w:rFonts w:ascii="宋体" w:hAnsi="宋体" w:cs="宋体" w:eastAsia="宋体" w:hint="default"/>
          <w:sz w:val="21"/>
          <w:szCs w:val="21"/>
        </w:rPr>
      </w:pPr>
      <w:bookmarkStart w:name="（3）辞退福利的会计处理方法" w:id="157"/>
      <w:bookmarkEnd w:id="15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辞退福利是指本公司在职工劳动合同到期之前解除与职工的劳动关系，或者为鼓励职工自愿接受裁减</w:t>
      </w:r>
    </w:p>
    <w:p>
      <w:pPr>
        <w:pStyle w:val="BodyText"/>
        <w:spacing w:line="240" w:lineRule="auto" w:before="82"/>
        <w:ind w:right="106"/>
        <w:jc w:val="left"/>
      </w:pPr>
      <w:r>
        <w:rPr/>
        <w:t>而给予职工的补偿，在发生当期计入当期损益。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525" w:lineRule="auto" w:before="149"/>
        <w:ind w:left="572" w:right="106" w:hanging="420"/>
        <w:jc w:val="left"/>
        <w:rPr>
          <w:rFonts w:ascii="宋体" w:hAnsi="宋体" w:cs="宋体" w:eastAsia="宋体" w:hint="default"/>
          <w:sz w:val="21"/>
          <w:szCs w:val="21"/>
        </w:rPr>
      </w:pPr>
      <w:bookmarkStart w:name="（4）其他长期职工福利的会计处理方法" w:id="158"/>
      <w:bookmarkEnd w:id="15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）其他长期职工福利的会计处理方法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其他长期职工福利是指除短期薪酬、离职后福利、辞退福利之外的其他所有职工福利。</w:t>
      </w:r>
    </w:p>
    <w:p>
      <w:pPr>
        <w:spacing w:after="0" w:line="525" w:lineRule="auto"/>
        <w:jc w:val="left"/>
        <w:rPr>
          <w:rFonts w:ascii="宋体" w:hAnsi="宋体" w:cs="宋体" w:eastAsia="宋体" w:hint="default"/>
          <w:sz w:val="21"/>
          <w:szCs w:val="21"/>
        </w:rPr>
        <w:sectPr>
          <w:pgSz w:w="11910" w:h="16840"/>
          <w:pgMar w:header="880" w:footer="979" w:top="1060" w:bottom="1160" w:left="980" w:right="920"/>
        </w:sectPr>
      </w:pPr>
    </w:p>
    <w:p>
      <w:pPr>
        <w:spacing w:line="240" w:lineRule="auto" w:before="6"/>
        <w:rPr>
          <w:rFonts w:ascii="宋体" w:hAnsi="宋体" w:cs="宋体" w:eastAsia="宋体" w:hint="default"/>
          <w:sz w:val="26"/>
          <w:szCs w:val="26"/>
        </w:rPr>
      </w:pPr>
    </w:p>
    <w:p>
      <w:pPr>
        <w:pStyle w:val="BodyText"/>
        <w:spacing w:line="312" w:lineRule="auto" w:before="36"/>
        <w:ind w:right="106" w:firstLine="420"/>
        <w:jc w:val="left"/>
      </w:pPr>
      <w:r>
        <w:rPr>
          <w:spacing w:val="-2"/>
        </w:rPr>
        <w:t>对符合设定提存计划条件的其他长期职工福利，在职工为本公司提供服务的会计期间，将应缴存金额</w:t>
      </w:r>
      <w:r>
        <w:rPr>
          <w:w w:val="100"/>
        </w:rPr>
        <w:t> </w:t>
      </w:r>
      <w:r>
        <w:rPr/>
        <w:t>确认为负债，并计入当期损益或相关资产成本。</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32"/>
        <w:ind w:right="106"/>
        <w:jc w:val="left"/>
        <w:rPr>
          <w:b w:val="0"/>
          <w:bCs w:val="0"/>
        </w:rPr>
      </w:pPr>
      <w:bookmarkStart w:name="21、预计负债" w:id="159"/>
      <w:bookmarkEnd w:id="159"/>
      <w:r>
        <w:rPr>
          <w:b w:val="0"/>
          <w:bCs w:val="0"/>
        </w:rPr>
      </w:r>
      <w:r>
        <w:rPr>
          <w:rFonts w:ascii="Times New Roman" w:hAnsi="Times New Roman" w:cs="Times New Roman" w:eastAsia="Times New Roman" w:hint="default"/>
        </w:rPr>
        <w:t>21</w:t>
      </w:r>
      <w:r>
        <w:rPr/>
        <w:t>、预计负债</w:t>
      </w:r>
      <w:r>
        <w:rPr>
          <w:b w:val="0"/>
          <w:bCs w:val="0"/>
        </w:rPr>
      </w:r>
    </w:p>
    <w:p>
      <w:pPr>
        <w:spacing w:line="240" w:lineRule="auto" w:before="7"/>
        <w:rPr>
          <w:rFonts w:ascii="宋体" w:hAnsi="宋体" w:cs="宋体" w:eastAsia="宋体" w:hint="default"/>
          <w:b/>
          <w:bCs/>
          <w:sz w:val="26"/>
          <w:szCs w:val="26"/>
        </w:rPr>
      </w:pPr>
    </w:p>
    <w:p>
      <w:pPr>
        <w:pStyle w:val="BodyText"/>
        <w:spacing w:line="314" w:lineRule="auto"/>
        <w:ind w:left="572" w:right="2314"/>
        <w:jc w:val="left"/>
      </w:pPr>
      <w:r>
        <w:rPr>
          <w:rFonts w:ascii="宋体" w:hAnsi="宋体" w:cs="宋体" w:eastAsia="宋体" w:hint="default"/>
          <w:b/>
          <w:bCs/>
        </w:rPr>
        <w:t>一、预计负债的确认标准</w:t>
      </w:r>
      <w:r>
        <w:rPr>
          <w:rFonts w:ascii="宋体" w:hAnsi="宋体" w:cs="宋体" w:eastAsia="宋体" w:hint="default"/>
          <w:b/>
          <w:bCs/>
          <w:w w:val="100"/>
        </w:rPr>
        <w:t> </w:t>
      </w:r>
      <w:r>
        <w:rPr>
          <w:spacing w:val="-2"/>
        </w:rPr>
        <w:t>与或有事项相关的义务同时满足下列条件时，本公司确认为预计负债</w:t>
      </w:r>
      <w:r>
        <w:rPr>
          <w:spacing w:val="-48"/>
        </w:rPr>
        <w:t> </w:t>
      </w:r>
      <w:r>
        <w:rPr>
          <w:spacing w:val="-48"/>
        </w:rPr>
      </w:r>
      <w:r>
        <w:rPr/>
        <w:t>该义务是本公司承担的现时义务；</w:t>
      </w:r>
      <w:r>
        <w:rPr>
          <w:w w:val="100"/>
        </w:rPr>
        <w:t> </w:t>
      </w:r>
      <w:r>
        <w:rPr/>
        <w:t>履行该义务很可能导致经济利益流出本公司；</w:t>
      </w:r>
      <w:r>
        <w:rPr>
          <w:w w:val="100"/>
        </w:rPr>
        <w:t> </w:t>
      </w:r>
      <w:r>
        <w:rPr/>
        <w:t>该义务的金额能够可靠地计量。</w:t>
      </w:r>
    </w:p>
    <w:p>
      <w:pPr>
        <w:pStyle w:val="BodyText"/>
        <w:spacing w:line="314" w:lineRule="auto" w:before="20"/>
        <w:ind w:left="572" w:right="106"/>
        <w:jc w:val="left"/>
      </w:pPr>
      <w:r>
        <w:rPr>
          <w:rFonts w:ascii="宋体" w:hAnsi="宋体" w:cs="宋体" w:eastAsia="宋体" w:hint="default"/>
          <w:b/>
          <w:bCs/>
        </w:rPr>
        <w:t>二、预计负债的计量方法</w:t>
      </w:r>
      <w:r>
        <w:rPr>
          <w:rFonts w:ascii="宋体" w:hAnsi="宋体" w:cs="宋体" w:eastAsia="宋体" w:hint="default"/>
          <w:b/>
          <w:bCs/>
          <w:w w:val="100"/>
        </w:rPr>
        <w:t> </w:t>
      </w:r>
      <w:r>
        <w:rPr/>
        <w:t>本公司预计负债按履行相关现时义务所需的支出的最佳估计数进行初始计量。</w:t>
      </w:r>
      <w:r>
        <w:rPr>
          <w:w w:val="100"/>
        </w:rPr>
        <w:t> </w:t>
      </w:r>
      <w:r>
        <w:rPr>
          <w:spacing w:val="-2"/>
        </w:rPr>
        <w:t>本公司在确定最佳估计数时，综合考虑与或有事项有关的风险、不确定性和货币时间价值等因素。对</w:t>
      </w:r>
    </w:p>
    <w:p>
      <w:pPr>
        <w:pStyle w:val="BodyText"/>
        <w:spacing w:line="314" w:lineRule="auto" w:before="17"/>
        <w:ind w:left="572" w:right="106" w:hanging="421"/>
        <w:jc w:val="left"/>
      </w:pPr>
      <w:r>
        <w:rPr/>
        <w:t>于货币时间价值影响重大的，通过对相关未来现金流出进行折现后确定最佳估计数。</w:t>
      </w:r>
      <w:r>
        <w:rPr>
          <w:w w:val="100"/>
        </w:rPr>
        <w:t> </w:t>
      </w:r>
      <w:r>
        <w:rPr/>
        <w:t>最佳估计数分别以下情况处理：</w:t>
      </w:r>
      <w:r>
        <w:rPr>
          <w:w w:val="100"/>
        </w:rPr>
        <w:t> </w:t>
      </w:r>
      <w:r>
        <w:rPr>
          <w:spacing w:val="-2"/>
        </w:rPr>
        <w:t>所需支出存在一个连续范围（或区间），且该范围内各种结果发生的可能性相同的，则最佳估计数按</w:t>
      </w:r>
    </w:p>
    <w:p>
      <w:pPr>
        <w:pStyle w:val="BodyText"/>
        <w:spacing w:line="312" w:lineRule="auto" w:before="20"/>
        <w:ind w:left="572" w:right="106" w:hanging="420"/>
        <w:jc w:val="left"/>
      </w:pPr>
      <w:r>
        <w:rPr/>
        <w:t>照该范围的中间值即上下限金额的平均数确定。</w:t>
      </w:r>
      <w:r>
        <w:rPr>
          <w:w w:val="100"/>
        </w:rPr>
        <w:t> </w:t>
      </w:r>
      <w:r>
        <w:rPr>
          <w:spacing w:val="-2"/>
        </w:rPr>
        <w:t>所需支出不存在一个连续范围（或区间），或虽然存在一个连续范围但该范围内各种结果发生的可能</w:t>
      </w:r>
    </w:p>
    <w:p>
      <w:pPr>
        <w:pStyle w:val="BodyText"/>
        <w:spacing w:line="314" w:lineRule="auto" w:before="19"/>
        <w:ind w:right="106"/>
        <w:jc w:val="left"/>
      </w:pPr>
      <w:r>
        <w:rPr>
          <w:spacing w:val="-2"/>
        </w:rPr>
        <w:t>性不相同的，如或有事项涉及单个项目的，则最佳估计数按照最可能发生金额确定；如或有事项涉及多个</w:t>
      </w:r>
      <w:r>
        <w:rPr>
          <w:spacing w:val="-43"/>
        </w:rPr>
        <w:t> </w:t>
      </w:r>
      <w:r>
        <w:rPr>
          <w:spacing w:val="-43"/>
        </w:rPr>
      </w:r>
      <w:r>
        <w:rPr/>
        <w:t>项目的，则最佳估计数按各种可能结果及相关概率计算确定。</w:t>
      </w:r>
    </w:p>
    <w:p>
      <w:pPr>
        <w:pStyle w:val="BodyText"/>
        <w:spacing w:line="314" w:lineRule="auto" w:before="17"/>
        <w:ind w:right="106" w:firstLine="420"/>
        <w:jc w:val="left"/>
      </w:pPr>
      <w:r>
        <w:rPr>
          <w:spacing w:val="-2"/>
        </w:rPr>
        <w:t>本公司清偿预计负债所需支出全部或部分预期由第三方补偿的，补偿金额在基本确定能够收到时，作</w:t>
      </w:r>
      <w:r>
        <w:rPr>
          <w:w w:val="100"/>
        </w:rPr>
        <w:t> </w:t>
      </w:r>
      <w:r>
        <w:rPr/>
        <w:t>为资产单独确认，确认的补偿金额不超过预计负债的账面价值。</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Heading5"/>
        <w:spacing w:line="528" w:lineRule="auto"/>
        <w:ind w:left="572" w:right="8577" w:hanging="420"/>
        <w:jc w:val="left"/>
        <w:rPr>
          <w:rFonts w:ascii="宋体" w:hAnsi="宋体" w:cs="宋体" w:eastAsia="宋体" w:hint="default"/>
          <w:b w:val="0"/>
          <w:bCs w:val="0"/>
        </w:rPr>
      </w:pPr>
      <w:bookmarkStart w:name="22、股份支付" w:id="160"/>
      <w:bookmarkEnd w:id="160"/>
      <w:r>
        <w:rPr>
          <w:b w:val="0"/>
          <w:bCs w:val="0"/>
        </w:rPr>
      </w:r>
      <w:r>
        <w:rPr>
          <w:rFonts w:ascii="Times New Roman" w:hAnsi="Times New Roman" w:cs="Times New Roman" w:eastAsia="Times New Roman" w:hint="default"/>
          <w:spacing w:val="-1"/>
        </w:rPr>
        <w:t>22</w:t>
      </w:r>
      <w:r>
        <w:rPr>
          <w:spacing w:val="-1"/>
        </w:rPr>
        <w:t>、股份支付</w:t>
      </w:r>
      <w:r>
        <w:rPr>
          <w:spacing w:val="-102"/>
        </w:rPr>
        <w:t> </w:t>
      </w:r>
      <w:r>
        <w:rPr>
          <w:spacing w:val="-102"/>
        </w:rPr>
      </w:r>
      <w:r>
        <w:rPr>
          <w:rFonts w:ascii="宋体" w:hAnsi="宋体" w:cs="宋体" w:eastAsia="宋体" w:hint="default"/>
          <w:b w:val="0"/>
          <w:bCs w:val="0"/>
        </w:rPr>
        <w:t>无。</w:t>
      </w:r>
    </w:p>
    <w:p>
      <w:pPr>
        <w:pStyle w:val="Heading5"/>
        <w:spacing w:line="528" w:lineRule="auto" w:before="106"/>
        <w:ind w:left="572" w:right="6116" w:hanging="420"/>
        <w:jc w:val="left"/>
        <w:rPr>
          <w:rFonts w:ascii="宋体" w:hAnsi="宋体" w:cs="宋体" w:eastAsia="宋体" w:hint="default"/>
          <w:b w:val="0"/>
          <w:bCs w:val="0"/>
        </w:rPr>
      </w:pPr>
      <w:bookmarkStart w:name="23、优先股、永续债等其他金融工具" w:id="161"/>
      <w:bookmarkEnd w:id="161"/>
      <w:r>
        <w:rPr>
          <w:b w:val="0"/>
          <w:bCs w:val="0"/>
        </w:rPr>
      </w:r>
      <w:r>
        <w:rPr>
          <w:rFonts w:ascii="Times New Roman" w:hAnsi="Times New Roman" w:cs="Times New Roman" w:eastAsia="Times New Roman" w:hint="default"/>
          <w:spacing w:val="-2"/>
        </w:rPr>
        <w:t>23</w:t>
      </w:r>
      <w:r>
        <w:rPr>
          <w:spacing w:val="-2"/>
        </w:rPr>
        <w:t>、优先股、永续债等其他金融工具</w:t>
      </w:r>
      <w:r>
        <w:rPr>
          <w:spacing w:val="-83"/>
        </w:rPr>
        <w:t> </w:t>
      </w:r>
      <w:r>
        <w:rPr>
          <w:spacing w:val="-83"/>
        </w:rPr>
      </w:r>
      <w:r>
        <w:rPr>
          <w:rFonts w:ascii="宋体" w:hAnsi="宋体" w:cs="宋体" w:eastAsia="宋体" w:hint="default"/>
          <w:b w:val="0"/>
          <w:bCs w:val="0"/>
        </w:rPr>
        <w:t>无。</w:t>
      </w:r>
    </w:p>
    <w:p>
      <w:pPr>
        <w:pStyle w:val="Heading5"/>
        <w:spacing w:line="240" w:lineRule="auto" w:before="106"/>
        <w:ind w:right="106"/>
        <w:jc w:val="left"/>
        <w:rPr>
          <w:b w:val="0"/>
          <w:bCs w:val="0"/>
        </w:rPr>
      </w:pPr>
      <w:bookmarkStart w:name="24、收入" w:id="162"/>
      <w:bookmarkEnd w:id="162"/>
      <w:r>
        <w:rPr>
          <w:b w:val="0"/>
          <w:bCs w:val="0"/>
        </w:rPr>
      </w:r>
      <w:r>
        <w:rPr>
          <w:rFonts w:ascii="Times New Roman" w:hAnsi="Times New Roman" w:cs="Times New Roman" w:eastAsia="Times New Roman" w:hint="default"/>
        </w:rPr>
        <w:t>24</w:t>
      </w:r>
      <w:r>
        <w:rPr/>
        <w:t>、收入</w:t>
      </w:r>
      <w:r>
        <w:rPr>
          <w:b w:val="0"/>
          <w:bCs w:val="0"/>
        </w:rPr>
      </w:r>
    </w:p>
    <w:p>
      <w:pPr>
        <w:spacing w:line="240" w:lineRule="auto" w:before="7"/>
        <w:rPr>
          <w:rFonts w:ascii="宋体" w:hAnsi="宋体" w:cs="宋体" w:eastAsia="宋体" w:hint="default"/>
          <w:b/>
          <w:bCs/>
          <w:sz w:val="26"/>
          <w:szCs w:val="26"/>
        </w:rPr>
      </w:pPr>
    </w:p>
    <w:p>
      <w:pPr>
        <w:spacing w:line="312" w:lineRule="auto" w:before="0"/>
        <w:ind w:left="572" w:right="106" w:firstLine="0"/>
        <w:jc w:val="left"/>
        <w:rPr>
          <w:rFonts w:ascii="宋体" w:hAnsi="宋体" w:cs="宋体" w:eastAsia="宋体" w:hint="default"/>
          <w:sz w:val="21"/>
          <w:szCs w:val="21"/>
        </w:rPr>
      </w:pPr>
      <w:r>
        <w:rPr>
          <w:rFonts w:ascii="宋体" w:hAnsi="宋体" w:cs="宋体" w:eastAsia="宋体" w:hint="default"/>
          <w:b/>
          <w:bCs/>
          <w:sz w:val="21"/>
          <w:szCs w:val="21"/>
        </w:rPr>
        <w:t>一、销售商品收入确认时间的具体判断标准</w:t>
      </w:r>
      <w:r>
        <w:rPr>
          <w:rFonts w:ascii="宋体" w:hAnsi="宋体" w:cs="宋体" w:eastAsia="宋体" w:hint="default"/>
          <w:b/>
          <w:bCs/>
          <w:w w:val="100"/>
          <w:sz w:val="21"/>
          <w:szCs w:val="21"/>
        </w:rPr>
        <w:t> </w:t>
      </w:r>
      <w:r>
        <w:rPr>
          <w:rFonts w:ascii="宋体" w:hAnsi="宋体" w:cs="宋体" w:eastAsia="宋体" w:hint="default"/>
          <w:spacing w:val="-2"/>
          <w:sz w:val="21"/>
          <w:szCs w:val="21"/>
        </w:rPr>
        <w:t>公司已将商品所有权上的主要风险和报酬转移给购买方；公司既没有保留与所有权相联系的继续管理</w:t>
      </w:r>
    </w:p>
    <w:p>
      <w:pPr>
        <w:pStyle w:val="BodyText"/>
        <w:spacing w:line="312" w:lineRule="auto" w:before="22"/>
        <w:ind w:right="106"/>
        <w:jc w:val="left"/>
      </w:pPr>
      <w:r>
        <w:rPr>
          <w:spacing w:val="-5"/>
        </w:rPr>
        <w:t>权，也没有对已售出的商品实施有效控制；收入的金额能够可靠地计量；相关的经济利益很可能流入企业；</w:t>
      </w:r>
      <w:r>
        <w:rPr>
          <w:spacing w:val="-6"/>
        </w:rPr>
        <w:t> </w:t>
      </w:r>
      <w:r>
        <w:rPr>
          <w:spacing w:val="-6"/>
        </w:rPr>
      </w:r>
      <w:r>
        <w:rPr>
          <w:spacing w:val="-5"/>
        </w:rPr>
        <w:t>相关的已发生或将发生的成本能够可靠地计量时，确认商品销售收入实现。各销售方式收入确认说明如下：</w:t>
      </w:r>
      <w:r>
        <w:rPr/>
      </w:r>
    </w:p>
    <w:p>
      <w:pPr>
        <w:pStyle w:val="BodyText"/>
        <w:spacing w:line="240" w:lineRule="auto" w:before="22"/>
        <w:ind w:left="572" w:right="106"/>
        <w:jc w:val="left"/>
      </w:pPr>
      <w:r>
        <w:rPr/>
        <w:t>（</w:t>
      </w:r>
      <w:r>
        <w:rPr>
          <w:rFonts w:ascii="宋体" w:hAnsi="宋体" w:cs="宋体" w:eastAsia="宋体" w:hint="default"/>
        </w:rPr>
        <w:t>1</w:t>
      </w:r>
      <w:r>
        <w:rPr/>
        <w:t>）直接销售收入确认</w:t>
      </w:r>
    </w:p>
    <w:p>
      <w:pPr>
        <w:spacing w:after="0" w:line="240" w:lineRule="auto"/>
        <w:jc w:val="left"/>
        <w:sectPr>
          <w:pgSz w:w="11910" w:h="16840"/>
          <w:pgMar w:header="880" w:footer="979" w:top="1060" w:bottom="1160" w:left="980" w:right="920"/>
        </w:sectPr>
      </w:pPr>
    </w:p>
    <w:p>
      <w:pPr>
        <w:spacing w:line="240" w:lineRule="auto" w:before="6"/>
        <w:rPr>
          <w:rFonts w:ascii="宋体" w:hAnsi="宋体" w:cs="宋体" w:eastAsia="宋体" w:hint="default"/>
          <w:sz w:val="26"/>
          <w:szCs w:val="26"/>
        </w:rPr>
      </w:pPr>
    </w:p>
    <w:p>
      <w:pPr>
        <w:pStyle w:val="BodyText"/>
        <w:spacing w:line="312" w:lineRule="auto" w:before="36"/>
        <w:ind w:right="147" w:firstLine="420"/>
        <w:jc w:val="both"/>
      </w:pPr>
      <w:r>
        <w:rPr>
          <w:spacing w:val="-2"/>
        </w:rPr>
        <w:t>公司根据学生或家长的订单情况，通过第三方物流进行配送，由公司当地营销人员负责向中小学生或</w:t>
      </w:r>
      <w:r>
        <w:rPr>
          <w:w w:val="100"/>
        </w:rPr>
        <w:t> </w:t>
      </w:r>
      <w:r>
        <w:rPr/>
        <w:t>其家长发放，在与中小学生或其家长进行确认并收款后，直接确认销售收入。</w:t>
      </w:r>
    </w:p>
    <w:p>
      <w:pPr>
        <w:pStyle w:val="BodyText"/>
        <w:spacing w:line="312" w:lineRule="auto" w:before="22"/>
        <w:ind w:left="572" w:right="0"/>
        <w:jc w:val="left"/>
      </w:pPr>
      <w:r>
        <w:rPr/>
        <w:t>（</w:t>
      </w:r>
      <w:r>
        <w:rPr>
          <w:rFonts w:ascii="宋体" w:hAnsi="宋体" w:cs="宋体" w:eastAsia="宋体" w:hint="default"/>
        </w:rPr>
        <w:t>2</w:t>
      </w:r>
      <w:r>
        <w:rPr/>
        <w:t>）教育系统征订销售渠道收入确认</w:t>
      </w:r>
      <w:r>
        <w:rPr>
          <w:w w:val="100"/>
        </w:rPr>
        <w:t> </w:t>
      </w:r>
      <w:r>
        <w:rPr>
          <w:spacing w:val="-2"/>
        </w:rPr>
        <w:t>根据订单规定的交货时间及送货地址由仓库根据商务开具的发货单明细配送发货；成品送至客户指定</w:t>
      </w:r>
    </w:p>
    <w:p>
      <w:pPr>
        <w:pStyle w:val="BodyText"/>
        <w:spacing w:line="314" w:lineRule="auto" w:before="22"/>
        <w:ind w:right="147"/>
        <w:jc w:val="both"/>
      </w:pPr>
      <w:r>
        <w:rPr>
          <w:spacing w:val="-2"/>
        </w:rPr>
        <w:t>收货点后，由收货单位于送货单上盖章签字确认；相关送货人员将客户盖章签字确认的送货单交财务部门</w:t>
      </w:r>
      <w:r>
        <w:rPr>
          <w:spacing w:val="-42"/>
        </w:rPr>
        <w:t> </w:t>
      </w:r>
      <w:r>
        <w:rPr>
          <w:spacing w:val="-42"/>
        </w:rPr>
      </w:r>
      <w:r>
        <w:rPr>
          <w:spacing w:val="-2"/>
        </w:rPr>
        <w:t>和销售部门各一联；由公司商务部根据客户确认的送货单与客户核对产品品种、数量，根据合同单价制作</w:t>
      </w:r>
      <w:r>
        <w:rPr>
          <w:spacing w:val="-44"/>
        </w:rPr>
        <w:t> </w:t>
      </w:r>
      <w:r>
        <w:rPr>
          <w:spacing w:val="-44"/>
        </w:rPr>
      </w:r>
      <w:r>
        <w:rPr/>
        <w:t>对账结算单并传真至客户，由其盖章确认后回传至公司；根据客户回传确认的对账结算单确认收入。</w:t>
      </w:r>
    </w:p>
    <w:p>
      <w:pPr>
        <w:pStyle w:val="BodyText"/>
        <w:spacing w:line="314" w:lineRule="auto" w:before="17"/>
        <w:ind w:left="575" w:right="0" w:hanging="3"/>
        <w:jc w:val="left"/>
      </w:pPr>
      <w:r>
        <w:rPr/>
        <w:t>（</w:t>
      </w:r>
      <w:r>
        <w:rPr>
          <w:rFonts w:ascii="宋体" w:hAnsi="宋体" w:cs="宋体" w:eastAsia="宋体" w:hint="default"/>
        </w:rPr>
        <w:t>3</w:t>
      </w:r>
      <w:r>
        <w:rPr/>
        <w:t>）系统销售一般收入确认</w:t>
      </w:r>
      <w:r>
        <w:rPr>
          <w:spacing w:val="-3"/>
          <w:w w:val="100"/>
        </w:rPr>
        <w:t> </w:t>
      </w:r>
      <w:r>
        <w:rPr>
          <w:spacing w:val="-2"/>
        </w:rPr>
        <w:t>在客户信用额度内的订货，由商务部门开具发货单通知库房配送产品；本地客户由相关送货人员送至</w:t>
      </w:r>
    </w:p>
    <w:p>
      <w:pPr>
        <w:pStyle w:val="BodyText"/>
        <w:spacing w:line="314" w:lineRule="auto" w:before="17"/>
        <w:ind w:right="147"/>
        <w:jc w:val="both"/>
      </w:pPr>
      <w:r>
        <w:rPr>
          <w:spacing w:val="-2"/>
        </w:rPr>
        <w:t>客户仓库，将客户盖章签字确认的送货单交财务部门和销售部门各一联。异地客户由客户收货员盖章签字</w:t>
      </w:r>
      <w:r>
        <w:rPr>
          <w:spacing w:val="-43"/>
        </w:rPr>
        <w:t> </w:t>
      </w:r>
      <w:r>
        <w:rPr>
          <w:spacing w:val="-43"/>
        </w:rPr>
      </w:r>
      <w:r>
        <w:rPr>
          <w:spacing w:val="-2"/>
        </w:rPr>
        <w:t>后传真给公司商务部门和财务部门留存；每月公司商务部门与书店系统代理进行对账确认。书店系统代理</w:t>
      </w:r>
      <w:r>
        <w:rPr>
          <w:spacing w:val="-42"/>
        </w:rPr>
        <w:t> </w:t>
      </w:r>
      <w:r>
        <w:rPr>
          <w:spacing w:val="-42"/>
        </w:rPr>
      </w:r>
      <w:r>
        <w:rPr/>
        <w:t>销售根据双方确认的对账结算单确认收入。</w:t>
      </w:r>
    </w:p>
    <w:p>
      <w:pPr>
        <w:pStyle w:val="BodyText"/>
        <w:spacing w:line="312" w:lineRule="auto" w:before="20"/>
        <w:ind w:left="572" w:right="0"/>
        <w:jc w:val="left"/>
      </w:pPr>
      <w:r>
        <w:rPr/>
        <w:t>（</w:t>
      </w:r>
      <w:r>
        <w:rPr>
          <w:rFonts w:ascii="宋体" w:hAnsi="宋体" w:cs="宋体" w:eastAsia="宋体" w:hint="default"/>
        </w:rPr>
        <w:t>4</w:t>
      </w:r>
      <w:r>
        <w:rPr/>
        <w:t>）邮件系统、其他产品销售收入确认</w:t>
      </w:r>
      <w:r>
        <w:rPr>
          <w:w w:val="100"/>
        </w:rPr>
        <w:t> </w:t>
      </w:r>
      <w:r>
        <w:rPr>
          <w:spacing w:val="-2"/>
        </w:rPr>
        <w:t>邮件系统销售分产品销售与解决方案实施。大部分需进行二次开发、设备安装、上线试运行及验收等</w:t>
      </w:r>
    </w:p>
    <w:p>
      <w:pPr>
        <w:pStyle w:val="BodyText"/>
        <w:spacing w:line="312" w:lineRule="auto" w:before="22"/>
        <w:ind w:right="149"/>
        <w:jc w:val="both"/>
      </w:pPr>
      <w:r>
        <w:rPr>
          <w:spacing w:val="-2"/>
        </w:rPr>
        <w:t>程序；与货物相关的风险、所有权和责任，在验收合格后方转移到买方。公司在取得用户验收合格确认书</w:t>
      </w:r>
      <w:r>
        <w:rPr>
          <w:spacing w:val="-47"/>
        </w:rPr>
        <w:t> </w:t>
      </w:r>
      <w:r>
        <w:rPr>
          <w:spacing w:val="-47"/>
        </w:rPr>
      </w:r>
      <w:r>
        <w:rPr/>
        <w:t>时根据合同约定确认销售收入。</w:t>
      </w:r>
    </w:p>
    <w:p>
      <w:pPr>
        <w:spacing w:line="312" w:lineRule="auto" w:before="22"/>
        <w:ind w:left="572" w:right="0" w:firstLine="0"/>
        <w:jc w:val="left"/>
        <w:rPr>
          <w:rFonts w:ascii="宋体" w:hAnsi="宋体" w:cs="宋体" w:eastAsia="宋体" w:hint="default"/>
          <w:sz w:val="21"/>
          <w:szCs w:val="21"/>
        </w:rPr>
      </w:pPr>
      <w:r>
        <w:rPr>
          <w:rFonts w:ascii="宋体" w:hAnsi="宋体" w:cs="宋体" w:eastAsia="宋体" w:hint="default"/>
          <w:b/>
          <w:bCs/>
          <w:sz w:val="21"/>
          <w:szCs w:val="21"/>
        </w:rPr>
        <w:t>二、确认让渡资产使用权收入的依据</w:t>
      </w:r>
      <w:r>
        <w:rPr>
          <w:rFonts w:ascii="宋体" w:hAnsi="宋体" w:cs="宋体" w:eastAsia="宋体" w:hint="default"/>
          <w:b/>
          <w:bCs/>
          <w:w w:val="100"/>
          <w:sz w:val="21"/>
          <w:szCs w:val="21"/>
        </w:rPr>
        <w:t> </w:t>
      </w:r>
      <w:r>
        <w:rPr>
          <w:rFonts w:ascii="宋体" w:hAnsi="宋体" w:cs="宋体" w:eastAsia="宋体" w:hint="default"/>
          <w:spacing w:val="-2"/>
          <w:sz w:val="21"/>
          <w:szCs w:val="21"/>
        </w:rPr>
        <w:t>与交易相关的经济利益很可能流入企业，收入的金额能够可靠地计量时。分别下列情况确定让渡资产</w:t>
      </w:r>
    </w:p>
    <w:p>
      <w:pPr>
        <w:pStyle w:val="BodyText"/>
        <w:spacing w:line="240" w:lineRule="auto" w:before="22"/>
        <w:ind w:right="0"/>
        <w:jc w:val="both"/>
      </w:pPr>
      <w:r>
        <w:rPr/>
        <w:t>使用权收入金额：</w:t>
      </w:r>
    </w:p>
    <w:p>
      <w:pPr>
        <w:pStyle w:val="BodyText"/>
        <w:spacing w:line="240" w:lineRule="auto" w:before="82"/>
        <w:ind w:left="572" w:right="0"/>
        <w:jc w:val="left"/>
      </w:pPr>
      <w:r>
        <w:rPr/>
        <w:t>（</w:t>
      </w:r>
      <w:r>
        <w:rPr>
          <w:rFonts w:ascii="宋体" w:hAnsi="宋体" w:cs="宋体" w:eastAsia="宋体" w:hint="default"/>
        </w:rPr>
        <w:t>1</w:t>
      </w:r>
      <w:r>
        <w:rPr/>
        <w:t>）利息收入金额，按照他人使用本企业货币资金的时间和实际利率计算确定。</w:t>
      </w:r>
    </w:p>
    <w:p>
      <w:pPr>
        <w:pStyle w:val="BodyText"/>
        <w:spacing w:line="240" w:lineRule="auto" w:before="85"/>
        <w:ind w:left="572" w:right="0"/>
        <w:jc w:val="left"/>
      </w:pPr>
      <w:r>
        <w:rPr/>
        <w:t>（</w:t>
      </w:r>
      <w:r>
        <w:rPr>
          <w:rFonts w:ascii="宋体" w:hAnsi="宋体" w:cs="宋体" w:eastAsia="宋体" w:hint="default"/>
        </w:rPr>
        <w:t>2</w:t>
      </w:r>
      <w:r>
        <w:rPr/>
        <w:t>）使用费收入金额，按照有关合同或协议约定的收费时间和方法计算确定。</w:t>
      </w:r>
    </w:p>
    <w:p>
      <w:pPr>
        <w:pStyle w:val="BodyText"/>
        <w:spacing w:line="314" w:lineRule="auto" w:before="82"/>
        <w:ind w:left="573" w:right="0" w:hanging="1"/>
        <w:jc w:val="left"/>
      </w:pPr>
      <w:r>
        <w:rPr/>
        <w:t>（</w:t>
      </w:r>
      <w:r>
        <w:rPr>
          <w:rFonts w:ascii="宋体" w:hAnsi="宋体" w:cs="宋体" w:eastAsia="宋体" w:hint="default"/>
        </w:rPr>
        <w:t>3</w:t>
      </w:r>
      <w:r>
        <w:rPr/>
        <w:t>）转让经营权收入金额，按照有关合同或协议约定的金额，在实际交付后计算确定。</w:t>
      </w:r>
      <w:r>
        <w:rPr>
          <w:w w:val="100"/>
        </w:rPr>
        <w:t> </w:t>
      </w:r>
      <w:r>
        <w:rPr>
          <w:spacing w:val="-3"/>
        </w:rPr>
        <w:t>劳务销售：以劳务的收入、劳务的完工程度能够可靠地确定，与交易相关的价款很可能流入，相关的</w:t>
      </w:r>
      <w:r>
        <w:rPr/>
      </w:r>
    </w:p>
    <w:p>
      <w:pPr>
        <w:spacing w:line="314" w:lineRule="auto" w:before="17"/>
        <w:ind w:left="572" w:right="0" w:hanging="420"/>
        <w:jc w:val="left"/>
        <w:rPr>
          <w:rFonts w:ascii="宋体" w:hAnsi="宋体" w:cs="宋体" w:eastAsia="宋体" w:hint="default"/>
          <w:sz w:val="21"/>
          <w:szCs w:val="21"/>
        </w:rPr>
      </w:pPr>
      <w:r>
        <w:rPr>
          <w:rFonts w:ascii="宋体" w:hAnsi="宋体" w:cs="宋体" w:eastAsia="宋体" w:hint="default"/>
          <w:sz w:val="21"/>
          <w:szCs w:val="21"/>
        </w:rPr>
        <w:t>成本能够可靠地计量为前提。</w:t>
      </w:r>
      <w:r>
        <w:rPr>
          <w:rFonts w:ascii="宋体" w:hAnsi="宋体" w:cs="宋体" w:eastAsia="宋体" w:hint="default"/>
          <w:w w:val="100"/>
          <w:sz w:val="21"/>
          <w:szCs w:val="21"/>
        </w:rPr>
        <w:t> </w:t>
      </w:r>
      <w:r>
        <w:rPr>
          <w:rFonts w:ascii="宋体" w:hAnsi="宋体" w:cs="宋体" w:eastAsia="宋体" w:hint="default"/>
          <w:b/>
          <w:bCs/>
          <w:sz w:val="21"/>
          <w:szCs w:val="21"/>
        </w:rPr>
        <w:t>三、按完工百分比法确认提供劳务的收入和建造合同收入时，确定合同完工进度的依据和方法</w:t>
      </w:r>
      <w:r>
        <w:rPr>
          <w:rFonts w:ascii="宋体" w:hAnsi="宋体" w:cs="宋体" w:eastAsia="宋体" w:hint="default"/>
          <w:b/>
          <w:bCs/>
          <w:w w:val="100"/>
          <w:sz w:val="21"/>
          <w:szCs w:val="21"/>
        </w:rPr>
        <w:t> </w:t>
      </w:r>
      <w:r>
        <w:rPr>
          <w:rFonts w:ascii="宋体" w:hAnsi="宋体" w:cs="宋体" w:eastAsia="宋体" w:hint="default"/>
          <w:spacing w:val="-2"/>
          <w:sz w:val="21"/>
          <w:szCs w:val="21"/>
        </w:rPr>
        <w:t>在资产负债表日提供劳务交易的结果能够可靠估计的，采用完工百分比法确认提供劳务收入。提供劳</w:t>
      </w:r>
    </w:p>
    <w:p>
      <w:pPr>
        <w:pStyle w:val="BodyText"/>
        <w:spacing w:line="312" w:lineRule="auto" w:before="20"/>
        <w:ind w:left="572" w:right="0" w:hanging="420"/>
        <w:jc w:val="left"/>
      </w:pPr>
      <w:r>
        <w:rPr/>
        <w:t>务交易的完工进度，依据已完工作的测量确定。</w:t>
      </w:r>
      <w:r>
        <w:rPr>
          <w:w w:val="100"/>
        </w:rPr>
        <w:t> </w:t>
      </w:r>
      <w:r>
        <w:rPr>
          <w:spacing w:val="-2"/>
        </w:rPr>
        <w:t>按照已收或应收的合同或协议价款确定提供劳务收入总额，但已收或应收的合同或协议价款不公允的</w:t>
      </w:r>
    </w:p>
    <w:p>
      <w:pPr>
        <w:pStyle w:val="BodyText"/>
        <w:spacing w:line="314" w:lineRule="auto" w:before="22"/>
        <w:ind w:right="147"/>
        <w:jc w:val="both"/>
      </w:pPr>
      <w:r>
        <w:rPr>
          <w:spacing w:val="-2"/>
        </w:rPr>
        <w:t>除外。资产负债表日按照提供劳务收入总额乘以完工进度扣除以前会计期间累计已确认提供劳务收入后的</w:t>
      </w:r>
      <w:r>
        <w:rPr>
          <w:spacing w:val="-44"/>
        </w:rPr>
        <w:t> </w:t>
      </w:r>
      <w:r>
        <w:rPr>
          <w:spacing w:val="-44"/>
        </w:rPr>
      </w:r>
      <w:r>
        <w:rPr>
          <w:spacing w:val="-2"/>
        </w:rPr>
        <w:t>金额，确认当期提供劳务收入；同时，按照提供劳务估计总成本乘以完工进度扣除以前会计期间累计已确</w:t>
      </w:r>
      <w:r>
        <w:rPr>
          <w:spacing w:val="-44"/>
        </w:rPr>
        <w:t> </w:t>
      </w:r>
      <w:r>
        <w:rPr>
          <w:spacing w:val="-44"/>
        </w:rPr>
      </w:r>
      <w:r>
        <w:rPr/>
        <w:t>认劳务成本后的金额，结转当期劳务成本。</w:t>
      </w:r>
    </w:p>
    <w:p>
      <w:pPr>
        <w:pStyle w:val="BodyText"/>
        <w:spacing w:line="240" w:lineRule="auto" w:before="17"/>
        <w:ind w:left="572" w:right="0"/>
        <w:jc w:val="left"/>
      </w:pPr>
      <w:r>
        <w:rPr/>
        <w:t>在资产负债表日提供劳务交易结果不能够可靠估计的，分别下列情况处理：</w:t>
      </w:r>
    </w:p>
    <w:p>
      <w:pPr>
        <w:pStyle w:val="BodyText"/>
        <w:spacing w:line="312" w:lineRule="auto" w:before="85"/>
        <w:ind w:right="154" w:firstLine="420"/>
        <w:jc w:val="both"/>
      </w:pPr>
      <w:r>
        <w:rPr/>
        <w:t>（</w:t>
      </w:r>
      <w:r>
        <w:rPr>
          <w:rFonts w:ascii="宋体" w:hAnsi="宋体" w:cs="宋体" w:eastAsia="宋体" w:hint="default"/>
        </w:rPr>
        <w:t>1</w:t>
      </w:r>
      <w:r>
        <w:rPr/>
        <w:t>）已经发生的劳务成本预计能够得到补偿的，按照已经发生的劳务成本金额确认提供劳务收入，</w:t>
      </w:r>
      <w:r>
        <w:rPr>
          <w:w w:val="100"/>
        </w:rPr>
        <w:t> </w:t>
      </w:r>
      <w:r>
        <w:rPr/>
        <w:t>并按相同金额结转劳务成本。</w:t>
      </w:r>
    </w:p>
    <w:p>
      <w:pPr>
        <w:pStyle w:val="BodyText"/>
        <w:spacing w:line="312" w:lineRule="auto" w:before="22"/>
        <w:ind w:right="154" w:firstLine="420"/>
        <w:jc w:val="both"/>
      </w:pPr>
      <w:r>
        <w:rPr/>
        <w:t>（</w:t>
      </w:r>
      <w:r>
        <w:rPr>
          <w:rFonts w:ascii="宋体" w:hAnsi="宋体" w:cs="宋体" w:eastAsia="宋体" w:hint="default"/>
        </w:rPr>
        <w:t>2</w:t>
      </w:r>
      <w:r>
        <w:rPr/>
        <w:t>）已经发生的劳务成本预计不能够得到补偿的，将已经发生的劳务成本计入当期损益，不确认提</w:t>
      </w:r>
      <w:r>
        <w:rPr>
          <w:w w:val="100"/>
        </w:rPr>
        <w:t> </w:t>
      </w:r>
      <w:r>
        <w:rPr/>
        <w:t>供劳务收入。</w:t>
      </w:r>
    </w:p>
    <w:p>
      <w:pPr>
        <w:pStyle w:val="BodyText"/>
        <w:spacing w:line="314" w:lineRule="auto" w:before="22"/>
        <w:ind w:right="146" w:firstLine="420"/>
        <w:jc w:val="both"/>
      </w:pPr>
      <w:r>
        <w:rPr>
          <w:spacing w:val="-2"/>
        </w:rPr>
        <w:t>本公司与其他企业签订的合同或协议包括销售商品和提供劳务时，销售商品部分和提供劳务部分能够</w:t>
      </w:r>
      <w:r>
        <w:rPr>
          <w:w w:val="100"/>
        </w:rPr>
        <w:t> </w:t>
      </w:r>
      <w:r>
        <w:rPr>
          <w:spacing w:val="-2"/>
        </w:rPr>
        <w:t>区分且能够单独计量的，将销售商品的部分作为销售商品处理，将提供劳务的部分作为提供劳务处理。销</w:t>
      </w:r>
      <w:r>
        <w:rPr>
          <w:spacing w:val="-42"/>
        </w:rPr>
        <w:t> </w:t>
      </w:r>
      <w:r>
        <w:rPr>
          <w:spacing w:val="-42"/>
        </w:rPr>
      </w:r>
      <w:r>
        <w:rPr>
          <w:spacing w:val="-2"/>
        </w:rPr>
        <w:t>售商品部分和提供劳务部分不能够区分，或虽能区分但不能够单独计量的，将销售商品部分和提供劳务部</w:t>
      </w:r>
    </w:p>
    <w:p>
      <w:pPr>
        <w:spacing w:after="0" w:line="314" w:lineRule="auto"/>
        <w:jc w:val="both"/>
        <w:sectPr>
          <w:pgSz w:w="11910" w:h="16840"/>
          <w:pgMar w:header="880" w:footer="979" w:top="1060" w:bottom="1160" w:left="980" w:right="980"/>
        </w:sectPr>
      </w:pPr>
    </w:p>
    <w:p>
      <w:pPr>
        <w:spacing w:line="240" w:lineRule="auto" w:before="6"/>
        <w:rPr>
          <w:rFonts w:ascii="宋体" w:hAnsi="宋体" w:cs="宋体" w:eastAsia="宋体" w:hint="default"/>
          <w:sz w:val="26"/>
          <w:szCs w:val="26"/>
        </w:rPr>
      </w:pPr>
    </w:p>
    <w:p>
      <w:pPr>
        <w:pStyle w:val="BodyText"/>
        <w:spacing w:line="240" w:lineRule="auto" w:before="36"/>
        <w:ind w:right="0"/>
        <w:jc w:val="left"/>
      </w:pPr>
      <w:r>
        <w:rPr/>
        <w:t>分全部作为销售商品处理。</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47"/>
        <w:ind w:right="0"/>
        <w:jc w:val="left"/>
        <w:rPr>
          <w:b w:val="0"/>
          <w:bCs w:val="0"/>
        </w:rPr>
      </w:pPr>
      <w:bookmarkStart w:name="25、政府补助" w:id="163"/>
      <w:bookmarkEnd w:id="163"/>
      <w:r>
        <w:rPr>
          <w:b w:val="0"/>
          <w:bCs w:val="0"/>
        </w:rPr>
      </w:r>
      <w:r>
        <w:rPr>
          <w:rFonts w:ascii="Times New Roman" w:hAnsi="Times New Roman" w:cs="Times New Roman" w:eastAsia="Times New Roman" w:hint="default"/>
        </w:rPr>
        <w:t>25</w:t>
      </w:r>
      <w:r>
        <w:rPr/>
        <w:t>、政府补助</w:t>
      </w:r>
      <w:r>
        <w:rPr>
          <w:b w:val="0"/>
          <w:bCs w:val="0"/>
        </w:rPr>
      </w:r>
    </w:p>
    <w:p>
      <w:pPr>
        <w:spacing w:line="240" w:lineRule="auto" w:before="0"/>
        <w:rPr>
          <w:rFonts w:ascii="宋体" w:hAnsi="宋体" w:cs="宋体" w:eastAsia="宋体" w:hint="default"/>
          <w:b/>
          <w:bCs/>
          <w:sz w:val="22"/>
          <w:szCs w:val="22"/>
        </w:rPr>
      </w:pPr>
    </w:p>
    <w:p>
      <w:pPr>
        <w:spacing w:line="240" w:lineRule="auto" w:before="9"/>
        <w:rPr>
          <w:rFonts w:ascii="宋体" w:hAnsi="宋体" w:cs="宋体" w:eastAsia="宋体" w:hint="default"/>
          <w:b/>
          <w:bCs/>
          <w:sz w:val="25"/>
          <w:szCs w:val="25"/>
        </w:rPr>
      </w:pPr>
    </w:p>
    <w:p>
      <w:pPr>
        <w:pStyle w:val="Heading5"/>
        <w:spacing w:line="240" w:lineRule="auto"/>
        <w:ind w:right="0"/>
        <w:jc w:val="left"/>
        <w:rPr>
          <w:b w:val="0"/>
          <w:bCs w:val="0"/>
        </w:rPr>
      </w:pPr>
      <w:bookmarkStart w:name="（1）与资产相关的政府补助判断依据及会计处理方法" w:id="164"/>
      <w:bookmarkEnd w:id="164"/>
      <w:r>
        <w:rPr>
          <w:b w:val="0"/>
          <w:bCs w:val="0"/>
        </w:rPr>
      </w: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2" w:lineRule="auto"/>
        <w:ind w:left="572" w:right="0"/>
        <w:jc w:val="left"/>
      </w:pPr>
      <w:r>
        <w:rPr>
          <w:rFonts w:ascii="宋体" w:hAnsi="宋体" w:cs="宋体" w:eastAsia="宋体" w:hint="default"/>
          <w:b/>
          <w:bCs/>
        </w:rPr>
        <w:t>1</w:t>
      </w:r>
      <w:r>
        <w:rPr>
          <w:rFonts w:ascii="宋体" w:hAnsi="宋体" w:cs="宋体" w:eastAsia="宋体" w:hint="default"/>
          <w:b/>
          <w:bCs/>
        </w:rPr>
        <w:t>、类型</w:t>
      </w:r>
      <w:r>
        <w:rPr>
          <w:rFonts w:ascii="宋体" w:hAnsi="宋体" w:cs="宋体" w:eastAsia="宋体" w:hint="default"/>
          <w:b/>
          <w:bCs/>
          <w:w w:val="100"/>
        </w:rPr>
        <w:t> </w:t>
      </w:r>
      <w:r>
        <w:rPr>
          <w:spacing w:val="-2"/>
        </w:rPr>
        <w:t>政府补助，是本公司从政府无偿取得的货币性资产与非货币性资产，但不包括政府作为企业所有者投</w:t>
      </w:r>
    </w:p>
    <w:p>
      <w:pPr>
        <w:pStyle w:val="BodyText"/>
        <w:spacing w:line="312" w:lineRule="auto" w:before="22"/>
        <w:ind w:right="0"/>
        <w:jc w:val="left"/>
      </w:pPr>
      <w:r>
        <w:rPr>
          <w:spacing w:val="-2"/>
        </w:rPr>
        <w:t>入的资本。根据相关政府文件规定的补助对象，将政府补助划分为与资产相关的政府补助和与收益相关的</w:t>
      </w:r>
      <w:r>
        <w:rPr>
          <w:spacing w:val="-43"/>
        </w:rPr>
        <w:t> </w:t>
      </w:r>
      <w:r>
        <w:rPr>
          <w:spacing w:val="-43"/>
        </w:rPr>
      </w:r>
      <w:r>
        <w:rPr/>
        <w:t>政府补助。</w:t>
      </w:r>
    </w:p>
    <w:p>
      <w:pPr>
        <w:pStyle w:val="BodyText"/>
        <w:spacing w:line="312" w:lineRule="auto" w:before="22"/>
        <w:ind w:right="0" w:firstLine="420"/>
        <w:jc w:val="left"/>
      </w:pPr>
      <w:r>
        <w:rPr>
          <w:spacing w:val="-2"/>
        </w:rPr>
        <w:t>与资产相关的政府补助，是指本公司取得的、用于购建或以其他方式形成长期资产的政府补助。与收</w:t>
      </w:r>
      <w:r>
        <w:rPr>
          <w:w w:val="100"/>
        </w:rPr>
        <w:t> </w:t>
      </w:r>
      <w:r>
        <w:rPr/>
        <w:t>益相关的政府补助，是指除与资产相关的政府补助之外的政府补助。</w:t>
      </w:r>
    </w:p>
    <w:p>
      <w:pPr>
        <w:pStyle w:val="BodyText"/>
        <w:spacing w:line="312" w:lineRule="auto" w:before="22"/>
        <w:ind w:left="572" w:right="0"/>
        <w:jc w:val="left"/>
      </w:pPr>
      <w:r>
        <w:rPr>
          <w:rFonts w:ascii="宋体" w:hAnsi="宋体" w:cs="宋体" w:eastAsia="宋体" w:hint="default"/>
          <w:b/>
          <w:bCs/>
        </w:rPr>
        <w:t>2</w:t>
      </w:r>
      <w:r>
        <w:rPr>
          <w:rFonts w:ascii="宋体" w:hAnsi="宋体" w:cs="宋体" w:eastAsia="宋体" w:hint="default"/>
          <w:b/>
          <w:bCs/>
        </w:rPr>
        <w:t>、政府补助的确认</w:t>
      </w:r>
      <w:r>
        <w:rPr>
          <w:rFonts w:ascii="宋体" w:hAnsi="宋体" w:cs="宋体" w:eastAsia="宋体" w:hint="default"/>
          <w:b/>
          <w:bCs/>
          <w:w w:val="100"/>
        </w:rPr>
        <w:t> </w:t>
      </w:r>
      <w:r>
        <w:rPr>
          <w:spacing w:val="-2"/>
        </w:rPr>
        <w:t>对期末有证据表明公司能够符合财政扶持政策规定的相关条件且预计能够收到财政扶持资金的，按应</w:t>
      </w:r>
    </w:p>
    <w:p>
      <w:pPr>
        <w:pStyle w:val="BodyText"/>
        <w:spacing w:line="312" w:lineRule="auto" w:before="22"/>
        <w:ind w:left="572" w:right="0" w:hanging="420"/>
        <w:jc w:val="left"/>
      </w:pPr>
      <w:r>
        <w:rPr/>
        <w:t>收金额确认政府补助。除此之外，政府补助均在实际收到时确认。</w:t>
      </w:r>
      <w:r>
        <w:rPr>
          <w:w w:val="100"/>
        </w:rPr>
        <w:t> </w:t>
      </w:r>
      <w:r>
        <w:rPr>
          <w:spacing w:val="-2"/>
        </w:rPr>
        <w:t>政府补助为货币性资产的，按照收到或应收的金额计量。政府补助为非货币性资产的，按照公允价值</w:t>
      </w:r>
      <w:r>
        <w:rPr/>
      </w:r>
    </w:p>
    <w:p>
      <w:pPr>
        <w:pStyle w:val="BodyText"/>
        <w:spacing w:line="312" w:lineRule="auto" w:before="22"/>
        <w:ind w:right="0"/>
        <w:jc w:val="left"/>
      </w:pPr>
      <w:r>
        <w:rPr/>
        <w:t>计量；公允价值不能够可靠取得的，按照名义金额（人民币</w:t>
      </w:r>
      <w:r>
        <w:rPr>
          <w:rFonts w:ascii="宋体" w:hAnsi="宋体" w:cs="宋体" w:eastAsia="宋体" w:hint="default"/>
        </w:rPr>
        <w:t>1</w:t>
      </w:r>
      <w:r>
        <w:rPr/>
        <w:t>元）计量。按照名义金额计量的政府补助，</w:t>
      </w:r>
      <w:r>
        <w:rPr>
          <w:spacing w:val="-25"/>
        </w:rPr>
        <w:t> </w:t>
      </w:r>
      <w:r>
        <w:rPr>
          <w:spacing w:val="-25"/>
        </w:rPr>
      </w:r>
      <w:r>
        <w:rPr/>
        <w:t>直接计入当期损益。</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6"/>
          <w:szCs w:val="26"/>
        </w:rPr>
      </w:pPr>
    </w:p>
    <w:p>
      <w:pPr>
        <w:pStyle w:val="Heading5"/>
        <w:spacing w:line="240" w:lineRule="auto"/>
        <w:ind w:right="0"/>
        <w:jc w:val="left"/>
        <w:rPr>
          <w:b w:val="0"/>
          <w:bCs w:val="0"/>
        </w:rPr>
      </w:pPr>
      <w:bookmarkStart w:name="（2）与收益相关的政府补助判断依据及会计处理方法" w:id="165"/>
      <w:bookmarkEnd w:id="165"/>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5"/>
        <w:rPr>
          <w:rFonts w:ascii="宋体" w:hAnsi="宋体" w:cs="宋体" w:eastAsia="宋体" w:hint="default"/>
          <w:b/>
          <w:bCs/>
          <w:sz w:val="26"/>
          <w:szCs w:val="26"/>
        </w:rPr>
      </w:pPr>
    </w:p>
    <w:p>
      <w:pPr>
        <w:pStyle w:val="BodyText"/>
        <w:spacing w:line="314" w:lineRule="auto"/>
        <w:ind w:left="572" w:right="0"/>
        <w:jc w:val="left"/>
      </w:pPr>
      <w:r>
        <w:rPr>
          <w:rFonts w:ascii="宋体" w:hAnsi="宋体" w:cs="宋体" w:eastAsia="宋体" w:hint="default"/>
          <w:b/>
          <w:bCs/>
        </w:rPr>
        <w:t>1</w:t>
      </w:r>
      <w:r>
        <w:rPr>
          <w:rFonts w:ascii="宋体" w:hAnsi="宋体" w:cs="宋体" w:eastAsia="宋体" w:hint="default"/>
          <w:b/>
          <w:bCs/>
        </w:rPr>
        <w:t>、会计处理方法</w:t>
      </w:r>
      <w:r>
        <w:rPr>
          <w:rFonts w:ascii="宋体" w:hAnsi="宋体" w:cs="宋体" w:eastAsia="宋体" w:hint="default"/>
          <w:b/>
          <w:bCs/>
          <w:w w:val="100"/>
        </w:rPr>
        <w:t> </w:t>
      </w:r>
      <w:r>
        <w:rPr>
          <w:spacing w:val="-2"/>
        </w:rPr>
        <w:t>与资产相关的政府补助，确认为递延收益，按照所建造或购买的资产使用年限分期计入营业外收入；</w:t>
      </w:r>
      <w:r>
        <w:rPr>
          <w:spacing w:val="-27"/>
        </w:rPr>
        <w:t> </w:t>
      </w:r>
      <w:r>
        <w:rPr>
          <w:spacing w:val="-27"/>
        </w:rPr>
      </w:r>
      <w:r>
        <w:rPr>
          <w:spacing w:val="-2"/>
        </w:rPr>
        <w:t>与收益相关的政府补助，用于补偿企业以后期间的相关费用或损失的，确认为递延收益，在确认相关</w:t>
      </w:r>
    </w:p>
    <w:p>
      <w:pPr>
        <w:pStyle w:val="BodyText"/>
        <w:spacing w:line="312" w:lineRule="auto" w:before="20"/>
        <w:ind w:right="0"/>
        <w:jc w:val="left"/>
      </w:pPr>
      <w:r>
        <w:rPr>
          <w:spacing w:val="-2"/>
        </w:rPr>
        <w:t>费用的期间计入当期营业外收入；用于补偿企业已发生的相关费用或损失的，取得时直接计入当期营业外</w:t>
      </w:r>
      <w:r>
        <w:rPr>
          <w:spacing w:val="-44"/>
        </w:rPr>
        <w:t> </w:t>
      </w:r>
      <w:r>
        <w:rPr>
          <w:spacing w:val="-44"/>
        </w:rPr>
      </w:r>
      <w:r>
        <w:rPr/>
        <w:t>收入。</w:t>
      </w:r>
    </w:p>
    <w:p>
      <w:pPr>
        <w:pStyle w:val="BodyText"/>
        <w:spacing w:line="312" w:lineRule="auto" w:before="22"/>
        <w:ind w:right="0" w:firstLine="420"/>
        <w:jc w:val="left"/>
      </w:pPr>
      <w:r>
        <w:rPr>
          <w:spacing w:val="-2"/>
        </w:rPr>
        <w:t>已确认的政府补助需要返还时，存在相关递延收益余额的，冲减相关递延收益账面余额，超出部分计</w:t>
      </w:r>
      <w:r>
        <w:rPr>
          <w:w w:val="100"/>
        </w:rPr>
        <w:t> </w:t>
      </w:r>
      <w:r>
        <w:rPr/>
        <w:t>入当期损益；不存在相关递延收益的，直接计入当期损益。</w:t>
      </w:r>
    </w:p>
    <w:p>
      <w:pPr>
        <w:spacing w:line="240" w:lineRule="auto" w:before="6"/>
        <w:rPr>
          <w:rFonts w:ascii="宋体" w:hAnsi="宋体" w:cs="宋体" w:eastAsia="宋体" w:hint="default"/>
          <w:sz w:val="21"/>
          <w:szCs w:val="21"/>
        </w:rPr>
      </w:pPr>
    </w:p>
    <w:p>
      <w:pPr>
        <w:spacing w:line="620" w:lineRule="atLeast" w:before="0"/>
        <w:ind w:left="572" w:right="0" w:hanging="420"/>
        <w:jc w:val="left"/>
        <w:rPr>
          <w:rFonts w:ascii="宋体" w:hAnsi="宋体" w:cs="宋体" w:eastAsia="宋体" w:hint="default"/>
          <w:sz w:val="21"/>
          <w:szCs w:val="21"/>
        </w:rPr>
      </w:pPr>
      <w:bookmarkStart w:name="26、递延所得税资产/递延所得税负债" w:id="166"/>
      <w:bookmarkEnd w:id="166"/>
      <w:r>
        <w:rPr/>
      </w:r>
      <w:r>
        <w:rPr>
          <w:rFonts w:ascii="Times New Roman" w:hAnsi="Times New Roman" w:cs="Times New Roman" w:eastAsia="Times New Roman" w:hint="default"/>
          <w:b/>
          <w:bCs/>
          <w:sz w:val="21"/>
          <w:szCs w:val="21"/>
        </w:rPr>
        <w:t>26</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b/>
          <w:bCs/>
          <w:w w:val="100"/>
          <w:sz w:val="21"/>
          <w:szCs w:val="21"/>
        </w:rPr>
        <w:t> </w:t>
      </w:r>
      <w:r>
        <w:rPr>
          <w:rFonts w:ascii="宋体" w:hAnsi="宋体" w:cs="宋体" w:eastAsia="宋体" w:hint="default"/>
          <w:spacing w:val="2"/>
          <w:sz w:val="21"/>
          <w:szCs w:val="21"/>
        </w:rPr>
        <w:t>递延所得税资产和递延所得税负债根据资产和负债的计税基础与其账面价值的差额</w:t>
      </w:r>
      <w:r>
        <w:rPr>
          <w:rFonts w:ascii="宋体" w:hAnsi="宋体" w:cs="宋体" w:eastAsia="宋体" w:hint="default"/>
          <w:spacing w:val="2"/>
          <w:sz w:val="21"/>
          <w:szCs w:val="21"/>
        </w:rPr>
        <w:t>(</w:t>
      </w:r>
      <w:r>
        <w:rPr>
          <w:rFonts w:ascii="宋体" w:hAnsi="宋体" w:cs="宋体" w:eastAsia="宋体" w:hint="default"/>
          <w:spacing w:val="2"/>
          <w:sz w:val="21"/>
          <w:szCs w:val="21"/>
        </w:rPr>
        <w:t>暂时性差异</w:t>
      </w:r>
      <w:r>
        <w:rPr>
          <w:rFonts w:ascii="宋体" w:hAnsi="宋体" w:cs="宋体" w:eastAsia="宋体" w:hint="default"/>
          <w:spacing w:val="2"/>
          <w:sz w:val="21"/>
          <w:szCs w:val="21"/>
        </w:rPr>
        <w:t>)</w:t>
      </w:r>
      <w:r>
        <w:rPr>
          <w:rFonts w:ascii="宋体" w:hAnsi="宋体" w:cs="宋体" w:eastAsia="宋体" w:hint="default"/>
          <w:spacing w:val="2"/>
          <w:sz w:val="21"/>
          <w:szCs w:val="21"/>
        </w:rPr>
        <w:t>计</w:t>
      </w:r>
    </w:p>
    <w:p>
      <w:pPr>
        <w:pStyle w:val="BodyText"/>
        <w:spacing w:line="312" w:lineRule="auto" w:before="85"/>
        <w:ind w:right="0"/>
        <w:jc w:val="left"/>
      </w:pPr>
      <w:r>
        <w:rPr>
          <w:spacing w:val="-2"/>
        </w:rPr>
        <w:t>算确认。于资产负债表日，递延所得税资产和递延所得税负债，按照预期收回该资产或清偿该负债期间的</w:t>
      </w:r>
      <w:r>
        <w:rPr>
          <w:spacing w:val="-43"/>
        </w:rPr>
        <w:t> </w:t>
      </w:r>
      <w:r>
        <w:rPr>
          <w:spacing w:val="-43"/>
        </w:rPr>
      </w:r>
      <w:r>
        <w:rPr/>
        <w:t>适用税率计量。</w:t>
      </w:r>
    </w:p>
    <w:p>
      <w:pPr>
        <w:spacing w:line="312" w:lineRule="auto" w:before="22"/>
        <w:ind w:left="572" w:right="0" w:firstLine="0"/>
        <w:jc w:val="left"/>
        <w:rPr>
          <w:rFonts w:ascii="宋体" w:hAnsi="宋体" w:cs="宋体" w:eastAsia="宋体" w:hint="default"/>
          <w:sz w:val="21"/>
          <w:szCs w:val="21"/>
        </w:rPr>
      </w:pPr>
      <w:r>
        <w:rPr>
          <w:rFonts w:ascii="宋体" w:hAnsi="宋体" w:cs="宋体" w:eastAsia="宋体" w:hint="default"/>
          <w:b/>
          <w:bCs/>
          <w:sz w:val="21"/>
          <w:szCs w:val="21"/>
        </w:rPr>
        <w:t>一、确认递延所得税资产的依据</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本公司以很可能取得用来抵扣可抵扣暂时性差异、能够结转以后年度的可抵扣亏损和税款抵减的应纳</w:t>
      </w:r>
    </w:p>
    <w:p>
      <w:pPr>
        <w:pStyle w:val="BodyText"/>
        <w:spacing w:line="240" w:lineRule="auto" w:before="22"/>
        <w:ind w:right="0"/>
        <w:jc w:val="left"/>
      </w:pPr>
      <w:r>
        <w:rPr/>
        <w:t>税所得额为限，确认由可抵扣暂时性差异产生的递延所得税资产。但是，同时具有下列特征的交易中因资</w:t>
      </w:r>
    </w:p>
    <w:p>
      <w:pPr>
        <w:spacing w:after="0" w:line="240" w:lineRule="auto"/>
        <w:jc w:val="left"/>
        <w:sectPr>
          <w:footerReference w:type="default" r:id="rId83"/>
          <w:pgSz w:w="11910" w:h="16840"/>
          <w:pgMar w:footer="979" w:header="880" w:top="1060" w:bottom="1160" w:left="980" w:right="980"/>
          <w:pgNumType w:start="153"/>
        </w:sectPr>
      </w:pPr>
    </w:p>
    <w:p>
      <w:pPr>
        <w:spacing w:line="240" w:lineRule="auto" w:before="6"/>
        <w:rPr>
          <w:rFonts w:ascii="宋体" w:hAnsi="宋体" w:cs="宋体" w:eastAsia="宋体" w:hint="default"/>
          <w:sz w:val="26"/>
          <w:szCs w:val="26"/>
        </w:rPr>
      </w:pPr>
    </w:p>
    <w:p>
      <w:pPr>
        <w:pStyle w:val="BodyText"/>
        <w:spacing w:line="312" w:lineRule="auto" w:before="36"/>
        <w:ind w:right="0"/>
        <w:jc w:val="left"/>
      </w:pPr>
      <w:r>
        <w:rPr>
          <w:spacing w:val="-2"/>
        </w:rPr>
        <w:t>产或负债的初始确认所产生的递延所得税资产不予确认：（</w:t>
      </w:r>
      <w:r>
        <w:rPr>
          <w:rFonts w:ascii="宋体" w:hAnsi="宋体" w:cs="宋体" w:eastAsia="宋体" w:hint="default"/>
          <w:spacing w:val="-2"/>
        </w:rPr>
        <w:t>1</w:t>
      </w:r>
      <w:r>
        <w:rPr>
          <w:spacing w:val="-2"/>
        </w:rPr>
        <w:t>）该交易不是企业合并；（</w:t>
      </w:r>
      <w:r>
        <w:rPr>
          <w:rFonts w:ascii="宋体" w:hAnsi="宋体" w:cs="宋体" w:eastAsia="宋体" w:hint="default"/>
          <w:spacing w:val="-2"/>
        </w:rPr>
        <w:t>2</w:t>
      </w:r>
      <w:r>
        <w:rPr>
          <w:spacing w:val="-2"/>
        </w:rPr>
        <w:t>）交易发生时既</w:t>
      </w:r>
      <w:r>
        <w:rPr>
          <w:spacing w:val="-49"/>
        </w:rPr>
        <w:t> </w:t>
      </w:r>
      <w:r>
        <w:rPr>
          <w:spacing w:val="-49"/>
        </w:rPr>
      </w:r>
      <w:r>
        <w:rPr/>
        <w:t>不影响会计利润也不影响应纳税所得额或可抵扣亏损。</w:t>
      </w:r>
    </w:p>
    <w:p>
      <w:pPr>
        <w:pStyle w:val="BodyText"/>
        <w:spacing w:line="312" w:lineRule="auto" w:before="22"/>
        <w:ind w:right="125" w:firstLine="420"/>
        <w:jc w:val="both"/>
      </w:pPr>
      <w:r>
        <w:rPr>
          <w:spacing w:val="-2"/>
        </w:rPr>
        <w:t>对于与联营企业投资相关的可抵扣暂时性差异，同时满足下列条件的，确认相应的递延所得税资产：</w:t>
      </w:r>
      <w:r>
        <w:rPr>
          <w:w w:val="100"/>
        </w:rPr>
        <w:t> </w:t>
      </w:r>
      <w:r>
        <w:rPr>
          <w:spacing w:val="-2"/>
        </w:rPr>
        <w:t>暂时性差异在可预见的未来很可能转回，且未来很可能获得用来抵扣可抵扣暂时性差异的应纳税所得额。</w:t>
      </w:r>
    </w:p>
    <w:p>
      <w:pPr>
        <w:spacing w:line="312" w:lineRule="auto" w:before="22"/>
        <w:ind w:left="572" w:right="0" w:firstLine="0"/>
        <w:jc w:val="left"/>
        <w:rPr>
          <w:rFonts w:ascii="宋体" w:hAnsi="宋体" w:cs="宋体" w:eastAsia="宋体" w:hint="default"/>
          <w:sz w:val="21"/>
          <w:szCs w:val="21"/>
        </w:rPr>
      </w:pPr>
      <w:r>
        <w:rPr>
          <w:rFonts w:ascii="宋体" w:hAnsi="宋体" w:cs="宋体" w:eastAsia="宋体" w:hint="default"/>
          <w:b/>
          <w:bCs/>
          <w:sz w:val="21"/>
          <w:szCs w:val="21"/>
        </w:rPr>
        <w:t>二、确认递延所得税负债的依据</w:t>
      </w:r>
      <w:r>
        <w:rPr>
          <w:rFonts w:ascii="宋体" w:hAnsi="宋体" w:cs="宋体" w:eastAsia="宋体" w:hint="default"/>
          <w:b/>
          <w:bCs/>
          <w:w w:val="100"/>
          <w:sz w:val="21"/>
          <w:szCs w:val="21"/>
        </w:rPr>
        <w:t> </w:t>
      </w:r>
      <w:r>
        <w:rPr>
          <w:rFonts w:ascii="宋体" w:hAnsi="宋体" w:cs="宋体" w:eastAsia="宋体" w:hint="default"/>
          <w:spacing w:val="-2"/>
          <w:sz w:val="21"/>
          <w:szCs w:val="21"/>
        </w:rPr>
        <w:t>公司将当期与以前期间应交未交的应纳税暂时性差异确认为递延所得税负债。但不包括：</w:t>
      </w:r>
    </w:p>
    <w:p>
      <w:pPr>
        <w:pStyle w:val="BodyText"/>
        <w:spacing w:line="240" w:lineRule="auto" w:before="22"/>
        <w:ind w:left="572" w:right="0"/>
        <w:jc w:val="left"/>
      </w:pPr>
      <w:r>
        <w:rPr/>
        <w:t>（</w:t>
      </w:r>
      <w:r>
        <w:rPr>
          <w:rFonts w:ascii="宋体" w:hAnsi="宋体" w:cs="宋体" w:eastAsia="宋体" w:hint="default"/>
        </w:rPr>
        <w:t>1</w:t>
      </w:r>
      <w:r>
        <w:rPr/>
        <w:t>）商誉的初始确认所形成的暂时性差异；</w:t>
      </w:r>
    </w:p>
    <w:p>
      <w:pPr>
        <w:pStyle w:val="BodyText"/>
        <w:spacing w:line="314" w:lineRule="auto" w:before="82"/>
        <w:ind w:right="154" w:firstLine="420"/>
        <w:jc w:val="both"/>
      </w:pPr>
      <w:r>
        <w:rPr/>
        <w:t>（</w:t>
      </w:r>
      <w:r>
        <w:rPr>
          <w:rFonts w:ascii="宋体" w:hAnsi="宋体" w:cs="宋体" w:eastAsia="宋体" w:hint="default"/>
        </w:rPr>
        <w:t>2</w:t>
      </w:r>
      <w:r>
        <w:rPr/>
        <w:t>）非企业合并形成的交易或事项，且该交易或事项发生时既不影响会计利润，也不影响应纳税所</w:t>
      </w:r>
      <w:r>
        <w:rPr>
          <w:w w:val="100"/>
        </w:rPr>
        <w:t> </w:t>
      </w:r>
      <w:r>
        <w:rPr/>
        <w:t>得额（或可抵扣亏损）所形成的暂时性差异；</w:t>
      </w:r>
    </w:p>
    <w:p>
      <w:pPr>
        <w:pStyle w:val="BodyText"/>
        <w:spacing w:line="314" w:lineRule="auto" w:before="17"/>
        <w:ind w:right="154" w:firstLine="420"/>
        <w:jc w:val="both"/>
      </w:pPr>
      <w:r>
        <w:rPr/>
        <w:t>（</w:t>
      </w:r>
      <w:r>
        <w:rPr>
          <w:rFonts w:ascii="宋体" w:hAnsi="宋体" w:cs="宋体" w:eastAsia="宋体" w:hint="default"/>
        </w:rPr>
        <w:t>3</w:t>
      </w:r>
      <w:r>
        <w:rPr/>
        <w:t>）对于与子公司、联营企业投资相关的应纳税暂时性差异，该暂时性差异转回的时间能够控制并</w:t>
      </w:r>
      <w:r>
        <w:rPr>
          <w:w w:val="100"/>
        </w:rPr>
        <w:t> </w:t>
      </w:r>
      <w:r>
        <w:rPr/>
        <w:t>且该暂时性差异在可预见的未来很可能不会转回。</w:t>
      </w:r>
    </w:p>
    <w:p>
      <w:pPr>
        <w:pStyle w:val="Heading5"/>
        <w:spacing w:line="240" w:lineRule="auto" w:before="17"/>
        <w:ind w:left="572" w:right="0"/>
        <w:jc w:val="left"/>
        <w:rPr>
          <w:b w:val="0"/>
          <w:bCs w:val="0"/>
        </w:rPr>
      </w:pPr>
      <w:r>
        <w:rPr/>
        <w:t>三、同时满足下列条件时，将递延所得税资产及递延所得税负债以抵销后的净额列示</w:t>
      </w:r>
      <w:r>
        <w:rPr>
          <w:b w:val="0"/>
          <w:bCs w:val="0"/>
        </w:rPr>
      </w:r>
    </w:p>
    <w:p>
      <w:pPr>
        <w:pStyle w:val="BodyText"/>
        <w:spacing w:line="240" w:lineRule="auto" w:before="85"/>
        <w:ind w:left="572" w:right="0"/>
        <w:jc w:val="left"/>
      </w:pPr>
      <w:r>
        <w:rPr/>
        <w:t>（</w:t>
      </w:r>
      <w:r>
        <w:rPr>
          <w:rFonts w:ascii="宋体" w:hAnsi="宋体" w:cs="宋体" w:eastAsia="宋体" w:hint="default"/>
        </w:rPr>
        <w:t>1</w:t>
      </w:r>
      <w:r>
        <w:rPr/>
        <w:t>）企业拥有以净额结算当期所得税资产及当期所得税负债的法定权利；</w:t>
      </w:r>
    </w:p>
    <w:p>
      <w:pPr>
        <w:pStyle w:val="BodyText"/>
        <w:spacing w:line="314" w:lineRule="auto" w:before="82"/>
        <w:ind w:right="125" w:firstLine="420"/>
        <w:jc w:val="both"/>
      </w:pPr>
      <w:r>
        <w:rPr/>
        <w:t>（</w:t>
      </w:r>
      <w:r>
        <w:rPr>
          <w:rFonts w:ascii="宋体" w:hAnsi="宋体" w:cs="宋体" w:eastAsia="宋体" w:hint="default"/>
        </w:rPr>
        <w:t>2</w:t>
      </w:r>
      <w:r>
        <w:rPr/>
        <w:t>）递延所得税资产和递延所得税负债是与同一税收征管部门对同一纳税主体征收的所得税相关或</w:t>
      </w:r>
      <w:r>
        <w:rPr>
          <w:w w:val="100"/>
        </w:rPr>
        <w:t> </w:t>
      </w:r>
      <w:r>
        <w:rPr>
          <w:spacing w:val="-2"/>
        </w:rPr>
        <w:t>者对不同的纳税主体相关，但在未来每一具有重要性的递延所得税资产和递延所得税负债转回的期间内，</w:t>
      </w:r>
      <w:r>
        <w:rPr>
          <w:spacing w:val="-21"/>
        </w:rPr>
        <w:t> </w:t>
      </w:r>
      <w:r>
        <w:rPr>
          <w:spacing w:val="-21"/>
        </w:rPr>
      </w:r>
      <w:r>
        <w:rPr/>
        <w:t>涉及的纳税主体体意图以净额结算当期所得税资产及当期所得税负债或是同时取得资产、清偿债务。</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Heading5"/>
        <w:spacing w:line="240" w:lineRule="auto"/>
        <w:ind w:right="0"/>
        <w:jc w:val="left"/>
        <w:rPr>
          <w:b w:val="0"/>
          <w:bCs w:val="0"/>
        </w:rPr>
      </w:pPr>
      <w:bookmarkStart w:name="27、重要会计政策和会计估计变更" w:id="167"/>
      <w:bookmarkEnd w:id="167"/>
      <w:r>
        <w:rPr>
          <w:b w:val="0"/>
          <w:bCs w:val="0"/>
        </w:rPr>
      </w:r>
      <w:r>
        <w:rPr>
          <w:rFonts w:ascii="Times New Roman" w:hAnsi="Times New Roman" w:cs="Times New Roman" w:eastAsia="Times New Roman" w:hint="default"/>
        </w:rPr>
        <w:t>27</w:t>
      </w:r>
      <w:r>
        <w:rPr/>
        <w:t>、重要会计政策和会计估计变更</w:t>
      </w:r>
      <w:r>
        <w:rPr>
          <w:b w:val="0"/>
          <w:bCs w:val="0"/>
        </w:rPr>
      </w:r>
    </w:p>
    <w:p>
      <w:pPr>
        <w:spacing w:line="240" w:lineRule="auto" w:before="0"/>
        <w:rPr>
          <w:rFonts w:ascii="宋体" w:hAnsi="宋体" w:cs="宋体" w:eastAsia="宋体" w:hint="default"/>
          <w:b/>
          <w:bCs/>
          <w:sz w:val="22"/>
          <w:szCs w:val="22"/>
        </w:rPr>
      </w:pPr>
    </w:p>
    <w:p>
      <w:pPr>
        <w:spacing w:line="240" w:lineRule="auto" w:before="9"/>
        <w:rPr>
          <w:rFonts w:ascii="宋体" w:hAnsi="宋体" w:cs="宋体" w:eastAsia="宋体" w:hint="default"/>
          <w:b/>
          <w:bCs/>
          <w:sz w:val="25"/>
          <w:szCs w:val="25"/>
        </w:rPr>
      </w:pPr>
    </w:p>
    <w:p>
      <w:pPr>
        <w:pStyle w:val="Heading5"/>
        <w:spacing w:line="240" w:lineRule="auto"/>
        <w:ind w:right="0"/>
        <w:jc w:val="left"/>
        <w:rPr>
          <w:b w:val="0"/>
          <w:bCs w:val="0"/>
        </w:rPr>
      </w:pPr>
      <w:bookmarkStart w:name="（1）重要会计政策变更" w:id="168"/>
      <w:bookmarkEnd w:id="168"/>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8"/>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3192"/>
        <w:gridCol w:w="3187"/>
        <w:gridCol w:w="3190"/>
      </w:tblGrid>
      <w:tr>
        <w:trPr>
          <w:trHeight w:val="281" w:hRule="exact"/>
        </w:trPr>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328" w:right="0"/>
              <w:jc w:val="left"/>
              <w:rPr>
                <w:rFonts w:ascii="宋体" w:hAnsi="宋体" w:cs="宋体" w:eastAsia="宋体" w:hint="default"/>
                <w:sz w:val="21"/>
                <w:szCs w:val="21"/>
              </w:rPr>
            </w:pPr>
            <w:r>
              <w:rPr>
                <w:rFonts w:ascii="宋体" w:hAnsi="宋体" w:cs="宋体" w:eastAsia="宋体" w:hint="default"/>
                <w:sz w:val="21"/>
                <w:szCs w:val="21"/>
              </w:rPr>
              <w:t>会计政策变更的内容和原因</w:t>
            </w:r>
          </w:p>
        </w:tc>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审批程序</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5198" w:hRule="exact"/>
        </w:trPr>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年初，财政部分别以财会</w:t>
            </w:r>
          </w:p>
          <w:p>
            <w:pPr>
              <w:pStyle w:val="TableParagraph"/>
              <w:spacing w:line="274" w:lineRule="exact" w:before="16"/>
              <w:ind w:left="24" w:right="24"/>
              <w:jc w:val="both"/>
              <w:rPr>
                <w:rFonts w:ascii="宋体" w:hAnsi="宋体" w:cs="宋体" w:eastAsia="宋体" w:hint="default"/>
                <w:sz w:val="21"/>
                <w:szCs w:val="21"/>
              </w:rPr>
            </w:pPr>
            <w:r>
              <w:rPr>
                <w:rFonts w:ascii="Times New Roman" w:hAnsi="Times New Roman" w:cs="Times New Roman" w:eastAsia="Times New Roman" w:hint="default"/>
                <w:sz w:val="21"/>
                <w:szCs w:val="21"/>
              </w:rPr>
              <w:t>[2014]6</w:t>
            </w:r>
            <w:r>
              <w:rPr>
                <w:rFonts w:ascii="Times New Roman" w:hAnsi="Times New Roman" w:cs="Times New Roman" w:eastAsia="Times New Roman" w:hint="default"/>
                <w:spacing w:val="1"/>
                <w:sz w:val="21"/>
                <w:szCs w:val="21"/>
              </w:rPr>
              <w:t> </w:t>
            </w:r>
            <w:r>
              <w:rPr>
                <w:rFonts w:ascii="宋体" w:hAnsi="宋体" w:cs="宋体" w:eastAsia="宋体" w:hint="default"/>
                <w:spacing w:val="-5"/>
                <w:sz w:val="21"/>
                <w:szCs w:val="21"/>
              </w:rPr>
              <w:t>号、</w:t>
            </w:r>
            <w:r>
              <w:rPr>
                <w:rFonts w:ascii="Times New Roman" w:hAnsi="Times New Roman" w:cs="Times New Roman" w:eastAsia="Times New Roman" w:hint="default"/>
                <w:spacing w:val="-5"/>
                <w:sz w:val="21"/>
                <w:szCs w:val="21"/>
              </w:rPr>
              <w:t>7</w:t>
            </w:r>
            <w:r>
              <w:rPr>
                <w:rFonts w:ascii="Times New Roman" w:hAnsi="Times New Roman" w:cs="Times New Roman" w:eastAsia="Times New Roman" w:hint="default"/>
                <w:spacing w:val="5"/>
                <w:sz w:val="21"/>
                <w:szCs w:val="21"/>
              </w:rPr>
              <w:t> </w:t>
            </w:r>
            <w:r>
              <w:rPr>
                <w:rFonts w:ascii="宋体" w:hAnsi="宋体" w:cs="宋体" w:eastAsia="宋体" w:hint="default"/>
                <w:spacing w:val="-6"/>
                <w:sz w:val="21"/>
                <w:szCs w:val="21"/>
              </w:rPr>
              <w:t>号、</w:t>
            </w:r>
            <w:r>
              <w:rPr>
                <w:rFonts w:ascii="Times New Roman" w:hAnsi="Times New Roman" w:cs="Times New Roman" w:eastAsia="Times New Roman" w:hint="default"/>
                <w:spacing w:val="-6"/>
                <w:sz w:val="21"/>
                <w:szCs w:val="21"/>
              </w:rPr>
              <w:t>8</w:t>
            </w:r>
            <w:r>
              <w:rPr>
                <w:rFonts w:ascii="Times New Roman" w:hAnsi="Times New Roman" w:cs="Times New Roman" w:eastAsia="Times New Roman" w:hint="default"/>
                <w:spacing w:val="5"/>
                <w:sz w:val="21"/>
                <w:szCs w:val="21"/>
              </w:rPr>
              <w:t> </w:t>
            </w:r>
            <w:r>
              <w:rPr>
                <w:rFonts w:ascii="宋体" w:hAnsi="宋体" w:cs="宋体" w:eastAsia="宋体" w:hint="default"/>
                <w:spacing w:val="-4"/>
                <w:sz w:val="21"/>
                <w:szCs w:val="21"/>
              </w:rPr>
              <w:t>号、</w:t>
            </w:r>
            <w:r>
              <w:rPr>
                <w:rFonts w:ascii="Times New Roman" w:hAnsi="Times New Roman" w:cs="Times New Roman" w:eastAsia="Times New Roman" w:hint="default"/>
                <w:spacing w:val="-4"/>
                <w:sz w:val="21"/>
                <w:szCs w:val="21"/>
              </w:rPr>
              <w:t>10</w:t>
            </w:r>
            <w:r>
              <w:rPr>
                <w:rFonts w:ascii="Times New Roman" w:hAnsi="Times New Roman" w:cs="Times New Roman" w:eastAsia="Times New Roman" w:hint="default"/>
                <w:spacing w:val="5"/>
                <w:sz w:val="21"/>
                <w:szCs w:val="21"/>
              </w:rPr>
              <w:t> </w:t>
            </w:r>
            <w:r>
              <w:rPr>
                <w:rFonts w:ascii="宋体" w:hAnsi="宋体" w:cs="宋体" w:eastAsia="宋体" w:hint="default"/>
                <w:spacing w:val="-8"/>
                <w:sz w:val="21"/>
                <w:szCs w:val="21"/>
              </w:rPr>
              <w:t>号、</w:t>
            </w:r>
            <w:r>
              <w:rPr>
                <w:rFonts w:ascii="Times New Roman" w:hAnsi="Times New Roman" w:cs="Times New Roman" w:eastAsia="Times New Roman" w:hint="default"/>
                <w:spacing w:val="-8"/>
                <w:sz w:val="21"/>
                <w:szCs w:val="21"/>
              </w:rPr>
              <w:t>11</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14 </w:t>
            </w:r>
            <w:r>
              <w:rPr>
                <w:rFonts w:ascii="宋体" w:hAnsi="宋体" w:cs="宋体" w:eastAsia="宋体" w:hint="default"/>
                <w:sz w:val="21"/>
                <w:szCs w:val="21"/>
              </w:rPr>
              <w:t>号及</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号发布了《企业会</w:t>
            </w:r>
            <w:r>
              <w:rPr>
                <w:rFonts w:ascii="宋体" w:hAnsi="宋体" w:cs="宋体" w:eastAsia="宋体" w:hint="default"/>
                <w:w w:val="100"/>
                <w:sz w:val="21"/>
                <w:szCs w:val="21"/>
              </w:rPr>
              <w:t> </w:t>
            </w:r>
            <w:r>
              <w:rPr>
                <w:rFonts w:ascii="宋体" w:hAnsi="宋体" w:cs="宋体" w:eastAsia="宋体" w:hint="default"/>
                <w:sz w:val="21"/>
                <w:szCs w:val="21"/>
              </w:rPr>
              <w:t>计准则第</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公允价值计</w:t>
            </w:r>
          </w:p>
          <w:p>
            <w:pPr>
              <w:pStyle w:val="TableParagraph"/>
              <w:spacing w:line="272" w:lineRule="exact" w:before="1"/>
              <w:ind w:left="24" w:right="108"/>
              <w:jc w:val="left"/>
              <w:rPr>
                <w:rFonts w:ascii="宋体" w:hAnsi="宋体" w:cs="宋体" w:eastAsia="宋体" w:hint="default"/>
                <w:sz w:val="21"/>
                <w:szCs w:val="21"/>
              </w:rPr>
            </w:pPr>
            <w:r>
              <w:rPr>
                <w:rFonts w:ascii="宋体" w:hAnsi="宋体" w:cs="宋体" w:eastAsia="宋体" w:hint="default"/>
                <w:w w:val="100"/>
                <w:sz w:val="21"/>
                <w:szCs w:val="21"/>
              </w:rPr>
              <w:t>量</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企</w:t>
            </w:r>
            <w:r>
              <w:rPr>
                <w:rFonts w:ascii="宋体" w:hAnsi="宋体" w:cs="宋体" w:eastAsia="宋体" w:hint="default"/>
                <w:spacing w:val="-3"/>
                <w:w w:val="100"/>
                <w:sz w:val="21"/>
                <w:szCs w:val="21"/>
              </w:rPr>
              <w:t>业</w:t>
            </w:r>
            <w:r>
              <w:rPr>
                <w:rFonts w:ascii="宋体" w:hAnsi="宋体" w:cs="宋体" w:eastAsia="宋体" w:hint="default"/>
                <w:w w:val="100"/>
                <w:sz w:val="21"/>
                <w:szCs w:val="21"/>
              </w:rPr>
              <w:t>会</w:t>
            </w:r>
            <w:r>
              <w:rPr>
                <w:rFonts w:ascii="宋体" w:hAnsi="宋体" w:cs="宋体" w:eastAsia="宋体" w:hint="default"/>
                <w:spacing w:val="-3"/>
                <w:w w:val="100"/>
                <w:sz w:val="21"/>
                <w:szCs w:val="21"/>
              </w:rPr>
              <w:t>计</w:t>
            </w:r>
            <w:r>
              <w:rPr>
                <w:rFonts w:ascii="宋体" w:hAnsi="宋体" w:cs="宋体" w:eastAsia="宋体" w:hint="default"/>
                <w:w w:val="100"/>
                <w:sz w:val="21"/>
                <w:szCs w:val="21"/>
              </w:rPr>
              <w:t>准</w:t>
            </w:r>
            <w:r>
              <w:rPr>
                <w:rFonts w:ascii="宋体" w:hAnsi="宋体" w:cs="宋体" w:eastAsia="宋体" w:hint="default"/>
                <w:spacing w:val="-3"/>
                <w:w w:val="100"/>
                <w:sz w:val="21"/>
                <w:szCs w:val="21"/>
              </w:rPr>
              <w:t>则</w:t>
            </w:r>
            <w:r>
              <w:rPr>
                <w:rFonts w:ascii="宋体" w:hAnsi="宋体" w:cs="宋体" w:eastAsia="宋体" w:hint="default"/>
                <w:w w:val="100"/>
                <w:sz w:val="21"/>
                <w:szCs w:val="21"/>
              </w:rPr>
              <w:t>第</w:t>
            </w:r>
            <w:r>
              <w:rPr>
                <w:rFonts w:ascii="宋体" w:hAnsi="宋体" w:cs="宋体" w:eastAsia="宋体" w:hint="default"/>
                <w:spacing w:val="-53"/>
                <w:sz w:val="21"/>
                <w:szCs w:val="21"/>
              </w:rPr>
              <w:t> </w:t>
            </w:r>
            <w:r>
              <w:rPr>
                <w:rFonts w:ascii="Times New Roman" w:hAnsi="Times New Roman" w:cs="Times New Roman" w:eastAsia="Times New Roman" w:hint="default"/>
                <w:spacing w:val="-3"/>
                <w:w w:val="100"/>
                <w:sz w:val="21"/>
                <w:szCs w:val="21"/>
              </w:rPr>
              <w:t>3</w:t>
            </w:r>
            <w:r>
              <w:rPr>
                <w:rFonts w:ascii="Times New Roman" w:hAnsi="Times New Roman" w:cs="Times New Roman" w:eastAsia="Times New Roman" w:hint="default"/>
                <w:w w:val="100"/>
                <w:sz w:val="21"/>
                <w:szCs w:val="21"/>
              </w:rPr>
              <w:t>0</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号</w:t>
            </w:r>
            <w:r>
              <w:rPr>
                <w:rFonts w:ascii="Times New Roman" w:hAnsi="Times New Roman" w:cs="Times New Roman" w:eastAsia="Times New Roman" w:hint="default"/>
                <w:w w:val="100"/>
                <w:sz w:val="21"/>
                <w:szCs w:val="21"/>
              </w:rPr>
              <w:t>—— </w:t>
            </w:r>
            <w:r>
              <w:rPr>
                <w:rFonts w:ascii="宋体" w:hAnsi="宋体" w:cs="宋体" w:eastAsia="宋体" w:hint="default"/>
                <w:w w:val="100"/>
                <w:sz w:val="21"/>
                <w:szCs w:val="21"/>
              </w:rPr>
              <w:t>财务</w:t>
            </w:r>
            <w:r>
              <w:rPr>
                <w:rFonts w:ascii="宋体" w:hAnsi="宋体" w:cs="宋体" w:eastAsia="宋体" w:hint="default"/>
                <w:spacing w:val="-3"/>
                <w:w w:val="100"/>
                <w:sz w:val="21"/>
                <w:szCs w:val="21"/>
              </w:rPr>
              <w:t>报</w:t>
            </w:r>
            <w:r>
              <w:rPr>
                <w:rFonts w:ascii="宋体" w:hAnsi="宋体" w:cs="宋体" w:eastAsia="宋体" w:hint="default"/>
                <w:w w:val="100"/>
                <w:sz w:val="21"/>
                <w:szCs w:val="21"/>
              </w:rPr>
              <w:t>表</w:t>
            </w:r>
            <w:r>
              <w:rPr>
                <w:rFonts w:ascii="宋体" w:hAnsi="宋体" w:cs="宋体" w:eastAsia="宋体" w:hint="default"/>
                <w:spacing w:val="-3"/>
                <w:w w:val="100"/>
                <w:sz w:val="21"/>
                <w:szCs w:val="21"/>
              </w:rPr>
              <w:t>列</w:t>
            </w:r>
            <w:r>
              <w:rPr>
                <w:rFonts w:ascii="宋体" w:hAnsi="宋体" w:cs="宋体" w:eastAsia="宋体" w:hint="default"/>
                <w:w w:val="100"/>
                <w:sz w:val="21"/>
                <w:szCs w:val="21"/>
              </w:rPr>
              <w:t>报</w:t>
            </w:r>
            <w:r>
              <w:rPr>
                <w:rFonts w:ascii="宋体" w:hAnsi="宋体" w:cs="宋体" w:eastAsia="宋体" w:hint="default"/>
                <w:spacing w:val="-3"/>
                <w:w w:val="100"/>
                <w:sz w:val="21"/>
                <w:szCs w:val="21"/>
              </w:rPr>
              <w:t>（</w:t>
            </w:r>
            <w:r>
              <w:rPr>
                <w:rFonts w:ascii="Times New Roman" w:hAnsi="Times New Roman" w:cs="Times New Roman" w:eastAsia="Times New Roman" w:hint="default"/>
                <w:w w:val="100"/>
                <w:sz w:val="21"/>
                <w:szCs w:val="21"/>
              </w:rPr>
              <w:t>20</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4</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年修</w:t>
            </w:r>
            <w:r>
              <w:rPr>
                <w:rFonts w:ascii="宋体" w:hAnsi="宋体" w:cs="宋体" w:eastAsia="宋体" w:hint="default"/>
                <w:w w:val="100"/>
                <w:sz w:val="21"/>
                <w:szCs w:val="21"/>
              </w:rPr>
              <w:t>订</w:t>
            </w:r>
            <w:r>
              <w:rPr>
                <w:rFonts w:ascii="宋体" w:hAnsi="宋体" w:cs="宋体" w:eastAsia="宋体" w:hint="default"/>
                <w:spacing w:val="-106"/>
                <w:w w:val="100"/>
                <w:sz w:val="21"/>
                <w:szCs w:val="21"/>
              </w:rPr>
              <w:t>）》、</w:t>
            </w:r>
            <w:r>
              <w:rPr>
                <w:rFonts w:ascii="宋体" w:hAnsi="宋体" w:cs="宋体" w:eastAsia="宋体" w:hint="default"/>
                <w:w w:val="100"/>
                <w:sz w:val="21"/>
                <w:szCs w:val="21"/>
              </w:rPr>
            </w:r>
          </w:p>
          <w:p>
            <w:pPr>
              <w:pStyle w:val="TableParagraph"/>
              <w:spacing w:line="274" w:lineRule="exact"/>
              <w:ind w:left="24" w:right="19"/>
              <w:jc w:val="both"/>
              <w:rPr>
                <w:rFonts w:ascii="Times New Roman" w:hAnsi="Times New Roman" w:cs="Times New Roman" w:eastAsia="Times New Roman" w:hint="default"/>
                <w:sz w:val="21"/>
                <w:szCs w:val="21"/>
              </w:rPr>
            </w:pPr>
            <w:r>
              <w:rPr>
                <w:rFonts w:ascii="宋体" w:hAnsi="宋体" w:cs="宋体" w:eastAsia="宋体" w:hint="default"/>
                <w:sz w:val="21"/>
                <w:szCs w:val="21"/>
              </w:rPr>
              <w:t>《企业会计准则第</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职工薪</w:t>
            </w:r>
            <w:r>
              <w:rPr>
                <w:rFonts w:ascii="宋体" w:hAnsi="宋体" w:cs="宋体" w:eastAsia="宋体" w:hint="default"/>
                <w:spacing w:val="-3"/>
                <w:w w:val="100"/>
                <w:sz w:val="21"/>
                <w:szCs w:val="21"/>
              </w:rPr>
              <w:t> </w:t>
            </w:r>
            <w:r>
              <w:rPr>
                <w:rFonts w:ascii="宋体" w:hAnsi="宋体" w:cs="宋体" w:eastAsia="宋体" w:hint="default"/>
                <w:spacing w:val="-1"/>
                <w:w w:val="100"/>
                <w:sz w:val="21"/>
                <w:szCs w:val="21"/>
              </w:rPr>
              <w:t>酬（</w:t>
            </w:r>
            <w:r>
              <w:rPr>
                <w:rFonts w:ascii="Times New Roman" w:hAnsi="Times New Roman" w:cs="Times New Roman" w:eastAsia="Times New Roman" w:hint="default"/>
                <w:spacing w:val="-1"/>
                <w:w w:val="100"/>
                <w:sz w:val="21"/>
                <w:szCs w:val="21"/>
              </w:rPr>
              <w:t>2014</w:t>
            </w:r>
            <w:r>
              <w:rPr>
                <w:rFonts w:ascii="Times New Roman" w:hAnsi="Times New Roman" w:cs="Times New Roman" w:eastAsia="Times New Roman" w:hint="default"/>
                <w:w w:val="100"/>
                <w:sz w:val="21"/>
                <w:szCs w:val="21"/>
              </w:rPr>
              <w:t> </w:t>
            </w:r>
            <w:r>
              <w:rPr>
                <w:rFonts w:ascii="宋体" w:hAnsi="宋体" w:cs="宋体" w:eastAsia="宋体" w:hint="default"/>
                <w:spacing w:val="-28"/>
                <w:w w:val="100"/>
                <w:sz w:val="21"/>
                <w:szCs w:val="21"/>
              </w:rPr>
              <w:t>年修订）》、《企业会计准</w:t>
            </w:r>
            <w:r>
              <w:rPr>
                <w:rFonts w:ascii="宋体" w:hAnsi="宋体" w:cs="宋体" w:eastAsia="宋体" w:hint="default"/>
                <w:spacing w:val="-99"/>
                <w:w w:val="100"/>
                <w:sz w:val="21"/>
                <w:szCs w:val="21"/>
              </w:rPr>
              <w:t> </w:t>
            </w:r>
            <w:r>
              <w:rPr>
                <w:rFonts w:ascii="宋体" w:hAnsi="宋体" w:cs="宋体" w:eastAsia="宋体" w:hint="default"/>
                <w:spacing w:val="-99"/>
                <w:w w:val="100"/>
                <w:sz w:val="21"/>
                <w:szCs w:val="21"/>
              </w:rPr>
            </w:r>
            <w:r>
              <w:rPr>
                <w:rFonts w:ascii="宋体" w:hAnsi="宋体" w:cs="宋体" w:eastAsia="宋体" w:hint="default"/>
                <w:w w:val="100"/>
                <w:sz w:val="21"/>
                <w:szCs w:val="21"/>
              </w:rPr>
              <w:t>则第</w:t>
            </w:r>
            <w:r>
              <w:rPr>
                <w:rFonts w:ascii="宋体" w:hAnsi="宋体" w:cs="宋体" w:eastAsia="宋体" w:hint="default"/>
                <w:spacing w:val="-60"/>
                <w:w w:val="100"/>
                <w:sz w:val="21"/>
                <w:szCs w:val="21"/>
              </w:rPr>
              <w:t> </w:t>
            </w:r>
            <w:r>
              <w:rPr>
                <w:rFonts w:ascii="Times New Roman" w:hAnsi="Times New Roman" w:cs="Times New Roman" w:eastAsia="Times New Roman" w:hint="default"/>
                <w:spacing w:val="-2"/>
                <w:w w:val="100"/>
                <w:sz w:val="21"/>
                <w:szCs w:val="21"/>
              </w:rPr>
              <w:t>33</w:t>
            </w:r>
            <w:r>
              <w:rPr>
                <w:rFonts w:ascii="Times New Roman" w:hAnsi="Times New Roman" w:cs="Times New Roman" w:eastAsia="Times New Roman" w:hint="default"/>
                <w:spacing w:val="-7"/>
                <w:w w:val="100"/>
                <w:sz w:val="21"/>
                <w:szCs w:val="21"/>
              </w:rPr>
              <w:t> </w:t>
            </w:r>
            <w:r>
              <w:rPr>
                <w:rFonts w:ascii="宋体" w:hAnsi="宋体" w:cs="宋体" w:eastAsia="宋体" w:hint="default"/>
                <w:spacing w:val="-9"/>
                <w:w w:val="100"/>
                <w:sz w:val="21"/>
                <w:szCs w:val="21"/>
              </w:rPr>
              <w:t>号</w:t>
            </w:r>
            <w:r>
              <w:rPr>
                <w:rFonts w:ascii="Times New Roman" w:hAnsi="Times New Roman" w:cs="Times New Roman" w:eastAsia="Times New Roman" w:hint="default"/>
                <w:spacing w:val="-9"/>
                <w:w w:val="100"/>
                <w:sz w:val="21"/>
                <w:szCs w:val="21"/>
              </w:rPr>
              <w:t>——</w:t>
            </w:r>
            <w:r>
              <w:rPr>
                <w:rFonts w:ascii="宋体" w:hAnsi="宋体" w:cs="宋体" w:eastAsia="宋体" w:hint="default"/>
                <w:spacing w:val="-9"/>
                <w:w w:val="100"/>
                <w:sz w:val="21"/>
                <w:szCs w:val="21"/>
              </w:rPr>
              <w:t>合并财务报表（</w:t>
            </w:r>
            <w:r>
              <w:rPr>
                <w:rFonts w:ascii="Times New Roman" w:hAnsi="Times New Roman" w:cs="Times New Roman" w:eastAsia="Times New Roman" w:hint="default"/>
                <w:spacing w:val="-9"/>
                <w:w w:val="100"/>
                <w:sz w:val="21"/>
                <w:szCs w:val="21"/>
              </w:rPr>
              <w:t>2014</w:t>
            </w:r>
          </w:p>
          <w:p>
            <w:pPr>
              <w:pStyle w:val="TableParagraph"/>
              <w:spacing w:line="253"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年修</w:t>
            </w:r>
            <w:r>
              <w:rPr>
                <w:rFonts w:ascii="宋体" w:hAnsi="宋体" w:cs="宋体" w:eastAsia="宋体" w:hint="default"/>
                <w:spacing w:val="-3"/>
                <w:w w:val="100"/>
                <w:sz w:val="21"/>
                <w:szCs w:val="21"/>
              </w:rPr>
              <w:t>订</w:t>
            </w:r>
            <w:r>
              <w:rPr>
                <w:rFonts w:ascii="宋体" w:hAnsi="宋体" w:cs="宋体" w:eastAsia="宋体" w:hint="default"/>
                <w:spacing w:val="-106"/>
                <w:w w:val="100"/>
                <w:sz w:val="21"/>
                <w:szCs w:val="21"/>
              </w:rPr>
              <w:t>）》</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企</w:t>
            </w:r>
            <w:r>
              <w:rPr>
                <w:rFonts w:ascii="宋体" w:hAnsi="宋体" w:cs="宋体" w:eastAsia="宋体" w:hint="default"/>
                <w:w w:val="100"/>
                <w:sz w:val="21"/>
                <w:szCs w:val="21"/>
              </w:rPr>
              <w:t>业</w:t>
            </w:r>
            <w:r>
              <w:rPr>
                <w:rFonts w:ascii="宋体" w:hAnsi="宋体" w:cs="宋体" w:eastAsia="宋体" w:hint="default"/>
                <w:spacing w:val="-3"/>
                <w:w w:val="100"/>
                <w:sz w:val="21"/>
                <w:szCs w:val="21"/>
              </w:rPr>
              <w:t>会</w:t>
            </w:r>
            <w:r>
              <w:rPr>
                <w:rFonts w:ascii="宋体" w:hAnsi="宋体" w:cs="宋体" w:eastAsia="宋体" w:hint="default"/>
                <w:w w:val="100"/>
                <w:sz w:val="21"/>
                <w:szCs w:val="21"/>
              </w:rPr>
              <w:t>计</w:t>
            </w:r>
            <w:r>
              <w:rPr>
                <w:rFonts w:ascii="宋体" w:hAnsi="宋体" w:cs="宋体" w:eastAsia="宋体" w:hint="default"/>
                <w:spacing w:val="-3"/>
                <w:w w:val="100"/>
                <w:sz w:val="21"/>
                <w:szCs w:val="21"/>
              </w:rPr>
              <w:t>准则</w:t>
            </w:r>
            <w:r>
              <w:rPr>
                <w:rFonts w:ascii="宋体" w:hAnsi="宋体" w:cs="宋体" w:eastAsia="宋体" w:hint="default"/>
                <w:w w:val="100"/>
                <w:sz w:val="21"/>
                <w:szCs w:val="21"/>
              </w:rPr>
              <w:t>第</w:t>
            </w:r>
            <w:r>
              <w:rPr>
                <w:rFonts w:ascii="宋体" w:hAnsi="宋体" w:cs="宋体" w:eastAsia="宋体" w:hint="default"/>
                <w:spacing w:val="-60"/>
                <w:sz w:val="21"/>
                <w:szCs w:val="21"/>
              </w:rPr>
              <w:t> </w:t>
            </w:r>
            <w:r>
              <w:rPr>
                <w:rFonts w:ascii="Times New Roman" w:hAnsi="Times New Roman" w:cs="Times New Roman" w:eastAsia="Times New Roman" w:hint="default"/>
                <w:w w:val="100"/>
                <w:sz w:val="21"/>
                <w:szCs w:val="21"/>
              </w:rPr>
              <w:t>40</w:t>
            </w:r>
            <w:r>
              <w:rPr>
                <w:rFonts w:ascii="Times New Roman" w:hAnsi="Times New Roman" w:cs="Times New Roman" w:eastAsia="Times New Roman" w:hint="default"/>
                <w:spacing w:val="-10"/>
                <w:sz w:val="21"/>
                <w:szCs w:val="21"/>
              </w:rPr>
              <w:t> </w:t>
            </w:r>
            <w:r>
              <w:rPr>
                <w:rFonts w:ascii="宋体" w:hAnsi="宋体" w:cs="宋体" w:eastAsia="宋体" w:hint="default"/>
                <w:w w:val="100"/>
                <w:sz w:val="21"/>
                <w:szCs w:val="21"/>
              </w:rPr>
              <w:t>号</w:t>
            </w:r>
          </w:p>
          <w:p>
            <w:pPr>
              <w:pStyle w:val="TableParagraph"/>
              <w:spacing w:line="274" w:lineRule="exact" w:before="17"/>
              <w:ind w:left="24" w:right="19"/>
              <w:jc w:val="left"/>
              <w:rPr>
                <w:rFonts w:ascii="宋体" w:hAnsi="宋体" w:cs="宋体" w:eastAsia="宋体" w:hint="default"/>
                <w:sz w:val="21"/>
                <w:szCs w:val="21"/>
              </w:rPr>
            </w:pPr>
            <w:r>
              <w:rPr>
                <w:rFonts w:ascii="Times New Roman" w:hAnsi="Times New Roman" w:cs="Times New Roman" w:eastAsia="Times New Roman" w:hint="default"/>
                <w:spacing w:val="-15"/>
                <w:w w:val="100"/>
                <w:sz w:val="21"/>
                <w:szCs w:val="21"/>
              </w:rPr>
              <w:t>——</w:t>
            </w:r>
            <w:r>
              <w:rPr>
                <w:rFonts w:ascii="宋体" w:hAnsi="宋体" w:cs="宋体" w:eastAsia="宋体" w:hint="default"/>
                <w:spacing w:val="-15"/>
                <w:w w:val="100"/>
                <w:sz w:val="21"/>
                <w:szCs w:val="21"/>
              </w:rPr>
              <w:t>合营安排》、《企业会计准则</w:t>
            </w:r>
            <w:r>
              <w:rPr>
                <w:rFonts w:ascii="宋体" w:hAnsi="宋体" w:cs="宋体" w:eastAsia="宋体" w:hint="default"/>
                <w:w w:val="100"/>
                <w:sz w:val="21"/>
                <w:szCs w:val="21"/>
              </w:rPr>
              <w:t> </w:t>
            </w:r>
            <w:r>
              <w:rPr>
                <w:rFonts w:ascii="宋体" w:hAnsi="宋体" w:cs="宋体" w:eastAsia="宋体" w:hint="default"/>
                <w:sz w:val="21"/>
                <w:szCs w:val="21"/>
              </w:rPr>
              <w:t>第</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9"/>
                <w:sz w:val="21"/>
                <w:szCs w:val="21"/>
              </w:rPr>
              <w:t> </w:t>
            </w:r>
            <w:r>
              <w:rPr>
                <w:rFonts w:ascii="宋体" w:hAnsi="宋体" w:cs="宋体" w:eastAsia="宋体" w:hint="default"/>
                <w:spacing w:val="-7"/>
                <w:sz w:val="21"/>
                <w:szCs w:val="21"/>
              </w:rPr>
              <w:t>号</w:t>
            </w:r>
            <w:r>
              <w:rPr>
                <w:rFonts w:ascii="Times New Roman" w:hAnsi="Times New Roman" w:cs="Times New Roman" w:eastAsia="Times New Roman" w:hint="default"/>
                <w:spacing w:val="-7"/>
                <w:sz w:val="21"/>
                <w:szCs w:val="21"/>
              </w:rPr>
              <w:t>——</w:t>
            </w:r>
            <w:r>
              <w:rPr>
                <w:rFonts w:ascii="宋体" w:hAnsi="宋体" w:cs="宋体" w:eastAsia="宋体" w:hint="default"/>
                <w:spacing w:val="-7"/>
                <w:sz w:val="21"/>
                <w:szCs w:val="21"/>
              </w:rPr>
              <w:t>长期股权投资（</w:t>
            </w:r>
            <w:r>
              <w:rPr>
                <w:rFonts w:ascii="Times New Roman" w:hAnsi="Times New Roman" w:cs="Times New Roman" w:eastAsia="Times New Roman" w:hint="default"/>
                <w:spacing w:val="-7"/>
                <w:sz w:val="21"/>
                <w:szCs w:val="21"/>
              </w:rPr>
              <w:t>2014</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102"/>
                <w:sz w:val="21"/>
                <w:szCs w:val="21"/>
              </w:rPr>
              <w:t> </w:t>
            </w:r>
            <w:r>
              <w:rPr>
                <w:rFonts w:ascii="宋体" w:hAnsi="宋体" w:cs="宋体" w:eastAsia="宋体" w:hint="default"/>
                <w:spacing w:val="-11"/>
                <w:w w:val="100"/>
                <w:sz w:val="21"/>
                <w:szCs w:val="21"/>
              </w:rPr>
              <w:t>修订）》及《企业会计准则第</w:t>
            </w:r>
            <w:r>
              <w:rPr>
                <w:rFonts w:ascii="宋体" w:hAnsi="宋体" w:cs="宋体" w:eastAsia="宋体" w:hint="default"/>
                <w:spacing w:val="-51"/>
                <w:w w:val="100"/>
                <w:sz w:val="21"/>
                <w:szCs w:val="21"/>
              </w:rPr>
              <w:t> </w:t>
            </w:r>
            <w:r>
              <w:rPr>
                <w:rFonts w:ascii="Times New Roman" w:hAnsi="Times New Roman" w:cs="Times New Roman" w:eastAsia="Times New Roman" w:hint="default"/>
                <w:w w:val="100"/>
                <w:sz w:val="21"/>
                <w:szCs w:val="21"/>
              </w:rPr>
              <w:t>41</w:t>
            </w:r>
            <w:r>
              <w:rPr>
                <w:rFonts w:ascii="Times New Roman" w:hAnsi="Times New Roman" w:cs="Times New Roman" w:eastAsia="Times New Roman" w:hint="default"/>
                <w:spacing w:val="-1"/>
                <w:w w:val="100"/>
                <w:sz w:val="21"/>
                <w:szCs w:val="21"/>
              </w:rPr>
              <w:t> </w:t>
            </w:r>
            <w:r>
              <w:rPr>
                <w:rFonts w:ascii="宋体" w:hAnsi="宋体" w:cs="宋体" w:eastAsia="宋体" w:hint="default"/>
                <w:w w:val="100"/>
                <w:sz w:val="21"/>
                <w:szCs w:val="21"/>
              </w:rPr>
              <w:t>号</w:t>
            </w:r>
          </w:p>
          <w:p>
            <w:pPr>
              <w:pStyle w:val="TableParagraph"/>
              <w:spacing w:line="253"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w:t>
            </w:r>
            <w:r>
              <w:rPr>
                <w:rFonts w:ascii="宋体" w:hAnsi="宋体" w:cs="宋体" w:eastAsia="宋体" w:hint="default"/>
                <w:spacing w:val="-3"/>
                <w:w w:val="100"/>
                <w:sz w:val="21"/>
                <w:szCs w:val="21"/>
              </w:rPr>
              <w:t>在</w:t>
            </w:r>
            <w:r>
              <w:rPr>
                <w:rFonts w:ascii="宋体" w:hAnsi="宋体" w:cs="宋体" w:eastAsia="宋体" w:hint="default"/>
                <w:w w:val="100"/>
                <w:sz w:val="21"/>
                <w:szCs w:val="21"/>
              </w:rPr>
              <w:t>其</w:t>
            </w:r>
            <w:r>
              <w:rPr>
                <w:rFonts w:ascii="宋体" w:hAnsi="宋体" w:cs="宋体" w:eastAsia="宋体" w:hint="default"/>
                <w:spacing w:val="-3"/>
                <w:w w:val="100"/>
                <w:sz w:val="21"/>
                <w:szCs w:val="21"/>
              </w:rPr>
              <w:t>他</w:t>
            </w:r>
            <w:r>
              <w:rPr>
                <w:rFonts w:ascii="宋体" w:hAnsi="宋体" w:cs="宋体" w:eastAsia="宋体" w:hint="default"/>
                <w:w w:val="100"/>
                <w:sz w:val="21"/>
                <w:szCs w:val="21"/>
              </w:rPr>
              <w:t>主</w:t>
            </w:r>
            <w:r>
              <w:rPr>
                <w:rFonts w:ascii="宋体" w:hAnsi="宋体" w:cs="宋体" w:eastAsia="宋体" w:hint="default"/>
                <w:spacing w:val="-3"/>
                <w:w w:val="100"/>
                <w:sz w:val="21"/>
                <w:szCs w:val="21"/>
              </w:rPr>
              <w:t>体</w:t>
            </w:r>
            <w:r>
              <w:rPr>
                <w:rFonts w:ascii="宋体" w:hAnsi="宋体" w:cs="宋体" w:eastAsia="宋体" w:hint="default"/>
                <w:w w:val="100"/>
                <w:sz w:val="21"/>
                <w:szCs w:val="21"/>
              </w:rPr>
              <w:t>中</w:t>
            </w:r>
            <w:r>
              <w:rPr>
                <w:rFonts w:ascii="宋体" w:hAnsi="宋体" w:cs="宋体" w:eastAsia="宋体" w:hint="default"/>
                <w:spacing w:val="-3"/>
                <w:w w:val="100"/>
                <w:sz w:val="21"/>
                <w:szCs w:val="21"/>
              </w:rPr>
              <w:t>权</w:t>
            </w:r>
            <w:r>
              <w:rPr>
                <w:rFonts w:ascii="宋体" w:hAnsi="宋体" w:cs="宋体" w:eastAsia="宋体" w:hint="default"/>
                <w:w w:val="100"/>
                <w:sz w:val="21"/>
                <w:szCs w:val="21"/>
              </w:rPr>
              <w:t>益</w:t>
            </w:r>
            <w:r>
              <w:rPr>
                <w:rFonts w:ascii="宋体" w:hAnsi="宋体" w:cs="宋体" w:eastAsia="宋体" w:hint="default"/>
                <w:spacing w:val="-3"/>
                <w:w w:val="100"/>
                <w:sz w:val="21"/>
                <w:szCs w:val="21"/>
              </w:rPr>
              <w:t>的</w:t>
            </w:r>
            <w:r>
              <w:rPr>
                <w:rFonts w:ascii="宋体" w:hAnsi="宋体" w:cs="宋体" w:eastAsia="宋体" w:hint="default"/>
                <w:w w:val="100"/>
                <w:sz w:val="21"/>
                <w:szCs w:val="21"/>
              </w:rPr>
              <w:t>披露</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p>
          <w:p>
            <w:pPr>
              <w:pStyle w:val="TableParagraph"/>
              <w:spacing w:line="230" w:lineRule="auto" w:before="1"/>
              <w:ind w:left="24" w:right="17"/>
              <w:jc w:val="left"/>
              <w:rPr>
                <w:rFonts w:ascii="宋体" w:hAnsi="宋体" w:cs="宋体" w:eastAsia="宋体" w:hint="default"/>
                <w:sz w:val="21"/>
                <w:szCs w:val="21"/>
              </w:rPr>
            </w:pPr>
            <w:r>
              <w:rPr>
                <w:rFonts w:ascii="宋体" w:hAnsi="宋体" w:cs="宋体" w:eastAsia="宋体" w:hint="default"/>
                <w:sz w:val="21"/>
                <w:szCs w:val="21"/>
              </w:rPr>
              <w:t>要求自</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7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日起在所有</w:t>
            </w:r>
            <w:r>
              <w:rPr>
                <w:rFonts w:ascii="宋体" w:hAnsi="宋体" w:cs="宋体" w:eastAsia="宋体" w:hint="default"/>
                <w:w w:val="100"/>
                <w:sz w:val="21"/>
                <w:szCs w:val="21"/>
              </w:rPr>
              <w:t> </w:t>
            </w:r>
            <w:r>
              <w:rPr>
                <w:rFonts w:ascii="宋体" w:hAnsi="宋体" w:cs="宋体" w:eastAsia="宋体" w:hint="default"/>
                <w:sz w:val="21"/>
                <w:szCs w:val="21"/>
              </w:rPr>
              <w:t>执行企业会计准则的企业范围内</w:t>
            </w:r>
            <w:r>
              <w:rPr>
                <w:rFonts w:ascii="宋体" w:hAnsi="宋体" w:cs="宋体" w:eastAsia="宋体" w:hint="default"/>
                <w:w w:val="100"/>
                <w:sz w:val="21"/>
                <w:szCs w:val="21"/>
              </w:rPr>
              <w:t> </w:t>
            </w:r>
            <w:r>
              <w:rPr>
                <w:rFonts w:ascii="宋体" w:hAnsi="宋体" w:cs="宋体" w:eastAsia="宋体" w:hint="default"/>
                <w:spacing w:val="-9"/>
                <w:sz w:val="21"/>
                <w:szCs w:val="21"/>
              </w:rPr>
              <w:t>施行。同时，财政部以财会</w:t>
            </w:r>
            <w:r>
              <w:rPr>
                <w:rFonts w:ascii="Times New Roman" w:hAnsi="Times New Roman" w:cs="Times New Roman" w:eastAsia="Times New Roman" w:hint="default"/>
                <w:spacing w:val="-9"/>
                <w:sz w:val="21"/>
                <w:szCs w:val="21"/>
              </w:rPr>
              <w:t>[2014]23</w:t>
            </w:r>
            <w:r>
              <w:rPr>
                <w:rFonts w:ascii="Times New Roman" w:hAnsi="Times New Roman" w:cs="Times New Roman" w:eastAsia="Times New Roman" w:hint="default"/>
                <w:spacing w:val="-29"/>
                <w:sz w:val="21"/>
                <w:szCs w:val="21"/>
              </w:rPr>
              <w:t> </w:t>
            </w:r>
            <w:r>
              <w:rPr>
                <w:rFonts w:ascii="Times New Roman" w:hAnsi="Times New Roman" w:cs="Times New Roman" w:eastAsia="Times New Roman" w:hint="default"/>
                <w:spacing w:val="-29"/>
                <w:sz w:val="21"/>
                <w:szCs w:val="21"/>
              </w:rPr>
            </w:r>
            <w:r>
              <w:rPr>
                <w:rFonts w:ascii="宋体" w:hAnsi="宋体" w:cs="宋体" w:eastAsia="宋体" w:hint="default"/>
                <w:sz w:val="21"/>
                <w:szCs w:val="21"/>
              </w:rPr>
              <w:t>号发布了《企业会计准则第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w:t>
            </w:r>
          </w:p>
          <w:p>
            <w:pPr>
              <w:pStyle w:val="TableParagraph"/>
              <w:spacing w:line="275"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金融工具列报（</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年修</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3" w:right="206"/>
              <w:jc w:val="left"/>
              <w:rPr>
                <w:rFonts w:ascii="宋体" w:hAnsi="宋体" w:cs="宋体" w:eastAsia="宋体" w:hint="default"/>
                <w:sz w:val="21"/>
                <w:szCs w:val="21"/>
              </w:rPr>
            </w:pPr>
            <w:r>
              <w:rPr>
                <w:rFonts w:ascii="宋体" w:hAnsi="宋体" w:cs="宋体" w:eastAsia="宋体" w:hint="default"/>
                <w:spacing w:val="-2"/>
                <w:sz w:val="21"/>
                <w:szCs w:val="21"/>
              </w:rPr>
              <w:t>本公司第二届董事会第十六次会</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议于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日通过</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979" w:top="1060" w:bottom="1160" w:left="980" w:right="98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2"/>
        <w:gridCol w:w="3187"/>
        <w:gridCol w:w="3190"/>
      </w:tblGrid>
      <w:tr>
        <w:trPr>
          <w:trHeight w:val="830" w:hRule="exact"/>
        </w:trPr>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订</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要</w:t>
            </w:r>
            <w:r>
              <w:rPr>
                <w:rFonts w:ascii="宋体" w:hAnsi="宋体" w:cs="宋体" w:eastAsia="宋体" w:hint="default"/>
                <w:spacing w:val="-3"/>
                <w:w w:val="100"/>
                <w:sz w:val="21"/>
                <w:szCs w:val="21"/>
              </w:rPr>
              <w:t>求</w:t>
            </w:r>
            <w:r>
              <w:rPr>
                <w:rFonts w:ascii="宋体" w:hAnsi="宋体" w:cs="宋体" w:eastAsia="宋体" w:hint="default"/>
                <w:w w:val="100"/>
                <w:sz w:val="21"/>
                <w:szCs w:val="21"/>
              </w:rPr>
              <w:t>在</w:t>
            </w:r>
            <w:r>
              <w:rPr>
                <w:rFonts w:ascii="宋体" w:hAnsi="宋体" w:cs="宋体" w:eastAsia="宋体" w:hint="default"/>
                <w:spacing w:val="-53"/>
                <w:sz w:val="21"/>
                <w:szCs w:val="21"/>
              </w:rPr>
              <w:t> </w:t>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014</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度及</w:t>
            </w:r>
            <w:r>
              <w:rPr>
                <w:rFonts w:ascii="宋体" w:hAnsi="宋体" w:cs="宋体" w:eastAsia="宋体" w:hint="default"/>
                <w:w w:val="100"/>
                <w:sz w:val="21"/>
                <w:szCs w:val="21"/>
              </w:rPr>
              <w:t>以后期</w:t>
            </w:r>
          </w:p>
          <w:p>
            <w:pPr>
              <w:pStyle w:val="TableParagraph"/>
              <w:spacing w:line="274" w:lineRule="exact" w:before="17"/>
              <w:ind w:left="24" w:right="211"/>
              <w:jc w:val="left"/>
              <w:rPr>
                <w:rFonts w:ascii="宋体" w:hAnsi="宋体" w:cs="宋体" w:eastAsia="宋体" w:hint="default"/>
                <w:sz w:val="21"/>
                <w:szCs w:val="21"/>
              </w:rPr>
            </w:pPr>
            <w:r>
              <w:rPr>
                <w:rFonts w:ascii="宋体" w:hAnsi="宋体" w:cs="宋体" w:eastAsia="宋体" w:hint="default"/>
                <w:spacing w:val="-2"/>
                <w:sz w:val="21"/>
                <w:szCs w:val="21"/>
              </w:rPr>
              <w:t>间的财务报告中按照该准则的要</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求对金融工具进行列报。</w:t>
            </w:r>
          </w:p>
        </w:tc>
        <w:tc>
          <w:tcPr>
            <w:tcW w:w="3187"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BodyText"/>
        <w:spacing w:line="240" w:lineRule="auto" w:before="36"/>
        <w:ind w:left="572" w:right="0"/>
        <w:jc w:val="left"/>
      </w:pPr>
      <w:r>
        <w:rPr/>
        <w:t>本公司根据各准则衔接要求进行了调整，对可比期间财务报表项目及金额的影响如下：</w:t>
      </w:r>
    </w:p>
    <w:p>
      <w:pPr>
        <w:spacing w:line="240" w:lineRule="auto" w:before="13"/>
        <w:rPr>
          <w:rFonts w:ascii="宋体" w:hAnsi="宋体" w:cs="宋体" w:eastAsia="宋体"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2035"/>
        <w:gridCol w:w="2174"/>
        <w:gridCol w:w="2256"/>
        <w:gridCol w:w="2215"/>
      </w:tblGrid>
      <w:tr>
        <w:trPr>
          <w:trHeight w:val="346" w:hRule="exact"/>
        </w:trPr>
        <w:tc>
          <w:tcPr>
            <w:tcW w:w="2035" w:type="dxa"/>
            <w:vMerge w:val="restart"/>
            <w:tcBorders>
              <w:top w:val="single" w:sz="6" w:space="0" w:color="000000"/>
              <w:left w:val="single" w:sz="6" w:space="0" w:color="000000"/>
              <w:right w:val="single" w:sz="6" w:space="0" w:color="000000"/>
            </w:tcBorders>
          </w:tcPr>
          <w:p>
            <w:pPr>
              <w:pStyle w:val="TableParagraph"/>
              <w:spacing w:line="250" w:lineRule="exact"/>
              <w:ind w:left="381" w:right="0"/>
              <w:jc w:val="left"/>
              <w:rPr>
                <w:rFonts w:ascii="宋体" w:hAnsi="宋体" w:cs="宋体" w:eastAsia="宋体" w:hint="default"/>
                <w:sz w:val="21"/>
                <w:szCs w:val="21"/>
              </w:rPr>
            </w:pPr>
            <w:r>
              <w:rPr>
                <w:rFonts w:ascii="宋体" w:hAnsi="宋体" w:cs="宋体" w:eastAsia="宋体" w:hint="default"/>
                <w:sz w:val="21"/>
                <w:szCs w:val="21"/>
              </w:rPr>
              <w:t>报表项目名称</w:t>
            </w:r>
          </w:p>
        </w:tc>
        <w:tc>
          <w:tcPr>
            <w:tcW w:w="6646" w:type="dxa"/>
            <w:gridSpan w:val="3"/>
            <w:tcBorders>
              <w:top w:val="single" w:sz="6" w:space="0" w:color="000000"/>
              <w:left w:val="single" w:sz="6" w:space="0" w:color="000000"/>
              <w:bottom w:val="single" w:sz="6" w:space="0" w:color="000000"/>
              <w:right w:val="single" w:sz="6" w:space="0" w:color="000000"/>
            </w:tcBorders>
          </w:tcPr>
          <w:p>
            <w:pPr>
              <w:pStyle w:val="TableParagraph"/>
              <w:spacing w:line="266"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w:t>
            </w:r>
          </w:p>
        </w:tc>
      </w:tr>
      <w:tr>
        <w:trPr>
          <w:trHeight w:val="348" w:hRule="exact"/>
        </w:trPr>
        <w:tc>
          <w:tcPr>
            <w:tcW w:w="2035" w:type="dxa"/>
            <w:vMerge/>
            <w:tcBorders>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556" w:right="0"/>
              <w:jc w:val="left"/>
              <w:rPr>
                <w:rFonts w:ascii="宋体" w:hAnsi="宋体" w:cs="宋体" w:eastAsia="宋体" w:hint="default"/>
                <w:sz w:val="21"/>
                <w:szCs w:val="21"/>
              </w:rPr>
            </w:pPr>
            <w:r>
              <w:rPr>
                <w:rFonts w:ascii="宋体" w:hAnsi="宋体" w:cs="宋体" w:eastAsia="宋体" w:hint="default"/>
                <w:sz w:val="21"/>
                <w:szCs w:val="21"/>
              </w:rPr>
              <w:t>变更前金额</w:t>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700" w:right="0"/>
              <w:jc w:val="left"/>
              <w:rPr>
                <w:rFonts w:ascii="宋体" w:hAnsi="宋体" w:cs="宋体" w:eastAsia="宋体" w:hint="default"/>
                <w:sz w:val="21"/>
                <w:szCs w:val="21"/>
              </w:rPr>
            </w:pPr>
            <w:r>
              <w:rPr>
                <w:rFonts w:ascii="宋体" w:hAnsi="宋体" w:cs="宋体" w:eastAsia="宋体" w:hint="default"/>
                <w:sz w:val="21"/>
                <w:szCs w:val="21"/>
              </w:rPr>
              <w:t>变更金额</w:t>
            </w:r>
          </w:p>
        </w:tc>
        <w:tc>
          <w:tcPr>
            <w:tcW w:w="221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573" w:right="0"/>
              <w:jc w:val="left"/>
              <w:rPr>
                <w:rFonts w:ascii="宋体" w:hAnsi="宋体" w:cs="宋体" w:eastAsia="宋体" w:hint="default"/>
                <w:sz w:val="21"/>
                <w:szCs w:val="21"/>
              </w:rPr>
            </w:pPr>
            <w:r>
              <w:rPr>
                <w:rFonts w:ascii="宋体" w:hAnsi="宋体" w:cs="宋体" w:eastAsia="宋体" w:hint="default"/>
                <w:sz w:val="21"/>
                <w:szCs w:val="21"/>
              </w:rPr>
              <w:t>变更后金额</w:t>
            </w:r>
          </w:p>
        </w:tc>
      </w:tr>
      <w:tr>
        <w:trPr>
          <w:trHeight w:val="346" w:hRule="exact"/>
        </w:trPr>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4"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1"/>
              <w:jc w:val="right"/>
              <w:rPr>
                <w:rFonts w:ascii="Times New Roman" w:hAnsi="Times New Roman" w:cs="Times New Roman" w:eastAsia="Times New Roman" w:hint="default"/>
                <w:sz w:val="21"/>
                <w:szCs w:val="21"/>
              </w:rPr>
            </w:pPr>
            <w:r>
              <w:rPr>
                <w:rFonts w:ascii="Times New Roman"/>
                <w:spacing w:val="-1"/>
                <w:sz w:val="21"/>
              </w:rPr>
              <w:t>2,518,616.26</w:t>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1"/>
              <w:jc w:val="right"/>
              <w:rPr>
                <w:rFonts w:ascii="Times New Roman" w:hAnsi="Times New Roman" w:cs="Times New Roman" w:eastAsia="Times New Roman" w:hint="default"/>
                <w:sz w:val="21"/>
                <w:szCs w:val="21"/>
              </w:rPr>
            </w:pPr>
            <w:r>
              <w:rPr>
                <w:rFonts w:ascii="Times New Roman"/>
                <w:spacing w:val="-1"/>
                <w:sz w:val="21"/>
              </w:rPr>
              <w:t>(2,518,616.26)</w:t>
            </w:r>
          </w:p>
        </w:tc>
        <w:tc>
          <w:tcPr>
            <w:tcW w:w="2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1"/>
              <w:jc w:val="right"/>
              <w:rPr>
                <w:rFonts w:ascii="Times New Roman" w:hAnsi="Times New Roman" w:cs="Times New Roman" w:eastAsia="Times New Roman" w:hint="default"/>
                <w:sz w:val="21"/>
                <w:szCs w:val="21"/>
              </w:rPr>
            </w:pPr>
            <w:r>
              <w:rPr>
                <w:rFonts w:ascii="Times New Roman"/>
                <w:spacing w:val="-1"/>
                <w:sz w:val="21"/>
              </w:rPr>
              <w:t>---</w:t>
            </w:r>
          </w:p>
        </w:tc>
      </w:tr>
      <w:tr>
        <w:trPr>
          <w:trHeight w:val="348" w:hRule="exact"/>
        </w:trPr>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4"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right"/>
              <w:rPr>
                <w:rFonts w:ascii="Times New Roman" w:hAnsi="Times New Roman" w:cs="Times New Roman" w:eastAsia="Times New Roman" w:hint="default"/>
                <w:sz w:val="21"/>
                <w:szCs w:val="21"/>
              </w:rPr>
            </w:pPr>
            <w:r>
              <w:rPr>
                <w:rFonts w:ascii="Times New Roman"/>
                <w:spacing w:val="-1"/>
                <w:sz w:val="21"/>
              </w:rPr>
              <w:t>---</w:t>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right"/>
              <w:rPr>
                <w:rFonts w:ascii="Times New Roman" w:hAnsi="Times New Roman" w:cs="Times New Roman" w:eastAsia="Times New Roman" w:hint="default"/>
                <w:sz w:val="21"/>
                <w:szCs w:val="21"/>
              </w:rPr>
            </w:pPr>
            <w:r>
              <w:rPr>
                <w:rFonts w:ascii="Times New Roman"/>
                <w:spacing w:val="-1"/>
                <w:sz w:val="21"/>
              </w:rPr>
              <w:t>2,518,616.26</w:t>
            </w:r>
          </w:p>
        </w:tc>
        <w:tc>
          <w:tcPr>
            <w:tcW w:w="2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right"/>
              <w:rPr>
                <w:rFonts w:ascii="Times New Roman" w:hAnsi="Times New Roman" w:cs="Times New Roman" w:eastAsia="Times New Roman" w:hint="default"/>
                <w:sz w:val="21"/>
                <w:szCs w:val="21"/>
              </w:rPr>
            </w:pPr>
            <w:r>
              <w:rPr>
                <w:rFonts w:ascii="Times New Roman"/>
                <w:spacing w:val="-1"/>
                <w:sz w:val="21"/>
              </w:rPr>
              <w:t>2,518,616.26</w:t>
            </w:r>
          </w:p>
        </w:tc>
      </w:tr>
      <w:tr>
        <w:trPr>
          <w:trHeight w:val="346" w:hRule="exact"/>
        </w:trPr>
        <w:tc>
          <w:tcPr>
            <w:tcW w:w="2035" w:type="dxa"/>
            <w:vMerge w:val="restart"/>
            <w:tcBorders>
              <w:top w:val="single" w:sz="6" w:space="0" w:color="000000"/>
              <w:left w:val="single" w:sz="6" w:space="0" w:color="000000"/>
              <w:right w:val="single" w:sz="6" w:space="0" w:color="000000"/>
            </w:tcBorders>
          </w:tcPr>
          <w:p>
            <w:pPr>
              <w:pStyle w:val="TableParagraph"/>
              <w:spacing w:line="250" w:lineRule="exact"/>
              <w:ind w:left="381" w:right="0"/>
              <w:jc w:val="left"/>
              <w:rPr>
                <w:rFonts w:ascii="宋体" w:hAnsi="宋体" w:cs="宋体" w:eastAsia="宋体" w:hint="default"/>
                <w:sz w:val="21"/>
                <w:szCs w:val="21"/>
              </w:rPr>
            </w:pPr>
            <w:r>
              <w:rPr>
                <w:rFonts w:ascii="宋体" w:hAnsi="宋体" w:cs="宋体" w:eastAsia="宋体" w:hint="default"/>
                <w:sz w:val="21"/>
                <w:szCs w:val="21"/>
              </w:rPr>
              <w:t>报表项目名称</w:t>
            </w:r>
          </w:p>
        </w:tc>
        <w:tc>
          <w:tcPr>
            <w:tcW w:w="6646" w:type="dxa"/>
            <w:gridSpan w:val="3"/>
            <w:tcBorders>
              <w:top w:val="single" w:sz="6" w:space="0" w:color="000000"/>
              <w:left w:val="single" w:sz="6" w:space="0" w:color="000000"/>
              <w:bottom w:val="single" w:sz="6" w:space="0" w:color="000000"/>
              <w:right w:val="single" w:sz="6" w:space="0" w:color="000000"/>
            </w:tcBorders>
          </w:tcPr>
          <w:p>
            <w:pPr>
              <w:pStyle w:val="TableParagraph"/>
              <w:spacing w:line="266"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w:t>
            </w:r>
          </w:p>
        </w:tc>
      </w:tr>
      <w:tr>
        <w:trPr>
          <w:trHeight w:val="348" w:hRule="exact"/>
        </w:trPr>
        <w:tc>
          <w:tcPr>
            <w:tcW w:w="2035" w:type="dxa"/>
            <w:vMerge/>
            <w:tcBorders>
              <w:left w:val="single" w:sz="6" w:space="0" w:color="000000"/>
              <w:bottom w:val="single" w:sz="6" w:space="0" w:color="000000"/>
              <w:right w:val="single" w:sz="6" w:space="0" w:color="000000"/>
            </w:tcBorders>
          </w:tcPr>
          <w:p>
            <w:pP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556" w:right="0"/>
              <w:jc w:val="left"/>
              <w:rPr>
                <w:rFonts w:ascii="宋体" w:hAnsi="宋体" w:cs="宋体" w:eastAsia="宋体" w:hint="default"/>
                <w:sz w:val="21"/>
                <w:szCs w:val="21"/>
              </w:rPr>
            </w:pPr>
            <w:r>
              <w:rPr>
                <w:rFonts w:ascii="宋体" w:hAnsi="宋体" w:cs="宋体" w:eastAsia="宋体" w:hint="default"/>
                <w:sz w:val="21"/>
                <w:szCs w:val="21"/>
              </w:rPr>
              <w:t>变更前金额</w:t>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700" w:right="0"/>
              <w:jc w:val="left"/>
              <w:rPr>
                <w:rFonts w:ascii="宋体" w:hAnsi="宋体" w:cs="宋体" w:eastAsia="宋体" w:hint="default"/>
                <w:sz w:val="21"/>
                <w:szCs w:val="21"/>
              </w:rPr>
            </w:pPr>
            <w:r>
              <w:rPr>
                <w:rFonts w:ascii="宋体" w:hAnsi="宋体" w:cs="宋体" w:eastAsia="宋体" w:hint="default"/>
                <w:sz w:val="21"/>
                <w:szCs w:val="21"/>
              </w:rPr>
              <w:t>变更金额</w:t>
            </w:r>
          </w:p>
        </w:tc>
        <w:tc>
          <w:tcPr>
            <w:tcW w:w="221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573" w:right="0"/>
              <w:jc w:val="left"/>
              <w:rPr>
                <w:rFonts w:ascii="宋体" w:hAnsi="宋体" w:cs="宋体" w:eastAsia="宋体" w:hint="default"/>
                <w:sz w:val="21"/>
                <w:szCs w:val="21"/>
              </w:rPr>
            </w:pPr>
            <w:r>
              <w:rPr>
                <w:rFonts w:ascii="宋体" w:hAnsi="宋体" w:cs="宋体" w:eastAsia="宋体" w:hint="default"/>
                <w:sz w:val="21"/>
                <w:szCs w:val="21"/>
              </w:rPr>
              <w:t>变更后金额</w:t>
            </w:r>
          </w:p>
        </w:tc>
      </w:tr>
      <w:tr>
        <w:trPr>
          <w:trHeight w:val="348" w:hRule="exact"/>
        </w:trPr>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4"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955" w:right="0"/>
              <w:jc w:val="left"/>
              <w:rPr>
                <w:rFonts w:ascii="Times New Roman" w:hAnsi="Times New Roman" w:cs="Times New Roman" w:eastAsia="Times New Roman" w:hint="default"/>
                <w:sz w:val="21"/>
                <w:szCs w:val="21"/>
              </w:rPr>
            </w:pPr>
            <w:r>
              <w:rPr>
                <w:rFonts w:ascii="Times New Roman"/>
                <w:sz w:val="21"/>
              </w:rPr>
              <w:t>4,620,556.01</w:t>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right"/>
              <w:rPr>
                <w:rFonts w:ascii="Times New Roman" w:hAnsi="Times New Roman" w:cs="Times New Roman" w:eastAsia="Times New Roman" w:hint="default"/>
                <w:sz w:val="21"/>
                <w:szCs w:val="21"/>
              </w:rPr>
            </w:pPr>
            <w:r>
              <w:rPr>
                <w:rFonts w:ascii="Times New Roman"/>
                <w:spacing w:val="-1"/>
                <w:sz w:val="21"/>
              </w:rPr>
              <w:t>(4,620,556.01)</w:t>
            </w:r>
          </w:p>
        </w:tc>
        <w:tc>
          <w:tcPr>
            <w:tcW w:w="2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right"/>
              <w:rPr>
                <w:rFonts w:ascii="Times New Roman" w:hAnsi="Times New Roman" w:cs="Times New Roman" w:eastAsia="Times New Roman" w:hint="default"/>
                <w:sz w:val="21"/>
                <w:szCs w:val="21"/>
              </w:rPr>
            </w:pPr>
            <w:r>
              <w:rPr>
                <w:rFonts w:ascii="Times New Roman"/>
                <w:spacing w:val="-1"/>
                <w:sz w:val="21"/>
              </w:rPr>
              <w:t>---</w:t>
            </w:r>
          </w:p>
        </w:tc>
      </w:tr>
      <w:tr>
        <w:trPr>
          <w:trHeight w:val="348" w:hRule="exact"/>
        </w:trPr>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4"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1"/>
              <w:jc w:val="right"/>
              <w:rPr>
                <w:rFonts w:ascii="Times New Roman" w:hAnsi="Times New Roman" w:cs="Times New Roman" w:eastAsia="Times New Roman" w:hint="default"/>
                <w:sz w:val="21"/>
                <w:szCs w:val="21"/>
              </w:rPr>
            </w:pPr>
            <w:r>
              <w:rPr>
                <w:rFonts w:ascii="Times New Roman"/>
                <w:spacing w:val="-1"/>
                <w:sz w:val="21"/>
              </w:rPr>
              <w:t>---</w:t>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1"/>
              <w:jc w:val="right"/>
              <w:rPr>
                <w:rFonts w:ascii="Times New Roman" w:hAnsi="Times New Roman" w:cs="Times New Roman" w:eastAsia="Times New Roman" w:hint="default"/>
                <w:sz w:val="21"/>
                <w:szCs w:val="21"/>
              </w:rPr>
            </w:pPr>
            <w:r>
              <w:rPr>
                <w:rFonts w:ascii="Times New Roman"/>
                <w:spacing w:val="-1"/>
                <w:sz w:val="21"/>
              </w:rPr>
              <w:t>4,620,556.01</w:t>
            </w:r>
          </w:p>
        </w:tc>
        <w:tc>
          <w:tcPr>
            <w:tcW w:w="2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1"/>
              <w:jc w:val="right"/>
              <w:rPr>
                <w:rFonts w:ascii="Times New Roman" w:hAnsi="Times New Roman" w:cs="Times New Roman" w:eastAsia="Times New Roman" w:hint="default"/>
                <w:sz w:val="21"/>
                <w:szCs w:val="21"/>
              </w:rPr>
            </w:pPr>
            <w:r>
              <w:rPr>
                <w:rFonts w:ascii="Times New Roman"/>
                <w:spacing w:val="-1"/>
                <w:sz w:val="21"/>
              </w:rPr>
              <w:t>4,620,556.01</w:t>
            </w:r>
          </w:p>
        </w:tc>
      </w:tr>
    </w:tbl>
    <w:p>
      <w:pPr>
        <w:spacing w:line="240" w:lineRule="auto" w:before="8"/>
        <w:rPr>
          <w:rFonts w:ascii="宋体" w:hAnsi="宋体" w:cs="宋体" w:eastAsia="宋体" w:hint="default"/>
          <w:sz w:val="14"/>
          <w:szCs w:val="14"/>
        </w:rPr>
      </w:pPr>
    </w:p>
    <w:p>
      <w:pPr>
        <w:pStyle w:val="BodyText"/>
        <w:spacing w:line="273" w:lineRule="auto" w:before="36"/>
        <w:ind w:right="0" w:firstLine="420"/>
        <w:jc w:val="left"/>
      </w:pPr>
      <w:r>
        <w:rPr>
          <w:spacing w:val="-2"/>
        </w:rPr>
        <w:t>本次会计政策变更，仅对上述财务报表项目列示产生影响，对公司报告期的资产总额、负债总额和净</w:t>
      </w:r>
      <w:r>
        <w:rPr>
          <w:w w:val="100"/>
        </w:rPr>
        <w:t> </w:t>
      </w:r>
      <w:r>
        <w:rPr/>
        <w:t>资产以及报告期的净利润未产生影响。</w:t>
      </w:r>
    </w:p>
    <w:p>
      <w:pPr>
        <w:spacing w:line="240" w:lineRule="auto" w:before="4"/>
        <w:rPr>
          <w:rFonts w:ascii="宋体" w:hAnsi="宋体" w:cs="宋体" w:eastAsia="宋体" w:hint="default"/>
          <w:sz w:val="23"/>
          <w:szCs w:val="23"/>
        </w:rPr>
      </w:pPr>
    </w:p>
    <w:p>
      <w:pPr>
        <w:pStyle w:val="Heading5"/>
        <w:spacing w:line="240" w:lineRule="auto"/>
        <w:ind w:right="0"/>
        <w:jc w:val="left"/>
        <w:rPr>
          <w:b w:val="0"/>
          <w:bCs w:val="0"/>
        </w:rPr>
      </w:pPr>
      <w:bookmarkStart w:name="（2）重要会计估计变更" w:id="169"/>
      <w:bookmarkEnd w:id="169"/>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7"/>
        <w:rPr>
          <w:rFonts w:ascii="宋体" w:hAnsi="宋体" w:cs="宋体" w:eastAsia="宋体" w:hint="default"/>
          <w:sz w:val="24"/>
          <w:szCs w:val="24"/>
        </w:rPr>
      </w:pPr>
    </w:p>
    <w:p>
      <w:pPr>
        <w:pStyle w:val="Heading5"/>
        <w:spacing w:line="240" w:lineRule="auto"/>
        <w:ind w:right="0"/>
        <w:jc w:val="left"/>
        <w:rPr>
          <w:b w:val="0"/>
          <w:bCs w:val="0"/>
        </w:rPr>
      </w:pPr>
      <w:bookmarkStart w:name="28、其他" w:id="170"/>
      <w:bookmarkEnd w:id="170"/>
      <w:r>
        <w:rPr>
          <w:b w:val="0"/>
          <w:bCs w:val="0"/>
        </w:rPr>
      </w:r>
      <w:r>
        <w:rPr>
          <w:rFonts w:ascii="Times New Roman" w:hAnsi="Times New Roman" w:cs="Times New Roman" w:eastAsia="Times New Roman" w:hint="default"/>
        </w:rPr>
        <w:t>28</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312" w:lineRule="auto"/>
        <w:ind w:left="572" w:right="3068"/>
        <w:jc w:val="left"/>
      </w:pPr>
      <w:r>
        <w:rPr>
          <w:spacing w:val="-2"/>
        </w:rPr>
        <w:t>本报告期未发现采用追溯重述法的前期会计差错。</w:t>
      </w:r>
      <w:r>
        <w:rPr>
          <w:spacing w:val="-62"/>
        </w:rPr>
        <w:t> </w:t>
      </w:r>
      <w:r>
        <w:rPr>
          <w:spacing w:val="-62"/>
        </w:rPr>
      </w:r>
      <w:r>
        <w:rPr>
          <w:spacing w:val="-2"/>
        </w:rPr>
        <w:t>本报告期未发现采用未来适用法的前期会计差错。</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pStyle w:val="Heading4"/>
        <w:spacing w:line="240" w:lineRule="auto"/>
        <w:ind w:right="0"/>
        <w:jc w:val="left"/>
        <w:rPr>
          <w:b w:val="0"/>
          <w:bCs w:val="0"/>
        </w:rPr>
      </w:pPr>
      <w:bookmarkStart w:name="六、税项" w:id="171"/>
      <w:bookmarkEnd w:id="171"/>
      <w:r>
        <w:rPr>
          <w:b w:val="0"/>
          <w:bCs w:val="0"/>
        </w:rPr>
      </w:r>
      <w:r>
        <w:rPr/>
        <w:t>六、税项</w:t>
      </w:r>
      <w:r>
        <w:rPr>
          <w:b w:val="0"/>
          <w:bCs w:val="0"/>
        </w:rPr>
      </w:r>
    </w:p>
    <w:p>
      <w:pPr>
        <w:spacing w:line="240" w:lineRule="auto" w:before="0"/>
        <w:rPr>
          <w:rFonts w:ascii="宋体" w:hAnsi="宋体" w:cs="宋体" w:eastAsia="宋体" w:hint="default"/>
          <w:b/>
          <w:bCs/>
          <w:sz w:val="24"/>
          <w:szCs w:val="24"/>
        </w:rPr>
      </w:pPr>
    </w:p>
    <w:p>
      <w:pPr>
        <w:spacing w:line="240" w:lineRule="auto" w:before="8"/>
        <w:rPr>
          <w:rFonts w:ascii="宋体" w:hAnsi="宋体" w:cs="宋体" w:eastAsia="宋体" w:hint="default"/>
          <w:b/>
          <w:bCs/>
          <w:sz w:val="23"/>
          <w:szCs w:val="23"/>
        </w:rPr>
      </w:pPr>
    </w:p>
    <w:p>
      <w:pPr>
        <w:pStyle w:val="Heading5"/>
        <w:spacing w:line="240" w:lineRule="auto"/>
        <w:ind w:right="0"/>
        <w:jc w:val="left"/>
        <w:rPr>
          <w:b w:val="0"/>
          <w:bCs w:val="0"/>
        </w:rPr>
      </w:pPr>
      <w:bookmarkStart w:name="1、主要税种及税率" w:id="172"/>
      <w:bookmarkEnd w:id="172"/>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28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142" w:hRule="exact"/>
        </w:trPr>
        <w:tc>
          <w:tcPr>
            <w:tcW w:w="3190" w:type="dxa"/>
            <w:tcBorders>
              <w:top w:val="single" w:sz="4" w:space="0" w:color="000000"/>
              <w:left w:val="single" w:sz="4" w:space="0" w:color="000000"/>
              <w:bottom w:val="nil" w:sz="6" w:space="0" w:color="auto"/>
              <w:right w:val="single" w:sz="4" w:space="0" w:color="000000"/>
            </w:tcBorders>
            <w:shd w:val="clear" w:color="auto" w:fill="D4D4D4"/>
          </w:tcPr>
          <w:p>
            <w:pPr/>
          </w:p>
        </w:tc>
        <w:tc>
          <w:tcPr>
            <w:tcW w:w="3190" w:type="dxa"/>
            <w:vMerge w:val="restart"/>
            <w:tcBorders>
              <w:top w:val="single" w:sz="4" w:space="0" w:color="000000"/>
              <w:left w:val="single" w:sz="9" w:space="0" w:color="D4D4D4"/>
              <w:right w:val="single" w:sz="4" w:space="0" w:color="000000"/>
            </w:tcBorders>
          </w:tcPr>
          <w:p>
            <w:pPr>
              <w:pStyle w:val="TableParagraph"/>
              <w:spacing w:line="239" w:lineRule="exact"/>
              <w:ind w:left="17" w:right="0"/>
              <w:jc w:val="left"/>
              <w:rPr>
                <w:rFonts w:ascii="宋体" w:hAnsi="宋体" w:cs="宋体" w:eastAsia="宋体" w:hint="default"/>
                <w:sz w:val="21"/>
                <w:szCs w:val="21"/>
              </w:rPr>
            </w:pPr>
            <w:r>
              <w:rPr>
                <w:rFonts w:ascii="宋体" w:hAnsi="宋体" w:cs="宋体" w:eastAsia="宋体" w:hint="default"/>
                <w:spacing w:val="-3"/>
                <w:sz w:val="21"/>
                <w:szCs w:val="21"/>
              </w:rPr>
              <w:t>销售货物、应税劳务收入和应税服</w:t>
            </w:r>
          </w:p>
          <w:p>
            <w:pPr>
              <w:pStyle w:val="TableParagraph"/>
              <w:spacing w:line="273" w:lineRule="exact"/>
              <w:ind w:left="17" w:right="0"/>
              <w:jc w:val="left"/>
              <w:rPr>
                <w:rFonts w:ascii="宋体" w:hAnsi="宋体" w:cs="宋体" w:eastAsia="宋体" w:hint="default"/>
                <w:sz w:val="21"/>
                <w:szCs w:val="21"/>
              </w:rPr>
            </w:pPr>
            <w:r>
              <w:rPr>
                <w:rFonts w:ascii="宋体" w:hAnsi="宋体" w:cs="宋体" w:eastAsia="宋体" w:hint="default"/>
                <w:sz w:val="21"/>
                <w:szCs w:val="21"/>
              </w:rPr>
              <w:t>务收入</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102"/>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17%</w:t>
            </w:r>
            <w:r>
              <w:rPr>
                <w:rFonts w:ascii="宋体" w:hAnsi="宋体" w:cs="宋体" w:eastAsia="宋体" w:hint="default"/>
                <w:sz w:val="21"/>
                <w:szCs w:val="21"/>
              </w:rPr>
              <w:t>、</w:t>
            </w:r>
            <w:r>
              <w:rPr>
                <w:rFonts w:ascii="Times New Roman" w:hAnsi="Times New Roman" w:cs="Times New Roman" w:eastAsia="Times New Roman" w:hint="default"/>
                <w:sz w:val="21"/>
                <w:szCs w:val="21"/>
              </w:rPr>
              <w:t>13%</w:t>
            </w:r>
          </w:p>
        </w:tc>
      </w:tr>
      <w:tr>
        <w:trPr>
          <w:trHeight w:val="271" w:hRule="exact"/>
        </w:trPr>
        <w:tc>
          <w:tcPr>
            <w:tcW w:w="3190"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190" w:type="dxa"/>
            <w:vMerge/>
            <w:tcBorders>
              <w:left w:val="single" w:sz="9" w:space="0" w:color="D4D4D4"/>
              <w:right w:val="single" w:sz="4" w:space="0" w:color="000000"/>
            </w:tcBorders>
          </w:tcPr>
          <w:p>
            <w:pPr/>
          </w:p>
        </w:tc>
        <w:tc>
          <w:tcPr>
            <w:tcW w:w="3190" w:type="dxa"/>
            <w:vMerge/>
            <w:tcBorders>
              <w:left w:val="single" w:sz="4" w:space="0" w:color="000000"/>
              <w:right w:val="single" w:sz="4" w:space="0" w:color="000000"/>
            </w:tcBorders>
          </w:tcPr>
          <w:p>
            <w:pPr/>
          </w:p>
        </w:tc>
      </w:tr>
      <w:tr>
        <w:trPr>
          <w:trHeight w:val="142" w:hRule="exact"/>
        </w:trPr>
        <w:tc>
          <w:tcPr>
            <w:tcW w:w="3190" w:type="dxa"/>
            <w:tcBorders>
              <w:top w:val="nil" w:sz="6" w:space="0" w:color="auto"/>
              <w:left w:val="single" w:sz="4" w:space="0" w:color="000000"/>
              <w:bottom w:val="single" w:sz="4" w:space="0" w:color="000000"/>
              <w:right w:val="single" w:sz="4" w:space="0" w:color="000000"/>
            </w:tcBorders>
            <w:shd w:val="clear" w:color="auto" w:fill="D4D4D4"/>
          </w:tcPr>
          <w:p>
            <w:pPr/>
          </w:p>
        </w:tc>
        <w:tc>
          <w:tcPr>
            <w:tcW w:w="3190" w:type="dxa"/>
            <w:vMerge/>
            <w:tcBorders>
              <w:left w:val="single" w:sz="9" w:space="0" w:color="D4D4D4"/>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28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190" w:type="dxa"/>
            <w:tcBorders>
              <w:top w:val="single" w:sz="4" w:space="0" w:color="000000"/>
              <w:left w:val="single" w:sz="9" w:space="0" w:color="D4D4D4"/>
              <w:bottom w:val="single" w:sz="4" w:space="0" w:color="000000"/>
              <w:right w:val="single" w:sz="4" w:space="0" w:color="000000"/>
            </w:tcBorders>
          </w:tcPr>
          <w:p>
            <w:pPr>
              <w:pStyle w:val="TableParagraph"/>
              <w:spacing w:line="241" w:lineRule="exact"/>
              <w:ind w:left="17" w:right="0"/>
              <w:jc w:val="left"/>
              <w:rPr>
                <w:rFonts w:ascii="宋体" w:hAnsi="宋体" w:cs="宋体" w:eastAsia="宋体" w:hint="default"/>
                <w:sz w:val="21"/>
                <w:szCs w:val="21"/>
              </w:rPr>
            </w:pPr>
            <w:r>
              <w:rPr>
                <w:rFonts w:ascii="宋体" w:hAnsi="宋体" w:cs="宋体" w:eastAsia="宋体" w:hint="default"/>
                <w:sz w:val="21"/>
                <w:szCs w:val="21"/>
              </w:rPr>
              <w:t>应纳税营业额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21"/>
                <w:szCs w:val="21"/>
              </w:rPr>
            </w:pPr>
            <w:r>
              <w:rPr>
                <w:rFonts w:ascii="Times New Roman"/>
                <w:sz w:val="21"/>
              </w:rPr>
              <w:t>5%</w:t>
            </w:r>
          </w:p>
        </w:tc>
      </w:tr>
      <w:tr>
        <w:trPr>
          <w:trHeight w:val="28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190" w:type="dxa"/>
            <w:tcBorders>
              <w:top w:val="single" w:sz="4" w:space="0" w:color="000000"/>
              <w:left w:val="single" w:sz="9" w:space="0" w:color="D4D4D4"/>
              <w:bottom w:val="single" w:sz="4" w:space="0" w:color="000000"/>
              <w:right w:val="single" w:sz="4" w:space="0" w:color="000000"/>
            </w:tcBorders>
          </w:tcPr>
          <w:p>
            <w:pPr>
              <w:pStyle w:val="TableParagraph"/>
              <w:spacing w:line="241" w:lineRule="exact"/>
              <w:ind w:left="17" w:right="0"/>
              <w:jc w:val="left"/>
              <w:rPr>
                <w:rFonts w:ascii="宋体" w:hAnsi="宋体" w:cs="宋体" w:eastAsia="宋体" w:hint="default"/>
                <w:sz w:val="21"/>
                <w:szCs w:val="21"/>
              </w:rPr>
            </w:pPr>
            <w:r>
              <w:rPr>
                <w:rFonts w:ascii="宋体" w:hAnsi="宋体" w:cs="宋体" w:eastAsia="宋体" w:hint="default"/>
                <w:sz w:val="21"/>
                <w:szCs w:val="21"/>
              </w:rPr>
              <w:t>实缴流转税税额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21"/>
                <w:szCs w:val="21"/>
              </w:rPr>
            </w:pPr>
            <w:r>
              <w:rPr>
                <w:rFonts w:ascii="Times New Roman"/>
                <w:sz w:val="21"/>
              </w:rPr>
              <w:t>7%</w:t>
            </w:r>
          </w:p>
        </w:tc>
      </w:tr>
      <w:tr>
        <w:trPr>
          <w:trHeight w:val="28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190" w:type="dxa"/>
            <w:tcBorders>
              <w:top w:val="single" w:sz="4" w:space="0" w:color="000000"/>
              <w:left w:val="single" w:sz="9" w:space="0" w:color="D4D4D4"/>
              <w:bottom w:val="single" w:sz="4" w:space="0" w:color="000000"/>
              <w:right w:val="single" w:sz="4" w:space="0" w:color="000000"/>
            </w:tcBorders>
          </w:tcPr>
          <w:p>
            <w:pPr>
              <w:pStyle w:val="TableParagraph"/>
              <w:spacing w:line="241" w:lineRule="exact"/>
              <w:ind w:left="17"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15%</w:t>
            </w:r>
            <w:r>
              <w:rPr>
                <w:rFonts w:ascii="宋体" w:hAnsi="宋体" w:cs="宋体" w:eastAsia="宋体" w:hint="default"/>
                <w:sz w:val="21"/>
                <w:szCs w:val="21"/>
              </w:rPr>
              <w:t>、</w:t>
            </w:r>
            <w:r>
              <w:rPr>
                <w:rFonts w:ascii="Times New Roman" w:hAnsi="Times New Roman" w:cs="Times New Roman" w:eastAsia="Times New Roman" w:hint="default"/>
                <w:sz w:val="21"/>
                <w:szCs w:val="21"/>
              </w:rPr>
              <w:t>25%</w:t>
            </w:r>
          </w:p>
        </w:tc>
      </w:tr>
      <w:tr>
        <w:trPr>
          <w:trHeight w:val="28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实缴流转税税额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21"/>
                <w:szCs w:val="21"/>
              </w:rPr>
            </w:pPr>
            <w:r>
              <w:rPr>
                <w:rFonts w:ascii="Times New Roman"/>
                <w:sz w:val="21"/>
              </w:rPr>
              <w:t>3%</w:t>
            </w:r>
          </w:p>
        </w:tc>
      </w:tr>
    </w:tbl>
    <w:p>
      <w:pPr>
        <w:pStyle w:val="BodyText"/>
        <w:spacing w:line="262" w:lineRule="exact"/>
        <w:ind w:right="0"/>
        <w:jc w:val="left"/>
      </w:pPr>
      <w:r>
        <w:rPr/>
        <w:t>存在不同企业所得税税率纳税主体的，披露情况说明</w:t>
      </w:r>
    </w:p>
    <w:p>
      <w:pPr>
        <w:spacing w:line="240" w:lineRule="auto" w:before="10"/>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4783"/>
        <w:gridCol w:w="4786"/>
      </w:tblGrid>
      <w:tr>
        <w:trPr>
          <w:trHeight w:val="283"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所得税税率</w:t>
            </w:r>
          </w:p>
        </w:tc>
      </w:tr>
      <w:tr>
        <w:trPr>
          <w:trHeight w:val="28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21"/>
                <w:szCs w:val="21"/>
              </w:rPr>
            </w:pPr>
            <w:r>
              <w:rPr>
                <w:rFonts w:ascii="Times New Roman"/>
                <w:sz w:val="21"/>
              </w:rPr>
              <w:t>15%</w:t>
            </w:r>
          </w:p>
        </w:tc>
      </w:tr>
      <w:tr>
        <w:trPr>
          <w:trHeight w:val="28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深圳市连邦信息技术有限公司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21"/>
                <w:szCs w:val="21"/>
              </w:rPr>
            </w:pPr>
            <w:r>
              <w:rPr>
                <w:rFonts w:ascii="Times New Roman"/>
                <w:sz w:val="21"/>
              </w:rPr>
              <w:t>25%</w:t>
            </w:r>
          </w:p>
        </w:tc>
      </w:tr>
    </w:tbl>
    <w:p>
      <w:pPr>
        <w:spacing w:after="0" w:line="240" w:lineRule="auto"/>
        <w:jc w:val="left"/>
        <w:rPr>
          <w:rFonts w:ascii="Times New Roman" w:hAnsi="Times New Roman" w:cs="Times New Roman" w:eastAsia="Times New Roman" w:hint="default"/>
          <w:sz w:val="21"/>
          <w:szCs w:val="21"/>
        </w:rPr>
        <w:sectPr>
          <w:pgSz w:w="11910" w:h="16840"/>
          <w:pgMar w:header="880" w:footer="979" w:top="1060" w:bottom="1160" w:left="980" w:right="980"/>
        </w:sectPr>
      </w:pPr>
    </w:p>
    <w:p>
      <w:pPr>
        <w:spacing w:line="240" w:lineRule="auto" w:before="8"/>
        <w:rPr>
          <w:rFonts w:ascii="宋体" w:hAnsi="宋体" w:cs="宋体" w:eastAsia="宋体" w:hint="default"/>
          <w:sz w:val="24"/>
          <w:szCs w:val="24"/>
        </w:rPr>
      </w:pPr>
    </w:p>
    <w:p>
      <w:pPr>
        <w:pStyle w:val="Heading5"/>
        <w:spacing w:line="240" w:lineRule="auto" w:before="36"/>
        <w:ind w:right="0"/>
        <w:jc w:val="both"/>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6"/>
          <w:szCs w:val="26"/>
        </w:rPr>
      </w:pPr>
    </w:p>
    <w:p>
      <w:pPr>
        <w:pStyle w:val="BodyText"/>
        <w:spacing w:line="312" w:lineRule="auto"/>
        <w:ind w:left="572" w:right="106"/>
        <w:jc w:val="left"/>
      </w:pPr>
      <w:bookmarkStart w:name="2、税收优惠" w:id="173"/>
      <w:bookmarkEnd w:id="173"/>
      <w:r>
        <w:rPr/>
      </w:r>
      <w:r>
        <w:rPr>
          <w:rFonts w:ascii="宋体" w:hAnsi="宋体" w:cs="宋体" w:eastAsia="宋体" w:hint="default"/>
          <w:b/>
          <w:bCs/>
        </w:rPr>
        <w:t>1</w:t>
      </w:r>
      <w:r>
        <w:rPr>
          <w:rFonts w:ascii="宋体" w:hAnsi="宋体" w:cs="宋体" w:eastAsia="宋体" w:hint="default"/>
          <w:b/>
          <w:bCs/>
        </w:rPr>
        <w:t>．增值税</w:t>
      </w:r>
      <w:r>
        <w:rPr>
          <w:rFonts w:ascii="宋体" w:hAnsi="宋体" w:cs="宋体" w:eastAsia="宋体" w:hint="default"/>
          <w:b/>
          <w:bCs/>
          <w:w w:val="100"/>
        </w:rPr>
        <w:t> </w:t>
      </w:r>
      <w:r>
        <w:rPr>
          <w:spacing w:val="-2"/>
        </w:rPr>
        <w:t>根据财政部、国家税务总局《关于宣传文化增值税和营业税优惠政策的通知》（财税</w:t>
      </w:r>
      <w:r>
        <w:rPr>
          <w:rFonts w:ascii="宋体" w:hAnsi="宋体" w:cs="宋体" w:eastAsia="宋体" w:hint="default"/>
          <w:spacing w:val="-2"/>
        </w:rPr>
        <w:t>[2006]153</w:t>
      </w:r>
      <w:r>
        <w:rPr>
          <w:spacing w:val="-2"/>
        </w:rPr>
        <w:t>号）、</w:t>
      </w:r>
      <w:r>
        <w:rPr/>
      </w:r>
    </w:p>
    <w:p>
      <w:pPr>
        <w:pStyle w:val="BodyText"/>
        <w:spacing w:line="314" w:lineRule="auto" w:before="22"/>
        <w:ind w:right="205"/>
        <w:jc w:val="both"/>
      </w:pPr>
      <w:r>
        <w:rPr>
          <w:spacing w:val="6"/>
        </w:rPr>
        <w:t>《财政部、国家税务总局关于部分货物适用增值税低税率和简易办法征收增值税政策的通知》（财税</w:t>
      </w:r>
      <w:r>
        <w:rPr>
          <w:spacing w:val="23"/>
        </w:rPr>
        <w:t> </w:t>
      </w:r>
      <w:r>
        <w:rPr>
          <w:spacing w:val="23"/>
        </w:rPr>
      </w:r>
      <w:r>
        <w:rPr>
          <w:rFonts w:ascii="宋体" w:hAnsi="宋体" w:cs="宋体" w:eastAsia="宋体" w:hint="default"/>
        </w:rPr>
        <w:t>[2009]9</w:t>
      </w:r>
      <w:r>
        <w:rPr/>
        <w:t>号）的相关规定，自</w:t>
      </w:r>
      <w:r>
        <w:rPr>
          <w:spacing w:val="73"/>
        </w:rPr>
        <w:t> </w:t>
      </w:r>
      <w:r>
        <w:rPr>
          <w:rFonts w:ascii="宋体" w:hAnsi="宋体" w:cs="宋体" w:eastAsia="宋体" w:hint="default"/>
        </w:rPr>
        <w:t>2007</w:t>
      </w:r>
      <w:r>
        <w:rPr/>
        <w:t>年</w:t>
      </w:r>
      <w:r>
        <w:rPr>
          <w:rFonts w:ascii="宋体" w:hAnsi="宋体" w:cs="宋体" w:eastAsia="宋体" w:hint="default"/>
        </w:rPr>
        <w:t>1</w:t>
      </w:r>
      <w:r>
        <w:rPr/>
        <w:t>月</w:t>
      </w:r>
      <w:r>
        <w:rPr>
          <w:rFonts w:ascii="宋体" w:hAnsi="宋体" w:cs="宋体" w:eastAsia="宋体" w:hint="default"/>
        </w:rPr>
        <w:t>1</w:t>
      </w:r>
      <w:r>
        <w:rPr/>
        <w:t>日起本公司销售自行研发的软件产品（电子出版物）按</w:t>
      </w:r>
      <w:r>
        <w:rPr>
          <w:rFonts w:ascii="宋体" w:hAnsi="宋体" w:cs="宋体" w:eastAsia="宋体" w:hint="default"/>
        </w:rPr>
        <w:t>13%</w:t>
      </w:r>
      <w:r>
        <w:rPr/>
        <w:t>的税</w:t>
      </w:r>
      <w:r>
        <w:rPr>
          <w:spacing w:val="-96"/>
        </w:rPr>
        <w:t> </w:t>
      </w:r>
      <w:r>
        <w:rPr/>
        <w:t>率计缴增值税，销售其他产品仍按</w:t>
      </w:r>
      <w:r>
        <w:rPr>
          <w:rFonts w:ascii="宋体" w:hAnsi="宋体" w:cs="宋体" w:eastAsia="宋体" w:hint="default"/>
        </w:rPr>
        <w:t>17%</w:t>
      </w:r>
      <w:r>
        <w:rPr/>
        <w:t>的税率计缴增值税。</w:t>
      </w:r>
    </w:p>
    <w:p>
      <w:pPr>
        <w:pStyle w:val="BodyText"/>
        <w:spacing w:line="314" w:lineRule="auto" w:before="17"/>
        <w:ind w:right="208" w:firstLine="420"/>
        <w:jc w:val="both"/>
      </w:pPr>
      <w:r>
        <w:rPr>
          <w:spacing w:val="6"/>
        </w:rPr>
        <w:t>根据国务院《国务院关于印发进一步鼓励软件企业和集成电路产业发展若干政策的通知》（国发</w:t>
      </w:r>
      <w:r>
        <w:rPr>
          <w:w w:val="100"/>
        </w:rPr>
        <w:t> </w:t>
      </w:r>
      <w:r>
        <w:rPr>
          <w:rFonts w:ascii="宋体" w:hAnsi="宋体" w:cs="宋体" w:eastAsia="宋体" w:hint="default"/>
          <w:spacing w:val="-2"/>
        </w:rPr>
        <w:t>[2011]4</w:t>
      </w:r>
      <w:r>
        <w:rPr>
          <w:spacing w:val="-2"/>
        </w:rPr>
        <w:t>号）和财政部、国家税务总局《关于软件产品增值税政策的通知》（财税</w:t>
      </w:r>
      <w:r>
        <w:rPr>
          <w:rFonts w:ascii="宋体" w:hAnsi="宋体" w:cs="宋体" w:eastAsia="宋体" w:hint="default"/>
          <w:spacing w:val="-2"/>
        </w:rPr>
        <w:t>[2011]100</w:t>
      </w:r>
      <w:r>
        <w:rPr>
          <w:spacing w:val="-2"/>
        </w:rPr>
        <w:t>号）文有关规</w:t>
      </w:r>
      <w:r>
        <w:rPr>
          <w:spacing w:val="-34"/>
        </w:rPr>
        <w:t> </w:t>
      </w:r>
      <w:r>
        <w:rPr>
          <w:spacing w:val="-34"/>
        </w:rPr>
      </w:r>
      <w:r>
        <w:rPr>
          <w:spacing w:val="-2"/>
        </w:rPr>
        <w:t>定，</w:t>
      </w:r>
      <w:r>
        <w:rPr>
          <w:rFonts w:ascii="宋体" w:hAnsi="宋体" w:cs="宋体" w:eastAsia="宋体" w:hint="default"/>
          <w:spacing w:val="-2"/>
        </w:rPr>
        <w:t>2013</w:t>
      </w:r>
      <w:r>
        <w:rPr>
          <w:spacing w:val="-2"/>
        </w:rPr>
        <w:t>年度，本公司自行开发研制软件产品销售收入按法定税率计缴增值税后，对实际税负超过</w:t>
      </w:r>
      <w:r>
        <w:rPr>
          <w:rFonts w:ascii="宋体" w:hAnsi="宋体" w:cs="宋体" w:eastAsia="宋体" w:hint="default"/>
          <w:spacing w:val="-2"/>
        </w:rPr>
        <w:t>3%</w:t>
      </w:r>
      <w:r>
        <w:rPr>
          <w:spacing w:val="-2"/>
        </w:rPr>
        <w:t>的部</w:t>
      </w:r>
      <w:r>
        <w:rPr>
          <w:spacing w:val="-41"/>
        </w:rPr>
        <w:t> </w:t>
      </w:r>
      <w:r>
        <w:rPr/>
        <w:t>分实行即征即退政策。</w:t>
      </w:r>
    </w:p>
    <w:p>
      <w:pPr>
        <w:pStyle w:val="BodyText"/>
        <w:spacing w:line="314" w:lineRule="auto" w:before="17"/>
        <w:ind w:left="572" w:right="106"/>
        <w:jc w:val="left"/>
        <w:rPr>
          <w:rFonts w:ascii="宋体" w:hAnsi="宋体" w:cs="宋体" w:eastAsia="宋体" w:hint="default"/>
        </w:rPr>
      </w:pPr>
      <w:r>
        <w:rPr>
          <w:rFonts w:ascii="宋体" w:hAnsi="宋体" w:cs="宋体" w:eastAsia="宋体" w:hint="default"/>
          <w:b/>
          <w:bCs/>
        </w:rPr>
        <w:t>2</w:t>
      </w:r>
      <w:r>
        <w:rPr>
          <w:rFonts w:ascii="宋体" w:hAnsi="宋体" w:cs="宋体" w:eastAsia="宋体" w:hint="default"/>
          <w:b/>
          <w:bCs/>
        </w:rPr>
        <w:t>．企业所得税</w:t>
      </w:r>
      <w:r>
        <w:rPr>
          <w:rFonts w:ascii="宋体" w:hAnsi="宋体" w:cs="宋体" w:eastAsia="宋体" w:hint="default"/>
          <w:b/>
          <w:bCs/>
          <w:w w:val="100"/>
        </w:rPr>
        <w:t> </w:t>
      </w:r>
      <w:r>
        <w:rPr/>
        <w:t>根据国家税务总局国税函</w:t>
      </w:r>
      <w:r>
        <w:rPr>
          <w:rFonts w:ascii="宋体" w:hAnsi="宋体" w:cs="宋体" w:eastAsia="宋体" w:hint="default"/>
        </w:rPr>
        <w:t>[2009]203</w:t>
      </w:r>
      <w:r>
        <w:rPr/>
        <w:t>号《关于实施高新技术企业所得税优惠有关问题的通知》。</w:t>
      </w:r>
      <w:r>
        <w:rPr>
          <w:rFonts w:ascii="宋体" w:hAnsi="宋体" w:cs="宋体" w:eastAsia="宋体" w:hint="default"/>
        </w:rPr>
        <w:t>2012</w:t>
      </w:r>
    </w:p>
    <w:p>
      <w:pPr>
        <w:pStyle w:val="BodyText"/>
        <w:spacing w:line="314" w:lineRule="auto" w:before="17"/>
        <w:ind w:right="211"/>
        <w:jc w:val="both"/>
      </w:pPr>
      <w:r>
        <w:rPr/>
        <w:t>年</w:t>
      </w:r>
      <w:r>
        <w:rPr>
          <w:rFonts w:ascii="宋体" w:hAnsi="宋体" w:cs="宋体" w:eastAsia="宋体" w:hint="default"/>
        </w:rPr>
        <w:t>9</w:t>
      </w:r>
      <w:r>
        <w:rPr/>
        <w:t>月</w:t>
      </w:r>
      <w:r>
        <w:rPr>
          <w:rFonts w:ascii="宋体" w:hAnsi="宋体" w:cs="宋体" w:eastAsia="宋体" w:hint="default"/>
        </w:rPr>
        <w:t>12</w:t>
      </w:r>
      <w:r>
        <w:rPr/>
        <w:t>日本公司取得深圳市科技创新委员会、深圳市财政委员会、深圳市国家税务局、深圳市地方税务</w:t>
      </w:r>
      <w:r>
        <w:rPr>
          <w:spacing w:val="-26"/>
        </w:rPr>
        <w:t> </w:t>
      </w:r>
      <w:r>
        <w:rPr>
          <w:spacing w:val="-26"/>
        </w:rPr>
      </w:r>
      <w:r>
        <w:rPr/>
        <w:t>局联合颁发的高新技术企业证书</w:t>
      </w:r>
      <w:r>
        <w:rPr>
          <w:rFonts w:ascii="宋体" w:hAnsi="宋体" w:cs="宋体" w:eastAsia="宋体" w:hint="default"/>
        </w:rPr>
        <w:t>,</w:t>
      </w:r>
      <w:r>
        <w:rPr/>
        <w:t>有效期为三年。本公司</w:t>
      </w:r>
      <w:r>
        <w:rPr>
          <w:rFonts w:ascii="宋体" w:hAnsi="宋体" w:cs="宋体" w:eastAsia="宋体" w:hint="default"/>
        </w:rPr>
        <w:t>2013</w:t>
      </w:r>
      <w:r>
        <w:rPr/>
        <w:t>年</w:t>
      </w:r>
      <w:r>
        <w:rPr>
          <w:rFonts w:ascii="宋体" w:hAnsi="宋体" w:cs="宋体" w:eastAsia="宋体" w:hint="default"/>
        </w:rPr>
        <w:t>4</w:t>
      </w:r>
      <w:r>
        <w:rPr/>
        <w:t>月</w:t>
      </w:r>
      <w:r>
        <w:rPr>
          <w:rFonts w:ascii="宋体" w:hAnsi="宋体" w:cs="宋体" w:eastAsia="宋体" w:hint="default"/>
        </w:rPr>
        <w:t>3</w:t>
      </w:r>
      <w:r>
        <w:rPr/>
        <w:t>日取得深圳市南山区地方税务局深地</w:t>
      </w:r>
      <w:r>
        <w:rPr>
          <w:spacing w:val="-26"/>
        </w:rPr>
        <w:t> </w:t>
      </w:r>
      <w:r>
        <w:rPr>
          <w:spacing w:val="-26"/>
        </w:rPr>
      </w:r>
      <w:r>
        <w:rPr/>
        <w:t>税南备【</w:t>
      </w:r>
      <w:r>
        <w:rPr>
          <w:rFonts w:ascii="宋体" w:hAnsi="宋体" w:cs="宋体" w:eastAsia="宋体" w:hint="default"/>
        </w:rPr>
        <w:t>2013</w:t>
      </w:r>
      <w:r>
        <w:rPr/>
        <w:t>】</w:t>
      </w:r>
      <w:r>
        <w:rPr>
          <w:rFonts w:ascii="宋体" w:hAnsi="宋体" w:cs="宋体" w:eastAsia="宋体" w:hint="default"/>
        </w:rPr>
        <w:t>172</w:t>
      </w:r>
      <w:r>
        <w:rPr/>
        <w:t>号的备案通知书，</w:t>
      </w:r>
      <w:r>
        <w:rPr>
          <w:rFonts w:ascii="宋体" w:hAnsi="宋体" w:cs="宋体" w:eastAsia="宋体" w:hint="default"/>
        </w:rPr>
        <w:t>2014</w:t>
      </w:r>
      <w:r>
        <w:rPr/>
        <w:t>年度企业所得税优惠税率为</w:t>
      </w:r>
      <w:r>
        <w:rPr>
          <w:rFonts w:ascii="宋体" w:hAnsi="宋体" w:cs="宋体" w:eastAsia="宋体" w:hint="default"/>
        </w:rPr>
        <w:t>15%</w:t>
      </w:r>
      <w:r>
        <w:rPr/>
        <w:t>。</w:t>
      </w:r>
    </w:p>
    <w:p>
      <w:pPr>
        <w:pStyle w:val="BodyText"/>
        <w:spacing w:line="312" w:lineRule="auto" w:before="20"/>
        <w:ind w:left="572" w:right="106"/>
        <w:jc w:val="left"/>
      </w:pPr>
      <w:r>
        <w:rPr>
          <w:rFonts w:ascii="宋体" w:hAnsi="宋体" w:cs="宋体" w:eastAsia="宋体" w:hint="default"/>
          <w:b/>
          <w:bCs/>
        </w:rPr>
        <w:t>3</w:t>
      </w:r>
      <w:r>
        <w:rPr>
          <w:rFonts w:ascii="宋体" w:hAnsi="宋体" w:cs="宋体" w:eastAsia="宋体" w:hint="default"/>
          <w:b/>
          <w:bCs/>
        </w:rPr>
        <w:t>．营业税</w:t>
      </w:r>
      <w:r>
        <w:rPr>
          <w:rFonts w:ascii="宋体" w:hAnsi="宋体" w:cs="宋体" w:eastAsia="宋体" w:hint="default"/>
          <w:b/>
          <w:bCs/>
          <w:w w:val="100"/>
        </w:rPr>
        <w:t> </w:t>
      </w:r>
      <w:r>
        <w:rPr>
          <w:spacing w:val="-2"/>
        </w:rPr>
        <w:t>根据《财政部、国家税务总局关于贯彻落实《中共中央国务院关于加强技术创新，发展高科技，实现</w:t>
      </w:r>
    </w:p>
    <w:p>
      <w:pPr>
        <w:pStyle w:val="BodyText"/>
        <w:spacing w:line="314" w:lineRule="auto" w:before="19"/>
        <w:ind w:right="211"/>
        <w:jc w:val="both"/>
      </w:pPr>
      <w:r>
        <w:rPr/>
        <w:t>产业化的决定》有关税收问题的通知》（</w:t>
      </w:r>
      <w:hyperlink r:id="rId84">
        <w:r>
          <w:rPr/>
          <w:t>财税字</w:t>
        </w:r>
        <w:r>
          <w:rPr>
            <w:rFonts w:ascii="宋体" w:hAnsi="宋体" w:cs="宋体" w:eastAsia="宋体" w:hint="default"/>
          </w:rPr>
          <w:t>[1999]273</w:t>
        </w:r>
        <w:r>
          <w:rPr/>
          <w:t>号</w:t>
        </w:r>
      </w:hyperlink>
      <w:r>
        <w:rPr/>
        <w:t>）文有关规定，本公司提供技术开发服务取</w:t>
      </w:r>
      <w:r>
        <w:rPr>
          <w:spacing w:val="-27"/>
        </w:rPr>
        <w:t> </w:t>
      </w:r>
      <w:r>
        <w:rPr>
          <w:spacing w:val="-27"/>
        </w:rPr>
      </w:r>
      <w:r>
        <w:rPr/>
        <w:t>得的收入，在经当地科技主管部门认定和主管税务机关审核同意后，免征营业税。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Heading4"/>
        <w:spacing w:line="240" w:lineRule="auto"/>
        <w:ind w:right="0"/>
        <w:jc w:val="both"/>
        <w:rPr>
          <w:b w:val="0"/>
          <w:bCs w:val="0"/>
        </w:rPr>
      </w:pPr>
      <w:bookmarkStart w:name="七、合并财务报表项目注释" w:id="174"/>
      <w:bookmarkEnd w:id="174"/>
      <w:r>
        <w:rPr>
          <w:b w:val="0"/>
          <w:bCs w:val="0"/>
        </w:rPr>
      </w:r>
      <w:r>
        <w:rPr/>
        <w:t>七、合并财务报表项目注释</w:t>
      </w:r>
      <w:r>
        <w:rPr>
          <w:b w:val="0"/>
          <w:bCs w:val="0"/>
        </w:rPr>
      </w:r>
    </w:p>
    <w:p>
      <w:pPr>
        <w:spacing w:line="240" w:lineRule="auto" w:before="0"/>
        <w:rPr>
          <w:rFonts w:ascii="宋体" w:hAnsi="宋体" w:cs="宋体" w:eastAsia="宋体" w:hint="default"/>
          <w:b/>
          <w:bCs/>
          <w:sz w:val="24"/>
          <w:szCs w:val="24"/>
        </w:rPr>
      </w:pPr>
    </w:p>
    <w:p>
      <w:pPr>
        <w:spacing w:line="240" w:lineRule="auto" w:before="11"/>
        <w:rPr>
          <w:rFonts w:ascii="宋体" w:hAnsi="宋体" w:cs="宋体" w:eastAsia="宋体" w:hint="default"/>
          <w:b/>
          <w:bCs/>
          <w:sz w:val="23"/>
          <w:szCs w:val="23"/>
        </w:rPr>
      </w:pPr>
    </w:p>
    <w:p>
      <w:pPr>
        <w:pStyle w:val="Heading5"/>
        <w:spacing w:line="240" w:lineRule="auto"/>
        <w:ind w:right="0"/>
        <w:jc w:val="both"/>
        <w:rPr>
          <w:b w:val="0"/>
          <w:bCs w:val="0"/>
        </w:rPr>
      </w:pPr>
      <w:bookmarkStart w:name="1、货币资金" w:id="175"/>
      <w:bookmarkEnd w:id="175"/>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left="0" w:right="210"/>
        <w:jc w:val="right"/>
      </w:pPr>
      <w:r>
        <w:rPr/>
        <w:t>单位：</w:t>
      </w:r>
      <w:r>
        <w:rPr>
          <w:spacing w:val="2"/>
        </w:rPr>
        <w:t> </w:t>
      </w:r>
      <w:r>
        <w:rPr/>
        <w:t>元</w:t>
      </w:r>
    </w:p>
    <w:p>
      <w:pPr>
        <w:spacing w:line="240" w:lineRule="auto" w:before="10"/>
        <w:rPr>
          <w:rFonts w:ascii="宋体" w:hAnsi="宋体" w:cs="宋体" w:eastAsia="宋体" w:hint="default"/>
          <w:sz w:val="3"/>
          <w:szCs w:val="3"/>
        </w:rPr>
      </w:pPr>
    </w:p>
    <w:tbl>
      <w:tblPr>
        <w:tblW w:w="0" w:type="auto"/>
        <w:jc w:val="left"/>
        <w:tblInd w:w="160" w:type="dxa"/>
        <w:tblLayout w:type="fixed"/>
        <w:tblCellMar>
          <w:top w:w="0" w:type="dxa"/>
          <w:left w:w="0" w:type="dxa"/>
          <w:bottom w:w="0" w:type="dxa"/>
          <w:right w:w="0" w:type="dxa"/>
        </w:tblCellMar>
        <w:tblLook w:val="01E0"/>
      </w:tblPr>
      <w:tblGrid>
        <w:gridCol w:w="3167"/>
        <w:gridCol w:w="3200"/>
        <w:gridCol w:w="3190"/>
      </w:tblGrid>
      <w:tr>
        <w:trPr>
          <w:trHeight w:val="28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5"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3" w:lineRule="exact"/>
              <w:ind w:left="12" w:right="0"/>
              <w:jc w:val="left"/>
              <w:rPr>
                <w:rFonts w:ascii="宋体" w:hAnsi="宋体" w:cs="宋体" w:eastAsia="宋体" w:hint="default"/>
                <w:sz w:val="21"/>
                <w:szCs w:val="21"/>
              </w:rPr>
            </w:pPr>
            <w:r>
              <w:rPr>
                <w:rFonts w:ascii="宋体" w:hAnsi="宋体" w:cs="宋体" w:eastAsia="宋体" w:hint="default"/>
                <w:sz w:val="21"/>
                <w:szCs w:val="21"/>
              </w:rPr>
              <w:t>库存现金</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131,510.57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212,253.71</w:t>
            </w:r>
          </w:p>
        </w:tc>
      </w:tr>
      <w:tr>
        <w:trPr>
          <w:trHeight w:val="28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3" w:lineRule="exact"/>
              <w:ind w:left="12"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121,168,271.33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126,174,064.74</w:t>
            </w:r>
          </w:p>
        </w:tc>
      </w:tr>
      <w:tr>
        <w:trPr>
          <w:trHeight w:val="28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z w:val="21"/>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z w:val="21"/>
              </w:rPr>
              <w:t>0.00</w:t>
            </w:r>
          </w:p>
        </w:tc>
      </w:tr>
      <w:tr>
        <w:trPr>
          <w:trHeight w:val="28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121,299,781.90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126,386,318.45</w:t>
            </w:r>
          </w:p>
        </w:tc>
      </w:tr>
      <w:tr>
        <w:trPr>
          <w:trHeight w:val="28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其中：存放在境外的款项总额</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z w:val="21"/>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z w:val="21"/>
              </w:rPr>
              <w:t>0.00</w:t>
            </w:r>
          </w:p>
        </w:tc>
      </w:tr>
    </w:tbl>
    <w:p>
      <w:pPr>
        <w:spacing w:line="240" w:lineRule="auto" w:before="3"/>
        <w:rPr>
          <w:rFonts w:ascii="宋体" w:hAnsi="宋体" w:cs="宋体" w:eastAsia="宋体" w:hint="default"/>
          <w:sz w:val="19"/>
          <w:szCs w:val="19"/>
        </w:rPr>
      </w:pPr>
    </w:p>
    <w:p>
      <w:pPr>
        <w:pStyle w:val="Heading5"/>
        <w:spacing w:line="240" w:lineRule="auto" w:before="36"/>
        <w:ind w:right="106"/>
        <w:jc w:val="left"/>
        <w:rPr>
          <w:b w:val="0"/>
          <w:bCs w:val="0"/>
        </w:rPr>
      </w:pPr>
      <w:bookmarkStart w:name="2、衍生金融资产" w:id="176"/>
      <w:bookmarkEnd w:id="176"/>
      <w:r>
        <w:rPr>
          <w:b w:val="0"/>
          <w:bCs w:val="0"/>
        </w:rPr>
      </w:r>
      <w:r>
        <w:rPr>
          <w:rFonts w:ascii="Times New Roman" w:hAnsi="Times New Roman" w:cs="Times New Roman" w:eastAsia="Times New Roman" w:hint="default"/>
        </w:rPr>
        <w:t>2</w:t>
      </w:r>
      <w:r>
        <w:rPr/>
        <w:t>、衍生金融资产</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right="10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80" w:footer="979" w:top="1060" w:bottom="1160" w:left="980" w:right="920"/>
        </w:sectPr>
      </w:pPr>
    </w:p>
    <w:p>
      <w:pPr>
        <w:spacing w:line="240" w:lineRule="auto" w:before="8"/>
        <w:rPr>
          <w:rFonts w:ascii="宋体" w:hAnsi="宋体" w:cs="宋体" w:eastAsia="宋体" w:hint="default"/>
          <w:sz w:val="24"/>
          <w:szCs w:val="24"/>
        </w:rPr>
      </w:pPr>
    </w:p>
    <w:p>
      <w:pPr>
        <w:pStyle w:val="Heading5"/>
        <w:spacing w:line="240" w:lineRule="auto" w:before="36"/>
        <w:ind w:right="0"/>
        <w:jc w:val="left"/>
        <w:rPr>
          <w:b w:val="0"/>
          <w:bCs w:val="0"/>
        </w:rPr>
      </w:pPr>
      <w:r>
        <w:rPr>
          <w:rFonts w:ascii="Times New Roman" w:hAnsi="Times New Roman" w:cs="Times New Roman" w:eastAsia="Times New Roman" w:hint="default"/>
        </w:rPr>
        <w:t>3</w:t>
      </w:r>
      <w:r>
        <w:rPr/>
        <w:t>、应收票据</w:t>
      </w:r>
      <w:r>
        <w:rPr>
          <w:b w:val="0"/>
          <w:bCs w:val="0"/>
        </w:rPr>
      </w:r>
    </w:p>
    <w:p>
      <w:pPr>
        <w:spacing w:line="240" w:lineRule="auto" w:before="0"/>
        <w:rPr>
          <w:rFonts w:ascii="宋体" w:hAnsi="宋体" w:cs="宋体" w:eastAsia="宋体" w:hint="default"/>
          <w:b/>
          <w:bCs/>
          <w:sz w:val="22"/>
          <w:szCs w:val="22"/>
        </w:rPr>
      </w:pPr>
    </w:p>
    <w:p>
      <w:pPr>
        <w:spacing w:line="240" w:lineRule="auto" w:before="9"/>
        <w:rPr>
          <w:rFonts w:ascii="宋体" w:hAnsi="宋体" w:cs="宋体" w:eastAsia="宋体" w:hint="default"/>
          <w:b/>
          <w:bCs/>
          <w:sz w:val="25"/>
          <w:szCs w:val="25"/>
        </w:rPr>
      </w:pPr>
    </w:p>
    <w:p>
      <w:pPr>
        <w:pStyle w:val="Heading5"/>
        <w:spacing w:line="240" w:lineRule="auto"/>
        <w:ind w:right="0"/>
        <w:jc w:val="left"/>
        <w:rPr>
          <w:b w:val="0"/>
          <w:bCs w:val="0"/>
        </w:rPr>
      </w:pPr>
      <w:bookmarkStart w:name="3、应收票据" w:id="177"/>
      <w:bookmarkEnd w:id="177"/>
      <w:r>
        <w:rPr>
          <w:b w:val="0"/>
          <w:bCs w:val="0"/>
        </w:rPr>
      </w:r>
      <w:bookmarkStart w:name="（1）应收票据分类列示" w:id="178"/>
      <w:bookmarkEnd w:id="178"/>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36"/>
        <w:ind w:left="0" w:right="150"/>
        <w:jc w:val="right"/>
      </w:pPr>
      <w:r>
        <w:rPr/>
        <w:t>单位：</w:t>
      </w:r>
      <w:r>
        <w:rPr>
          <w:spacing w:val="2"/>
        </w:rPr>
        <w:t> </w:t>
      </w:r>
      <w:r>
        <w:rPr/>
        <w:t>元</w:t>
      </w:r>
    </w:p>
    <w:p>
      <w:pPr>
        <w:spacing w:line="240" w:lineRule="auto" w:before="10"/>
        <w:rPr>
          <w:rFonts w:ascii="宋体" w:hAnsi="宋体" w:cs="宋体" w:eastAsia="宋体" w:hint="default"/>
          <w:sz w:val="3"/>
          <w:szCs w:val="3"/>
        </w:rPr>
      </w:pPr>
    </w:p>
    <w:tbl>
      <w:tblPr>
        <w:tblW w:w="0" w:type="auto"/>
        <w:jc w:val="left"/>
        <w:tblInd w:w="160" w:type="dxa"/>
        <w:tblLayout w:type="fixed"/>
        <w:tblCellMar>
          <w:top w:w="0" w:type="dxa"/>
          <w:left w:w="0" w:type="dxa"/>
          <w:bottom w:w="0" w:type="dxa"/>
          <w:right w:w="0" w:type="dxa"/>
        </w:tblCellMar>
        <w:tblLook w:val="01E0"/>
      </w:tblPr>
      <w:tblGrid>
        <w:gridCol w:w="3167"/>
        <w:gridCol w:w="3200"/>
        <w:gridCol w:w="3190"/>
      </w:tblGrid>
      <w:tr>
        <w:trPr>
          <w:trHeight w:val="28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5"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200" w:type="dxa"/>
            <w:tcBorders>
              <w:top w:val="single" w:sz="4" w:space="0" w:color="000000"/>
              <w:left w:val="single" w:sz="9" w:space="0" w:color="D4D4D4"/>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500,000.00</w:t>
            </w:r>
          </w:p>
        </w:tc>
      </w:tr>
      <w:tr>
        <w:trPr>
          <w:trHeight w:val="28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0" w:type="dxa"/>
            <w:tcBorders>
              <w:top w:val="single" w:sz="4" w:space="0" w:color="000000"/>
              <w:left w:val="single" w:sz="9" w:space="0" w:color="D4D4D4"/>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500,000.00</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bookmarkStart w:name="4、应收账款" w:id="179"/>
      <w:bookmarkEnd w:id="179"/>
      <w:r>
        <w:rPr>
          <w:b w:val="0"/>
          <w:bCs w:val="0"/>
        </w:rPr>
      </w:r>
      <w:r>
        <w:rPr>
          <w:rFonts w:ascii="Times New Roman" w:hAnsi="Times New Roman" w:cs="Times New Roman" w:eastAsia="Times New Roman" w:hint="default"/>
        </w:rPr>
        <w:t>4</w:t>
      </w:r>
      <w:r>
        <w:rPr/>
        <w:t>、应收账款</w:t>
      </w:r>
      <w:r>
        <w:rPr>
          <w:b w:val="0"/>
          <w:bCs w:val="0"/>
        </w:rPr>
      </w:r>
    </w:p>
    <w:p>
      <w:pPr>
        <w:spacing w:line="240" w:lineRule="auto" w:before="0"/>
        <w:rPr>
          <w:rFonts w:ascii="宋体" w:hAnsi="宋体" w:cs="宋体" w:eastAsia="宋体" w:hint="default"/>
          <w:b/>
          <w:bCs/>
          <w:sz w:val="22"/>
          <w:szCs w:val="22"/>
        </w:rPr>
      </w:pPr>
    </w:p>
    <w:p>
      <w:pPr>
        <w:spacing w:line="240" w:lineRule="auto" w:before="9"/>
        <w:rPr>
          <w:rFonts w:ascii="宋体" w:hAnsi="宋体" w:cs="宋体" w:eastAsia="宋体" w:hint="default"/>
          <w:b/>
          <w:bCs/>
          <w:sz w:val="25"/>
          <w:szCs w:val="25"/>
        </w:rPr>
      </w:pPr>
    </w:p>
    <w:p>
      <w:pPr>
        <w:pStyle w:val="Heading5"/>
        <w:spacing w:line="240" w:lineRule="auto"/>
        <w:ind w:right="0"/>
        <w:jc w:val="left"/>
        <w:rPr>
          <w:b w:val="0"/>
          <w:bCs w:val="0"/>
        </w:rPr>
      </w:pPr>
      <w:bookmarkStart w:name="（1）应收账款分类披露" w:id="180"/>
      <w:bookmarkEnd w:id="180"/>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36"/>
        <w:ind w:left="0" w:right="150"/>
        <w:jc w:val="right"/>
      </w:pPr>
      <w:r>
        <w:rPr/>
        <w:t>单位：</w:t>
      </w:r>
      <w:r>
        <w:rPr>
          <w:spacing w:val="2"/>
        </w:rPr>
        <w:t> </w:t>
      </w:r>
      <w:r>
        <w:rPr/>
        <w:t>元</w:t>
      </w:r>
    </w:p>
    <w:p>
      <w:pPr>
        <w:spacing w:line="240" w:lineRule="auto" w:before="10"/>
        <w:rPr>
          <w:rFonts w:ascii="宋体" w:hAnsi="宋体" w:cs="宋体" w:eastAsia="宋体" w:hint="default"/>
          <w:sz w:val="3"/>
          <w:szCs w:val="3"/>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7"/>
        <w:gridCol w:w="655"/>
        <w:gridCol w:w="761"/>
        <w:gridCol w:w="814"/>
        <w:gridCol w:w="934"/>
        <w:gridCol w:w="931"/>
      </w:tblGrid>
      <w:tr>
        <w:trPr>
          <w:trHeight w:val="278" w:hRule="exact"/>
        </w:trPr>
        <w:tc>
          <w:tcPr>
            <w:tcW w:w="1612" w:type="dxa"/>
            <w:vMerge w:val="restart"/>
            <w:tcBorders>
              <w:top w:val="single" w:sz="4" w:space="0" w:color="000000"/>
              <w:left w:val="single" w:sz="4" w:space="0" w:color="000000"/>
              <w:right w:val="single" w:sz="4" w:space="0" w:color="000000"/>
            </w:tcBorders>
            <w:shd w:val="clear" w:color="auto" w:fill="D4D4D4"/>
          </w:tcPr>
          <w:p>
            <w:pPr/>
          </w:p>
        </w:tc>
        <w:tc>
          <w:tcPr>
            <w:tcW w:w="3848"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5"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49" w:hRule="exact"/>
        </w:trPr>
        <w:tc>
          <w:tcPr>
            <w:tcW w:w="1612" w:type="dxa"/>
            <w:vMerge/>
            <w:tcBorders>
              <w:left w:val="single" w:sz="4" w:space="0" w:color="000000"/>
              <w:bottom w:val="nil" w:sz="6" w:space="0" w:color="auto"/>
              <w:right w:val="single" w:sz="4" w:space="0" w:color="000000"/>
            </w:tcBorders>
            <w:shd w:val="clear" w:color="auto" w:fill="D4D4D4"/>
          </w:tcPr>
          <w:p>
            <w:pPr/>
          </w:p>
        </w:tc>
        <w:tc>
          <w:tcPr>
            <w:tcW w:w="1535"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6" w:lineRule="exact"/>
              <w:ind w:left="34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6" w:lineRule="exact"/>
              <w:ind w:left="33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787" w:type="dxa"/>
            <w:tcBorders>
              <w:top w:val="single" w:sz="4" w:space="0" w:color="000000"/>
              <w:left w:val="single" w:sz="4" w:space="0" w:color="000000"/>
              <w:bottom w:val="nil" w:sz="6" w:space="0" w:color="auto"/>
              <w:right w:val="single" w:sz="4" w:space="0" w:color="000000"/>
            </w:tcBorders>
            <w:shd w:val="clear" w:color="auto" w:fill="D4D4D4"/>
          </w:tcPr>
          <w:p>
            <w:pPr/>
          </w:p>
        </w:tc>
        <w:tc>
          <w:tcPr>
            <w:tcW w:w="141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6" w:lineRule="exact"/>
              <w:ind w:left="28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47"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6" w:lineRule="exact"/>
              <w:ind w:left="45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931" w:type="dxa"/>
            <w:vMerge w:val="restart"/>
            <w:tcBorders>
              <w:top w:val="single" w:sz="4" w:space="0" w:color="000000"/>
              <w:left w:val="single" w:sz="4" w:space="0" w:color="000000"/>
              <w:right w:val="single" w:sz="4" w:space="0" w:color="000000"/>
            </w:tcBorders>
            <w:shd w:val="clear" w:color="auto" w:fill="D4D4D4"/>
          </w:tcPr>
          <w:p>
            <w:pPr/>
          </w:p>
        </w:tc>
      </w:tr>
      <w:tr>
        <w:trPr>
          <w:trHeight w:val="142" w:hRule="exact"/>
        </w:trPr>
        <w:tc>
          <w:tcPr>
            <w:tcW w:w="1612" w:type="dxa"/>
            <w:vMerge w:val="restart"/>
            <w:tcBorders>
              <w:top w:val="nil" w:sz="6" w:space="0" w:color="auto"/>
              <w:left w:val="single" w:sz="4" w:space="0" w:color="000000"/>
              <w:right w:val="single" w:sz="4" w:space="0" w:color="000000"/>
            </w:tcBorders>
            <w:shd w:val="clear" w:color="auto" w:fill="D4D4D4"/>
          </w:tcPr>
          <w:p>
            <w:pPr>
              <w:pStyle w:val="TableParagraph"/>
              <w:spacing w:line="238" w:lineRule="exact"/>
              <w:ind w:left="1"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535" w:type="dxa"/>
            <w:gridSpan w:val="2"/>
            <w:vMerge/>
            <w:tcBorders>
              <w:left w:val="single" w:sz="4" w:space="0" w:color="000000"/>
              <w:bottom w:val="single" w:sz="4" w:space="0" w:color="000000"/>
              <w:right w:val="single" w:sz="4" w:space="0" w:color="000000"/>
            </w:tcBorders>
            <w:shd w:val="clear" w:color="auto" w:fill="D4D4D4"/>
          </w:tcPr>
          <w:p>
            <w:pPr/>
          </w:p>
        </w:tc>
        <w:tc>
          <w:tcPr>
            <w:tcW w:w="1526" w:type="dxa"/>
            <w:gridSpan w:val="2"/>
            <w:vMerge/>
            <w:tcBorders>
              <w:left w:val="single" w:sz="4" w:space="0" w:color="000000"/>
              <w:bottom w:val="single" w:sz="4" w:space="0" w:color="000000"/>
              <w:right w:val="single" w:sz="4" w:space="0" w:color="000000"/>
            </w:tcBorders>
            <w:shd w:val="clear" w:color="auto" w:fill="D4D4D4"/>
          </w:tcPr>
          <w:p>
            <w:pPr/>
          </w:p>
        </w:tc>
        <w:tc>
          <w:tcPr>
            <w:tcW w:w="787" w:type="dxa"/>
            <w:vMerge w:val="restart"/>
            <w:tcBorders>
              <w:top w:val="nil" w:sz="6" w:space="0" w:color="auto"/>
              <w:left w:val="single" w:sz="4" w:space="0" w:color="000000"/>
              <w:right w:val="single" w:sz="4" w:space="0" w:color="000000"/>
            </w:tcBorders>
            <w:shd w:val="clear" w:color="auto" w:fill="D4D4D4"/>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账面价</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值</w:t>
            </w:r>
          </w:p>
        </w:tc>
        <w:tc>
          <w:tcPr>
            <w:tcW w:w="1416" w:type="dxa"/>
            <w:gridSpan w:val="2"/>
            <w:vMerge/>
            <w:tcBorders>
              <w:left w:val="single" w:sz="4" w:space="0" w:color="000000"/>
              <w:bottom w:val="single" w:sz="4" w:space="0" w:color="000000"/>
              <w:right w:val="single" w:sz="4" w:space="0" w:color="000000"/>
            </w:tcBorders>
            <w:shd w:val="clear" w:color="auto" w:fill="D4D4D4"/>
          </w:tcPr>
          <w:p>
            <w:pPr/>
          </w:p>
        </w:tc>
        <w:tc>
          <w:tcPr>
            <w:tcW w:w="1747" w:type="dxa"/>
            <w:gridSpan w:val="2"/>
            <w:vMerge/>
            <w:tcBorders>
              <w:left w:val="single" w:sz="4" w:space="0" w:color="000000"/>
              <w:bottom w:val="single" w:sz="4" w:space="0" w:color="000000"/>
              <w:right w:val="single" w:sz="4" w:space="0" w:color="000000"/>
            </w:tcBorders>
            <w:shd w:val="clear" w:color="auto" w:fill="D4D4D4"/>
          </w:tcPr>
          <w:p>
            <w:pPr/>
          </w:p>
        </w:tc>
        <w:tc>
          <w:tcPr>
            <w:tcW w:w="931" w:type="dxa"/>
            <w:vMerge/>
            <w:tcBorders>
              <w:left w:val="single" w:sz="4" w:space="0" w:color="000000"/>
              <w:bottom w:val="nil" w:sz="6" w:space="0" w:color="auto"/>
              <w:right w:val="single" w:sz="4" w:space="0" w:color="000000"/>
            </w:tcBorders>
            <w:shd w:val="clear" w:color="auto" w:fill="D4D4D4"/>
          </w:tcPr>
          <w:p>
            <w:pPr/>
          </w:p>
        </w:tc>
      </w:tr>
      <w:tr>
        <w:trPr>
          <w:trHeight w:val="137" w:hRule="exact"/>
        </w:trPr>
        <w:tc>
          <w:tcPr>
            <w:tcW w:w="1612" w:type="dxa"/>
            <w:vMerge/>
            <w:tcBorders>
              <w:left w:val="single" w:sz="4" w:space="0" w:color="000000"/>
              <w:bottom w:val="single" w:sz="4" w:space="0" w:color="FFFFFF"/>
              <w:right w:val="single" w:sz="4" w:space="0" w:color="000000"/>
            </w:tcBorders>
            <w:shd w:val="clear" w:color="auto" w:fill="D4D4D4"/>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3" w:type="dxa"/>
            <w:vMerge w:val="restart"/>
            <w:tcBorders>
              <w:top w:val="single" w:sz="4" w:space="0" w:color="000000"/>
              <w:left w:val="single" w:sz="4" w:space="0" w:color="000000"/>
              <w:right w:val="single" w:sz="4" w:space="0" w:color="000000"/>
            </w:tcBorders>
            <w:shd w:val="clear" w:color="auto" w:fill="D4D4D4"/>
          </w:tcPr>
          <w:p>
            <w:pPr>
              <w:pStyle w:val="TableParagraph"/>
              <w:spacing w:line="238" w:lineRule="exact"/>
              <w:ind w:left="4" w:right="0"/>
              <w:jc w:val="center"/>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例</w:t>
            </w:r>
          </w:p>
        </w:tc>
        <w:tc>
          <w:tcPr>
            <w:tcW w:w="787" w:type="dxa"/>
            <w:vMerge/>
            <w:tcBorders>
              <w:left w:val="single" w:sz="4" w:space="0" w:color="000000"/>
              <w:right w:val="single" w:sz="4" w:space="0" w:color="000000"/>
            </w:tcBorders>
            <w:shd w:val="clear" w:color="auto" w:fill="D4D4D4"/>
          </w:tcPr>
          <w:p>
            <w:pPr/>
          </w:p>
        </w:tc>
        <w:tc>
          <w:tcPr>
            <w:tcW w:w="655" w:type="dxa"/>
            <w:tcBorders>
              <w:top w:val="single" w:sz="4" w:space="0" w:color="000000"/>
              <w:left w:val="single" w:sz="4" w:space="0" w:color="000000"/>
              <w:bottom w:val="nil" w:sz="6" w:space="0" w:color="auto"/>
              <w:right w:val="single" w:sz="4" w:space="0" w:color="000000"/>
            </w:tcBorders>
            <w:shd w:val="clear" w:color="auto" w:fill="D4D4D4"/>
          </w:tcPr>
          <w:p>
            <w:pPr/>
          </w:p>
        </w:tc>
        <w:tc>
          <w:tcPr>
            <w:tcW w:w="761" w:type="dxa"/>
            <w:tcBorders>
              <w:top w:val="single" w:sz="4" w:space="0" w:color="000000"/>
              <w:left w:val="single" w:sz="4" w:space="0" w:color="000000"/>
              <w:bottom w:val="nil" w:sz="6" w:space="0" w:color="auto"/>
              <w:right w:val="single" w:sz="4" w:space="0" w:color="000000"/>
            </w:tcBorders>
            <w:shd w:val="clear" w:color="auto" w:fill="D4D4D4"/>
          </w:tcPr>
          <w:p>
            <w:pPr/>
          </w:p>
        </w:tc>
        <w:tc>
          <w:tcPr>
            <w:tcW w:w="814" w:type="dxa"/>
            <w:tcBorders>
              <w:top w:val="single" w:sz="4" w:space="0" w:color="000000"/>
              <w:left w:val="single" w:sz="4" w:space="0" w:color="000000"/>
              <w:bottom w:val="nil" w:sz="6" w:space="0" w:color="auto"/>
              <w:right w:val="single" w:sz="4" w:space="0" w:color="000000"/>
            </w:tcBorders>
            <w:shd w:val="clear" w:color="auto" w:fill="D4D4D4"/>
          </w:tcPr>
          <w:p>
            <w:pPr/>
          </w:p>
        </w:tc>
        <w:tc>
          <w:tcPr>
            <w:tcW w:w="934" w:type="dxa"/>
            <w:tcBorders>
              <w:top w:val="single" w:sz="4" w:space="0" w:color="000000"/>
              <w:left w:val="single" w:sz="4" w:space="0" w:color="000000"/>
              <w:bottom w:val="nil" w:sz="6" w:space="0" w:color="auto"/>
              <w:right w:val="single" w:sz="4" w:space="0" w:color="000000"/>
            </w:tcBorders>
            <w:shd w:val="clear" w:color="auto" w:fill="D4D4D4"/>
          </w:tcPr>
          <w:p>
            <w:pPr/>
          </w:p>
        </w:tc>
        <w:tc>
          <w:tcPr>
            <w:tcW w:w="931" w:type="dxa"/>
            <w:vMerge w:val="restart"/>
            <w:tcBorders>
              <w:top w:val="nil" w:sz="6" w:space="0" w:color="auto"/>
              <w:left w:val="single" w:sz="23" w:space="0" w:color="D4D4D4"/>
              <w:right w:val="single" w:sz="12" w:space="0" w:color="D4D4D4"/>
            </w:tcBorders>
          </w:tcPr>
          <w:p>
            <w:pPr>
              <w:pStyle w:val="TableParagraph"/>
              <w:spacing w:line="238" w:lineRule="exact"/>
              <w:ind w:left="16"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4D4D4" w:color="auto" w:val="clear"/>
              </w:rPr>
              <w:t>账面价值</w:t>
            </w:r>
            <w:r>
              <w:rPr>
                <w:rFonts w:ascii="宋体" w:hAnsi="宋体" w:cs="宋体" w:eastAsia="宋体" w:hint="default"/>
                <w:sz w:val="21"/>
                <w:szCs w:val="21"/>
              </w:rPr>
            </w:r>
          </w:p>
        </w:tc>
      </w:tr>
      <w:tr>
        <w:trPr>
          <w:trHeight w:val="134" w:hRule="exact"/>
        </w:trPr>
        <w:tc>
          <w:tcPr>
            <w:tcW w:w="1612" w:type="dxa"/>
            <w:vMerge w:val="restart"/>
            <w:tcBorders>
              <w:top w:val="single" w:sz="4" w:space="0" w:color="FFFFFF"/>
              <w:left w:val="single" w:sz="4" w:space="0" w:color="000000"/>
              <w:right w:val="single" w:sz="4" w:space="0" w:color="000000"/>
            </w:tcBorders>
            <w:shd w:val="clear" w:color="auto" w:fill="D4D4D4"/>
          </w:tcPr>
          <w:p>
            <w:pPr/>
          </w:p>
        </w:tc>
        <w:tc>
          <w:tcPr>
            <w:tcW w:w="774" w:type="dxa"/>
            <w:vMerge w:val="restart"/>
            <w:tcBorders>
              <w:top w:val="single" w:sz="4" w:space="0" w:color="FFFFFF"/>
              <w:left w:val="single" w:sz="4" w:space="0" w:color="000000"/>
              <w:right w:val="single" w:sz="4" w:space="0" w:color="000000"/>
            </w:tcBorders>
            <w:shd w:val="clear" w:color="auto" w:fill="D4D4D4"/>
          </w:tcPr>
          <w:p>
            <w:pPr>
              <w:pStyle w:val="TableParagraph"/>
              <w:spacing w:line="238" w:lineRule="exact"/>
              <w:ind w:left="17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61" w:type="dxa"/>
            <w:vMerge w:val="restart"/>
            <w:tcBorders>
              <w:top w:val="single" w:sz="4" w:space="0" w:color="FFFFFF"/>
              <w:left w:val="single" w:sz="4" w:space="0" w:color="000000"/>
              <w:right w:val="single" w:sz="4" w:space="0" w:color="000000"/>
            </w:tcBorders>
            <w:shd w:val="clear" w:color="auto" w:fill="D4D4D4"/>
          </w:tcPr>
          <w:p>
            <w:pPr>
              <w:pStyle w:val="TableParagraph"/>
              <w:spacing w:line="238" w:lineRule="exact"/>
              <w:ind w:left="165"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763" w:type="dxa"/>
            <w:vMerge w:val="restart"/>
            <w:tcBorders>
              <w:top w:val="single" w:sz="4" w:space="0" w:color="FFFFFF"/>
              <w:left w:val="single" w:sz="4" w:space="0" w:color="000000"/>
              <w:right w:val="single" w:sz="4" w:space="0" w:color="000000"/>
            </w:tcBorders>
            <w:shd w:val="clear" w:color="auto" w:fill="D4D4D4"/>
          </w:tcPr>
          <w:p>
            <w:pPr>
              <w:pStyle w:val="TableParagraph"/>
              <w:spacing w:line="238" w:lineRule="exact"/>
              <w:ind w:left="16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63" w:type="dxa"/>
            <w:vMerge/>
            <w:tcBorders>
              <w:left w:val="single" w:sz="4" w:space="0" w:color="000000"/>
              <w:right w:val="single" w:sz="4" w:space="0" w:color="000000"/>
            </w:tcBorders>
            <w:shd w:val="clear" w:color="auto" w:fill="D4D4D4"/>
          </w:tcPr>
          <w:p>
            <w:pPr/>
          </w:p>
        </w:tc>
        <w:tc>
          <w:tcPr>
            <w:tcW w:w="787" w:type="dxa"/>
            <w:vMerge/>
            <w:tcBorders>
              <w:left w:val="single" w:sz="4" w:space="0" w:color="000000"/>
              <w:right w:val="single" w:sz="4" w:space="0" w:color="000000"/>
            </w:tcBorders>
            <w:shd w:val="clear" w:color="auto" w:fill="D4D4D4"/>
          </w:tcPr>
          <w:p>
            <w:pPr/>
          </w:p>
        </w:tc>
        <w:tc>
          <w:tcPr>
            <w:tcW w:w="655" w:type="dxa"/>
            <w:vMerge w:val="restart"/>
            <w:tcBorders>
              <w:top w:val="nil" w:sz="6" w:space="0" w:color="auto"/>
              <w:left w:val="single" w:sz="4" w:space="0" w:color="000000"/>
              <w:right w:val="single" w:sz="4" w:space="0" w:color="000000"/>
            </w:tcBorders>
            <w:shd w:val="clear" w:color="auto" w:fill="D4D4D4"/>
          </w:tcPr>
          <w:p>
            <w:pPr>
              <w:pStyle w:val="TableParagraph"/>
              <w:spacing w:line="243" w:lineRule="exact"/>
              <w:ind w:left="11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61" w:type="dxa"/>
            <w:vMerge w:val="restart"/>
            <w:tcBorders>
              <w:top w:val="nil" w:sz="6" w:space="0" w:color="auto"/>
              <w:left w:val="single" w:sz="4" w:space="0" w:color="000000"/>
              <w:right w:val="single" w:sz="4" w:space="0" w:color="000000"/>
            </w:tcBorders>
            <w:shd w:val="clear" w:color="auto" w:fill="D4D4D4"/>
          </w:tcPr>
          <w:p>
            <w:pPr>
              <w:pStyle w:val="TableParagraph"/>
              <w:spacing w:line="243" w:lineRule="exact"/>
              <w:ind w:left="165"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814" w:type="dxa"/>
            <w:vMerge w:val="restart"/>
            <w:tcBorders>
              <w:top w:val="nil" w:sz="6" w:space="0" w:color="auto"/>
              <w:left w:val="single" w:sz="4" w:space="0" w:color="000000"/>
              <w:right w:val="single" w:sz="4" w:space="0" w:color="000000"/>
            </w:tcBorders>
            <w:shd w:val="clear" w:color="auto" w:fill="D4D4D4"/>
          </w:tcPr>
          <w:p>
            <w:pPr>
              <w:pStyle w:val="TableParagraph"/>
              <w:spacing w:line="243" w:lineRule="exact"/>
              <w:ind w:left="194"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934" w:type="dxa"/>
            <w:vMerge w:val="restart"/>
            <w:tcBorders>
              <w:top w:val="nil" w:sz="6" w:space="0" w:color="auto"/>
              <w:left w:val="single" w:sz="4" w:space="0" w:color="000000"/>
              <w:right w:val="single" w:sz="4" w:space="0" w:color="000000"/>
            </w:tcBorders>
            <w:shd w:val="clear" w:color="auto" w:fill="D4D4D4"/>
          </w:tcPr>
          <w:p>
            <w:pPr>
              <w:pStyle w:val="TableParagraph"/>
              <w:spacing w:line="243" w:lineRule="exact"/>
              <w:ind w:left="40" w:right="0"/>
              <w:jc w:val="left"/>
              <w:rPr>
                <w:rFonts w:ascii="宋体" w:hAnsi="宋体" w:cs="宋体" w:eastAsia="宋体" w:hint="default"/>
                <w:sz w:val="21"/>
                <w:szCs w:val="21"/>
              </w:rPr>
            </w:pPr>
            <w:r>
              <w:rPr>
                <w:rFonts w:ascii="宋体" w:hAnsi="宋体" w:cs="宋体" w:eastAsia="宋体" w:hint="default"/>
                <w:sz w:val="21"/>
                <w:szCs w:val="21"/>
              </w:rPr>
              <w:t>计提比例</w:t>
            </w:r>
          </w:p>
        </w:tc>
        <w:tc>
          <w:tcPr>
            <w:tcW w:w="931" w:type="dxa"/>
            <w:vMerge/>
            <w:tcBorders>
              <w:left w:val="single" w:sz="23" w:space="0" w:color="D4D4D4"/>
              <w:bottom w:val="nil" w:sz="6" w:space="0" w:color="auto"/>
              <w:right w:val="single" w:sz="12" w:space="0" w:color="D4D4D4"/>
            </w:tcBorders>
          </w:tcPr>
          <w:p>
            <w:pPr/>
          </w:p>
        </w:tc>
      </w:tr>
      <w:tr>
        <w:trPr>
          <w:trHeight w:val="139" w:hRule="exact"/>
        </w:trPr>
        <w:tc>
          <w:tcPr>
            <w:tcW w:w="1612" w:type="dxa"/>
            <w:vMerge/>
            <w:tcBorders>
              <w:left w:val="single" w:sz="4" w:space="0" w:color="000000"/>
              <w:right w:val="single" w:sz="4" w:space="0" w:color="000000"/>
            </w:tcBorders>
            <w:shd w:val="clear" w:color="auto" w:fill="D4D4D4"/>
          </w:tcPr>
          <w:p>
            <w:pPr/>
          </w:p>
        </w:tc>
        <w:tc>
          <w:tcPr>
            <w:tcW w:w="774" w:type="dxa"/>
            <w:vMerge/>
            <w:tcBorders>
              <w:left w:val="single" w:sz="4" w:space="0" w:color="000000"/>
              <w:bottom w:val="nil" w:sz="6" w:space="0" w:color="auto"/>
              <w:right w:val="single" w:sz="4" w:space="0" w:color="000000"/>
            </w:tcBorders>
            <w:shd w:val="clear" w:color="auto" w:fill="D4D4D4"/>
          </w:tcPr>
          <w:p>
            <w:pPr/>
          </w:p>
        </w:tc>
        <w:tc>
          <w:tcPr>
            <w:tcW w:w="761" w:type="dxa"/>
            <w:vMerge/>
            <w:tcBorders>
              <w:left w:val="single" w:sz="4" w:space="0" w:color="000000"/>
              <w:bottom w:val="nil" w:sz="6" w:space="0" w:color="auto"/>
              <w:right w:val="single" w:sz="4" w:space="0" w:color="000000"/>
            </w:tcBorders>
            <w:shd w:val="clear" w:color="auto" w:fill="D4D4D4"/>
          </w:tcPr>
          <w:p>
            <w:pPr/>
          </w:p>
        </w:tc>
        <w:tc>
          <w:tcPr>
            <w:tcW w:w="763" w:type="dxa"/>
            <w:vMerge/>
            <w:tcBorders>
              <w:left w:val="single" w:sz="4" w:space="0" w:color="000000"/>
              <w:bottom w:val="nil" w:sz="6" w:space="0" w:color="auto"/>
              <w:right w:val="single" w:sz="4" w:space="0" w:color="000000"/>
            </w:tcBorders>
            <w:shd w:val="clear" w:color="auto" w:fill="D4D4D4"/>
          </w:tcPr>
          <w:p>
            <w:pPr/>
          </w:p>
        </w:tc>
        <w:tc>
          <w:tcPr>
            <w:tcW w:w="763" w:type="dxa"/>
            <w:vMerge/>
            <w:tcBorders>
              <w:left w:val="single" w:sz="4" w:space="0" w:color="000000"/>
              <w:right w:val="single" w:sz="4" w:space="0" w:color="000000"/>
            </w:tcBorders>
            <w:shd w:val="clear" w:color="auto" w:fill="D4D4D4"/>
          </w:tcPr>
          <w:p>
            <w:pPr/>
          </w:p>
        </w:tc>
        <w:tc>
          <w:tcPr>
            <w:tcW w:w="787" w:type="dxa"/>
            <w:vMerge/>
            <w:tcBorders>
              <w:left w:val="single" w:sz="4" w:space="0" w:color="000000"/>
              <w:bottom w:val="nil" w:sz="6" w:space="0" w:color="auto"/>
              <w:right w:val="single" w:sz="4" w:space="0" w:color="000000"/>
            </w:tcBorders>
            <w:shd w:val="clear" w:color="auto" w:fill="D4D4D4"/>
          </w:tcPr>
          <w:p>
            <w:pPr/>
          </w:p>
        </w:tc>
        <w:tc>
          <w:tcPr>
            <w:tcW w:w="655" w:type="dxa"/>
            <w:vMerge/>
            <w:tcBorders>
              <w:left w:val="single" w:sz="4" w:space="0" w:color="000000"/>
              <w:bottom w:val="nil" w:sz="6" w:space="0" w:color="auto"/>
              <w:right w:val="single" w:sz="4" w:space="0" w:color="000000"/>
            </w:tcBorders>
            <w:shd w:val="clear" w:color="auto" w:fill="D4D4D4"/>
          </w:tcPr>
          <w:p>
            <w:pPr/>
          </w:p>
        </w:tc>
        <w:tc>
          <w:tcPr>
            <w:tcW w:w="761" w:type="dxa"/>
            <w:vMerge/>
            <w:tcBorders>
              <w:left w:val="single" w:sz="4" w:space="0" w:color="000000"/>
              <w:bottom w:val="nil" w:sz="6" w:space="0" w:color="auto"/>
              <w:right w:val="single" w:sz="4" w:space="0" w:color="000000"/>
            </w:tcBorders>
            <w:shd w:val="clear" w:color="auto" w:fill="D4D4D4"/>
          </w:tcPr>
          <w:p>
            <w:pPr/>
          </w:p>
        </w:tc>
        <w:tc>
          <w:tcPr>
            <w:tcW w:w="814" w:type="dxa"/>
            <w:vMerge/>
            <w:tcBorders>
              <w:left w:val="single" w:sz="4" w:space="0" w:color="000000"/>
              <w:bottom w:val="nil" w:sz="6" w:space="0" w:color="auto"/>
              <w:right w:val="single" w:sz="4" w:space="0" w:color="000000"/>
            </w:tcBorders>
            <w:shd w:val="clear" w:color="auto" w:fill="D4D4D4"/>
          </w:tcPr>
          <w:p>
            <w:pPr/>
          </w:p>
        </w:tc>
        <w:tc>
          <w:tcPr>
            <w:tcW w:w="934" w:type="dxa"/>
            <w:vMerge/>
            <w:tcBorders>
              <w:left w:val="single" w:sz="4" w:space="0" w:color="000000"/>
              <w:bottom w:val="nil" w:sz="6" w:space="0" w:color="auto"/>
              <w:right w:val="single" w:sz="4" w:space="0" w:color="000000"/>
            </w:tcBorders>
            <w:shd w:val="clear" w:color="auto" w:fill="D4D4D4"/>
          </w:tcPr>
          <w:p>
            <w:pPr/>
          </w:p>
        </w:tc>
        <w:tc>
          <w:tcPr>
            <w:tcW w:w="931" w:type="dxa"/>
            <w:vMerge w:val="restart"/>
            <w:tcBorders>
              <w:top w:val="nil" w:sz="6" w:space="0" w:color="auto"/>
              <w:left w:val="single" w:sz="4" w:space="0" w:color="000000"/>
              <w:right w:val="single" w:sz="4" w:space="0" w:color="000000"/>
            </w:tcBorders>
            <w:shd w:val="clear" w:color="auto" w:fill="D4D4D4"/>
          </w:tcPr>
          <w:p>
            <w:pPr/>
          </w:p>
        </w:tc>
      </w:tr>
      <w:tr>
        <w:trPr>
          <w:trHeight w:val="144" w:hRule="exact"/>
        </w:trPr>
        <w:tc>
          <w:tcPr>
            <w:tcW w:w="1612" w:type="dxa"/>
            <w:vMerge/>
            <w:tcBorders>
              <w:left w:val="single" w:sz="4" w:space="0" w:color="000000"/>
              <w:bottom w:val="single" w:sz="4" w:space="0" w:color="000000"/>
              <w:right w:val="single" w:sz="4" w:space="0" w:color="000000"/>
            </w:tcBorders>
            <w:shd w:val="clear" w:color="auto" w:fill="D4D4D4"/>
          </w:tcPr>
          <w:p>
            <w:pPr/>
          </w:p>
        </w:tc>
        <w:tc>
          <w:tcPr>
            <w:tcW w:w="774" w:type="dxa"/>
            <w:tcBorders>
              <w:top w:val="nil" w:sz="6" w:space="0" w:color="auto"/>
              <w:left w:val="single" w:sz="4" w:space="0" w:color="000000"/>
              <w:bottom w:val="single" w:sz="4" w:space="0" w:color="000000"/>
              <w:right w:val="single" w:sz="4" w:space="0" w:color="000000"/>
            </w:tcBorders>
            <w:shd w:val="clear" w:color="auto" w:fill="D4D4D4"/>
          </w:tcPr>
          <w:p>
            <w:pPr/>
          </w:p>
        </w:tc>
        <w:tc>
          <w:tcPr>
            <w:tcW w:w="761" w:type="dxa"/>
            <w:tcBorders>
              <w:top w:val="nil" w:sz="6" w:space="0" w:color="auto"/>
              <w:left w:val="single" w:sz="4" w:space="0" w:color="000000"/>
              <w:bottom w:val="single" w:sz="4" w:space="0" w:color="000000"/>
              <w:right w:val="single" w:sz="4" w:space="0" w:color="000000"/>
            </w:tcBorders>
            <w:shd w:val="clear" w:color="auto" w:fill="D4D4D4"/>
          </w:tcPr>
          <w:p>
            <w:pPr/>
          </w:p>
        </w:tc>
        <w:tc>
          <w:tcPr>
            <w:tcW w:w="763" w:type="dxa"/>
            <w:tcBorders>
              <w:top w:val="nil" w:sz="6" w:space="0" w:color="auto"/>
              <w:left w:val="single" w:sz="4" w:space="0" w:color="000000"/>
              <w:bottom w:val="single" w:sz="4" w:space="0" w:color="000000"/>
              <w:right w:val="single" w:sz="4" w:space="0" w:color="000000"/>
            </w:tcBorders>
            <w:shd w:val="clear" w:color="auto" w:fill="D4D4D4"/>
          </w:tcPr>
          <w:p>
            <w:pPr/>
          </w:p>
        </w:tc>
        <w:tc>
          <w:tcPr>
            <w:tcW w:w="763" w:type="dxa"/>
            <w:vMerge/>
            <w:tcBorders>
              <w:left w:val="single" w:sz="4" w:space="0" w:color="000000"/>
              <w:bottom w:val="single" w:sz="4" w:space="0" w:color="000000"/>
              <w:right w:val="single" w:sz="4" w:space="0" w:color="000000"/>
            </w:tcBorders>
            <w:shd w:val="clear" w:color="auto" w:fill="D4D4D4"/>
          </w:tcPr>
          <w:p>
            <w:pPr/>
          </w:p>
        </w:tc>
        <w:tc>
          <w:tcPr>
            <w:tcW w:w="787" w:type="dxa"/>
            <w:tcBorders>
              <w:top w:val="nil" w:sz="6" w:space="0" w:color="auto"/>
              <w:left w:val="single" w:sz="4" w:space="0" w:color="000000"/>
              <w:bottom w:val="single" w:sz="4" w:space="0" w:color="000000"/>
              <w:right w:val="single" w:sz="4" w:space="0" w:color="000000"/>
            </w:tcBorders>
            <w:shd w:val="clear" w:color="auto" w:fill="D4D4D4"/>
          </w:tcPr>
          <w:p>
            <w:pPr/>
          </w:p>
        </w:tc>
        <w:tc>
          <w:tcPr>
            <w:tcW w:w="655" w:type="dxa"/>
            <w:tcBorders>
              <w:top w:val="nil" w:sz="6" w:space="0" w:color="auto"/>
              <w:left w:val="single" w:sz="4" w:space="0" w:color="000000"/>
              <w:bottom w:val="single" w:sz="4" w:space="0" w:color="000000"/>
              <w:right w:val="single" w:sz="4" w:space="0" w:color="000000"/>
            </w:tcBorders>
            <w:shd w:val="clear" w:color="auto" w:fill="D4D4D4"/>
          </w:tcPr>
          <w:p>
            <w:pPr/>
          </w:p>
        </w:tc>
        <w:tc>
          <w:tcPr>
            <w:tcW w:w="761" w:type="dxa"/>
            <w:tcBorders>
              <w:top w:val="nil" w:sz="6" w:space="0" w:color="auto"/>
              <w:left w:val="single" w:sz="4" w:space="0" w:color="000000"/>
              <w:bottom w:val="single" w:sz="4" w:space="0" w:color="000000"/>
              <w:right w:val="single" w:sz="4" w:space="0" w:color="000000"/>
            </w:tcBorders>
            <w:shd w:val="clear" w:color="auto" w:fill="D4D4D4"/>
          </w:tcPr>
          <w:p>
            <w:pPr/>
          </w:p>
        </w:tc>
        <w:tc>
          <w:tcPr>
            <w:tcW w:w="814" w:type="dxa"/>
            <w:tcBorders>
              <w:top w:val="nil" w:sz="6" w:space="0" w:color="auto"/>
              <w:left w:val="single" w:sz="4" w:space="0" w:color="000000"/>
              <w:bottom w:val="single" w:sz="4" w:space="0" w:color="000000"/>
              <w:right w:val="single" w:sz="4" w:space="0" w:color="000000"/>
            </w:tcBorders>
            <w:shd w:val="clear" w:color="auto" w:fill="D4D4D4"/>
          </w:tcPr>
          <w:p>
            <w:pPr/>
          </w:p>
        </w:tc>
        <w:tc>
          <w:tcPr>
            <w:tcW w:w="934" w:type="dxa"/>
            <w:tcBorders>
              <w:top w:val="nil" w:sz="6" w:space="0" w:color="auto"/>
              <w:left w:val="single" w:sz="4" w:space="0" w:color="000000"/>
              <w:bottom w:val="single" w:sz="4" w:space="0" w:color="000000"/>
              <w:right w:val="single" w:sz="4" w:space="0" w:color="000000"/>
            </w:tcBorders>
            <w:shd w:val="clear" w:color="auto" w:fill="D4D4D4"/>
          </w:tcPr>
          <w:p>
            <w:pPr/>
          </w:p>
        </w:tc>
        <w:tc>
          <w:tcPr>
            <w:tcW w:w="931" w:type="dxa"/>
            <w:vMerge/>
            <w:tcBorders>
              <w:left w:val="single" w:sz="4" w:space="0" w:color="000000"/>
              <w:bottom w:val="single" w:sz="4" w:space="0" w:color="000000"/>
              <w:right w:val="single" w:sz="4" w:space="0" w:color="000000"/>
            </w:tcBorders>
            <w:shd w:val="clear" w:color="auto" w:fill="D4D4D4"/>
          </w:tcPr>
          <w:p>
            <w:pPr/>
          </w:p>
        </w:tc>
      </w:tr>
      <w:tr>
        <w:trPr>
          <w:trHeight w:val="828" w:hRule="exact"/>
        </w:trPr>
        <w:tc>
          <w:tcPr>
            <w:tcW w:w="16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9" w:lineRule="exact"/>
              <w:ind w:left="12" w:right="0"/>
              <w:jc w:val="left"/>
              <w:rPr>
                <w:rFonts w:ascii="宋体" w:hAnsi="宋体" w:cs="宋体" w:eastAsia="宋体" w:hint="default"/>
                <w:sz w:val="21"/>
                <w:szCs w:val="21"/>
              </w:rPr>
            </w:pPr>
            <w:r>
              <w:rPr>
                <w:rFonts w:ascii="宋体" w:hAnsi="宋体" w:cs="宋体" w:eastAsia="宋体" w:hint="default"/>
                <w:sz w:val="21"/>
                <w:szCs w:val="21"/>
              </w:rPr>
              <w:t>单项金额重大并</w:t>
            </w:r>
          </w:p>
          <w:p>
            <w:pPr>
              <w:pStyle w:val="TableParagraph"/>
              <w:spacing w:line="240" w:lineRule="auto"/>
              <w:ind w:left="12" w:right="114"/>
              <w:jc w:val="left"/>
              <w:rPr>
                <w:rFonts w:ascii="宋体" w:hAnsi="宋体" w:cs="宋体" w:eastAsia="宋体" w:hint="default"/>
                <w:sz w:val="21"/>
                <w:szCs w:val="21"/>
              </w:rPr>
            </w:pPr>
            <w:r>
              <w:rPr>
                <w:rFonts w:ascii="宋体" w:hAnsi="宋体" w:cs="宋体" w:eastAsia="宋体" w:hint="default"/>
                <w:sz w:val="21"/>
                <w:szCs w:val="21"/>
              </w:rPr>
              <w:t>单独计提坏账准</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备的应收账款</w:t>
            </w:r>
          </w:p>
        </w:tc>
        <w:tc>
          <w:tcPr>
            <w:tcW w:w="77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64" w:right="0"/>
              <w:jc w:val="left"/>
              <w:rPr>
                <w:rFonts w:ascii="Times New Roman" w:hAnsi="Times New Roman" w:cs="Times New Roman" w:eastAsia="Times New Roman" w:hint="default"/>
                <w:sz w:val="21"/>
                <w:szCs w:val="21"/>
              </w:rPr>
            </w:pPr>
            <w:r>
              <w:rPr>
                <w:rFonts w:ascii="Times New Roman"/>
                <w:sz w:val="21"/>
              </w:rPr>
              <w:t>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68" w:right="0"/>
              <w:jc w:val="center"/>
              <w:rPr>
                <w:rFonts w:ascii="Times New Roman" w:hAnsi="Times New Roman" w:cs="Times New Roman" w:eastAsia="Times New Roman" w:hint="default"/>
                <w:sz w:val="21"/>
                <w:szCs w:val="21"/>
              </w:rPr>
            </w:pPr>
            <w:r>
              <w:rPr>
                <w:rFonts w:ascii="Times New Roman"/>
                <w:sz w:val="21"/>
              </w:rPr>
              <w:t>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62" w:right="0"/>
              <w:jc w:val="left"/>
              <w:rPr>
                <w:rFonts w:ascii="Times New Roman" w:hAnsi="Times New Roman" w:cs="Times New Roman" w:eastAsia="Times New Roman" w:hint="default"/>
                <w:sz w:val="21"/>
                <w:szCs w:val="21"/>
              </w:rPr>
            </w:pPr>
            <w:r>
              <w:rPr>
                <w:rFonts w:ascii="Times New Roman"/>
                <w:sz w:val="21"/>
              </w:rPr>
              <w:t>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0.00%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0.00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0.00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0.00</w:t>
            </w:r>
          </w:p>
        </w:tc>
      </w:tr>
      <w:tr>
        <w:trPr>
          <w:trHeight w:val="828" w:hRule="exact"/>
        </w:trPr>
        <w:tc>
          <w:tcPr>
            <w:tcW w:w="16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exact"/>
              <w:ind w:left="12" w:right="0"/>
              <w:jc w:val="left"/>
              <w:rPr>
                <w:rFonts w:ascii="宋体" w:hAnsi="宋体" w:cs="宋体" w:eastAsia="宋体" w:hint="default"/>
                <w:sz w:val="21"/>
                <w:szCs w:val="21"/>
              </w:rPr>
            </w:pPr>
            <w:r>
              <w:rPr>
                <w:rFonts w:ascii="宋体" w:hAnsi="宋体" w:cs="宋体" w:eastAsia="宋体" w:hint="default"/>
                <w:sz w:val="21"/>
                <w:szCs w:val="21"/>
              </w:rPr>
              <w:t>按信用风险特征</w:t>
            </w:r>
          </w:p>
          <w:p>
            <w:pPr>
              <w:pStyle w:val="TableParagraph"/>
              <w:spacing w:line="240" w:lineRule="auto"/>
              <w:ind w:left="12" w:right="114"/>
              <w:jc w:val="left"/>
              <w:rPr>
                <w:rFonts w:ascii="宋体" w:hAnsi="宋体" w:cs="宋体" w:eastAsia="宋体" w:hint="default"/>
                <w:sz w:val="21"/>
                <w:szCs w:val="21"/>
              </w:rPr>
            </w:pPr>
            <w:r>
              <w:rPr>
                <w:rFonts w:ascii="宋体" w:hAnsi="宋体" w:cs="宋体" w:eastAsia="宋体" w:hint="default"/>
                <w:sz w:val="21"/>
                <w:szCs w:val="21"/>
              </w:rPr>
              <w:t>组合计提坏账准</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备的应收账款</w:t>
            </w:r>
          </w:p>
        </w:tc>
        <w:tc>
          <w:tcPr>
            <w:tcW w:w="77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61"/>
              <w:ind w:left="100" w:right="0"/>
              <w:jc w:val="left"/>
              <w:rPr>
                <w:rFonts w:ascii="Times New Roman" w:hAnsi="Times New Roman" w:cs="Times New Roman" w:eastAsia="Times New Roman" w:hint="default"/>
                <w:sz w:val="21"/>
                <w:szCs w:val="21"/>
              </w:rPr>
            </w:pPr>
            <w:r>
              <w:rPr>
                <w:rFonts w:ascii="Times New Roman"/>
                <w:sz w:val="21"/>
              </w:rPr>
              <w:t>17,245,</w:t>
            </w:r>
          </w:p>
          <w:p>
            <w:pPr>
              <w:pStyle w:val="TableParagraph"/>
              <w:spacing w:line="240" w:lineRule="auto" w:before="1"/>
              <w:ind w:left="153" w:right="0"/>
              <w:jc w:val="left"/>
              <w:rPr>
                <w:rFonts w:ascii="Times New Roman" w:hAnsi="Times New Roman" w:cs="Times New Roman" w:eastAsia="Times New Roman" w:hint="default"/>
                <w:sz w:val="21"/>
                <w:szCs w:val="21"/>
              </w:rPr>
            </w:pPr>
            <w:r>
              <w:rPr>
                <w:rFonts w:ascii="Times New Roman"/>
                <w:sz w:val="21"/>
              </w:rPr>
              <w:t>488.79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3" w:right="0"/>
              <w:jc w:val="center"/>
              <w:rPr>
                <w:rFonts w:ascii="Times New Roman" w:hAnsi="Times New Roman" w:cs="Times New Roman" w:eastAsia="Times New Roman" w:hint="default"/>
                <w:sz w:val="21"/>
                <w:szCs w:val="21"/>
              </w:rPr>
            </w:pPr>
            <w:r>
              <w:rPr>
                <w:rFonts w:ascii="Times New Roman"/>
                <w:sz w:val="21"/>
              </w:rPr>
              <w:t>99.93%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47" w:right="0"/>
              <w:jc w:val="left"/>
              <w:rPr>
                <w:rFonts w:ascii="Times New Roman" w:hAnsi="Times New Roman" w:cs="Times New Roman" w:eastAsia="Times New Roman" w:hint="default"/>
                <w:sz w:val="21"/>
                <w:szCs w:val="21"/>
              </w:rPr>
            </w:pPr>
            <w:r>
              <w:rPr>
                <w:rFonts w:ascii="Times New Roman"/>
                <w:sz w:val="21"/>
              </w:rPr>
              <w:t>496,079</w:t>
            </w:r>
          </w:p>
          <w:p>
            <w:pPr>
              <w:pStyle w:val="TableParagraph"/>
              <w:spacing w:line="240" w:lineRule="auto" w:before="1"/>
              <w:ind w:left="467" w:right="0"/>
              <w:jc w:val="left"/>
              <w:rPr>
                <w:rFonts w:ascii="Times New Roman" w:hAnsi="Times New Roman" w:cs="Times New Roman" w:eastAsia="Times New Roman" w:hint="default"/>
                <w:sz w:val="21"/>
                <w:szCs w:val="21"/>
              </w:rPr>
            </w:pPr>
            <w:r>
              <w:rPr>
                <w:rFonts w:ascii="Times New Roman"/>
                <w:sz w:val="21"/>
              </w:rPr>
              <w:t>.91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2.88%</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24" w:right="0"/>
              <w:jc w:val="left"/>
              <w:rPr>
                <w:rFonts w:ascii="Times New Roman" w:hAnsi="Times New Roman" w:cs="Times New Roman" w:eastAsia="Times New Roman" w:hint="default"/>
                <w:sz w:val="21"/>
                <w:szCs w:val="21"/>
              </w:rPr>
            </w:pPr>
            <w:r>
              <w:rPr>
                <w:rFonts w:ascii="Times New Roman"/>
                <w:sz w:val="21"/>
              </w:rPr>
              <w:t>16,749,</w:t>
            </w:r>
          </w:p>
          <w:p>
            <w:pPr>
              <w:pStyle w:val="TableParagraph"/>
              <w:spacing w:line="240" w:lineRule="auto" w:before="1"/>
              <w:ind w:left="177" w:right="0"/>
              <w:jc w:val="left"/>
              <w:rPr>
                <w:rFonts w:ascii="Times New Roman" w:hAnsi="Times New Roman" w:cs="Times New Roman" w:eastAsia="Times New Roman" w:hint="default"/>
                <w:sz w:val="21"/>
                <w:szCs w:val="21"/>
              </w:rPr>
            </w:pPr>
            <w:r>
              <w:rPr>
                <w:rFonts w:ascii="Times New Roman"/>
                <w:sz w:val="21"/>
              </w:rPr>
              <w:t>408.88</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7"/>
              <w:jc w:val="right"/>
              <w:rPr>
                <w:rFonts w:ascii="Times New Roman" w:hAnsi="Times New Roman" w:cs="Times New Roman" w:eastAsia="Times New Roman" w:hint="default"/>
                <w:sz w:val="21"/>
                <w:szCs w:val="21"/>
              </w:rPr>
            </w:pPr>
            <w:r>
              <w:rPr>
                <w:rFonts w:ascii="Times New Roman"/>
                <w:sz w:val="21"/>
              </w:rPr>
              <w:t>19,099</w:t>
            </w:r>
          </w:p>
          <w:p>
            <w:pPr>
              <w:pStyle w:val="TableParagraph"/>
              <w:spacing w:line="241" w:lineRule="exact" w:before="1"/>
              <w:ind w:right="17"/>
              <w:jc w:val="right"/>
              <w:rPr>
                <w:rFonts w:ascii="Times New Roman" w:hAnsi="Times New Roman" w:cs="Times New Roman" w:eastAsia="Times New Roman" w:hint="default"/>
                <w:sz w:val="21"/>
                <w:szCs w:val="21"/>
              </w:rPr>
            </w:pPr>
            <w:r>
              <w:rPr>
                <w:rFonts w:ascii="Times New Roman"/>
                <w:sz w:val="21"/>
              </w:rPr>
              <w:t>,980.0</w:t>
            </w:r>
          </w:p>
          <w:p>
            <w:pPr>
              <w:pStyle w:val="TableParagraph"/>
              <w:spacing w:line="241" w:lineRule="exact"/>
              <w:ind w:right="19"/>
              <w:jc w:val="right"/>
              <w:rPr>
                <w:rFonts w:ascii="Times New Roman" w:hAnsi="Times New Roman" w:cs="Times New Roman" w:eastAsia="Times New Roman" w:hint="default"/>
                <w:sz w:val="21"/>
                <w:szCs w:val="21"/>
              </w:rPr>
            </w:pPr>
            <w:r>
              <w:rPr>
                <w:rFonts w:ascii="Times New Roman"/>
                <w:w w:val="100"/>
                <w:sz w:val="21"/>
              </w:rPr>
              <w:t>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7"/>
              <w:jc w:val="right"/>
              <w:rPr>
                <w:rFonts w:ascii="Times New Roman" w:hAnsi="Times New Roman" w:cs="Times New Roman" w:eastAsia="Times New Roman" w:hint="default"/>
                <w:sz w:val="21"/>
                <w:szCs w:val="21"/>
              </w:rPr>
            </w:pPr>
            <w:r>
              <w:rPr>
                <w:rFonts w:ascii="Times New Roman"/>
                <w:sz w:val="21"/>
              </w:rPr>
              <w:t>100.00</w:t>
            </w:r>
          </w:p>
          <w:p>
            <w:pPr>
              <w:pStyle w:val="TableParagraph"/>
              <w:spacing w:line="240" w:lineRule="auto" w:before="1"/>
              <w:ind w:right="18"/>
              <w:jc w:val="right"/>
              <w:rPr>
                <w:rFonts w:ascii="Times New Roman" w:hAnsi="Times New Roman" w:cs="Times New Roman" w:eastAsia="Times New Roman" w:hint="default"/>
                <w:sz w:val="21"/>
                <w:szCs w:val="21"/>
              </w:rPr>
            </w:pPr>
            <w:r>
              <w:rPr>
                <w:rFonts w:ascii="Times New Roman"/>
                <w:w w:val="100"/>
                <w:sz w:val="21"/>
              </w:rPr>
              <w:t>%</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7"/>
              <w:jc w:val="right"/>
              <w:rPr>
                <w:rFonts w:ascii="Times New Roman" w:hAnsi="Times New Roman" w:cs="Times New Roman" w:eastAsia="Times New Roman" w:hint="default"/>
                <w:sz w:val="21"/>
                <w:szCs w:val="21"/>
              </w:rPr>
            </w:pPr>
            <w:r>
              <w:rPr>
                <w:rFonts w:ascii="Times New Roman"/>
                <w:spacing w:val="-1"/>
                <w:sz w:val="21"/>
              </w:rPr>
              <w:t>300,084.</w:t>
            </w:r>
          </w:p>
          <w:p>
            <w:pPr>
              <w:pStyle w:val="TableParagraph"/>
              <w:spacing w:line="240" w:lineRule="auto" w:before="1"/>
              <w:ind w:right="19"/>
              <w:jc w:val="right"/>
              <w:rPr>
                <w:rFonts w:ascii="Times New Roman" w:hAnsi="Times New Roman" w:cs="Times New Roman" w:eastAsia="Times New Roman" w:hint="default"/>
                <w:sz w:val="21"/>
                <w:szCs w:val="21"/>
              </w:rPr>
            </w:pPr>
            <w:r>
              <w:rPr>
                <w:rFonts w:ascii="Times New Roman"/>
                <w:sz w:val="21"/>
              </w:rPr>
              <w:t>16</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1.57%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59" w:right="0"/>
              <w:jc w:val="left"/>
              <w:rPr>
                <w:rFonts w:ascii="Times New Roman" w:hAnsi="Times New Roman" w:cs="Times New Roman" w:eastAsia="Times New Roman" w:hint="default"/>
                <w:sz w:val="21"/>
                <w:szCs w:val="21"/>
              </w:rPr>
            </w:pPr>
            <w:r>
              <w:rPr>
                <w:rFonts w:ascii="Times New Roman"/>
                <w:sz w:val="21"/>
              </w:rPr>
              <w:t>18,799,89</w:t>
            </w:r>
          </w:p>
          <w:p>
            <w:pPr>
              <w:pStyle w:val="TableParagraph"/>
              <w:spacing w:line="240" w:lineRule="auto" w:before="1"/>
              <w:ind w:left="532" w:right="0"/>
              <w:jc w:val="left"/>
              <w:rPr>
                <w:rFonts w:ascii="Times New Roman" w:hAnsi="Times New Roman" w:cs="Times New Roman" w:eastAsia="Times New Roman" w:hint="default"/>
                <w:sz w:val="21"/>
                <w:szCs w:val="21"/>
              </w:rPr>
            </w:pPr>
            <w:r>
              <w:rPr>
                <w:rFonts w:ascii="Times New Roman"/>
                <w:sz w:val="21"/>
              </w:rPr>
              <w:t>5.91</w:t>
            </w:r>
          </w:p>
        </w:tc>
      </w:tr>
      <w:tr>
        <w:trPr>
          <w:trHeight w:val="830" w:hRule="exact"/>
        </w:trPr>
        <w:tc>
          <w:tcPr>
            <w:tcW w:w="16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单项金额不重大</w:t>
            </w:r>
          </w:p>
          <w:p>
            <w:pPr>
              <w:pStyle w:val="TableParagraph"/>
              <w:spacing w:line="240" w:lineRule="auto"/>
              <w:ind w:left="12" w:right="114"/>
              <w:jc w:val="left"/>
              <w:rPr>
                <w:rFonts w:ascii="宋体" w:hAnsi="宋体" w:cs="宋体" w:eastAsia="宋体" w:hint="default"/>
                <w:sz w:val="21"/>
                <w:szCs w:val="21"/>
              </w:rPr>
            </w:pPr>
            <w:r>
              <w:rPr>
                <w:rFonts w:ascii="宋体" w:hAnsi="宋体" w:cs="宋体" w:eastAsia="宋体" w:hint="default"/>
                <w:sz w:val="21"/>
                <w:szCs w:val="21"/>
              </w:rPr>
              <w:t>但单独计提坏账</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准备的应收账款</w:t>
            </w:r>
          </w:p>
        </w:tc>
        <w:tc>
          <w:tcPr>
            <w:tcW w:w="774" w:type="dxa"/>
            <w:tcBorders>
              <w:top w:val="single" w:sz="4" w:space="0" w:color="000000"/>
              <w:left w:val="single" w:sz="12" w:space="0" w:color="D4D4D4"/>
              <w:bottom w:val="single" w:sz="4" w:space="0" w:color="000000"/>
              <w:right w:val="single" w:sz="4" w:space="0" w:color="000000"/>
            </w:tcBorders>
          </w:tcPr>
          <w:p>
            <w:pPr>
              <w:pStyle w:val="TableParagraph"/>
              <w:spacing w:line="241" w:lineRule="exact" w:before="164"/>
              <w:ind w:right="17"/>
              <w:jc w:val="right"/>
              <w:rPr>
                <w:rFonts w:ascii="Times New Roman" w:hAnsi="Times New Roman" w:cs="Times New Roman" w:eastAsia="Times New Roman" w:hint="default"/>
                <w:sz w:val="21"/>
                <w:szCs w:val="21"/>
              </w:rPr>
            </w:pPr>
            <w:r>
              <w:rPr>
                <w:rFonts w:ascii="Times New Roman"/>
                <w:sz w:val="21"/>
              </w:rPr>
              <w:t>12,756.</w:t>
            </w:r>
          </w:p>
          <w:p>
            <w:pPr>
              <w:pStyle w:val="TableParagraph"/>
              <w:spacing w:line="241" w:lineRule="exact"/>
              <w:ind w:right="19"/>
              <w:jc w:val="right"/>
              <w:rPr>
                <w:rFonts w:ascii="Times New Roman" w:hAnsi="Times New Roman" w:cs="Times New Roman" w:eastAsia="Times New Roman" w:hint="default"/>
                <w:sz w:val="21"/>
                <w:szCs w:val="21"/>
              </w:rPr>
            </w:pPr>
            <w:r>
              <w:rPr>
                <w:rFonts w:ascii="Times New Roman"/>
                <w:sz w:val="21"/>
              </w:rPr>
              <w:t>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68" w:right="0"/>
              <w:jc w:val="center"/>
              <w:rPr>
                <w:rFonts w:ascii="Times New Roman" w:hAnsi="Times New Roman" w:cs="Times New Roman" w:eastAsia="Times New Roman" w:hint="default"/>
                <w:sz w:val="21"/>
                <w:szCs w:val="21"/>
              </w:rPr>
            </w:pPr>
            <w:r>
              <w:rPr>
                <w:rFonts w:ascii="Times New Roman"/>
                <w:sz w:val="21"/>
              </w:rPr>
              <w:t>0.07%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64"/>
              <w:ind w:right="19"/>
              <w:jc w:val="right"/>
              <w:rPr>
                <w:rFonts w:ascii="Times New Roman" w:hAnsi="Times New Roman" w:cs="Times New Roman" w:eastAsia="Times New Roman" w:hint="default"/>
                <w:sz w:val="21"/>
                <w:szCs w:val="21"/>
              </w:rPr>
            </w:pPr>
            <w:r>
              <w:rPr>
                <w:rFonts w:ascii="Times New Roman"/>
                <w:sz w:val="21"/>
              </w:rPr>
              <w:t>12,756.</w:t>
            </w:r>
          </w:p>
          <w:p>
            <w:pPr>
              <w:pStyle w:val="TableParagraph"/>
              <w:spacing w:line="241" w:lineRule="exact"/>
              <w:ind w:right="23"/>
              <w:jc w:val="right"/>
              <w:rPr>
                <w:rFonts w:ascii="Times New Roman" w:hAnsi="Times New Roman" w:cs="Times New Roman" w:eastAsia="Times New Roman" w:hint="default"/>
                <w:sz w:val="21"/>
                <w:szCs w:val="21"/>
              </w:rPr>
            </w:pPr>
            <w:r>
              <w:rPr>
                <w:rFonts w:ascii="Times New Roman"/>
                <w:sz w:val="21"/>
              </w:rPr>
              <w:t>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64"/>
              <w:ind w:right="17"/>
              <w:jc w:val="right"/>
              <w:rPr>
                <w:rFonts w:ascii="Times New Roman" w:hAnsi="Times New Roman" w:cs="Times New Roman" w:eastAsia="Times New Roman" w:hint="default"/>
                <w:sz w:val="21"/>
                <w:szCs w:val="21"/>
              </w:rPr>
            </w:pPr>
            <w:r>
              <w:rPr>
                <w:rFonts w:ascii="Times New Roman"/>
                <w:sz w:val="21"/>
              </w:rPr>
              <w:t>100.00</w:t>
            </w:r>
          </w:p>
          <w:p>
            <w:pPr>
              <w:pStyle w:val="TableParagraph"/>
              <w:spacing w:line="241" w:lineRule="exact"/>
              <w:ind w:right="18"/>
              <w:jc w:val="right"/>
              <w:rPr>
                <w:rFonts w:ascii="Times New Roman" w:hAnsi="Times New Roman" w:cs="Times New Roman" w:eastAsia="Times New Roman" w:hint="default"/>
                <w:sz w:val="21"/>
                <w:szCs w:val="21"/>
              </w:rPr>
            </w:pPr>
            <w:r>
              <w:rPr>
                <w:rFonts w:ascii="Times New Roman"/>
                <w:w w:val="100"/>
                <w:sz w:val="21"/>
              </w:rPr>
              <w:t>%</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0.00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0.00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0.00</w:t>
            </w:r>
          </w:p>
        </w:tc>
      </w:tr>
      <w:tr>
        <w:trPr>
          <w:trHeight w:val="230" w:hRule="exact"/>
        </w:trPr>
        <w:tc>
          <w:tcPr>
            <w:tcW w:w="1612" w:type="dxa"/>
            <w:tcBorders>
              <w:top w:val="single" w:sz="4" w:space="0" w:color="000000"/>
              <w:left w:val="single" w:sz="4" w:space="0" w:color="000000"/>
              <w:bottom w:val="nil" w:sz="6" w:space="0" w:color="auto"/>
              <w:right w:val="single" w:sz="4" w:space="0" w:color="000000"/>
            </w:tcBorders>
            <w:shd w:val="clear" w:color="auto" w:fill="D4D4D4"/>
          </w:tcPr>
          <w:p>
            <w:pPr/>
          </w:p>
        </w:tc>
        <w:tc>
          <w:tcPr>
            <w:tcW w:w="774" w:type="dxa"/>
            <w:vMerge w:val="restart"/>
            <w:tcBorders>
              <w:top w:val="single" w:sz="4" w:space="0" w:color="000000"/>
              <w:left w:val="single" w:sz="9" w:space="0" w:color="D4D4D4"/>
              <w:right w:val="single" w:sz="4" w:space="0" w:color="000000"/>
            </w:tcBorders>
          </w:tcPr>
          <w:p>
            <w:pPr>
              <w:pStyle w:val="TableParagraph"/>
              <w:spacing w:line="240" w:lineRule="auto" w:before="113"/>
              <w:ind w:left="105" w:right="0"/>
              <w:jc w:val="left"/>
              <w:rPr>
                <w:rFonts w:ascii="Times New Roman" w:hAnsi="Times New Roman" w:cs="Times New Roman" w:eastAsia="Times New Roman" w:hint="default"/>
                <w:sz w:val="21"/>
                <w:szCs w:val="21"/>
              </w:rPr>
            </w:pPr>
            <w:r>
              <w:rPr>
                <w:rFonts w:ascii="Times New Roman"/>
                <w:sz w:val="21"/>
              </w:rPr>
              <w:t>17,258,</w:t>
            </w:r>
          </w:p>
          <w:p>
            <w:pPr>
              <w:pStyle w:val="TableParagraph"/>
              <w:spacing w:line="240" w:lineRule="auto" w:before="1"/>
              <w:ind w:left="158" w:right="0"/>
              <w:jc w:val="left"/>
              <w:rPr>
                <w:rFonts w:ascii="Times New Roman" w:hAnsi="Times New Roman" w:cs="Times New Roman" w:eastAsia="Times New Roman" w:hint="default"/>
                <w:sz w:val="21"/>
                <w:szCs w:val="21"/>
              </w:rPr>
            </w:pPr>
            <w:r>
              <w:rPr>
                <w:rFonts w:ascii="Times New Roman"/>
                <w:sz w:val="21"/>
              </w:rPr>
              <w:t>244.79</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13"/>
              <w:ind w:right="17"/>
              <w:jc w:val="right"/>
              <w:rPr>
                <w:rFonts w:ascii="Times New Roman" w:hAnsi="Times New Roman" w:cs="Times New Roman" w:eastAsia="Times New Roman" w:hint="default"/>
                <w:sz w:val="21"/>
                <w:szCs w:val="21"/>
              </w:rPr>
            </w:pPr>
            <w:r>
              <w:rPr>
                <w:rFonts w:ascii="Times New Roman"/>
                <w:sz w:val="21"/>
              </w:rPr>
              <w:t>100.00</w:t>
            </w:r>
          </w:p>
          <w:p>
            <w:pPr>
              <w:pStyle w:val="TableParagraph"/>
              <w:spacing w:line="240" w:lineRule="auto" w:before="1"/>
              <w:ind w:right="18"/>
              <w:jc w:val="right"/>
              <w:rPr>
                <w:rFonts w:ascii="Times New Roman" w:hAnsi="Times New Roman" w:cs="Times New Roman" w:eastAsia="Times New Roman" w:hint="default"/>
                <w:sz w:val="21"/>
                <w:szCs w:val="21"/>
              </w:rPr>
            </w:pPr>
            <w:r>
              <w:rPr>
                <w:rFonts w:ascii="Times New Roman"/>
                <w:w w:val="100"/>
                <w:sz w:val="21"/>
              </w:rPr>
              <w:t>%</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13"/>
              <w:ind w:left="47" w:right="0"/>
              <w:jc w:val="left"/>
              <w:rPr>
                <w:rFonts w:ascii="Times New Roman" w:hAnsi="Times New Roman" w:cs="Times New Roman" w:eastAsia="Times New Roman" w:hint="default"/>
                <w:sz w:val="21"/>
                <w:szCs w:val="21"/>
              </w:rPr>
            </w:pPr>
            <w:r>
              <w:rPr>
                <w:rFonts w:ascii="Times New Roman"/>
                <w:sz w:val="21"/>
              </w:rPr>
              <w:t>508,835</w:t>
            </w:r>
          </w:p>
          <w:p>
            <w:pPr>
              <w:pStyle w:val="TableParagraph"/>
              <w:spacing w:line="240" w:lineRule="auto" w:before="1"/>
              <w:ind w:left="467" w:right="0"/>
              <w:jc w:val="left"/>
              <w:rPr>
                <w:rFonts w:ascii="Times New Roman" w:hAnsi="Times New Roman" w:cs="Times New Roman" w:eastAsia="Times New Roman" w:hint="default"/>
                <w:sz w:val="21"/>
                <w:szCs w:val="21"/>
              </w:rPr>
            </w:pPr>
            <w:r>
              <w:rPr>
                <w:rFonts w:ascii="Times New Roman"/>
                <w:sz w:val="21"/>
              </w:rPr>
              <w:t>.91</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189" w:right="0"/>
              <w:jc w:val="left"/>
              <w:rPr>
                <w:rFonts w:ascii="Times New Roman" w:hAnsi="Times New Roman" w:cs="Times New Roman" w:eastAsia="Times New Roman" w:hint="default"/>
                <w:sz w:val="21"/>
                <w:szCs w:val="21"/>
              </w:rPr>
            </w:pPr>
            <w:r>
              <w:rPr>
                <w:rFonts w:ascii="Times New Roman"/>
                <w:sz w:val="21"/>
              </w:rPr>
              <w:t>2.95%</w:t>
            </w:r>
          </w:p>
        </w:tc>
        <w:tc>
          <w:tcPr>
            <w:tcW w:w="787" w:type="dxa"/>
            <w:vMerge w:val="restart"/>
            <w:tcBorders>
              <w:top w:val="single" w:sz="4" w:space="0" w:color="000000"/>
              <w:left w:val="single" w:sz="4" w:space="0" w:color="000000"/>
              <w:right w:val="single" w:sz="4" w:space="0" w:color="000000"/>
            </w:tcBorders>
          </w:tcPr>
          <w:p>
            <w:pPr>
              <w:pStyle w:val="TableParagraph"/>
              <w:spacing w:line="240" w:lineRule="auto" w:before="113"/>
              <w:ind w:left="124" w:right="0"/>
              <w:jc w:val="left"/>
              <w:rPr>
                <w:rFonts w:ascii="Times New Roman" w:hAnsi="Times New Roman" w:cs="Times New Roman" w:eastAsia="Times New Roman" w:hint="default"/>
                <w:sz w:val="21"/>
                <w:szCs w:val="21"/>
              </w:rPr>
            </w:pPr>
            <w:r>
              <w:rPr>
                <w:rFonts w:ascii="Times New Roman"/>
                <w:sz w:val="21"/>
              </w:rPr>
              <w:t>16,749,</w:t>
            </w:r>
          </w:p>
          <w:p>
            <w:pPr>
              <w:pStyle w:val="TableParagraph"/>
              <w:spacing w:line="240" w:lineRule="auto" w:before="1"/>
              <w:ind w:left="177" w:right="0"/>
              <w:jc w:val="left"/>
              <w:rPr>
                <w:rFonts w:ascii="Times New Roman" w:hAnsi="Times New Roman" w:cs="Times New Roman" w:eastAsia="Times New Roman" w:hint="default"/>
                <w:sz w:val="21"/>
                <w:szCs w:val="21"/>
              </w:rPr>
            </w:pPr>
            <w:r>
              <w:rPr>
                <w:rFonts w:ascii="Times New Roman"/>
                <w:sz w:val="21"/>
              </w:rPr>
              <w:t>408.88</w:t>
            </w:r>
          </w:p>
        </w:tc>
        <w:tc>
          <w:tcPr>
            <w:tcW w:w="655" w:type="dxa"/>
            <w:vMerge w:val="restart"/>
            <w:tcBorders>
              <w:top w:val="single" w:sz="4" w:space="0" w:color="000000"/>
              <w:left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z w:val="21"/>
              </w:rPr>
              <w:t>19,099</w:t>
            </w:r>
          </w:p>
          <w:p>
            <w:pPr>
              <w:pStyle w:val="TableParagraph"/>
              <w:spacing w:line="241" w:lineRule="exact" w:before="1"/>
              <w:ind w:right="17"/>
              <w:jc w:val="right"/>
              <w:rPr>
                <w:rFonts w:ascii="Times New Roman" w:hAnsi="Times New Roman" w:cs="Times New Roman" w:eastAsia="Times New Roman" w:hint="default"/>
                <w:sz w:val="21"/>
                <w:szCs w:val="21"/>
              </w:rPr>
            </w:pPr>
            <w:r>
              <w:rPr>
                <w:rFonts w:ascii="Times New Roman"/>
                <w:sz w:val="21"/>
              </w:rPr>
              <w:t>,980.0</w:t>
            </w:r>
          </w:p>
          <w:p>
            <w:pPr>
              <w:pStyle w:val="TableParagraph"/>
              <w:spacing w:line="241" w:lineRule="exact"/>
              <w:ind w:right="19"/>
              <w:jc w:val="right"/>
              <w:rPr>
                <w:rFonts w:ascii="Times New Roman" w:hAnsi="Times New Roman" w:cs="Times New Roman" w:eastAsia="Times New Roman" w:hint="default"/>
                <w:sz w:val="21"/>
                <w:szCs w:val="21"/>
              </w:rPr>
            </w:pPr>
            <w:r>
              <w:rPr>
                <w:rFonts w:ascii="Times New Roman"/>
                <w:w w:val="100"/>
                <w:sz w:val="21"/>
              </w:rPr>
              <w:t>7</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13"/>
              <w:ind w:right="17"/>
              <w:jc w:val="right"/>
              <w:rPr>
                <w:rFonts w:ascii="Times New Roman" w:hAnsi="Times New Roman" w:cs="Times New Roman" w:eastAsia="Times New Roman" w:hint="default"/>
                <w:sz w:val="21"/>
                <w:szCs w:val="21"/>
              </w:rPr>
            </w:pPr>
            <w:r>
              <w:rPr>
                <w:rFonts w:ascii="Times New Roman"/>
                <w:sz w:val="21"/>
              </w:rPr>
              <w:t>100.00</w:t>
            </w:r>
          </w:p>
          <w:p>
            <w:pPr>
              <w:pStyle w:val="TableParagraph"/>
              <w:spacing w:line="240" w:lineRule="auto" w:before="1"/>
              <w:ind w:right="18"/>
              <w:jc w:val="right"/>
              <w:rPr>
                <w:rFonts w:ascii="Times New Roman" w:hAnsi="Times New Roman" w:cs="Times New Roman" w:eastAsia="Times New Roman" w:hint="default"/>
                <w:sz w:val="21"/>
                <w:szCs w:val="21"/>
              </w:rPr>
            </w:pPr>
            <w:r>
              <w:rPr>
                <w:rFonts w:ascii="Times New Roman"/>
                <w:w w:val="100"/>
                <w:sz w:val="21"/>
              </w:rPr>
              <w:t>%</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13"/>
              <w:ind w:right="17"/>
              <w:jc w:val="right"/>
              <w:rPr>
                <w:rFonts w:ascii="Times New Roman" w:hAnsi="Times New Roman" w:cs="Times New Roman" w:eastAsia="Times New Roman" w:hint="default"/>
                <w:sz w:val="21"/>
                <w:szCs w:val="21"/>
              </w:rPr>
            </w:pPr>
            <w:r>
              <w:rPr>
                <w:rFonts w:ascii="Times New Roman"/>
                <w:spacing w:val="-1"/>
                <w:sz w:val="21"/>
              </w:rPr>
              <w:t>300,084.</w:t>
            </w:r>
          </w:p>
          <w:p>
            <w:pPr>
              <w:pStyle w:val="TableParagraph"/>
              <w:spacing w:line="240" w:lineRule="auto" w:before="1"/>
              <w:ind w:right="19"/>
              <w:jc w:val="right"/>
              <w:rPr>
                <w:rFonts w:ascii="Times New Roman" w:hAnsi="Times New Roman" w:cs="Times New Roman" w:eastAsia="Times New Roman" w:hint="default"/>
                <w:sz w:val="21"/>
                <w:szCs w:val="21"/>
              </w:rPr>
            </w:pPr>
            <w:r>
              <w:rPr>
                <w:rFonts w:ascii="Times New Roman"/>
                <w:sz w:val="21"/>
              </w:rPr>
              <w:t>16</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357" w:right="0"/>
              <w:jc w:val="left"/>
              <w:rPr>
                <w:rFonts w:ascii="Times New Roman" w:hAnsi="Times New Roman" w:cs="Times New Roman" w:eastAsia="Times New Roman" w:hint="default"/>
                <w:sz w:val="21"/>
                <w:szCs w:val="21"/>
              </w:rPr>
            </w:pPr>
            <w:r>
              <w:rPr>
                <w:rFonts w:ascii="Times New Roman"/>
                <w:sz w:val="21"/>
              </w:rPr>
              <w:t>1.57%</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113"/>
              <w:ind w:left="59" w:right="0"/>
              <w:jc w:val="left"/>
              <w:rPr>
                <w:rFonts w:ascii="Times New Roman" w:hAnsi="Times New Roman" w:cs="Times New Roman" w:eastAsia="Times New Roman" w:hint="default"/>
                <w:sz w:val="21"/>
                <w:szCs w:val="21"/>
              </w:rPr>
            </w:pPr>
            <w:r>
              <w:rPr>
                <w:rFonts w:ascii="Times New Roman"/>
                <w:sz w:val="21"/>
              </w:rPr>
              <w:t>18,799,89</w:t>
            </w:r>
          </w:p>
          <w:p>
            <w:pPr>
              <w:pStyle w:val="TableParagraph"/>
              <w:spacing w:line="240" w:lineRule="auto" w:before="1"/>
              <w:ind w:left="532" w:right="0"/>
              <w:jc w:val="left"/>
              <w:rPr>
                <w:rFonts w:ascii="Times New Roman" w:hAnsi="Times New Roman" w:cs="Times New Roman" w:eastAsia="Times New Roman" w:hint="default"/>
                <w:sz w:val="21"/>
                <w:szCs w:val="21"/>
              </w:rPr>
            </w:pPr>
            <w:r>
              <w:rPr>
                <w:rFonts w:ascii="Times New Roman"/>
                <w:sz w:val="21"/>
              </w:rPr>
              <w:t>5.91</w:t>
            </w:r>
          </w:p>
        </w:tc>
      </w:tr>
      <w:tr>
        <w:trPr>
          <w:trHeight w:val="274" w:hRule="exact"/>
        </w:trPr>
        <w:tc>
          <w:tcPr>
            <w:tcW w:w="1612"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74" w:type="dxa"/>
            <w:vMerge/>
            <w:tcBorders>
              <w:left w:val="single" w:sz="9" w:space="0" w:color="D4D4D4"/>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7"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230" w:hRule="exact"/>
        </w:trPr>
        <w:tc>
          <w:tcPr>
            <w:tcW w:w="1612" w:type="dxa"/>
            <w:tcBorders>
              <w:top w:val="nil" w:sz="6" w:space="0" w:color="auto"/>
              <w:left w:val="single" w:sz="4" w:space="0" w:color="000000"/>
              <w:bottom w:val="single" w:sz="4" w:space="0" w:color="000000"/>
              <w:right w:val="single" w:sz="4" w:space="0" w:color="000000"/>
            </w:tcBorders>
            <w:shd w:val="clear" w:color="auto" w:fill="D4D4D4"/>
          </w:tcPr>
          <w:p>
            <w:pPr/>
          </w:p>
        </w:tc>
        <w:tc>
          <w:tcPr>
            <w:tcW w:w="774" w:type="dxa"/>
            <w:vMerge/>
            <w:tcBorders>
              <w:left w:val="single" w:sz="9" w:space="0" w:color="D4D4D4"/>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880" w:footer="979" w:top="1060" w:bottom="1160" w:left="980" w:right="980"/>
        </w:sectPr>
      </w:pPr>
    </w:p>
    <w:p>
      <w:pPr>
        <w:pStyle w:val="BodyText"/>
        <w:spacing w:line="262" w:lineRule="exact"/>
        <w:ind w:right="0"/>
        <w:jc w:val="left"/>
      </w:pPr>
      <w:r>
        <w:rPr>
          <w:spacing w:val="-2"/>
        </w:rPr>
        <w:t>期末单项金额重大并单项计提坏账准备的应收账款：</w:t>
      </w:r>
    </w:p>
    <w:p>
      <w:pPr>
        <w:pStyle w:val="BodyText"/>
        <w:spacing w:line="256" w:lineRule="auto" w:before="3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组合中，按账龄分析法计提坏账准备的应收账款：</w:t>
      </w:r>
    </w:p>
    <w:p>
      <w:pPr>
        <w:pStyle w:val="BodyText"/>
        <w:spacing w:line="240" w:lineRule="auto" w:before="2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spacing w:line="240" w:lineRule="auto"/>
        <w:ind w:right="0"/>
        <w:jc w:val="left"/>
      </w:pPr>
      <w:r>
        <w:rPr/>
        <w:t>单位：</w:t>
      </w:r>
      <w:r>
        <w:rPr>
          <w:spacing w:val="2"/>
        </w:rPr>
        <w:t> </w:t>
      </w:r>
      <w:r>
        <w:rPr/>
        <w:t>元</w:t>
      </w:r>
    </w:p>
    <w:p>
      <w:pPr>
        <w:spacing w:after="0" w:line="240" w:lineRule="auto"/>
        <w:jc w:val="left"/>
        <w:sectPr>
          <w:type w:val="continuous"/>
          <w:pgSz w:w="11910" w:h="16840"/>
          <w:pgMar w:top="1060" w:bottom="1180" w:left="980" w:right="980"/>
          <w:cols w:num="2" w:equalWidth="0">
            <w:col w:w="4988" w:space="3705"/>
            <w:col w:w="1257"/>
          </w:cols>
        </w:sectPr>
      </w:pPr>
    </w:p>
    <w:p>
      <w:pPr>
        <w:spacing w:line="240" w:lineRule="auto" w:before="11"/>
        <w:rPr>
          <w:rFonts w:ascii="宋体" w:hAnsi="宋体" w:cs="宋体" w:eastAsia="宋体" w:hint="default"/>
          <w:sz w:val="3"/>
          <w:szCs w:val="3"/>
        </w:rPr>
      </w:pPr>
    </w:p>
    <w:tbl>
      <w:tblPr>
        <w:tblW w:w="0" w:type="auto"/>
        <w:jc w:val="left"/>
        <w:tblInd w:w="160" w:type="dxa"/>
        <w:tblLayout w:type="fixed"/>
        <w:tblCellMar>
          <w:top w:w="0" w:type="dxa"/>
          <w:left w:w="0" w:type="dxa"/>
          <w:bottom w:w="0" w:type="dxa"/>
          <w:right w:w="0" w:type="dxa"/>
        </w:tblCellMar>
        <w:tblLook w:val="01E0"/>
      </w:tblPr>
      <w:tblGrid>
        <w:gridCol w:w="2375"/>
        <w:gridCol w:w="2397"/>
        <w:gridCol w:w="2393"/>
        <w:gridCol w:w="2392"/>
      </w:tblGrid>
      <w:tr>
        <w:trPr>
          <w:trHeight w:val="146" w:hRule="exact"/>
        </w:trPr>
        <w:tc>
          <w:tcPr>
            <w:tcW w:w="2375" w:type="dxa"/>
            <w:tcBorders>
              <w:top w:val="single" w:sz="4" w:space="0" w:color="000000"/>
              <w:left w:val="single" w:sz="4" w:space="0" w:color="000000"/>
              <w:bottom w:val="nil" w:sz="6" w:space="0" w:color="auto"/>
              <w:right w:val="single" w:sz="4" w:space="0" w:color="000000"/>
            </w:tcBorders>
            <w:shd w:val="clear" w:color="auto" w:fill="D4D4D4"/>
          </w:tcPr>
          <w:p>
            <w:pPr/>
          </w:p>
        </w:tc>
        <w:tc>
          <w:tcPr>
            <w:tcW w:w="7182"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1" w:lineRule="exact"/>
              <w:ind w:left="8"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132" w:hRule="exact"/>
        </w:trPr>
        <w:tc>
          <w:tcPr>
            <w:tcW w:w="2375" w:type="dxa"/>
            <w:vMerge w:val="restart"/>
            <w:tcBorders>
              <w:top w:val="nil" w:sz="6" w:space="0" w:color="auto"/>
              <w:left w:val="single" w:sz="4" w:space="0" w:color="000000"/>
              <w:right w:val="single" w:sz="4" w:space="0" w:color="000000"/>
            </w:tcBorders>
            <w:shd w:val="clear" w:color="auto" w:fill="D4D4D4"/>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7182" w:type="dxa"/>
            <w:gridSpan w:val="3"/>
            <w:vMerge/>
            <w:tcBorders>
              <w:left w:val="single" w:sz="4" w:space="0" w:color="000000"/>
              <w:bottom w:val="single" w:sz="4" w:space="0" w:color="000000"/>
              <w:right w:val="single" w:sz="4" w:space="0" w:color="000000"/>
            </w:tcBorders>
            <w:shd w:val="clear" w:color="auto" w:fill="D4D4D4"/>
          </w:tcPr>
          <w:p>
            <w:pPr/>
          </w:p>
        </w:tc>
      </w:tr>
      <w:tr>
        <w:trPr>
          <w:trHeight w:val="142" w:hRule="exact"/>
        </w:trPr>
        <w:tc>
          <w:tcPr>
            <w:tcW w:w="2375" w:type="dxa"/>
            <w:vMerge/>
            <w:tcBorders>
              <w:left w:val="single" w:sz="4" w:space="0" w:color="000000"/>
              <w:bottom w:val="nil" w:sz="6" w:space="0" w:color="auto"/>
              <w:right w:val="single" w:sz="4" w:space="0" w:color="000000"/>
            </w:tcBorders>
            <w:shd w:val="clear" w:color="auto" w:fill="D4D4D4"/>
          </w:tcPr>
          <w:p>
            <w:pPr/>
          </w:p>
        </w:tc>
        <w:tc>
          <w:tcPr>
            <w:tcW w:w="2397" w:type="dxa"/>
            <w:vMerge w:val="restart"/>
            <w:tcBorders>
              <w:top w:val="single" w:sz="4" w:space="0" w:color="000000"/>
              <w:left w:val="single" w:sz="4" w:space="0" w:color="000000"/>
              <w:right w:val="single" w:sz="4" w:space="0" w:color="000000"/>
            </w:tcBorders>
            <w:shd w:val="clear" w:color="auto" w:fill="D4D4D4"/>
          </w:tcPr>
          <w:p>
            <w:pPr>
              <w:pStyle w:val="TableParagraph"/>
              <w:spacing w:line="246" w:lineRule="exact"/>
              <w:ind w:left="77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393" w:type="dxa"/>
            <w:vMerge w:val="restart"/>
            <w:tcBorders>
              <w:top w:val="single" w:sz="4" w:space="0" w:color="000000"/>
              <w:left w:val="single" w:sz="4" w:space="0" w:color="000000"/>
              <w:right w:val="single" w:sz="4" w:space="0" w:color="000000"/>
            </w:tcBorders>
            <w:shd w:val="clear" w:color="auto" w:fill="D4D4D4"/>
          </w:tcPr>
          <w:p>
            <w:pPr>
              <w:pStyle w:val="TableParagraph"/>
              <w:spacing w:line="246" w:lineRule="exact"/>
              <w:ind w:left="76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392" w:type="dxa"/>
            <w:vMerge w:val="restart"/>
            <w:tcBorders>
              <w:top w:val="single" w:sz="4" w:space="0" w:color="000000"/>
              <w:left w:val="single" w:sz="4" w:space="0" w:color="000000"/>
              <w:right w:val="single" w:sz="4" w:space="0" w:color="000000"/>
            </w:tcBorders>
            <w:shd w:val="clear" w:color="auto" w:fill="D4D4D4"/>
          </w:tcPr>
          <w:p>
            <w:pPr>
              <w:pStyle w:val="TableParagraph"/>
              <w:spacing w:line="246" w:lineRule="exact"/>
              <w:ind w:left="769"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151" w:hRule="exact"/>
        </w:trPr>
        <w:tc>
          <w:tcPr>
            <w:tcW w:w="2375" w:type="dxa"/>
            <w:tcBorders>
              <w:top w:val="nil" w:sz="6" w:space="0" w:color="auto"/>
              <w:left w:val="single" w:sz="4" w:space="0" w:color="000000"/>
              <w:bottom w:val="single" w:sz="4" w:space="0" w:color="000000"/>
              <w:right w:val="single" w:sz="4" w:space="0" w:color="000000"/>
            </w:tcBorders>
            <w:shd w:val="clear" w:color="auto" w:fill="D4D4D4"/>
          </w:tcPr>
          <w:p>
            <w:pPr/>
          </w:p>
        </w:tc>
        <w:tc>
          <w:tcPr>
            <w:tcW w:w="2397" w:type="dxa"/>
            <w:vMerge/>
            <w:tcBorders>
              <w:left w:val="single" w:sz="4" w:space="0" w:color="000000"/>
              <w:bottom w:val="single" w:sz="4" w:space="0" w:color="000000"/>
              <w:right w:val="single" w:sz="4" w:space="0" w:color="000000"/>
            </w:tcBorders>
            <w:shd w:val="clear" w:color="auto" w:fill="D4D4D4"/>
          </w:tcPr>
          <w:p>
            <w:pPr/>
          </w:p>
        </w:tc>
        <w:tc>
          <w:tcPr>
            <w:tcW w:w="2393" w:type="dxa"/>
            <w:vMerge/>
            <w:tcBorders>
              <w:left w:val="single" w:sz="4" w:space="0" w:color="000000"/>
              <w:bottom w:val="single" w:sz="4" w:space="0" w:color="000000"/>
              <w:right w:val="single" w:sz="4" w:space="0" w:color="000000"/>
            </w:tcBorders>
            <w:shd w:val="clear" w:color="auto" w:fill="D4D4D4"/>
          </w:tcPr>
          <w:p>
            <w:pPr/>
          </w:p>
        </w:tc>
        <w:tc>
          <w:tcPr>
            <w:tcW w:w="2392" w:type="dxa"/>
            <w:vMerge/>
            <w:tcBorders>
              <w:left w:val="single" w:sz="4" w:space="0" w:color="000000"/>
              <w:bottom w:val="single" w:sz="4" w:space="0" w:color="000000"/>
              <w:right w:val="single" w:sz="4" w:space="0" w:color="000000"/>
            </w:tcBorders>
            <w:shd w:val="clear" w:color="auto" w:fill="D4D4D4"/>
          </w:tcPr>
          <w:p>
            <w:pPr/>
          </w:p>
        </w:tc>
      </w:tr>
      <w:tr>
        <w:trPr>
          <w:trHeight w:val="27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52" w:lineRule="exact"/>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年以内分项</w:t>
            </w:r>
          </w:p>
        </w:tc>
      </w:tr>
      <w:tr>
        <w:trPr>
          <w:trHeight w:val="283" w:hRule="exact"/>
        </w:trPr>
        <w:tc>
          <w:tcPr>
            <w:tcW w:w="237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59" w:lineRule="exact"/>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年以内小计</w:t>
            </w:r>
          </w:p>
        </w:tc>
        <w:tc>
          <w:tcPr>
            <w:tcW w:w="239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15,743,778.88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21"/>
                <w:szCs w:val="21"/>
              </w:rPr>
            </w:pPr>
            <w:r>
              <w:rPr>
                <w:rFonts w:ascii="Times New Roman"/>
                <w:spacing w:val="-1"/>
                <w:sz w:val="21"/>
              </w:rPr>
              <w:t>157,437.79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Times New Roman" w:hAnsi="Times New Roman" w:cs="Times New Roman" w:eastAsia="Times New Roman" w:hint="default"/>
                <w:sz w:val="21"/>
                <w:szCs w:val="21"/>
              </w:rPr>
            </w:pPr>
            <w:r>
              <w:rPr>
                <w:rFonts w:ascii="Times New Roman"/>
                <w:sz w:val="21"/>
              </w:rPr>
              <w:t>1.00%</w:t>
            </w:r>
          </w:p>
        </w:tc>
      </w:tr>
      <w:tr>
        <w:trPr>
          <w:trHeight w:val="283" w:hRule="exact"/>
        </w:trPr>
        <w:tc>
          <w:tcPr>
            <w:tcW w:w="237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59" w:lineRule="exact"/>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39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900,095.00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21"/>
                <w:szCs w:val="21"/>
              </w:rPr>
            </w:pPr>
            <w:r>
              <w:rPr>
                <w:rFonts w:ascii="Times New Roman"/>
                <w:spacing w:val="-1"/>
                <w:sz w:val="21"/>
              </w:rPr>
              <w:t>90,009.50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Times New Roman" w:hAnsi="Times New Roman" w:cs="Times New Roman" w:eastAsia="Times New Roman" w:hint="default"/>
                <w:sz w:val="21"/>
                <w:szCs w:val="21"/>
              </w:rPr>
            </w:pPr>
            <w:r>
              <w:rPr>
                <w:rFonts w:ascii="Times New Roman"/>
                <w:sz w:val="21"/>
              </w:rPr>
              <w:t>10.00%</w:t>
            </w:r>
          </w:p>
        </w:tc>
      </w:tr>
      <w:tr>
        <w:trPr>
          <w:trHeight w:val="283" w:hRule="exact"/>
        </w:trPr>
        <w:tc>
          <w:tcPr>
            <w:tcW w:w="237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57" w:lineRule="exact"/>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39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504,260.41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21"/>
                <w:szCs w:val="21"/>
              </w:rPr>
            </w:pPr>
            <w:r>
              <w:rPr>
                <w:rFonts w:ascii="Times New Roman"/>
                <w:spacing w:val="-1"/>
                <w:sz w:val="21"/>
              </w:rPr>
              <w:t>151,278.12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Times New Roman" w:hAnsi="Times New Roman" w:cs="Times New Roman" w:eastAsia="Times New Roman" w:hint="default"/>
                <w:sz w:val="21"/>
                <w:szCs w:val="21"/>
              </w:rPr>
            </w:pPr>
            <w:r>
              <w:rPr>
                <w:rFonts w:ascii="Times New Roman"/>
                <w:sz w:val="21"/>
              </w:rPr>
              <w:t>30.00%</w:t>
            </w:r>
          </w:p>
        </w:tc>
      </w:tr>
      <w:tr>
        <w:trPr>
          <w:trHeight w:val="283" w:hRule="exact"/>
        </w:trPr>
        <w:tc>
          <w:tcPr>
            <w:tcW w:w="237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57" w:lineRule="exact"/>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年以上</w:t>
            </w:r>
          </w:p>
        </w:tc>
        <w:tc>
          <w:tcPr>
            <w:tcW w:w="239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97,354.50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21"/>
                <w:szCs w:val="21"/>
              </w:rPr>
            </w:pPr>
            <w:r>
              <w:rPr>
                <w:rFonts w:ascii="Times New Roman"/>
                <w:spacing w:val="-1"/>
                <w:sz w:val="21"/>
              </w:rPr>
              <w:t>97,354.50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Times New Roman" w:hAnsi="Times New Roman" w:cs="Times New Roman" w:eastAsia="Times New Roman" w:hint="default"/>
                <w:sz w:val="21"/>
                <w:szCs w:val="21"/>
              </w:rPr>
            </w:pPr>
            <w:r>
              <w:rPr>
                <w:rFonts w:ascii="Times New Roman"/>
                <w:sz w:val="21"/>
              </w:rPr>
              <w:t>100.00%</w:t>
            </w:r>
          </w:p>
        </w:tc>
      </w:tr>
      <w:tr>
        <w:trPr>
          <w:trHeight w:val="283" w:hRule="exact"/>
        </w:trPr>
        <w:tc>
          <w:tcPr>
            <w:tcW w:w="237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9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17,245,488.79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21"/>
                <w:szCs w:val="21"/>
              </w:rPr>
            </w:pPr>
            <w:r>
              <w:rPr>
                <w:rFonts w:ascii="Times New Roman"/>
                <w:spacing w:val="-1"/>
                <w:sz w:val="21"/>
              </w:rPr>
              <w:t>496,079.91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Times New Roman" w:hAnsi="Times New Roman" w:cs="Times New Roman" w:eastAsia="Times New Roman" w:hint="default"/>
                <w:sz w:val="21"/>
                <w:szCs w:val="21"/>
              </w:rPr>
            </w:pPr>
            <w:r>
              <w:rPr>
                <w:rFonts w:ascii="Times New Roman"/>
                <w:sz w:val="21"/>
              </w:rPr>
              <w:t>2.88%</w:t>
            </w:r>
          </w:p>
        </w:tc>
      </w:tr>
    </w:tbl>
    <w:p>
      <w:pPr>
        <w:pStyle w:val="BodyText"/>
        <w:spacing w:line="273" w:lineRule="auto"/>
        <w:ind w:right="3068"/>
        <w:jc w:val="left"/>
      </w:pPr>
      <w:r>
        <w:rPr/>
        <w:t>确定该组合依据的说明：</w:t>
      </w:r>
      <w:r>
        <w:rPr>
          <w:w w:val="100"/>
        </w:rPr>
        <w:t> </w:t>
      </w:r>
      <w:r>
        <w:rPr>
          <w:spacing w:val="-2"/>
        </w:rPr>
        <w:t>组合中，采用余额百分比法计提坏账准备的应收账款：</w:t>
      </w:r>
    </w:p>
    <w:p>
      <w:pPr>
        <w:pStyle w:val="BodyText"/>
        <w:spacing w:line="240" w:lineRule="auto" w:before="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type w:val="continuous"/>
          <w:pgSz w:w="11910" w:h="16840"/>
          <w:pgMar w:top="1060" w:bottom="1180" w:left="980" w:right="9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BodyText"/>
        <w:spacing w:line="240" w:lineRule="auto" w:before="36"/>
        <w:ind w:right="0"/>
        <w:jc w:val="left"/>
      </w:pPr>
      <w:r>
        <w:rPr/>
        <w:t>期末单项金额虽不重大但单独计提坏账准备的应收账款</w:t>
      </w:r>
    </w:p>
    <w:p>
      <w:pPr>
        <w:spacing w:line="240" w:lineRule="auto" w:before="10"/>
        <w:rPr>
          <w:rFonts w:ascii="宋体" w:hAnsi="宋体" w:cs="宋体" w:eastAsia="宋体" w:hint="default"/>
          <w:sz w:val="3"/>
          <w:szCs w:val="3"/>
        </w:rPr>
      </w:pPr>
    </w:p>
    <w:tbl>
      <w:tblPr>
        <w:tblW w:w="0" w:type="auto"/>
        <w:jc w:val="left"/>
        <w:tblInd w:w="145" w:type="dxa"/>
        <w:tblLayout w:type="fixed"/>
        <w:tblCellMar>
          <w:top w:w="0" w:type="dxa"/>
          <w:left w:w="0" w:type="dxa"/>
          <w:bottom w:w="0" w:type="dxa"/>
          <w:right w:w="0" w:type="dxa"/>
        </w:tblCellMar>
        <w:tblLook w:val="01E0"/>
      </w:tblPr>
      <w:tblGrid>
        <w:gridCol w:w="2532"/>
        <w:gridCol w:w="1678"/>
        <w:gridCol w:w="1630"/>
        <w:gridCol w:w="790"/>
        <w:gridCol w:w="1898"/>
      </w:tblGrid>
      <w:tr>
        <w:trPr>
          <w:trHeight w:val="348" w:hRule="exact"/>
        </w:trPr>
        <w:tc>
          <w:tcPr>
            <w:tcW w:w="2532" w:type="dxa"/>
            <w:vMerge w:val="restart"/>
            <w:tcBorders>
              <w:top w:val="single" w:sz="6" w:space="0" w:color="000000"/>
              <w:left w:val="single" w:sz="6" w:space="0" w:color="000000"/>
              <w:right w:val="single" w:sz="6" w:space="0" w:color="000000"/>
            </w:tcBorders>
          </w:tcPr>
          <w:p>
            <w:pPr>
              <w:pStyle w:val="TableParagraph"/>
              <w:spacing w:line="250" w:lineRule="exact"/>
              <w:ind w:left="840"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5995" w:type="dxa"/>
            <w:gridSpan w:val="4"/>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7"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581" w:hRule="exact"/>
        </w:trPr>
        <w:tc>
          <w:tcPr>
            <w:tcW w:w="2532" w:type="dxa"/>
            <w:vMerge/>
            <w:tcBorders>
              <w:left w:val="single" w:sz="6" w:space="0" w:color="000000"/>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412"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38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
              <w:ind w:left="4" w:right="-39" w:firstLine="69"/>
              <w:jc w:val="left"/>
              <w:rPr>
                <w:rFonts w:ascii="宋体" w:hAnsi="宋体" w:cs="宋体" w:eastAsia="宋体" w:hint="default"/>
                <w:sz w:val="21"/>
                <w:szCs w:val="21"/>
              </w:rPr>
            </w:pPr>
            <w:r>
              <w:rPr>
                <w:rFonts w:ascii="宋体" w:hAnsi="宋体" w:cs="宋体" w:eastAsia="宋体" w:hint="default"/>
                <w:sz w:val="21"/>
                <w:szCs w:val="21"/>
              </w:rPr>
              <w:t>计提比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523" w:right="0"/>
              <w:jc w:val="left"/>
              <w:rPr>
                <w:rFonts w:ascii="宋体" w:hAnsi="宋体" w:cs="宋体" w:eastAsia="宋体" w:hint="default"/>
                <w:sz w:val="21"/>
                <w:szCs w:val="21"/>
              </w:rPr>
            </w:pPr>
            <w:r>
              <w:rPr>
                <w:rFonts w:ascii="宋体" w:hAnsi="宋体" w:cs="宋体" w:eastAsia="宋体" w:hint="default"/>
                <w:sz w:val="21"/>
                <w:szCs w:val="21"/>
              </w:rPr>
              <w:t>计提理由</w:t>
            </w:r>
          </w:p>
        </w:tc>
      </w:tr>
      <w:tr>
        <w:trPr>
          <w:trHeight w:val="2141" w:hRule="exact"/>
        </w:trPr>
        <w:tc>
          <w:tcPr>
            <w:tcW w:w="2532"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1037"/>
              <w:jc w:val="right"/>
              <w:rPr>
                <w:rFonts w:ascii="宋体" w:hAnsi="宋体" w:cs="宋体" w:eastAsia="宋体" w:hint="default"/>
                <w:sz w:val="21"/>
                <w:szCs w:val="21"/>
              </w:rPr>
            </w:pPr>
            <w:r>
              <w:rPr>
                <w:rFonts w:ascii="宋体" w:hAnsi="宋体" w:cs="宋体" w:eastAsia="宋体" w:hint="default"/>
                <w:spacing w:val="-1"/>
                <w:sz w:val="21"/>
                <w:szCs w:val="21"/>
              </w:rPr>
              <w:t>甘肃省外文书店</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right"/>
              <w:rPr>
                <w:rFonts w:ascii="Times New Roman" w:hAnsi="Times New Roman" w:cs="Times New Roman" w:eastAsia="Times New Roman" w:hint="default"/>
                <w:sz w:val="21"/>
                <w:szCs w:val="21"/>
              </w:rPr>
            </w:pPr>
            <w:r>
              <w:rPr>
                <w:rFonts w:ascii="Times New Roman"/>
                <w:sz w:val="21"/>
              </w:rPr>
              <w:t>12,756.00</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right"/>
              <w:rPr>
                <w:rFonts w:ascii="Times New Roman" w:hAnsi="Times New Roman" w:cs="Times New Roman" w:eastAsia="Times New Roman" w:hint="default"/>
                <w:sz w:val="21"/>
                <w:szCs w:val="21"/>
              </w:rPr>
            </w:pPr>
            <w:r>
              <w:rPr>
                <w:rFonts w:ascii="Times New Roman"/>
                <w:spacing w:val="-1"/>
                <w:sz w:val="21"/>
              </w:rPr>
              <w:t>12,756.00</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left="460" w:right="-3"/>
              <w:jc w:val="left"/>
              <w:rPr>
                <w:rFonts w:ascii="Times New Roman" w:hAnsi="Times New Roman" w:cs="Times New Roman" w:eastAsia="Times New Roman" w:hint="default"/>
                <w:sz w:val="21"/>
                <w:szCs w:val="21"/>
              </w:rPr>
            </w:pPr>
            <w:r>
              <w:rPr>
                <w:rFonts w:ascii="Times New Roman"/>
                <w:sz w:val="21"/>
              </w:rPr>
              <w:t>100</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left="4" w:right="0"/>
              <w:jc w:val="left"/>
              <w:rPr>
                <w:rFonts w:ascii="宋体" w:hAnsi="宋体" w:cs="宋体" w:eastAsia="宋体" w:hint="default"/>
                <w:sz w:val="18"/>
                <w:szCs w:val="18"/>
              </w:rPr>
            </w:pPr>
            <w:r>
              <w:rPr>
                <w:rFonts w:ascii="宋体" w:hAnsi="宋体" w:cs="宋体" w:eastAsia="宋体" w:hint="default"/>
                <w:sz w:val="18"/>
                <w:szCs w:val="18"/>
              </w:rPr>
              <w:t>根据业务持续跟踪反</w:t>
            </w:r>
          </w:p>
          <w:p>
            <w:pPr>
              <w:pStyle w:val="TableParagraph"/>
              <w:spacing w:line="237" w:lineRule="auto" w:before="2"/>
              <w:ind w:left="4" w:right="77"/>
              <w:jc w:val="left"/>
              <w:rPr>
                <w:rFonts w:ascii="宋体" w:hAnsi="宋体" w:cs="宋体" w:eastAsia="宋体" w:hint="default"/>
                <w:sz w:val="18"/>
                <w:szCs w:val="18"/>
              </w:rPr>
            </w:pPr>
            <w:r>
              <w:rPr>
                <w:rFonts w:ascii="宋体" w:hAnsi="宋体" w:cs="宋体" w:eastAsia="宋体" w:hint="default"/>
                <w:sz w:val="18"/>
                <w:szCs w:val="18"/>
              </w:rPr>
              <w:t>馈，该客户已被甘肃省 省店兼并，但截至目前 省店仍无具体人员负责 清理外文书店旧账，只 能等待时机。 虽然年限未满三年，但 可收回性不大，全额计 提坏账准备。</w:t>
            </w:r>
          </w:p>
        </w:tc>
      </w:tr>
      <w:tr>
        <w:trPr>
          <w:trHeight w:val="348" w:hRule="exact"/>
        </w:trPr>
        <w:tc>
          <w:tcPr>
            <w:tcW w:w="2532"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1043"/>
              <w:jc w:val="right"/>
              <w:rPr>
                <w:rFonts w:ascii="宋体" w:hAnsi="宋体" w:cs="宋体" w:eastAsia="宋体" w:hint="default"/>
                <w:sz w:val="21"/>
                <w:szCs w:val="21"/>
              </w:rPr>
            </w:pPr>
            <w:r>
              <w:rPr>
                <w:rFonts w:ascii="宋体" w:hAnsi="宋体" w:cs="宋体" w:eastAsia="宋体" w:hint="default"/>
                <w:sz w:val="21"/>
                <w:szCs w:val="21"/>
              </w:rPr>
              <w:t>合计</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right"/>
              <w:rPr>
                <w:rFonts w:ascii="Times New Roman" w:hAnsi="Times New Roman" w:cs="Times New Roman" w:eastAsia="Times New Roman" w:hint="default"/>
                <w:sz w:val="21"/>
                <w:szCs w:val="21"/>
              </w:rPr>
            </w:pPr>
            <w:r>
              <w:rPr>
                <w:rFonts w:ascii="Times New Roman"/>
                <w:sz w:val="21"/>
              </w:rPr>
              <w:t>12,756.00</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right"/>
              <w:rPr>
                <w:rFonts w:ascii="Times New Roman" w:hAnsi="Times New Roman" w:cs="Times New Roman" w:eastAsia="Times New Roman" w:hint="default"/>
                <w:sz w:val="21"/>
                <w:szCs w:val="21"/>
              </w:rPr>
            </w:pPr>
            <w:r>
              <w:rPr>
                <w:rFonts w:ascii="Times New Roman"/>
                <w:spacing w:val="-1"/>
                <w:sz w:val="21"/>
              </w:rPr>
              <w:t>12,756.00</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left="232" w:right="0"/>
              <w:jc w:val="left"/>
              <w:rPr>
                <w:rFonts w:ascii="Times New Roman" w:hAnsi="Times New Roman" w:cs="Times New Roman" w:eastAsia="Times New Roman" w:hint="default"/>
                <w:sz w:val="21"/>
                <w:szCs w:val="21"/>
              </w:rPr>
            </w:pPr>
            <w:r>
              <w:rPr>
                <w:rFonts w:ascii="Times New Roman"/>
                <w:sz w:val="21"/>
              </w:rPr>
              <w:t>100</w:t>
            </w:r>
          </w:p>
        </w:tc>
        <w:tc>
          <w:tcPr>
            <w:tcW w:w="1898"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5"/>
        <w:spacing w:line="240" w:lineRule="auto" w:before="36"/>
        <w:ind w:right="0"/>
        <w:jc w:val="left"/>
        <w:rPr>
          <w:b w:val="0"/>
          <w:bCs w:val="0"/>
        </w:rPr>
      </w:pPr>
      <w:bookmarkStart w:name="（2）本期计提、收回或转回的坏账准备情况" w:id="181"/>
      <w:bookmarkEnd w:id="181"/>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right="0"/>
        <w:jc w:val="left"/>
      </w:pPr>
      <w:r>
        <w:rPr/>
        <w:t>本期计提坏账准备金额</w:t>
      </w:r>
      <w:r>
        <w:rPr>
          <w:spacing w:val="-55"/>
        </w:rPr>
        <w:t> </w:t>
      </w:r>
      <w:r>
        <w:rPr>
          <w:rFonts w:ascii="Times New Roman" w:hAnsi="Times New Roman" w:cs="Times New Roman" w:eastAsia="Times New Roman" w:hint="default"/>
        </w:rPr>
        <w:t>508,835.91</w:t>
      </w:r>
      <w:r>
        <w:rPr>
          <w:rFonts w:ascii="Times New Roman" w:hAnsi="Times New Roman" w:cs="Times New Roman" w:eastAsia="Times New Roman" w:hint="default"/>
          <w:spacing w:val="-2"/>
        </w:rPr>
        <w:t> </w:t>
      </w:r>
      <w:r>
        <w:rPr/>
        <w:t>元；本期收回或转回坏账准备金额</w:t>
      </w:r>
      <w:r>
        <w:rPr>
          <w:spacing w:val="-5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3"/>
        </w:rPr>
        <w:t> </w:t>
      </w:r>
      <w:r>
        <w:rPr>
          <w:spacing w:val="-3"/>
        </w:rPr>
        <w:t>元。</w:t>
      </w:r>
      <w:r>
        <w:rPr/>
      </w:r>
    </w:p>
    <w:p>
      <w:pPr>
        <w:spacing w:line="240" w:lineRule="auto" w:before="7"/>
        <w:rPr>
          <w:rFonts w:ascii="宋体" w:hAnsi="宋体" w:cs="宋体" w:eastAsia="宋体" w:hint="default"/>
          <w:sz w:val="24"/>
          <w:szCs w:val="24"/>
        </w:rPr>
      </w:pPr>
    </w:p>
    <w:p>
      <w:pPr>
        <w:pStyle w:val="Heading5"/>
        <w:spacing w:line="240" w:lineRule="auto"/>
        <w:ind w:right="0"/>
        <w:jc w:val="left"/>
        <w:rPr>
          <w:b w:val="0"/>
          <w:bCs w:val="0"/>
        </w:rPr>
      </w:pPr>
      <w:bookmarkStart w:name="（3）本期实际核销的应收账款情况" w:id="182"/>
      <w:bookmarkEnd w:id="182"/>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150"/>
        <w:jc w:val="right"/>
      </w:pPr>
      <w:r>
        <w:rPr/>
        <w:t>单位：</w:t>
      </w:r>
      <w:r>
        <w:rPr>
          <w:spacing w:val="2"/>
        </w:rPr>
        <w:t> </w:t>
      </w:r>
      <w:r>
        <w:rPr/>
        <w:t>元</w:t>
      </w:r>
    </w:p>
    <w:p>
      <w:pPr>
        <w:spacing w:line="240" w:lineRule="auto" w:before="10"/>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4783"/>
        <w:gridCol w:w="4786"/>
      </w:tblGrid>
      <w:tr>
        <w:trPr>
          <w:trHeight w:val="283"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核销金额</w:t>
            </w:r>
          </w:p>
        </w:tc>
      </w:tr>
      <w:tr>
        <w:trPr>
          <w:trHeight w:val="28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实际核销的应收账款</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36,667.30</w:t>
            </w:r>
          </w:p>
        </w:tc>
      </w:tr>
    </w:tbl>
    <w:p>
      <w:pPr>
        <w:pStyle w:val="BodyText"/>
        <w:spacing w:line="262" w:lineRule="exact"/>
        <w:ind w:right="0"/>
        <w:jc w:val="left"/>
      </w:pPr>
      <w:r>
        <w:rPr/>
        <w:t>其中重要的应收账款核销情况：</w:t>
      </w:r>
    </w:p>
    <w:p>
      <w:pPr>
        <w:pStyle w:val="BodyText"/>
        <w:spacing w:line="240" w:lineRule="auto" w:before="37"/>
        <w:ind w:left="0" w:right="150"/>
        <w:jc w:val="right"/>
      </w:pPr>
      <w:r>
        <w:rPr/>
        <w:pict>
          <v:shape style="position:absolute;margin-left:129.972488pt;margin-top:74.116562pt;width:86.05pt;height:18.9pt;mso-position-horizontal-relative:page;mso-position-vertical-relative:paragraph;z-index:-1158208" type="#_x0000_t202" filled="false" stroked="false">
            <v:textbox inset="0,0,0,0">
              <w:txbxContent>
                <w:p>
                  <w:pPr>
                    <w:pStyle w:val="BodyText"/>
                    <w:spacing w:line="240" w:lineRule="auto" w:before="102"/>
                    <w:ind w:left="0" w:right="0"/>
                    <w:jc w:val="left"/>
                  </w:pPr>
                  <w:r>
                    <w:rPr>
                      <w:w w:val="100"/>
                    </w:rPr>
                    <w:t>）</w:t>
                  </w:r>
                </w:p>
              </w:txbxContent>
            </v:textbox>
            <w10:wrap type="none"/>
          </v:shape>
        </w:pict>
      </w:r>
      <w:r>
        <w:rPr/>
        <w:pict>
          <v:group style="position:absolute;margin-left:136.800003pt;margin-top:74.116562pt;width:79.2pt;height:13.7pt;mso-position-horizontal-relative:page;mso-position-vertical-relative:paragraph;z-index:-1158184" coordorigin="2736,1482" coordsize="1584,274">
            <v:shape style="position:absolute;left:2736;top:1482;width:1584;height:274" coordorigin="2736,1482" coordsize="1584,274" path="m2736,1756l4320,1756,4320,1482,2736,1482,2736,1756xe" filled="true" fillcolor="#ffffff" stroked="false">
              <v:path arrowok="t"/>
              <v:fill type="solid"/>
            </v:shape>
            <w10:wrap type="none"/>
          </v:group>
        </w:pict>
      </w:r>
      <w:r>
        <w:rPr/>
        <w:t>单位：</w:t>
      </w:r>
      <w:r>
        <w:rPr>
          <w:spacing w:val="2"/>
        </w:rPr>
        <w:t> </w:t>
      </w:r>
      <w:r>
        <w:rPr/>
        <w:t>元</w:t>
      </w:r>
    </w:p>
    <w:p>
      <w:pPr>
        <w:spacing w:line="240" w:lineRule="auto" w:before="10"/>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554" w:hRule="exact"/>
        </w:trPr>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2"/>
              <w:ind w:left="374"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2"/>
              <w:ind w:left="163" w:right="0"/>
              <w:jc w:val="left"/>
              <w:rPr>
                <w:rFonts w:ascii="宋体" w:hAnsi="宋体" w:cs="宋体" w:eastAsia="宋体" w:hint="default"/>
                <w:sz w:val="21"/>
                <w:szCs w:val="21"/>
              </w:rPr>
            </w:pPr>
            <w:r>
              <w:rPr>
                <w:rFonts w:ascii="宋体" w:hAnsi="宋体" w:cs="宋体" w:eastAsia="宋体" w:hint="default"/>
                <w:sz w:val="21"/>
                <w:szCs w:val="21"/>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2"/>
              <w:ind w:left="371" w:right="0"/>
              <w:jc w:val="left"/>
              <w:rPr>
                <w:rFonts w:ascii="宋体" w:hAnsi="宋体" w:cs="宋体" w:eastAsia="宋体" w:hint="default"/>
                <w:sz w:val="21"/>
                <w:szCs w:val="21"/>
              </w:rPr>
            </w:pPr>
            <w:r>
              <w:rPr>
                <w:rFonts w:ascii="宋体" w:hAnsi="宋体" w:cs="宋体" w:eastAsia="宋体" w:hint="default"/>
                <w:sz w:val="21"/>
                <w:szCs w:val="21"/>
              </w:rPr>
              <w:t>核销金额</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款项是否由关联</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交易产生</w:t>
            </w:r>
          </w:p>
        </w:tc>
      </w:tr>
      <w:tr>
        <w:trPr>
          <w:trHeight w:val="55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芜湖市外文书店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1"/>
                <w:sz w:val="21"/>
              </w:rPr>
              <w:t>2,146.30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书店已吊销，余</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款无法收回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第二董事会第十</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四次会议批准</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2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122"/>
              <w:jc w:val="left"/>
              <w:rPr>
                <w:rFonts w:ascii="宋体" w:hAnsi="宋体" w:cs="宋体" w:eastAsia="宋体" w:hint="default"/>
                <w:sz w:val="21"/>
                <w:szCs w:val="21"/>
              </w:rPr>
            </w:pPr>
            <w:r>
              <w:rPr>
                <w:rFonts w:ascii="宋体" w:hAnsi="宋体" w:cs="宋体" w:eastAsia="宋体" w:hint="default"/>
                <w:spacing w:val="-6"/>
                <w:sz w:val="21"/>
                <w:szCs w:val="21"/>
              </w:rPr>
              <w:t>爱新科技（深圳</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无法联系，工商</w:t>
            </w:r>
          </w:p>
          <w:p>
            <w:pPr>
              <w:pStyle w:val="TableParagraph"/>
              <w:spacing w:line="240" w:lineRule="auto"/>
              <w:ind w:left="23" w:right="86"/>
              <w:jc w:val="left"/>
              <w:rPr>
                <w:rFonts w:ascii="宋体" w:hAnsi="宋体" w:cs="宋体" w:eastAsia="宋体" w:hint="default"/>
                <w:sz w:val="21"/>
                <w:szCs w:val="21"/>
              </w:rPr>
            </w:pPr>
            <w:r>
              <w:rPr>
                <w:rFonts w:ascii="宋体" w:hAnsi="宋体" w:cs="宋体" w:eastAsia="宋体" w:hint="default"/>
                <w:sz w:val="21"/>
                <w:szCs w:val="21"/>
              </w:rPr>
              <w:t>已无记录，余款</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84"/>
              <w:jc w:val="left"/>
              <w:rPr>
                <w:rFonts w:ascii="宋体" w:hAnsi="宋体" w:cs="宋体" w:eastAsia="宋体" w:hint="default"/>
                <w:sz w:val="21"/>
                <w:szCs w:val="21"/>
              </w:rPr>
            </w:pPr>
            <w:r>
              <w:rPr>
                <w:rFonts w:ascii="宋体" w:hAnsi="宋体" w:cs="宋体" w:eastAsia="宋体" w:hint="default"/>
                <w:sz w:val="21"/>
                <w:szCs w:val="21"/>
              </w:rPr>
              <w:t>第二董事会第十</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四次会议批准</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39"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美国凯曼顿电器</w:t>
            </w:r>
          </w:p>
          <w:p>
            <w:pPr>
              <w:pStyle w:val="TableParagraph"/>
              <w:spacing w:line="240" w:lineRule="auto"/>
              <w:ind w:left="24" w:right="86"/>
              <w:jc w:val="left"/>
              <w:rPr>
                <w:rFonts w:ascii="宋体" w:hAnsi="宋体" w:cs="宋体" w:eastAsia="宋体" w:hint="default"/>
                <w:sz w:val="21"/>
                <w:szCs w:val="21"/>
              </w:rPr>
            </w:pPr>
            <w:r>
              <w:rPr>
                <w:rFonts w:ascii="宋体" w:hAnsi="宋体" w:cs="宋体" w:eastAsia="宋体" w:hint="default"/>
                <w:sz w:val="21"/>
                <w:szCs w:val="21"/>
              </w:rPr>
              <w:t>有限公司深圳办</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事处</w:t>
            </w:r>
          </w:p>
        </w:tc>
        <w:tc>
          <w:tcPr>
            <w:tcW w:w="1594" w:type="dxa"/>
            <w:tcBorders>
              <w:top w:val="single" w:sz="4" w:space="0" w:color="000000"/>
              <w:left w:val="single" w:sz="4" w:space="0" w:color="000000"/>
              <w:bottom w:val="single" w:sz="7" w:space="0" w:color="D4D4D4"/>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24,521.00</w:t>
            </w:r>
          </w:p>
        </w:tc>
        <w:tc>
          <w:tcPr>
            <w:tcW w:w="1596" w:type="dxa"/>
            <w:tcBorders>
              <w:top w:val="single" w:sz="4" w:space="0" w:color="000000"/>
              <w:left w:val="single" w:sz="4" w:space="0" w:color="000000"/>
              <w:bottom w:val="single" w:sz="7" w:space="0" w:color="D4D4D4"/>
              <w:right w:val="single" w:sz="4" w:space="0" w:color="000000"/>
            </w:tcBorders>
          </w:tcPr>
          <w:p>
            <w:pPr>
              <w:pStyle w:val="TableParagraph"/>
              <w:spacing w:line="240" w:lineRule="auto" w:before="102"/>
              <w:ind w:left="23" w:right="86"/>
              <w:jc w:val="left"/>
              <w:rPr>
                <w:rFonts w:ascii="宋体" w:hAnsi="宋体" w:cs="宋体" w:eastAsia="宋体" w:hint="default"/>
                <w:sz w:val="21"/>
                <w:szCs w:val="21"/>
              </w:rPr>
            </w:pPr>
            <w:r>
              <w:rPr>
                <w:rFonts w:ascii="宋体" w:hAnsi="宋体" w:cs="宋体" w:eastAsia="宋体" w:hint="default"/>
                <w:sz w:val="21"/>
                <w:szCs w:val="21"/>
              </w:rPr>
              <w:t>账龄五年以上小</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额应收款</w:t>
            </w:r>
          </w:p>
        </w:tc>
        <w:tc>
          <w:tcPr>
            <w:tcW w:w="1594" w:type="dxa"/>
            <w:tcBorders>
              <w:top w:val="single" w:sz="4" w:space="0" w:color="000000"/>
              <w:left w:val="single" w:sz="4" w:space="0" w:color="000000"/>
              <w:bottom w:val="single" w:sz="7" w:space="0" w:color="D4D4D4"/>
              <w:right w:val="single" w:sz="4" w:space="0" w:color="000000"/>
            </w:tcBorders>
          </w:tcPr>
          <w:p>
            <w:pPr>
              <w:pStyle w:val="TableParagraph"/>
              <w:spacing w:line="240" w:lineRule="auto" w:before="102"/>
              <w:ind w:left="23" w:right="84"/>
              <w:jc w:val="left"/>
              <w:rPr>
                <w:rFonts w:ascii="宋体" w:hAnsi="宋体" w:cs="宋体" w:eastAsia="宋体" w:hint="default"/>
                <w:sz w:val="21"/>
                <w:szCs w:val="21"/>
              </w:rPr>
            </w:pPr>
            <w:r>
              <w:rPr>
                <w:rFonts w:ascii="宋体" w:hAnsi="宋体" w:cs="宋体" w:eastAsia="宋体" w:hint="default"/>
                <w:sz w:val="21"/>
                <w:szCs w:val="21"/>
              </w:rPr>
              <w:t>第二董事会第十</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四次会议批准</w:t>
            </w:r>
          </w:p>
        </w:tc>
        <w:tc>
          <w:tcPr>
            <w:tcW w:w="1594" w:type="dxa"/>
            <w:tcBorders>
              <w:top w:val="single" w:sz="4" w:space="0" w:color="000000"/>
              <w:left w:val="single" w:sz="4" w:space="0" w:color="000000"/>
              <w:bottom w:val="single" w:sz="7" w:space="0" w:color="D4D4D4"/>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66" w:hRule="exact"/>
        </w:trPr>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
              <w:ind w:right="0"/>
              <w:jc w:val="center"/>
              <w:rPr>
                <w:rFonts w:ascii="Times New Roman" w:hAnsi="Times New Roman" w:cs="Times New Roman" w:eastAsia="Times New Roman" w:hint="default"/>
                <w:sz w:val="21"/>
                <w:szCs w:val="21"/>
              </w:rPr>
            </w:pPr>
            <w:r>
              <w:rPr>
                <w:rFonts w:ascii="Times New Roman"/>
                <w:sz w:val="21"/>
              </w:rPr>
              <w:t>--</w:t>
            </w:r>
          </w:p>
        </w:tc>
        <w:tc>
          <w:tcPr>
            <w:tcW w:w="159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2"/>
              <w:ind w:right="17"/>
              <w:jc w:val="right"/>
              <w:rPr>
                <w:rFonts w:ascii="Times New Roman" w:hAnsi="Times New Roman" w:cs="Times New Roman" w:eastAsia="Times New Roman" w:hint="default"/>
                <w:sz w:val="21"/>
                <w:szCs w:val="21"/>
              </w:rPr>
            </w:pPr>
            <w:r>
              <w:rPr>
                <w:rFonts w:ascii="Times New Roman"/>
                <w:spacing w:val="-1"/>
                <w:sz w:val="21"/>
              </w:rPr>
              <w:t>36,667.30</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
              <w:ind w:right="0"/>
              <w:jc w:val="center"/>
              <w:rPr>
                <w:rFonts w:ascii="Times New Roman" w:hAnsi="Times New Roman" w:cs="Times New Roman" w:eastAsia="Times New Roman" w:hint="default"/>
                <w:sz w:val="21"/>
                <w:szCs w:val="21"/>
              </w:rPr>
            </w:pPr>
            <w:r>
              <w:rPr>
                <w:rFonts w:ascii="Times New Roman"/>
                <w:sz w:val="21"/>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
              <w:ind w:right="0"/>
              <w:jc w:val="center"/>
              <w:rPr>
                <w:rFonts w:ascii="Times New Roman" w:hAnsi="Times New Roman" w:cs="Times New Roman" w:eastAsia="Times New Roman" w:hint="default"/>
                <w:sz w:val="21"/>
                <w:szCs w:val="21"/>
              </w:rPr>
            </w:pPr>
            <w:r>
              <w:rPr>
                <w:rFonts w:ascii="Times New Roman"/>
                <w:sz w:val="21"/>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
              <w:ind w:right="0"/>
              <w:jc w:val="center"/>
              <w:rPr>
                <w:rFonts w:ascii="Times New Roman" w:hAnsi="Times New Roman" w:cs="Times New Roman" w:eastAsia="Times New Roman" w:hint="default"/>
                <w:sz w:val="21"/>
                <w:szCs w:val="21"/>
              </w:rPr>
            </w:pPr>
            <w:r>
              <w:rPr>
                <w:rFonts w:ascii="Times New Roman"/>
                <w:sz w:val="21"/>
              </w:rPr>
              <w:t>--</w:t>
            </w:r>
          </w:p>
        </w:tc>
      </w:tr>
    </w:tbl>
    <w:p>
      <w:pPr>
        <w:pStyle w:val="BodyText"/>
        <w:spacing w:line="271" w:lineRule="exact"/>
        <w:ind w:right="0"/>
        <w:jc w:val="left"/>
      </w:pPr>
      <w:r>
        <w:rPr/>
        <w:t>应收账款核销说明：</w:t>
      </w:r>
    </w:p>
    <w:p>
      <w:pPr>
        <w:spacing w:after="0" w:line="271" w:lineRule="exact"/>
        <w:jc w:val="left"/>
        <w:sectPr>
          <w:pgSz w:w="11910" w:h="16840"/>
          <w:pgMar w:header="880" w:footer="979" w:top="1060" w:bottom="1160" w:left="980" w:right="980"/>
        </w:sectPr>
      </w:pPr>
    </w:p>
    <w:p>
      <w:pPr>
        <w:spacing w:line="240" w:lineRule="auto" w:before="8"/>
        <w:rPr>
          <w:rFonts w:ascii="宋体" w:hAnsi="宋体" w:cs="宋体" w:eastAsia="宋体" w:hint="default"/>
          <w:sz w:val="24"/>
          <w:szCs w:val="24"/>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2"/>
          <w:szCs w:val="12"/>
        </w:rPr>
      </w:pPr>
    </w:p>
    <w:p>
      <w:pPr>
        <w:spacing w:line="2340" w:lineRule="exact"/>
        <w:ind w:left="160" w:right="0" w:firstLine="0"/>
        <w:rPr>
          <w:rFonts w:ascii="宋体" w:hAnsi="宋体" w:cs="宋体" w:eastAsia="宋体" w:hint="default"/>
          <w:sz w:val="20"/>
          <w:szCs w:val="20"/>
        </w:rPr>
      </w:pPr>
      <w:r>
        <w:rPr>
          <w:rFonts w:ascii="宋体" w:hAnsi="宋体" w:cs="宋体" w:eastAsia="宋体" w:hint="default"/>
          <w:position w:val="-46"/>
          <w:sz w:val="20"/>
          <w:szCs w:val="20"/>
        </w:rPr>
        <w:drawing>
          <wp:inline distT="0" distB="0" distL="0" distR="0">
            <wp:extent cx="4591684" cy="1485900"/>
            <wp:effectExtent l="0" t="0" r="0" b="0"/>
            <wp:docPr id="39" name="image48.png" descr="?"/>
            <wp:cNvGraphicFramePr>
              <a:graphicFrameLocks noChangeAspect="1"/>
            </wp:cNvGraphicFramePr>
            <a:graphic>
              <a:graphicData uri="http://schemas.openxmlformats.org/drawingml/2006/picture">
                <pic:pic>
                  <pic:nvPicPr>
                    <pic:cNvPr id="40" name="image48.png"/>
                    <pic:cNvPicPr/>
                  </pic:nvPicPr>
                  <pic:blipFill>
                    <a:blip r:embed="rId85" cstate="print"/>
                    <a:stretch>
                      <a:fillRect/>
                    </a:stretch>
                  </pic:blipFill>
                  <pic:spPr>
                    <a:xfrm>
                      <a:off x="0" y="0"/>
                      <a:ext cx="4591684" cy="1485900"/>
                    </a:xfrm>
                    <a:prstGeom prst="rect">
                      <a:avLst/>
                    </a:prstGeom>
                  </pic:spPr>
                </pic:pic>
              </a:graphicData>
            </a:graphic>
          </wp:inline>
        </w:drawing>
      </w:r>
      <w:r>
        <w:rPr>
          <w:rFonts w:ascii="宋体" w:hAnsi="宋体" w:cs="宋体" w:eastAsia="宋体" w:hint="default"/>
          <w:position w:val="-46"/>
          <w:sz w:val="20"/>
          <w:szCs w:val="20"/>
        </w:rPr>
      </w:r>
    </w:p>
    <w:p>
      <w:pPr>
        <w:spacing w:line="240" w:lineRule="auto" w:before="9"/>
        <w:rPr>
          <w:rFonts w:ascii="宋体" w:hAnsi="宋体" w:cs="宋体" w:eastAsia="宋体" w:hint="default"/>
          <w:b/>
          <w:bCs/>
          <w:sz w:val="24"/>
          <w:szCs w:val="24"/>
        </w:rPr>
      </w:pPr>
    </w:p>
    <w:p>
      <w:pPr>
        <w:pStyle w:val="Heading5"/>
        <w:spacing w:line="240" w:lineRule="auto" w:before="36"/>
        <w:ind w:right="0"/>
        <w:jc w:val="left"/>
        <w:rPr>
          <w:b w:val="0"/>
          <w:bCs w:val="0"/>
        </w:rPr>
      </w:pPr>
      <w:bookmarkStart w:name="（4）按欠款方归集的期末余额前五名的应收账款情况" w:id="183"/>
      <w:bookmarkEnd w:id="183"/>
      <w:r>
        <w:rPr>
          <w:b w:val="0"/>
          <w:bCs w:val="0"/>
        </w:rPr>
      </w:r>
      <w:bookmarkStart w:name="5、预付款项" w:id="184"/>
      <w:bookmarkEnd w:id="184"/>
      <w:r>
        <w:rPr>
          <w:b w:val="0"/>
          <w:bCs w:val="0"/>
        </w:rPr>
      </w:r>
      <w:r>
        <w:rPr>
          <w:rFonts w:ascii="Times New Roman" w:hAnsi="Times New Roman" w:cs="Times New Roman" w:eastAsia="Times New Roman" w:hint="default"/>
        </w:rPr>
        <w:t>5</w:t>
      </w:r>
      <w:r>
        <w:rPr/>
        <w:t>、预付款项</w:t>
      </w:r>
      <w:r>
        <w:rPr>
          <w:b w:val="0"/>
          <w:bCs w:val="0"/>
        </w:rPr>
      </w:r>
    </w:p>
    <w:p>
      <w:pPr>
        <w:spacing w:line="240" w:lineRule="auto" w:before="0"/>
        <w:rPr>
          <w:rFonts w:ascii="宋体" w:hAnsi="宋体" w:cs="宋体" w:eastAsia="宋体" w:hint="default"/>
          <w:b/>
          <w:bCs/>
          <w:sz w:val="22"/>
          <w:szCs w:val="22"/>
        </w:rPr>
      </w:pPr>
    </w:p>
    <w:p>
      <w:pPr>
        <w:spacing w:line="240" w:lineRule="auto" w:before="6"/>
        <w:rPr>
          <w:rFonts w:ascii="宋体" w:hAnsi="宋体" w:cs="宋体" w:eastAsia="宋体" w:hint="default"/>
          <w:b/>
          <w:bCs/>
          <w:sz w:val="25"/>
          <w:szCs w:val="25"/>
        </w:rPr>
      </w:pPr>
    </w:p>
    <w:p>
      <w:pPr>
        <w:pStyle w:val="Heading5"/>
        <w:spacing w:line="240" w:lineRule="auto"/>
        <w:ind w:right="0"/>
        <w:jc w:val="left"/>
        <w:rPr>
          <w:b w:val="0"/>
          <w:bCs w:val="0"/>
        </w:rPr>
      </w:pPr>
      <w:bookmarkStart w:name="（1）预付款项按账龄列示" w:id="185"/>
      <w:bookmarkEnd w:id="185"/>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150"/>
        <w:jc w:val="right"/>
      </w:pPr>
      <w:r>
        <w:rPr/>
        <w:t>单位：</w:t>
      </w:r>
      <w:r>
        <w:rPr>
          <w:spacing w:val="2"/>
        </w:rPr>
        <w:t> </w:t>
      </w:r>
      <w:r>
        <w:rPr/>
        <w:t>元</w:t>
      </w:r>
    </w:p>
    <w:p>
      <w:pPr>
        <w:spacing w:line="240" w:lineRule="auto" w:before="10"/>
        <w:rPr>
          <w:rFonts w:ascii="宋体" w:hAnsi="宋体" w:cs="宋体" w:eastAsia="宋体" w:hint="default"/>
          <w:sz w:val="3"/>
          <w:szCs w:val="3"/>
        </w:rPr>
      </w:pPr>
    </w:p>
    <w:tbl>
      <w:tblPr>
        <w:tblW w:w="0" w:type="auto"/>
        <w:jc w:val="left"/>
        <w:tblInd w:w="160" w:type="dxa"/>
        <w:tblLayout w:type="fixed"/>
        <w:tblCellMar>
          <w:top w:w="0" w:type="dxa"/>
          <w:left w:w="0" w:type="dxa"/>
          <w:bottom w:w="0" w:type="dxa"/>
          <w:right w:w="0" w:type="dxa"/>
        </w:tblCellMar>
        <w:tblLook w:val="01E0"/>
      </w:tblPr>
      <w:tblGrid>
        <w:gridCol w:w="1901"/>
        <w:gridCol w:w="1915"/>
        <w:gridCol w:w="1913"/>
        <w:gridCol w:w="1915"/>
        <w:gridCol w:w="1915"/>
      </w:tblGrid>
      <w:tr>
        <w:trPr>
          <w:trHeight w:val="146" w:hRule="exact"/>
        </w:trPr>
        <w:tc>
          <w:tcPr>
            <w:tcW w:w="1901" w:type="dxa"/>
            <w:tcBorders>
              <w:top w:val="single" w:sz="4" w:space="0" w:color="000000"/>
              <w:left w:val="single" w:sz="4" w:space="0" w:color="000000"/>
              <w:bottom w:val="nil" w:sz="6" w:space="0" w:color="auto"/>
              <w:right w:val="single" w:sz="4" w:space="0" w:color="000000"/>
            </w:tcBorders>
            <w:shd w:val="clear" w:color="auto" w:fill="D4D4D4"/>
          </w:tcPr>
          <w:p>
            <w:pPr/>
          </w:p>
        </w:tc>
        <w:tc>
          <w:tcPr>
            <w:tcW w:w="3828"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32" w:hRule="exact"/>
        </w:trPr>
        <w:tc>
          <w:tcPr>
            <w:tcW w:w="1901" w:type="dxa"/>
            <w:vMerge w:val="restart"/>
            <w:tcBorders>
              <w:top w:val="nil" w:sz="6" w:space="0" w:color="auto"/>
              <w:left w:val="single" w:sz="4" w:space="0" w:color="000000"/>
              <w:right w:val="single" w:sz="4" w:space="0" w:color="000000"/>
            </w:tcBorders>
            <w:shd w:val="clear" w:color="auto" w:fill="D4D4D4"/>
          </w:tcPr>
          <w:p>
            <w:pPr>
              <w:pStyle w:val="TableParagraph"/>
              <w:spacing w:line="241" w:lineRule="exact"/>
              <w:ind w:right="7"/>
              <w:jc w:val="center"/>
              <w:rPr>
                <w:rFonts w:ascii="宋体" w:hAnsi="宋体" w:cs="宋体" w:eastAsia="宋体" w:hint="default"/>
                <w:sz w:val="21"/>
                <w:szCs w:val="21"/>
              </w:rPr>
            </w:pPr>
            <w:r>
              <w:rPr>
                <w:rFonts w:ascii="宋体" w:hAnsi="宋体" w:cs="宋体" w:eastAsia="宋体" w:hint="default"/>
                <w:sz w:val="21"/>
                <w:szCs w:val="21"/>
              </w:rPr>
              <w:t>账龄</w:t>
            </w:r>
          </w:p>
        </w:tc>
        <w:tc>
          <w:tcPr>
            <w:tcW w:w="3828" w:type="dxa"/>
            <w:gridSpan w:val="2"/>
            <w:vMerge/>
            <w:tcBorders>
              <w:left w:val="single" w:sz="4" w:space="0" w:color="000000"/>
              <w:bottom w:val="single" w:sz="4" w:space="0" w:color="000000"/>
              <w:right w:val="single" w:sz="4" w:space="0" w:color="000000"/>
            </w:tcBorders>
            <w:shd w:val="clear" w:color="auto" w:fill="D4D4D4"/>
          </w:tcPr>
          <w:p>
            <w:pPr/>
          </w:p>
        </w:tc>
        <w:tc>
          <w:tcPr>
            <w:tcW w:w="3830" w:type="dxa"/>
            <w:gridSpan w:val="2"/>
            <w:vMerge/>
            <w:tcBorders>
              <w:left w:val="single" w:sz="4" w:space="0" w:color="000000"/>
              <w:bottom w:val="single" w:sz="4" w:space="0" w:color="000000"/>
              <w:right w:val="single" w:sz="4" w:space="0" w:color="000000"/>
            </w:tcBorders>
            <w:shd w:val="clear" w:color="auto" w:fill="D4D4D4"/>
          </w:tcPr>
          <w:p>
            <w:pPr/>
          </w:p>
        </w:tc>
      </w:tr>
      <w:tr>
        <w:trPr>
          <w:trHeight w:val="139" w:hRule="exact"/>
        </w:trPr>
        <w:tc>
          <w:tcPr>
            <w:tcW w:w="1901" w:type="dxa"/>
            <w:vMerge/>
            <w:tcBorders>
              <w:left w:val="single" w:sz="4" w:space="0" w:color="000000"/>
              <w:bottom w:val="nil" w:sz="6" w:space="0" w:color="auto"/>
              <w:right w:val="single" w:sz="4" w:space="0" w:color="000000"/>
            </w:tcBorders>
            <w:shd w:val="clear" w:color="auto" w:fill="D4D4D4"/>
          </w:tcPr>
          <w:p>
            <w:pP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6" w:lineRule="exact"/>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6" w:lineRule="exact"/>
              <w:ind w:left="2"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6" w:lineRule="exact"/>
              <w:ind w:left="4" w:right="0"/>
              <w:jc w:val="center"/>
              <w:rPr>
                <w:rFonts w:ascii="宋体" w:hAnsi="宋体" w:cs="宋体" w:eastAsia="宋体" w:hint="default"/>
                <w:sz w:val="21"/>
                <w:szCs w:val="21"/>
              </w:rPr>
            </w:pPr>
            <w:r>
              <w:rPr>
                <w:rFonts w:ascii="宋体" w:hAnsi="宋体" w:cs="宋体" w:eastAsia="宋体" w:hint="default"/>
                <w:sz w:val="21"/>
                <w:szCs w:val="21"/>
              </w:rPr>
              <w:t>比例</w:t>
            </w:r>
          </w:p>
        </w:tc>
      </w:tr>
      <w:tr>
        <w:trPr>
          <w:trHeight w:val="146" w:hRule="exact"/>
        </w:trPr>
        <w:tc>
          <w:tcPr>
            <w:tcW w:w="1901" w:type="dxa"/>
            <w:tcBorders>
              <w:top w:val="nil" w:sz="6" w:space="0" w:color="auto"/>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c>
          <w:tcPr>
            <w:tcW w:w="1913" w:type="dxa"/>
            <w:vMerge/>
            <w:tcBorders>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r>
      <w:tr>
        <w:trPr>
          <w:trHeight w:val="283" w:hRule="exact"/>
        </w:trPr>
        <w:tc>
          <w:tcPr>
            <w:tcW w:w="19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59" w:lineRule="exact"/>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年以内</w:t>
            </w:r>
          </w:p>
        </w:tc>
        <w:tc>
          <w:tcPr>
            <w:tcW w:w="191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3,231,207.55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6"/>
              <w:jc w:val="right"/>
              <w:rPr>
                <w:rFonts w:ascii="Times New Roman" w:hAnsi="Times New Roman" w:cs="Times New Roman" w:eastAsia="Times New Roman" w:hint="default"/>
                <w:sz w:val="21"/>
                <w:szCs w:val="21"/>
              </w:rPr>
            </w:pPr>
            <w:r>
              <w:rPr>
                <w:rFonts w:ascii="Times New Roman"/>
                <w:sz w:val="21"/>
              </w:rPr>
              <w:t>95.92%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852,273.26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6"/>
              <w:jc w:val="right"/>
              <w:rPr>
                <w:rFonts w:ascii="Times New Roman" w:hAnsi="Times New Roman" w:cs="Times New Roman" w:eastAsia="Times New Roman" w:hint="default"/>
                <w:sz w:val="21"/>
                <w:szCs w:val="21"/>
              </w:rPr>
            </w:pPr>
            <w:r>
              <w:rPr>
                <w:rFonts w:ascii="Times New Roman"/>
                <w:sz w:val="21"/>
              </w:rPr>
              <w:t>100.00%</w:t>
            </w:r>
          </w:p>
        </w:tc>
      </w:tr>
      <w:tr>
        <w:trPr>
          <w:trHeight w:val="283" w:hRule="exact"/>
        </w:trPr>
        <w:tc>
          <w:tcPr>
            <w:tcW w:w="19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59" w:lineRule="exact"/>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91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137,518.18</w:t>
            </w:r>
          </w:p>
        </w:tc>
        <w:tc>
          <w:tcPr>
            <w:tcW w:w="1913" w:type="dxa"/>
            <w:tcBorders>
              <w:top w:val="single" w:sz="4" w:space="0" w:color="000000"/>
              <w:left w:val="single" w:sz="4" w:space="0" w:color="000000"/>
              <w:bottom w:val="single" w:sz="11" w:space="0" w:color="D4D4D4"/>
              <w:right w:val="single" w:sz="4" w:space="0" w:color="000000"/>
            </w:tcBorders>
          </w:tcPr>
          <w:p>
            <w:pPr>
              <w:pStyle w:val="TableParagraph"/>
              <w:spacing w:line="240" w:lineRule="auto" w:before="10"/>
              <w:ind w:right="16"/>
              <w:jc w:val="right"/>
              <w:rPr>
                <w:rFonts w:ascii="Times New Roman" w:hAnsi="Times New Roman" w:cs="Times New Roman" w:eastAsia="Times New Roman" w:hint="default"/>
                <w:sz w:val="21"/>
                <w:szCs w:val="21"/>
              </w:rPr>
            </w:pPr>
            <w:r>
              <w:rPr>
                <w:rFonts w:ascii="Times New Roman"/>
                <w:sz w:val="21"/>
              </w:rPr>
              <w:t>4.08%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z w:val="21"/>
              </w:rPr>
              <w:t>0.00</w:t>
            </w:r>
          </w:p>
        </w:tc>
        <w:tc>
          <w:tcPr>
            <w:tcW w:w="1915" w:type="dxa"/>
            <w:tcBorders>
              <w:top w:val="single" w:sz="4" w:space="0" w:color="000000"/>
              <w:left w:val="single" w:sz="4" w:space="0" w:color="000000"/>
              <w:bottom w:val="single" w:sz="11" w:space="0" w:color="D4D4D4"/>
              <w:right w:val="single" w:sz="4" w:space="0" w:color="000000"/>
            </w:tcBorders>
          </w:tcPr>
          <w:p>
            <w:pPr>
              <w:pStyle w:val="TableParagraph"/>
              <w:spacing w:line="240" w:lineRule="auto" w:before="10"/>
              <w:ind w:right="16"/>
              <w:jc w:val="right"/>
              <w:rPr>
                <w:rFonts w:ascii="Times New Roman" w:hAnsi="Times New Roman" w:cs="Times New Roman" w:eastAsia="Times New Roman" w:hint="default"/>
                <w:sz w:val="21"/>
                <w:szCs w:val="21"/>
              </w:rPr>
            </w:pPr>
            <w:r>
              <w:rPr>
                <w:rFonts w:ascii="Times New Roman"/>
                <w:sz w:val="21"/>
              </w:rPr>
              <w:t>0.00%</w:t>
            </w:r>
          </w:p>
        </w:tc>
      </w:tr>
      <w:tr>
        <w:trPr>
          <w:trHeight w:val="283" w:hRule="exact"/>
        </w:trPr>
        <w:tc>
          <w:tcPr>
            <w:tcW w:w="19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15" w:type="dxa"/>
            <w:tcBorders>
              <w:top w:val="single" w:sz="4" w:space="0" w:color="000000"/>
              <w:left w:val="single" w:sz="13" w:space="0" w:color="D4D4D4"/>
              <w:bottom w:val="single" w:sz="4" w:space="0" w:color="000000"/>
              <w:right w:val="single" w:sz="10" w:space="0" w:color="D4D4D4"/>
            </w:tcBorders>
          </w:tcPr>
          <w:p>
            <w:pPr>
              <w:pStyle w:val="TableParagraph"/>
              <w:spacing w:line="240" w:lineRule="auto" w:before="10"/>
              <w:ind w:right="9"/>
              <w:jc w:val="right"/>
              <w:rPr>
                <w:rFonts w:ascii="Times New Roman" w:hAnsi="Times New Roman" w:cs="Times New Roman" w:eastAsia="Times New Roman" w:hint="default"/>
                <w:sz w:val="21"/>
                <w:szCs w:val="21"/>
              </w:rPr>
            </w:pPr>
            <w:r>
              <w:rPr>
                <w:rFonts w:ascii="Times New Roman"/>
                <w:spacing w:val="-1"/>
                <w:sz w:val="21"/>
              </w:rPr>
              <w:t>3,368,725.73</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left="2" w:right="0"/>
              <w:jc w:val="center"/>
              <w:rPr>
                <w:rFonts w:ascii="Times New Roman" w:hAnsi="Times New Roman" w:cs="Times New Roman" w:eastAsia="Times New Roman" w:hint="default"/>
                <w:sz w:val="21"/>
                <w:szCs w:val="21"/>
              </w:rPr>
            </w:pPr>
            <w:r>
              <w:rPr>
                <w:rFonts w:ascii="Times New Roman"/>
                <w:sz w:val="21"/>
              </w:rPr>
              <w:t>--</w:t>
            </w:r>
          </w:p>
        </w:tc>
        <w:tc>
          <w:tcPr>
            <w:tcW w:w="1915" w:type="dxa"/>
            <w:tcBorders>
              <w:top w:val="single" w:sz="4" w:space="0" w:color="000000"/>
              <w:left w:val="single" w:sz="10" w:space="0" w:color="D4D4D4"/>
              <w:bottom w:val="single" w:sz="4" w:space="0" w:color="000000"/>
              <w:right w:val="single" w:sz="10" w:space="0" w:color="D4D4D4"/>
            </w:tcBorders>
          </w:tcPr>
          <w:p>
            <w:pPr>
              <w:pStyle w:val="TableParagraph"/>
              <w:spacing w:line="240" w:lineRule="auto" w:before="10"/>
              <w:ind w:right="12"/>
              <w:jc w:val="right"/>
              <w:rPr>
                <w:rFonts w:ascii="Times New Roman" w:hAnsi="Times New Roman" w:cs="Times New Roman" w:eastAsia="Times New Roman" w:hint="default"/>
                <w:sz w:val="21"/>
                <w:szCs w:val="21"/>
              </w:rPr>
            </w:pPr>
            <w:r>
              <w:rPr>
                <w:rFonts w:ascii="Times New Roman"/>
                <w:spacing w:val="-1"/>
                <w:sz w:val="21"/>
              </w:rPr>
              <w:t>852,273.26</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w:t>
            </w:r>
          </w:p>
        </w:tc>
      </w:tr>
    </w:tbl>
    <w:p>
      <w:pPr>
        <w:pStyle w:val="BodyText"/>
        <w:spacing w:line="278" w:lineRule="exact"/>
        <w:ind w:right="0"/>
        <w:jc w:val="left"/>
      </w:pPr>
      <w:r>
        <w:rPr/>
        <w:t>账龄超过</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年且金额重要的预付款项未及时结算原因的说明：</w:t>
      </w:r>
    </w:p>
    <w:p>
      <w:pPr>
        <w:spacing w:line="240" w:lineRule="auto" w:before="7"/>
        <w:rPr>
          <w:rFonts w:ascii="宋体" w:hAnsi="宋体" w:cs="宋体" w:eastAsia="宋体" w:hint="default"/>
          <w:sz w:val="24"/>
          <w:szCs w:val="24"/>
        </w:rPr>
      </w:pPr>
    </w:p>
    <w:p>
      <w:pPr>
        <w:pStyle w:val="Heading5"/>
        <w:spacing w:line="240" w:lineRule="auto"/>
        <w:ind w:right="0"/>
        <w:jc w:val="left"/>
        <w:rPr>
          <w:b w:val="0"/>
          <w:bCs w:val="0"/>
        </w:rPr>
      </w:pPr>
      <w:bookmarkStart w:name="（2）按预付对象归集的期末余额前五名的预付款情况" w:id="186"/>
      <w:bookmarkEnd w:id="186"/>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9"/>
        <w:rPr>
          <w:rFonts w:ascii="宋体" w:hAnsi="宋体" w:cs="宋体" w:eastAsia="宋体" w:hint="default"/>
          <w:b/>
          <w:bCs/>
          <w:sz w:val="28"/>
          <w:szCs w:val="28"/>
        </w:rPr>
      </w:pPr>
    </w:p>
    <w:p>
      <w:pPr>
        <w:spacing w:line="2745" w:lineRule="exact"/>
        <w:ind w:left="160" w:right="0" w:firstLine="0"/>
        <w:rPr>
          <w:rFonts w:ascii="宋体" w:hAnsi="宋体" w:cs="宋体" w:eastAsia="宋体" w:hint="default"/>
          <w:sz w:val="20"/>
          <w:szCs w:val="20"/>
        </w:rPr>
      </w:pPr>
      <w:r>
        <w:rPr>
          <w:rFonts w:ascii="宋体" w:hAnsi="宋体" w:cs="宋体" w:eastAsia="宋体" w:hint="default"/>
          <w:position w:val="-54"/>
          <w:sz w:val="20"/>
          <w:szCs w:val="20"/>
        </w:rPr>
        <w:drawing>
          <wp:inline distT="0" distB="0" distL="0" distR="0">
            <wp:extent cx="5544186" cy="1743075"/>
            <wp:effectExtent l="0" t="0" r="0" b="0"/>
            <wp:docPr id="41" name="image49.png" descr="?"/>
            <wp:cNvGraphicFramePr>
              <a:graphicFrameLocks noChangeAspect="1"/>
            </wp:cNvGraphicFramePr>
            <a:graphic>
              <a:graphicData uri="http://schemas.openxmlformats.org/drawingml/2006/picture">
                <pic:pic>
                  <pic:nvPicPr>
                    <pic:cNvPr id="42" name="image49.png"/>
                    <pic:cNvPicPr/>
                  </pic:nvPicPr>
                  <pic:blipFill>
                    <a:blip r:embed="rId86" cstate="print"/>
                    <a:stretch>
                      <a:fillRect/>
                    </a:stretch>
                  </pic:blipFill>
                  <pic:spPr>
                    <a:xfrm>
                      <a:off x="0" y="0"/>
                      <a:ext cx="5544186" cy="1743075"/>
                    </a:xfrm>
                    <a:prstGeom prst="rect">
                      <a:avLst/>
                    </a:prstGeom>
                  </pic:spPr>
                </pic:pic>
              </a:graphicData>
            </a:graphic>
          </wp:inline>
        </w:drawing>
      </w:r>
      <w:r>
        <w:rPr>
          <w:rFonts w:ascii="宋体" w:hAnsi="宋体" w:cs="宋体" w:eastAsia="宋体" w:hint="default"/>
          <w:position w:val="-54"/>
          <w:sz w:val="20"/>
          <w:szCs w:val="20"/>
        </w:rPr>
      </w:r>
    </w:p>
    <w:p>
      <w:pPr>
        <w:pStyle w:val="BodyText"/>
        <w:spacing w:line="264" w:lineRule="auto" w:before="11"/>
        <w:ind w:right="0"/>
        <w:jc w:val="left"/>
      </w:pPr>
      <w:r>
        <w:rPr/>
        <w:t>其他说明：</w:t>
      </w:r>
      <w:r>
        <w:rPr>
          <w:spacing w:val="-102"/>
        </w:rPr>
        <w:t> </w:t>
      </w:r>
      <w:r>
        <w:rPr>
          <w:spacing w:val="-102"/>
        </w:rPr>
      </w:r>
      <w:r>
        <w:rPr>
          <w:spacing w:val="-2"/>
        </w:rPr>
        <w:t>预付款项期末余额比期初余额增加</w:t>
      </w:r>
      <w:r>
        <w:rPr>
          <w:rFonts w:ascii="Times New Roman" w:hAnsi="Times New Roman" w:cs="Times New Roman" w:eastAsia="Times New Roman" w:hint="default"/>
          <w:spacing w:val="-2"/>
        </w:rPr>
        <w:t>2,516,452.47</w:t>
      </w:r>
      <w:r>
        <w:rPr>
          <w:spacing w:val="-2"/>
        </w:rPr>
        <w:t>元，增幅为</w:t>
      </w:r>
      <w:r>
        <w:rPr>
          <w:rFonts w:ascii="Times New Roman" w:hAnsi="Times New Roman" w:cs="Times New Roman" w:eastAsia="Times New Roman" w:hint="default"/>
          <w:spacing w:val="-2"/>
        </w:rPr>
        <w:t>295.26%</w:t>
      </w:r>
      <w:r>
        <w:rPr>
          <w:spacing w:val="-2"/>
        </w:rPr>
        <w:t>，主要系本公司预付教学软件款及版权</w:t>
      </w:r>
      <w:r>
        <w:rPr>
          <w:spacing w:val="-6"/>
        </w:rPr>
        <w:t> </w:t>
      </w:r>
      <w:r>
        <w:rPr>
          <w:spacing w:val="-6"/>
        </w:rPr>
      </w:r>
      <w:r>
        <w:rPr/>
        <w:t>费增加所致。</w:t>
      </w:r>
    </w:p>
    <w:p>
      <w:pPr>
        <w:spacing w:line="240" w:lineRule="auto" w:before="2"/>
        <w:rPr>
          <w:rFonts w:ascii="宋体" w:hAnsi="宋体" w:cs="宋体" w:eastAsia="宋体" w:hint="default"/>
          <w:sz w:val="24"/>
          <w:szCs w:val="24"/>
        </w:rPr>
      </w:pPr>
    </w:p>
    <w:p>
      <w:pPr>
        <w:pStyle w:val="Heading5"/>
        <w:spacing w:line="240" w:lineRule="auto"/>
        <w:ind w:right="0"/>
        <w:jc w:val="left"/>
        <w:rPr>
          <w:b w:val="0"/>
          <w:bCs w:val="0"/>
        </w:rPr>
      </w:pPr>
      <w:bookmarkStart w:name="6、应收利息" w:id="187"/>
      <w:bookmarkEnd w:id="187"/>
      <w:r>
        <w:rPr>
          <w:b w:val="0"/>
          <w:bCs w:val="0"/>
        </w:rPr>
      </w:r>
      <w:r>
        <w:rPr>
          <w:rFonts w:ascii="Times New Roman" w:hAnsi="Times New Roman" w:cs="Times New Roman" w:eastAsia="Times New Roman" w:hint="default"/>
        </w:rPr>
        <w:t>6</w:t>
      </w:r>
      <w:r>
        <w:rPr/>
        <w:t>、应收利息</w:t>
      </w:r>
      <w:r>
        <w:rPr>
          <w:b w:val="0"/>
          <w:bCs w:val="0"/>
        </w:rPr>
      </w:r>
    </w:p>
    <w:p>
      <w:pPr>
        <w:spacing w:line="240" w:lineRule="auto" w:before="0"/>
        <w:rPr>
          <w:rFonts w:ascii="宋体" w:hAnsi="宋体" w:cs="宋体" w:eastAsia="宋体" w:hint="default"/>
          <w:b/>
          <w:bCs/>
          <w:sz w:val="22"/>
          <w:szCs w:val="22"/>
        </w:rPr>
      </w:pPr>
    </w:p>
    <w:p>
      <w:pPr>
        <w:spacing w:line="240" w:lineRule="auto" w:before="6"/>
        <w:rPr>
          <w:rFonts w:ascii="宋体" w:hAnsi="宋体" w:cs="宋体" w:eastAsia="宋体" w:hint="default"/>
          <w:b/>
          <w:bCs/>
          <w:sz w:val="25"/>
          <w:szCs w:val="25"/>
        </w:rPr>
      </w:pPr>
    </w:p>
    <w:p>
      <w:pPr>
        <w:pStyle w:val="Heading5"/>
        <w:spacing w:line="240" w:lineRule="auto"/>
        <w:ind w:right="0"/>
        <w:jc w:val="left"/>
        <w:rPr>
          <w:b w:val="0"/>
          <w:bCs w:val="0"/>
        </w:rPr>
      </w:pPr>
      <w:bookmarkStart w:name="（1）应收利息分类" w:id="188"/>
      <w:bookmarkEnd w:id="188"/>
      <w:r>
        <w:rPr>
          <w:b w:val="0"/>
          <w:bCs w:val="0"/>
        </w:rPr>
      </w:r>
      <w:r>
        <w:rPr/>
        <w:t>（</w:t>
      </w:r>
      <w:r>
        <w:rPr>
          <w:rFonts w:ascii="Times New Roman" w:hAnsi="Times New Roman" w:cs="Times New Roman" w:eastAsia="Times New Roman" w:hint="default"/>
        </w:rPr>
        <w:t>1</w:t>
      </w:r>
      <w:r>
        <w:rPr/>
        <w:t>）应收利息分类</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left="0" w:right="150"/>
        <w:jc w:val="right"/>
      </w:pPr>
      <w:r>
        <w:rPr/>
        <w:t>单位：</w:t>
      </w:r>
      <w:r>
        <w:rPr>
          <w:spacing w:val="2"/>
        </w:rPr>
        <w:t> </w:t>
      </w:r>
      <w:r>
        <w:rPr/>
        <w:t>元</w:t>
      </w:r>
    </w:p>
    <w:p>
      <w:pPr>
        <w:spacing w:after="0" w:line="240" w:lineRule="auto"/>
        <w:jc w:val="right"/>
        <w:sectPr>
          <w:pgSz w:w="11910" w:h="16840"/>
          <w:pgMar w:header="880" w:footer="979" w:top="1060" w:bottom="1160" w:left="980" w:right="98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28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定期存款</w:t>
            </w:r>
          </w:p>
        </w:tc>
        <w:tc>
          <w:tcPr>
            <w:tcW w:w="319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288,233.55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理财产品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1,340,575.34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1,628,808.89</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62" w:lineRule="exact"/>
        <w:ind w:right="0"/>
        <w:jc w:val="left"/>
      </w:pPr>
      <w:r>
        <w:rPr/>
        <w:t>其他说明：</w:t>
      </w:r>
    </w:p>
    <w:p>
      <w:pPr>
        <w:pStyle w:val="Heading5"/>
        <w:spacing w:line="256" w:lineRule="auto" w:before="157"/>
        <w:ind w:right="0" w:firstLine="422"/>
        <w:jc w:val="left"/>
        <w:rPr>
          <w:b w:val="0"/>
          <w:bCs w:val="0"/>
        </w:rPr>
      </w:pPr>
      <w:r>
        <w:rPr>
          <w:spacing w:val="-2"/>
        </w:rPr>
        <w:t>应收利息期末余额比期初余额增加</w:t>
      </w:r>
      <w:r>
        <w:rPr>
          <w:rFonts w:ascii="Times New Roman" w:hAnsi="Times New Roman" w:cs="Times New Roman" w:eastAsia="Times New Roman" w:hint="default"/>
          <w:spacing w:val="-2"/>
        </w:rPr>
        <w:t>1,628,808.89</w:t>
      </w:r>
      <w:r>
        <w:rPr>
          <w:spacing w:val="-2"/>
        </w:rPr>
        <w:t>元，增幅为</w:t>
      </w:r>
      <w:r>
        <w:rPr>
          <w:rFonts w:ascii="Times New Roman" w:hAnsi="Times New Roman" w:cs="Times New Roman" w:eastAsia="Times New Roman" w:hint="default"/>
          <w:spacing w:val="-2"/>
        </w:rPr>
        <w:t>100.00%</w:t>
      </w:r>
      <w:r>
        <w:rPr>
          <w:spacing w:val="-2"/>
        </w:rPr>
        <w:t>，主要系本公司的本期的定期存款</w:t>
      </w:r>
      <w:r>
        <w:rPr>
          <w:w w:val="100"/>
        </w:rPr>
        <w:t> </w:t>
      </w:r>
      <w:r>
        <w:rPr/>
        <w:t>和理财产品到期日跨期，而上期未跨期所致。</w:t>
      </w:r>
      <w:r>
        <w:rPr>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8"/>
          <w:szCs w:val="28"/>
        </w:rPr>
      </w:pPr>
    </w:p>
    <w:p>
      <w:pPr>
        <w:pStyle w:val="Heading5"/>
        <w:spacing w:line="240" w:lineRule="auto"/>
        <w:ind w:right="0"/>
        <w:jc w:val="left"/>
        <w:rPr>
          <w:b w:val="0"/>
          <w:bCs w:val="0"/>
        </w:rPr>
      </w:pPr>
      <w:bookmarkStart w:name="7、其他应收款" w:id="189"/>
      <w:bookmarkEnd w:id="189"/>
      <w:r>
        <w:rPr>
          <w:b w:val="0"/>
          <w:bCs w:val="0"/>
        </w:rPr>
      </w:r>
      <w:r>
        <w:rPr>
          <w:rFonts w:ascii="Times New Roman" w:hAnsi="Times New Roman" w:cs="Times New Roman" w:eastAsia="Times New Roman" w:hint="default"/>
        </w:rPr>
        <w:t>7</w:t>
      </w:r>
      <w:r>
        <w:rPr/>
        <w:t>、其他应收款</w:t>
      </w:r>
      <w:r>
        <w:rPr>
          <w:b w:val="0"/>
          <w:bCs w:val="0"/>
        </w:rPr>
      </w:r>
    </w:p>
    <w:p>
      <w:pPr>
        <w:spacing w:line="240" w:lineRule="auto" w:before="0"/>
        <w:rPr>
          <w:rFonts w:ascii="宋体" w:hAnsi="宋体" w:cs="宋体" w:eastAsia="宋体" w:hint="default"/>
          <w:b/>
          <w:bCs/>
          <w:sz w:val="22"/>
          <w:szCs w:val="22"/>
        </w:rPr>
      </w:pPr>
    </w:p>
    <w:p>
      <w:pPr>
        <w:spacing w:line="240" w:lineRule="auto" w:before="6"/>
        <w:rPr>
          <w:rFonts w:ascii="宋体" w:hAnsi="宋体" w:cs="宋体" w:eastAsia="宋体" w:hint="default"/>
          <w:b/>
          <w:bCs/>
          <w:sz w:val="25"/>
          <w:szCs w:val="25"/>
        </w:rPr>
      </w:pPr>
    </w:p>
    <w:p>
      <w:pPr>
        <w:pStyle w:val="Heading5"/>
        <w:spacing w:line="240" w:lineRule="auto"/>
        <w:ind w:right="0"/>
        <w:jc w:val="left"/>
        <w:rPr>
          <w:b w:val="0"/>
          <w:bCs w:val="0"/>
        </w:rPr>
      </w:pPr>
      <w:bookmarkStart w:name="（1）其他应收款分类披露" w:id="190"/>
      <w:bookmarkEnd w:id="190"/>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left="0" w:right="150"/>
        <w:jc w:val="right"/>
      </w:pPr>
      <w:r>
        <w:rPr/>
        <w:t>单位：</w:t>
      </w:r>
      <w:r>
        <w:rPr>
          <w:spacing w:val="2"/>
        </w:rPr>
        <w:t> </w:t>
      </w:r>
      <w:r>
        <w:rPr/>
        <w:t>元</w:t>
      </w:r>
    </w:p>
    <w:p>
      <w:pPr>
        <w:spacing w:line="240" w:lineRule="auto" w:before="10"/>
        <w:rPr>
          <w:rFonts w:ascii="宋体" w:hAnsi="宋体" w:cs="宋体" w:eastAsia="宋体" w:hint="default"/>
          <w:sz w:val="3"/>
          <w:szCs w:val="3"/>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7"/>
        <w:gridCol w:w="655"/>
        <w:gridCol w:w="761"/>
        <w:gridCol w:w="814"/>
        <w:gridCol w:w="934"/>
        <w:gridCol w:w="931"/>
      </w:tblGrid>
      <w:tr>
        <w:trPr>
          <w:trHeight w:val="278" w:hRule="exact"/>
        </w:trPr>
        <w:tc>
          <w:tcPr>
            <w:tcW w:w="1612" w:type="dxa"/>
            <w:vMerge w:val="restart"/>
            <w:tcBorders>
              <w:top w:val="single" w:sz="4" w:space="0" w:color="000000"/>
              <w:left w:val="single" w:sz="4" w:space="0" w:color="000000"/>
              <w:right w:val="single" w:sz="4" w:space="0" w:color="000000"/>
            </w:tcBorders>
            <w:shd w:val="clear" w:color="auto" w:fill="D4D4D4"/>
          </w:tcPr>
          <w:p>
            <w:pPr/>
          </w:p>
        </w:tc>
        <w:tc>
          <w:tcPr>
            <w:tcW w:w="3848"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5"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49" w:hRule="exact"/>
        </w:trPr>
        <w:tc>
          <w:tcPr>
            <w:tcW w:w="1612" w:type="dxa"/>
            <w:vMerge/>
            <w:tcBorders>
              <w:left w:val="single" w:sz="4" w:space="0" w:color="000000"/>
              <w:bottom w:val="nil" w:sz="6" w:space="0" w:color="auto"/>
              <w:right w:val="single" w:sz="4" w:space="0" w:color="000000"/>
            </w:tcBorders>
            <w:shd w:val="clear" w:color="auto" w:fill="D4D4D4"/>
          </w:tcPr>
          <w:p>
            <w:pPr/>
          </w:p>
        </w:tc>
        <w:tc>
          <w:tcPr>
            <w:tcW w:w="1535"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6" w:lineRule="exact"/>
              <w:ind w:left="34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6" w:lineRule="exact"/>
              <w:ind w:left="33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787" w:type="dxa"/>
            <w:tcBorders>
              <w:top w:val="single" w:sz="4" w:space="0" w:color="000000"/>
              <w:left w:val="single" w:sz="4" w:space="0" w:color="000000"/>
              <w:bottom w:val="nil" w:sz="6" w:space="0" w:color="auto"/>
              <w:right w:val="single" w:sz="4" w:space="0" w:color="000000"/>
            </w:tcBorders>
            <w:shd w:val="clear" w:color="auto" w:fill="D4D4D4"/>
          </w:tcPr>
          <w:p>
            <w:pPr/>
          </w:p>
        </w:tc>
        <w:tc>
          <w:tcPr>
            <w:tcW w:w="141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6" w:lineRule="exact"/>
              <w:ind w:left="28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47"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6" w:lineRule="exact"/>
              <w:ind w:left="45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931" w:type="dxa"/>
            <w:vMerge w:val="restart"/>
            <w:tcBorders>
              <w:top w:val="single" w:sz="4" w:space="0" w:color="000000"/>
              <w:left w:val="single" w:sz="4" w:space="0" w:color="000000"/>
              <w:right w:val="single" w:sz="4" w:space="0" w:color="000000"/>
            </w:tcBorders>
            <w:shd w:val="clear" w:color="auto" w:fill="D4D4D4"/>
          </w:tcPr>
          <w:p>
            <w:pPr/>
          </w:p>
        </w:tc>
      </w:tr>
      <w:tr>
        <w:trPr>
          <w:trHeight w:val="142" w:hRule="exact"/>
        </w:trPr>
        <w:tc>
          <w:tcPr>
            <w:tcW w:w="1612" w:type="dxa"/>
            <w:vMerge w:val="restart"/>
            <w:tcBorders>
              <w:top w:val="nil" w:sz="6" w:space="0" w:color="auto"/>
              <w:left w:val="single" w:sz="4" w:space="0" w:color="000000"/>
              <w:right w:val="single" w:sz="4" w:space="0" w:color="000000"/>
            </w:tcBorders>
            <w:shd w:val="clear" w:color="auto" w:fill="D4D4D4"/>
          </w:tcPr>
          <w:p>
            <w:pPr>
              <w:pStyle w:val="TableParagraph"/>
              <w:spacing w:line="238" w:lineRule="exact"/>
              <w:ind w:left="1"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535" w:type="dxa"/>
            <w:gridSpan w:val="2"/>
            <w:vMerge/>
            <w:tcBorders>
              <w:left w:val="single" w:sz="4" w:space="0" w:color="000000"/>
              <w:bottom w:val="single" w:sz="4" w:space="0" w:color="000000"/>
              <w:right w:val="single" w:sz="4" w:space="0" w:color="000000"/>
            </w:tcBorders>
            <w:shd w:val="clear" w:color="auto" w:fill="D4D4D4"/>
          </w:tcPr>
          <w:p>
            <w:pPr/>
          </w:p>
        </w:tc>
        <w:tc>
          <w:tcPr>
            <w:tcW w:w="1526" w:type="dxa"/>
            <w:gridSpan w:val="2"/>
            <w:vMerge/>
            <w:tcBorders>
              <w:left w:val="single" w:sz="4" w:space="0" w:color="000000"/>
              <w:bottom w:val="single" w:sz="4" w:space="0" w:color="000000"/>
              <w:right w:val="single" w:sz="4" w:space="0" w:color="000000"/>
            </w:tcBorders>
            <w:shd w:val="clear" w:color="auto" w:fill="D4D4D4"/>
          </w:tcPr>
          <w:p>
            <w:pPr/>
          </w:p>
        </w:tc>
        <w:tc>
          <w:tcPr>
            <w:tcW w:w="787" w:type="dxa"/>
            <w:vMerge w:val="restart"/>
            <w:tcBorders>
              <w:top w:val="nil" w:sz="6" w:space="0" w:color="auto"/>
              <w:left w:val="single" w:sz="4" w:space="0" w:color="000000"/>
              <w:right w:val="single" w:sz="4" w:space="0" w:color="000000"/>
            </w:tcBorders>
            <w:shd w:val="clear" w:color="auto" w:fill="D4D4D4"/>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账面价</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值</w:t>
            </w:r>
          </w:p>
        </w:tc>
        <w:tc>
          <w:tcPr>
            <w:tcW w:w="1416" w:type="dxa"/>
            <w:gridSpan w:val="2"/>
            <w:vMerge/>
            <w:tcBorders>
              <w:left w:val="single" w:sz="4" w:space="0" w:color="000000"/>
              <w:bottom w:val="single" w:sz="4" w:space="0" w:color="000000"/>
              <w:right w:val="single" w:sz="4" w:space="0" w:color="000000"/>
            </w:tcBorders>
            <w:shd w:val="clear" w:color="auto" w:fill="D4D4D4"/>
          </w:tcPr>
          <w:p>
            <w:pPr/>
          </w:p>
        </w:tc>
        <w:tc>
          <w:tcPr>
            <w:tcW w:w="1747" w:type="dxa"/>
            <w:gridSpan w:val="2"/>
            <w:vMerge/>
            <w:tcBorders>
              <w:left w:val="single" w:sz="4" w:space="0" w:color="000000"/>
              <w:bottom w:val="single" w:sz="4" w:space="0" w:color="000000"/>
              <w:right w:val="single" w:sz="4" w:space="0" w:color="000000"/>
            </w:tcBorders>
            <w:shd w:val="clear" w:color="auto" w:fill="D4D4D4"/>
          </w:tcPr>
          <w:p>
            <w:pPr/>
          </w:p>
        </w:tc>
        <w:tc>
          <w:tcPr>
            <w:tcW w:w="931" w:type="dxa"/>
            <w:vMerge/>
            <w:tcBorders>
              <w:left w:val="single" w:sz="4" w:space="0" w:color="000000"/>
              <w:bottom w:val="nil" w:sz="6" w:space="0" w:color="auto"/>
              <w:right w:val="single" w:sz="4" w:space="0" w:color="000000"/>
            </w:tcBorders>
            <w:shd w:val="clear" w:color="auto" w:fill="D4D4D4"/>
          </w:tcPr>
          <w:p>
            <w:pPr/>
          </w:p>
        </w:tc>
      </w:tr>
      <w:tr>
        <w:trPr>
          <w:trHeight w:val="137" w:hRule="exact"/>
        </w:trPr>
        <w:tc>
          <w:tcPr>
            <w:tcW w:w="1612" w:type="dxa"/>
            <w:vMerge/>
            <w:tcBorders>
              <w:left w:val="single" w:sz="4" w:space="0" w:color="000000"/>
              <w:bottom w:val="single" w:sz="4" w:space="0" w:color="FFFFFF"/>
              <w:right w:val="single" w:sz="4" w:space="0" w:color="000000"/>
            </w:tcBorders>
            <w:shd w:val="clear" w:color="auto" w:fill="D4D4D4"/>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3" w:type="dxa"/>
            <w:vMerge w:val="restart"/>
            <w:tcBorders>
              <w:top w:val="single" w:sz="4" w:space="0" w:color="000000"/>
              <w:left w:val="single" w:sz="4" w:space="0" w:color="000000"/>
              <w:right w:val="single" w:sz="4" w:space="0" w:color="000000"/>
            </w:tcBorders>
            <w:shd w:val="clear" w:color="auto" w:fill="D4D4D4"/>
          </w:tcPr>
          <w:p>
            <w:pPr>
              <w:pStyle w:val="TableParagraph"/>
              <w:spacing w:line="238" w:lineRule="exact"/>
              <w:ind w:left="4" w:right="0"/>
              <w:jc w:val="center"/>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例</w:t>
            </w:r>
          </w:p>
        </w:tc>
        <w:tc>
          <w:tcPr>
            <w:tcW w:w="787" w:type="dxa"/>
            <w:vMerge/>
            <w:tcBorders>
              <w:left w:val="single" w:sz="4" w:space="0" w:color="000000"/>
              <w:right w:val="single" w:sz="4" w:space="0" w:color="000000"/>
            </w:tcBorders>
            <w:shd w:val="clear" w:color="auto" w:fill="D4D4D4"/>
          </w:tcPr>
          <w:p>
            <w:pPr/>
          </w:p>
        </w:tc>
        <w:tc>
          <w:tcPr>
            <w:tcW w:w="655" w:type="dxa"/>
            <w:tcBorders>
              <w:top w:val="single" w:sz="4" w:space="0" w:color="000000"/>
              <w:left w:val="single" w:sz="4" w:space="0" w:color="000000"/>
              <w:bottom w:val="nil" w:sz="6" w:space="0" w:color="auto"/>
              <w:right w:val="single" w:sz="4" w:space="0" w:color="000000"/>
            </w:tcBorders>
            <w:shd w:val="clear" w:color="auto" w:fill="D4D4D4"/>
          </w:tcPr>
          <w:p>
            <w:pPr/>
          </w:p>
        </w:tc>
        <w:tc>
          <w:tcPr>
            <w:tcW w:w="761" w:type="dxa"/>
            <w:tcBorders>
              <w:top w:val="single" w:sz="4" w:space="0" w:color="000000"/>
              <w:left w:val="single" w:sz="4" w:space="0" w:color="000000"/>
              <w:bottom w:val="nil" w:sz="6" w:space="0" w:color="auto"/>
              <w:right w:val="single" w:sz="4" w:space="0" w:color="000000"/>
            </w:tcBorders>
            <w:shd w:val="clear" w:color="auto" w:fill="D4D4D4"/>
          </w:tcPr>
          <w:p>
            <w:pPr/>
          </w:p>
        </w:tc>
        <w:tc>
          <w:tcPr>
            <w:tcW w:w="814" w:type="dxa"/>
            <w:tcBorders>
              <w:top w:val="single" w:sz="4" w:space="0" w:color="000000"/>
              <w:left w:val="single" w:sz="4" w:space="0" w:color="000000"/>
              <w:bottom w:val="nil" w:sz="6" w:space="0" w:color="auto"/>
              <w:right w:val="single" w:sz="4" w:space="0" w:color="000000"/>
            </w:tcBorders>
            <w:shd w:val="clear" w:color="auto" w:fill="D4D4D4"/>
          </w:tcPr>
          <w:p>
            <w:pPr/>
          </w:p>
        </w:tc>
        <w:tc>
          <w:tcPr>
            <w:tcW w:w="934" w:type="dxa"/>
            <w:tcBorders>
              <w:top w:val="single" w:sz="4" w:space="0" w:color="000000"/>
              <w:left w:val="single" w:sz="4" w:space="0" w:color="000000"/>
              <w:bottom w:val="nil" w:sz="6" w:space="0" w:color="auto"/>
              <w:right w:val="single" w:sz="4" w:space="0" w:color="000000"/>
            </w:tcBorders>
            <w:shd w:val="clear" w:color="auto" w:fill="D4D4D4"/>
          </w:tcPr>
          <w:p>
            <w:pPr/>
          </w:p>
        </w:tc>
        <w:tc>
          <w:tcPr>
            <w:tcW w:w="931" w:type="dxa"/>
            <w:vMerge w:val="restart"/>
            <w:tcBorders>
              <w:top w:val="nil" w:sz="6" w:space="0" w:color="auto"/>
              <w:left w:val="single" w:sz="23" w:space="0" w:color="D4D4D4"/>
              <w:right w:val="single" w:sz="12" w:space="0" w:color="D4D4D4"/>
            </w:tcBorders>
          </w:tcPr>
          <w:p>
            <w:pPr>
              <w:pStyle w:val="TableParagraph"/>
              <w:spacing w:line="238" w:lineRule="exact"/>
              <w:ind w:left="16"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4D4D4" w:color="auto" w:val="clear"/>
              </w:rPr>
              <w:t>账面价值</w:t>
            </w:r>
            <w:r>
              <w:rPr>
                <w:rFonts w:ascii="宋体" w:hAnsi="宋体" w:cs="宋体" w:eastAsia="宋体" w:hint="default"/>
                <w:sz w:val="21"/>
                <w:szCs w:val="21"/>
              </w:rPr>
            </w:r>
          </w:p>
        </w:tc>
      </w:tr>
      <w:tr>
        <w:trPr>
          <w:trHeight w:val="134" w:hRule="exact"/>
        </w:trPr>
        <w:tc>
          <w:tcPr>
            <w:tcW w:w="1612" w:type="dxa"/>
            <w:vMerge w:val="restart"/>
            <w:tcBorders>
              <w:top w:val="single" w:sz="4" w:space="0" w:color="FFFFFF"/>
              <w:left w:val="single" w:sz="4" w:space="0" w:color="000000"/>
              <w:right w:val="single" w:sz="4" w:space="0" w:color="000000"/>
            </w:tcBorders>
            <w:shd w:val="clear" w:color="auto" w:fill="D4D4D4"/>
          </w:tcPr>
          <w:p>
            <w:pPr/>
          </w:p>
        </w:tc>
        <w:tc>
          <w:tcPr>
            <w:tcW w:w="774" w:type="dxa"/>
            <w:vMerge w:val="restart"/>
            <w:tcBorders>
              <w:top w:val="single" w:sz="4" w:space="0" w:color="FFFFFF"/>
              <w:left w:val="single" w:sz="4" w:space="0" w:color="000000"/>
              <w:right w:val="single" w:sz="4" w:space="0" w:color="000000"/>
            </w:tcBorders>
            <w:shd w:val="clear" w:color="auto" w:fill="D4D4D4"/>
          </w:tcPr>
          <w:p>
            <w:pPr>
              <w:pStyle w:val="TableParagraph"/>
              <w:spacing w:line="238" w:lineRule="exact"/>
              <w:ind w:left="17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61" w:type="dxa"/>
            <w:vMerge w:val="restart"/>
            <w:tcBorders>
              <w:top w:val="single" w:sz="4" w:space="0" w:color="FFFFFF"/>
              <w:left w:val="single" w:sz="4" w:space="0" w:color="000000"/>
              <w:right w:val="single" w:sz="4" w:space="0" w:color="000000"/>
            </w:tcBorders>
            <w:shd w:val="clear" w:color="auto" w:fill="D4D4D4"/>
          </w:tcPr>
          <w:p>
            <w:pPr>
              <w:pStyle w:val="TableParagraph"/>
              <w:spacing w:line="238" w:lineRule="exact"/>
              <w:ind w:left="165"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763" w:type="dxa"/>
            <w:vMerge w:val="restart"/>
            <w:tcBorders>
              <w:top w:val="single" w:sz="4" w:space="0" w:color="FFFFFF"/>
              <w:left w:val="single" w:sz="4" w:space="0" w:color="000000"/>
              <w:right w:val="single" w:sz="4" w:space="0" w:color="000000"/>
            </w:tcBorders>
            <w:shd w:val="clear" w:color="auto" w:fill="D4D4D4"/>
          </w:tcPr>
          <w:p>
            <w:pPr>
              <w:pStyle w:val="TableParagraph"/>
              <w:spacing w:line="238" w:lineRule="exact"/>
              <w:ind w:left="16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63" w:type="dxa"/>
            <w:vMerge/>
            <w:tcBorders>
              <w:left w:val="single" w:sz="4" w:space="0" w:color="000000"/>
              <w:right w:val="single" w:sz="4" w:space="0" w:color="000000"/>
            </w:tcBorders>
            <w:shd w:val="clear" w:color="auto" w:fill="D4D4D4"/>
          </w:tcPr>
          <w:p>
            <w:pPr/>
          </w:p>
        </w:tc>
        <w:tc>
          <w:tcPr>
            <w:tcW w:w="787" w:type="dxa"/>
            <w:vMerge/>
            <w:tcBorders>
              <w:left w:val="single" w:sz="4" w:space="0" w:color="000000"/>
              <w:right w:val="single" w:sz="4" w:space="0" w:color="000000"/>
            </w:tcBorders>
            <w:shd w:val="clear" w:color="auto" w:fill="D4D4D4"/>
          </w:tcPr>
          <w:p>
            <w:pPr/>
          </w:p>
        </w:tc>
        <w:tc>
          <w:tcPr>
            <w:tcW w:w="655" w:type="dxa"/>
            <w:vMerge w:val="restart"/>
            <w:tcBorders>
              <w:top w:val="nil" w:sz="6" w:space="0" w:color="auto"/>
              <w:left w:val="single" w:sz="4" w:space="0" w:color="000000"/>
              <w:right w:val="single" w:sz="4" w:space="0" w:color="000000"/>
            </w:tcBorders>
            <w:shd w:val="clear" w:color="auto" w:fill="D4D4D4"/>
          </w:tcPr>
          <w:p>
            <w:pPr>
              <w:pStyle w:val="TableParagraph"/>
              <w:spacing w:line="243" w:lineRule="exact"/>
              <w:ind w:left="11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61" w:type="dxa"/>
            <w:vMerge w:val="restart"/>
            <w:tcBorders>
              <w:top w:val="nil" w:sz="6" w:space="0" w:color="auto"/>
              <w:left w:val="single" w:sz="4" w:space="0" w:color="000000"/>
              <w:right w:val="single" w:sz="4" w:space="0" w:color="000000"/>
            </w:tcBorders>
            <w:shd w:val="clear" w:color="auto" w:fill="D4D4D4"/>
          </w:tcPr>
          <w:p>
            <w:pPr>
              <w:pStyle w:val="TableParagraph"/>
              <w:spacing w:line="243" w:lineRule="exact"/>
              <w:ind w:left="165"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814" w:type="dxa"/>
            <w:vMerge w:val="restart"/>
            <w:tcBorders>
              <w:top w:val="nil" w:sz="6" w:space="0" w:color="auto"/>
              <w:left w:val="single" w:sz="4" w:space="0" w:color="000000"/>
              <w:right w:val="single" w:sz="4" w:space="0" w:color="000000"/>
            </w:tcBorders>
            <w:shd w:val="clear" w:color="auto" w:fill="D4D4D4"/>
          </w:tcPr>
          <w:p>
            <w:pPr>
              <w:pStyle w:val="TableParagraph"/>
              <w:spacing w:line="243" w:lineRule="exact"/>
              <w:ind w:left="194"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934" w:type="dxa"/>
            <w:vMerge w:val="restart"/>
            <w:tcBorders>
              <w:top w:val="nil" w:sz="6" w:space="0" w:color="auto"/>
              <w:left w:val="single" w:sz="4" w:space="0" w:color="000000"/>
              <w:right w:val="single" w:sz="4" w:space="0" w:color="000000"/>
            </w:tcBorders>
            <w:shd w:val="clear" w:color="auto" w:fill="D4D4D4"/>
          </w:tcPr>
          <w:p>
            <w:pPr>
              <w:pStyle w:val="TableParagraph"/>
              <w:spacing w:line="243" w:lineRule="exact"/>
              <w:ind w:left="40" w:right="0"/>
              <w:jc w:val="left"/>
              <w:rPr>
                <w:rFonts w:ascii="宋体" w:hAnsi="宋体" w:cs="宋体" w:eastAsia="宋体" w:hint="default"/>
                <w:sz w:val="21"/>
                <w:szCs w:val="21"/>
              </w:rPr>
            </w:pPr>
            <w:r>
              <w:rPr>
                <w:rFonts w:ascii="宋体" w:hAnsi="宋体" w:cs="宋体" w:eastAsia="宋体" w:hint="default"/>
                <w:sz w:val="21"/>
                <w:szCs w:val="21"/>
              </w:rPr>
              <w:t>计提比例</w:t>
            </w:r>
          </w:p>
        </w:tc>
        <w:tc>
          <w:tcPr>
            <w:tcW w:w="931" w:type="dxa"/>
            <w:vMerge/>
            <w:tcBorders>
              <w:left w:val="single" w:sz="23" w:space="0" w:color="D4D4D4"/>
              <w:bottom w:val="nil" w:sz="6" w:space="0" w:color="auto"/>
              <w:right w:val="single" w:sz="12" w:space="0" w:color="D4D4D4"/>
            </w:tcBorders>
          </w:tcPr>
          <w:p>
            <w:pPr/>
          </w:p>
        </w:tc>
      </w:tr>
      <w:tr>
        <w:trPr>
          <w:trHeight w:val="172" w:hRule="exact"/>
        </w:trPr>
        <w:tc>
          <w:tcPr>
            <w:tcW w:w="1612" w:type="dxa"/>
            <w:vMerge/>
            <w:tcBorders>
              <w:left w:val="single" w:sz="4" w:space="0" w:color="000000"/>
              <w:right w:val="single" w:sz="4" w:space="0" w:color="000000"/>
            </w:tcBorders>
            <w:shd w:val="clear" w:color="auto" w:fill="D4D4D4"/>
          </w:tcPr>
          <w:p>
            <w:pPr/>
          </w:p>
        </w:tc>
        <w:tc>
          <w:tcPr>
            <w:tcW w:w="774" w:type="dxa"/>
            <w:vMerge/>
            <w:tcBorders>
              <w:left w:val="single" w:sz="4" w:space="0" w:color="000000"/>
              <w:bottom w:val="nil" w:sz="6" w:space="0" w:color="auto"/>
              <w:right w:val="single" w:sz="4" w:space="0" w:color="000000"/>
            </w:tcBorders>
            <w:shd w:val="clear" w:color="auto" w:fill="D4D4D4"/>
          </w:tcPr>
          <w:p>
            <w:pPr/>
          </w:p>
        </w:tc>
        <w:tc>
          <w:tcPr>
            <w:tcW w:w="761" w:type="dxa"/>
            <w:vMerge/>
            <w:tcBorders>
              <w:left w:val="single" w:sz="4" w:space="0" w:color="000000"/>
              <w:bottom w:val="nil" w:sz="6" w:space="0" w:color="auto"/>
              <w:right w:val="single" w:sz="4" w:space="0" w:color="000000"/>
            </w:tcBorders>
            <w:shd w:val="clear" w:color="auto" w:fill="D4D4D4"/>
          </w:tcPr>
          <w:p>
            <w:pPr/>
          </w:p>
        </w:tc>
        <w:tc>
          <w:tcPr>
            <w:tcW w:w="763" w:type="dxa"/>
            <w:vMerge/>
            <w:tcBorders>
              <w:left w:val="single" w:sz="4" w:space="0" w:color="000000"/>
              <w:bottom w:val="nil" w:sz="6" w:space="0" w:color="auto"/>
              <w:right w:val="single" w:sz="4" w:space="0" w:color="000000"/>
            </w:tcBorders>
            <w:shd w:val="clear" w:color="auto" w:fill="D4D4D4"/>
          </w:tcPr>
          <w:p>
            <w:pPr/>
          </w:p>
        </w:tc>
        <w:tc>
          <w:tcPr>
            <w:tcW w:w="763" w:type="dxa"/>
            <w:vMerge/>
            <w:tcBorders>
              <w:left w:val="single" w:sz="4" w:space="0" w:color="000000"/>
              <w:right w:val="single" w:sz="4" w:space="0" w:color="000000"/>
            </w:tcBorders>
            <w:shd w:val="clear" w:color="auto" w:fill="D4D4D4"/>
          </w:tcPr>
          <w:p>
            <w:pPr/>
          </w:p>
        </w:tc>
        <w:tc>
          <w:tcPr>
            <w:tcW w:w="787" w:type="dxa"/>
            <w:vMerge/>
            <w:tcBorders>
              <w:left w:val="single" w:sz="4" w:space="0" w:color="000000"/>
              <w:bottom w:val="nil" w:sz="6" w:space="0" w:color="auto"/>
              <w:right w:val="single" w:sz="4" w:space="0" w:color="000000"/>
            </w:tcBorders>
            <w:shd w:val="clear" w:color="auto" w:fill="D4D4D4"/>
          </w:tcPr>
          <w:p>
            <w:pPr/>
          </w:p>
        </w:tc>
        <w:tc>
          <w:tcPr>
            <w:tcW w:w="655" w:type="dxa"/>
            <w:vMerge/>
            <w:tcBorders>
              <w:left w:val="single" w:sz="4" w:space="0" w:color="000000"/>
              <w:bottom w:val="nil" w:sz="6" w:space="0" w:color="auto"/>
              <w:right w:val="single" w:sz="4" w:space="0" w:color="000000"/>
            </w:tcBorders>
            <w:shd w:val="clear" w:color="auto" w:fill="D4D4D4"/>
          </w:tcPr>
          <w:p>
            <w:pPr/>
          </w:p>
        </w:tc>
        <w:tc>
          <w:tcPr>
            <w:tcW w:w="761" w:type="dxa"/>
            <w:vMerge/>
            <w:tcBorders>
              <w:left w:val="single" w:sz="4" w:space="0" w:color="000000"/>
              <w:bottom w:val="nil" w:sz="6" w:space="0" w:color="auto"/>
              <w:right w:val="single" w:sz="4" w:space="0" w:color="000000"/>
            </w:tcBorders>
            <w:shd w:val="clear" w:color="auto" w:fill="D4D4D4"/>
          </w:tcPr>
          <w:p>
            <w:pPr/>
          </w:p>
        </w:tc>
        <w:tc>
          <w:tcPr>
            <w:tcW w:w="814" w:type="dxa"/>
            <w:vMerge/>
            <w:tcBorders>
              <w:left w:val="single" w:sz="4" w:space="0" w:color="000000"/>
              <w:bottom w:val="nil" w:sz="6" w:space="0" w:color="auto"/>
              <w:right w:val="single" w:sz="4" w:space="0" w:color="000000"/>
            </w:tcBorders>
            <w:shd w:val="clear" w:color="auto" w:fill="D4D4D4"/>
          </w:tcPr>
          <w:p>
            <w:pPr/>
          </w:p>
        </w:tc>
        <w:tc>
          <w:tcPr>
            <w:tcW w:w="934" w:type="dxa"/>
            <w:vMerge/>
            <w:tcBorders>
              <w:left w:val="single" w:sz="4" w:space="0" w:color="000000"/>
              <w:bottom w:val="nil" w:sz="6" w:space="0" w:color="auto"/>
              <w:right w:val="single" w:sz="4" w:space="0" w:color="000000"/>
            </w:tcBorders>
            <w:shd w:val="clear" w:color="auto" w:fill="D4D4D4"/>
          </w:tcPr>
          <w:p>
            <w:pPr/>
          </w:p>
        </w:tc>
        <w:tc>
          <w:tcPr>
            <w:tcW w:w="931" w:type="dxa"/>
            <w:vMerge w:val="restart"/>
            <w:tcBorders>
              <w:top w:val="nil" w:sz="6" w:space="0" w:color="auto"/>
              <w:left w:val="single" w:sz="4" w:space="0" w:color="000000"/>
              <w:right w:val="single" w:sz="4" w:space="0" w:color="000000"/>
            </w:tcBorders>
            <w:shd w:val="clear" w:color="auto" w:fill="D4D4D4"/>
          </w:tcPr>
          <w:p>
            <w:pPr/>
          </w:p>
        </w:tc>
      </w:tr>
      <w:tr>
        <w:trPr>
          <w:trHeight w:val="109" w:hRule="exact"/>
        </w:trPr>
        <w:tc>
          <w:tcPr>
            <w:tcW w:w="1612" w:type="dxa"/>
            <w:vMerge/>
            <w:tcBorders>
              <w:left w:val="single" w:sz="4" w:space="0" w:color="000000"/>
              <w:bottom w:val="single" w:sz="4" w:space="0" w:color="000000"/>
              <w:right w:val="single" w:sz="4" w:space="0" w:color="000000"/>
            </w:tcBorders>
            <w:shd w:val="clear" w:color="auto" w:fill="D4D4D4"/>
          </w:tcPr>
          <w:p>
            <w:pPr/>
          </w:p>
        </w:tc>
        <w:tc>
          <w:tcPr>
            <w:tcW w:w="774" w:type="dxa"/>
            <w:tcBorders>
              <w:top w:val="nil" w:sz="6" w:space="0" w:color="auto"/>
              <w:left w:val="single" w:sz="4" w:space="0" w:color="000000"/>
              <w:bottom w:val="single" w:sz="4" w:space="0" w:color="000000"/>
              <w:right w:val="single" w:sz="4" w:space="0" w:color="000000"/>
            </w:tcBorders>
            <w:shd w:val="clear" w:color="auto" w:fill="D4D4D4"/>
          </w:tcPr>
          <w:p>
            <w:pPr/>
          </w:p>
        </w:tc>
        <w:tc>
          <w:tcPr>
            <w:tcW w:w="761" w:type="dxa"/>
            <w:tcBorders>
              <w:top w:val="nil" w:sz="6" w:space="0" w:color="auto"/>
              <w:left w:val="single" w:sz="4" w:space="0" w:color="000000"/>
              <w:bottom w:val="single" w:sz="4" w:space="0" w:color="000000"/>
              <w:right w:val="single" w:sz="4" w:space="0" w:color="000000"/>
            </w:tcBorders>
            <w:shd w:val="clear" w:color="auto" w:fill="D4D4D4"/>
          </w:tcPr>
          <w:p>
            <w:pPr/>
          </w:p>
        </w:tc>
        <w:tc>
          <w:tcPr>
            <w:tcW w:w="763" w:type="dxa"/>
            <w:tcBorders>
              <w:top w:val="nil" w:sz="6" w:space="0" w:color="auto"/>
              <w:left w:val="single" w:sz="4" w:space="0" w:color="000000"/>
              <w:bottom w:val="single" w:sz="4" w:space="0" w:color="000000"/>
              <w:right w:val="single" w:sz="4" w:space="0" w:color="000000"/>
            </w:tcBorders>
            <w:shd w:val="clear" w:color="auto" w:fill="D4D4D4"/>
          </w:tcPr>
          <w:p>
            <w:pPr/>
          </w:p>
        </w:tc>
        <w:tc>
          <w:tcPr>
            <w:tcW w:w="763" w:type="dxa"/>
            <w:vMerge/>
            <w:tcBorders>
              <w:left w:val="single" w:sz="4" w:space="0" w:color="000000"/>
              <w:bottom w:val="single" w:sz="4" w:space="0" w:color="000000"/>
              <w:right w:val="single" w:sz="4" w:space="0" w:color="000000"/>
            </w:tcBorders>
            <w:shd w:val="clear" w:color="auto" w:fill="D4D4D4"/>
          </w:tcPr>
          <w:p>
            <w:pPr/>
          </w:p>
        </w:tc>
        <w:tc>
          <w:tcPr>
            <w:tcW w:w="787" w:type="dxa"/>
            <w:tcBorders>
              <w:top w:val="nil" w:sz="6" w:space="0" w:color="auto"/>
              <w:left w:val="single" w:sz="4" w:space="0" w:color="000000"/>
              <w:bottom w:val="single" w:sz="4" w:space="0" w:color="000000"/>
              <w:right w:val="single" w:sz="4" w:space="0" w:color="000000"/>
            </w:tcBorders>
            <w:shd w:val="clear" w:color="auto" w:fill="D4D4D4"/>
          </w:tcPr>
          <w:p>
            <w:pPr/>
          </w:p>
        </w:tc>
        <w:tc>
          <w:tcPr>
            <w:tcW w:w="655" w:type="dxa"/>
            <w:tcBorders>
              <w:top w:val="nil" w:sz="6" w:space="0" w:color="auto"/>
              <w:left w:val="single" w:sz="4" w:space="0" w:color="000000"/>
              <w:bottom w:val="single" w:sz="4" w:space="0" w:color="000000"/>
              <w:right w:val="single" w:sz="4" w:space="0" w:color="000000"/>
            </w:tcBorders>
            <w:shd w:val="clear" w:color="auto" w:fill="D4D4D4"/>
          </w:tcPr>
          <w:p>
            <w:pPr/>
          </w:p>
        </w:tc>
        <w:tc>
          <w:tcPr>
            <w:tcW w:w="761" w:type="dxa"/>
            <w:tcBorders>
              <w:top w:val="nil" w:sz="6" w:space="0" w:color="auto"/>
              <w:left w:val="single" w:sz="4" w:space="0" w:color="000000"/>
              <w:bottom w:val="single" w:sz="4" w:space="0" w:color="000000"/>
              <w:right w:val="single" w:sz="4" w:space="0" w:color="000000"/>
            </w:tcBorders>
            <w:shd w:val="clear" w:color="auto" w:fill="D4D4D4"/>
          </w:tcPr>
          <w:p>
            <w:pPr/>
          </w:p>
        </w:tc>
        <w:tc>
          <w:tcPr>
            <w:tcW w:w="814" w:type="dxa"/>
            <w:tcBorders>
              <w:top w:val="nil" w:sz="6" w:space="0" w:color="auto"/>
              <w:left w:val="single" w:sz="4" w:space="0" w:color="000000"/>
              <w:bottom w:val="single" w:sz="4" w:space="0" w:color="000000"/>
              <w:right w:val="single" w:sz="4" w:space="0" w:color="000000"/>
            </w:tcBorders>
            <w:shd w:val="clear" w:color="auto" w:fill="D4D4D4"/>
          </w:tcPr>
          <w:p>
            <w:pPr/>
          </w:p>
        </w:tc>
        <w:tc>
          <w:tcPr>
            <w:tcW w:w="934" w:type="dxa"/>
            <w:tcBorders>
              <w:top w:val="nil" w:sz="6" w:space="0" w:color="auto"/>
              <w:left w:val="single" w:sz="4" w:space="0" w:color="000000"/>
              <w:bottom w:val="single" w:sz="4" w:space="0" w:color="000000"/>
              <w:right w:val="single" w:sz="4" w:space="0" w:color="000000"/>
            </w:tcBorders>
            <w:shd w:val="clear" w:color="auto" w:fill="D4D4D4"/>
          </w:tcPr>
          <w:p>
            <w:pPr/>
          </w:p>
        </w:tc>
        <w:tc>
          <w:tcPr>
            <w:tcW w:w="931" w:type="dxa"/>
            <w:vMerge/>
            <w:tcBorders>
              <w:left w:val="single" w:sz="4" w:space="0" w:color="000000"/>
              <w:bottom w:val="single" w:sz="4" w:space="0" w:color="000000"/>
              <w:right w:val="single" w:sz="4" w:space="0" w:color="000000"/>
            </w:tcBorders>
            <w:shd w:val="clear" w:color="auto" w:fill="D4D4D4"/>
          </w:tcPr>
          <w:p>
            <w:pPr/>
          </w:p>
        </w:tc>
      </w:tr>
      <w:tr>
        <w:trPr>
          <w:trHeight w:val="830" w:hRule="exact"/>
        </w:trPr>
        <w:tc>
          <w:tcPr>
            <w:tcW w:w="16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单项金额重大并</w:t>
            </w:r>
          </w:p>
          <w:p>
            <w:pPr>
              <w:pStyle w:val="TableParagraph"/>
              <w:spacing w:line="240" w:lineRule="auto"/>
              <w:ind w:left="12" w:right="114"/>
              <w:jc w:val="left"/>
              <w:rPr>
                <w:rFonts w:ascii="宋体" w:hAnsi="宋体" w:cs="宋体" w:eastAsia="宋体" w:hint="default"/>
                <w:sz w:val="21"/>
                <w:szCs w:val="21"/>
              </w:rPr>
            </w:pPr>
            <w:r>
              <w:rPr>
                <w:rFonts w:ascii="宋体" w:hAnsi="宋体" w:cs="宋体" w:eastAsia="宋体" w:hint="default"/>
                <w:sz w:val="21"/>
                <w:szCs w:val="21"/>
              </w:rPr>
              <w:t>单独计提坏账准</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备的其他应收款</w:t>
            </w:r>
          </w:p>
        </w:tc>
        <w:tc>
          <w:tcPr>
            <w:tcW w:w="77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0.00%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0.00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0.00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0.00</w:t>
            </w:r>
          </w:p>
        </w:tc>
      </w:tr>
      <w:tr>
        <w:trPr>
          <w:trHeight w:val="828" w:hRule="exact"/>
        </w:trPr>
        <w:tc>
          <w:tcPr>
            <w:tcW w:w="16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exact"/>
              <w:ind w:left="12" w:right="0"/>
              <w:jc w:val="left"/>
              <w:rPr>
                <w:rFonts w:ascii="宋体" w:hAnsi="宋体" w:cs="宋体" w:eastAsia="宋体" w:hint="default"/>
                <w:sz w:val="21"/>
                <w:szCs w:val="21"/>
              </w:rPr>
            </w:pPr>
            <w:r>
              <w:rPr>
                <w:rFonts w:ascii="宋体" w:hAnsi="宋体" w:cs="宋体" w:eastAsia="宋体" w:hint="default"/>
                <w:sz w:val="21"/>
                <w:szCs w:val="21"/>
              </w:rPr>
              <w:t>按信用风险特征</w:t>
            </w:r>
          </w:p>
          <w:p>
            <w:pPr>
              <w:pStyle w:val="TableParagraph"/>
              <w:spacing w:line="272" w:lineRule="exact" w:before="27"/>
              <w:ind w:left="12" w:right="114"/>
              <w:jc w:val="left"/>
              <w:rPr>
                <w:rFonts w:ascii="宋体" w:hAnsi="宋体" w:cs="宋体" w:eastAsia="宋体" w:hint="default"/>
                <w:sz w:val="21"/>
                <w:szCs w:val="21"/>
              </w:rPr>
            </w:pPr>
            <w:r>
              <w:rPr>
                <w:rFonts w:ascii="宋体" w:hAnsi="宋体" w:cs="宋体" w:eastAsia="宋体" w:hint="default"/>
                <w:sz w:val="21"/>
                <w:szCs w:val="21"/>
              </w:rPr>
              <w:t>组合计提坏账准</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备的其他应收款</w:t>
            </w:r>
          </w:p>
        </w:tc>
        <w:tc>
          <w:tcPr>
            <w:tcW w:w="77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61"/>
              <w:ind w:left="81" w:right="0"/>
              <w:jc w:val="center"/>
              <w:rPr>
                <w:rFonts w:ascii="Times New Roman" w:hAnsi="Times New Roman" w:cs="Times New Roman" w:eastAsia="Times New Roman" w:hint="default"/>
                <w:sz w:val="21"/>
                <w:szCs w:val="21"/>
              </w:rPr>
            </w:pPr>
            <w:r>
              <w:rPr>
                <w:rFonts w:ascii="Times New Roman"/>
                <w:sz w:val="21"/>
              </w:rPr>
              <w:t>1,478,8</w:t>
            </w:r>
          </w:p>
          <w:p>
            <w:pPr>
              <w:pStyle w:val="TableParagraph"/>
              <w:spacing w:line="240" w:lineRule="auto" w:before="1"/>
              <w:ind w:left="240" w:right="0"/>
              <w:jc w:val="center"/>
              <w:rPr>
                <w:rFonts w:ascii="Times New Roman" w:hAnsi="Times New Roman" w:cs="Times New Roman" w:eastAsia="Times New Roman" w:hint="default"/>
                <w:sz w:val="21"/>
                <w:szCs w:val="21"/>
              </w:rPr>
            </w:pPr>
            <w:r>
              <w:rPr>
                <w:rFonts w:ascii="Times New Roman"/>
                <w:sz w:val="21"/>
              </w:rPr>
              <w:t>84.36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7"/>
              <w:jc w:val="right"/>
              <w:rPr>
                <w:rFonts w:ascii="Times New Roman" w:hAnsi="Times New Roman" w:cs="Times New Roman" w:eastAsia="Times New Roman" w:hint="default"/>
                <w:sz w:val="21"/>
                <w:szCs w:val="21"/>
              </w:rPr>
            </w:pPr>
            <w:r>
              <w:rPr>
                <w:rFonts w:ascii="Times New Roman"/>
                <w:sz w:val="21"/>
              </w:rPr>
              <w:t>100.00</w:t>
            </w:r>
          </w:p>
          <w:p>
            <w:pPr>
              <w:pStyle w:val="TableParagraph"/>
              <w:spacing w:line="240" w:lineRule="auto" w:before="1"/>
              <w:ind w:right="18"/>
              <w:jc w:val="right"/>
              <w:rPr>
                <w:rFonts w:ascii="Times New Roman" w:hAnsi="Times New Roman" w:cs="Times New Roman" w:eastAsia="Times New Roman" w:hint="default"/>
                <w:sz w:val="21"/>
                <w:szCs w:val="21"/>
              </w:rPr>
            </w:pPr>
            <w:r>
              <w:rPr>
                <w:rFonts w:ascii="Times New Roman"/>
                <w:w w:val="100"/>
                <w:sz w:val="21"/>
              </w:rPr>
              <w:t>%</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47" w:right="0"/>
              <w:jc w:val="left"/>
              <w:rPr>
                <w:rFonts w:ascii="Times New Roman" w:hAnsi="Times New Roman" w:cs="Times New Roman" w:eastAsia="Times New Roman" w:hint="default"/>
                <w:sz w:val="21"/>
                <w:szCs w:val="21"/>
              </w:rPr>
            </w:pPr>
            <w:r>
              <w:rPr>
                <w:rFonts w:ascii="Times New Roman"/>
                <w:sz w:val="21"/>
              </w:rPr>
              <w:t>340,694</w:t>
            </w:r>
          </w:p>
          <w:p>
            <w:pPr>
              <w:pStyle w:val="TableParagraph"/>
              <w:spacing w:line="240" w:lineRule="auto" w:before="1"/>
              <w:ind w:left="467" w:right="0"/>
              <w:jc w:val="left"/>
              <w:rPr>
                <w:rFonts w:ascii="Times New Roman" w:hAnsi="Times New Roman" w:cs="Times New Roman" w:eastAsia="Times New Roman" w:hint="default"/>
                <w:sz w:val="21"/>
                <w:szCs w:val="21"/>
              </w:rPr>
            </w:pPr>
            <w:r>
              <w:rPr>
                <w:rFonts w:ascii="Times New Roman"/>
                <w:sz w:val="21"/>
              </w:rPr>
              <w:t>.27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23.04%</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05" w:right="0"/>
              <w:jc w:val="center"/>
              <w:rPr>
                <w:rFonts w:ascii="Times New Roman" w:hAnsi="Times New Roman" w:cs="Times New Roman" w:eastAsia="Times New Roman" w:hint="default"/>
                <w:sz w:val="21"/>
                <w:szCs w:val="21"/>
              </w:rPr>
            </w:pPr>
            <w:r>
              <w:rPr>
                <w:rFonts w:ascii="Times New Roman"/>
                <w:sz w:val="21"/>
              </w:rPr>
              <w:t>1,138,1</w:t>
            </w:r>
          </w:p>
          <w:p>
            <w:pPr>
              <w:pStyle w:val="TableParagraph"/>
              <w:spacing w:line="240" w:lineRule="auto" w:before="1"/>
              <w:ind w:left="263" w:right="0"/>
              <w:jc w:val="center"/>
              <w:rPr>
                <w:rFonts w:ascii="Times New Roman" w:hAnsi="Times New Roman" w:cs="Times New Roman" w:eastAsia="Times New Roman" w:hint="default"/>
                <w:sz w:val="21"/>
                <w:szCs w:val="21"/>
              </w:rPr>
            </w:pPr>
            <w:r>
              <w:rPr>
                <w:rFonts w:ascii="Times New Roman"/>
                <w:sz w:val="21"/>
              </w:rPr>
              <w:t>90.09</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45" w:right="0"/>
              <w:jc w:val="left"/>
              <w:rPr>
                <w:rFonts w:ascii="Times New Roman" w:hAnsi="Times New Roman" w:cs="Times New Roman" w:eastAsia="Times New Roman" w:hint="default"/>
                <w:sz w:val="21"/>
                <w:szCs w:val="21"/>
              </w:rPr>
            </w:pPr>
            <w:r>
              <w:rPr>
                <w:rFonts w:ascii="Times New Roman"/>
                <w:sz w:val="21"/>
              </w:rPr>
              <w:t>912,52</w:t>
            </w:r>
          </w:p>
          <w:p>
            <w:pPr>
              <w:pStyle w:val="TableParagraph"/>
              <w:spacing w:line="240" w:lineRule="auto" w:before="1"/>
              <w:ind w:left="256" w:right="0"/>
              <w:jc w:val="left"/>
              <w:rPr>
                <w:rFonts w:ascii="Times New Roman" w:hAnsi="Times New Roman" w:cs="Times New Roman" w:eastAsia="Times New Roman" w:hint="default"/>
                <w:sz w:val="21"/>
                <w:szCs w:val="21"/>
              </w:rPr>
            </w:pPr>
            <w:r>
              <w:rPr>
                <w:rFonts w:ascii="Times New Roman"/>
                <w:sz w:val="21"/>
              </w:rPr>
              <w:t>7.23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7"/>
              <w:jc w:val="right"/>
              <w:rPr>
                <w:rFonts w:ascii="Times New Roman" w:hAnsi="Times New Roman" w:cs="Times New Roman" w:eastAsia="Times New Roman" w:hint="default"/>
                <w:sz w:val="21"/>
                <w:szCs w:val="21"/>
              </w:rPr>
            </w:pPr>
            <w:r>
              <w:rPr>
                <w:rFonts w:ascii="Times New Roman"/>
                <w:sz w:val="21"/>
              </w:rPr>
              <w:t>100.00</w:t>
            </w:r>
          </w:p>
          <w:p>
            <w:pPr>
              <w:pStyle w:val="TableParagraph"/>
              <w:spacing w:line="240" w:lineRule="auto" w:before="1"/>
              <w:ind w:right="18"/>
              <w:jc w:val="right"/>
              <w:rPr>
                <w:rFonts w:ascii="Times New Roman" w:hAnsi="Times New Roman" w:cs="Times New Roman" w:eastAsia="Times New Roman" w:hint="default"/>
                <w:sz w:val="21"/>
                <w:szCs w:val="21"/>
              </w:rPr>
            </w:pPr>
            <w:r>
              <w:rPr>
                <w:rFonts w:ascii="Times New Roman"/>
                <w:w w:val="100"/>
                <w:sz w:val="21"/>
              </w:rPr>
              <w:t>%</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7"/>
              <w:jc w:val="right"/>
              <w:rPr>
                <w:rFonts w:ascii="Times New Roman" w:hAnsi="Times New Roman" w:cs="Times New Roman" w:eastAsia="Times New Roman" w:hint="default"/>
                <w:sz w:val="21"/>
                <w:szCs w:val="21"/>
              </w:rPr>
            </w:pPr>
            <w:r>
              <w:rPr>
                <w:rFonts w:ascii="Times New Roman"/>
                <w:spacing w:val="-1"/>
                <w:sz w:val="21"/>
              </w:rPr>
              <w:t>175,414.</w:t>
            </w:r>
          </w:p>
          <w:p>
            <w:pPr>
              <w:pStyle w:val="TableParagraph"/>
              <w:spacing w:line="240" w:lineRule="auto" w:before="1"/>
              <w:ind w:right="19"/>
              <w:jc w:val="right"/>
              <w:rPr>
                <w:rFonts w:ascii="Times New Roman" w:hAnsi="Times New Roman" w:cs="Times New Roman" w:eastAsia="Times New Roman" w:hint="default"/>
                <w:sz w:val="21"/>
                <w:szCs w:val="21"/>
              </w:rPr>
            </w:pPr>
            <w:r>
              <w:rPr>
                <w:rFonts w:ascii="Times New Roman"/>
                <w:sz w:val="21"/>
              </w:rPr>
              <w:t>99</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19.22%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7"/>
              <w:jc w:val="right"/>
              <w:rPr>
                <w:rFonts w:ascii="Times New Roman" w:hAnsi="Times New Roman" w:cs="Times New Roman" w:eastAsia="Times New Roman" w:hint="default"/>
                <w:sz w:val="21"/>
                <w:szCs w:val="21"/>
              </w:rPr>
            </w:pPr>
            <w:r>
              <w:rPr>
                <w:rFonts w:ascii="Times New Roman"/>
                <w:spacing w:val="-2"/>
                <w:sz w:val="21"/>
              </w:rPr>
              <w:t>737,112.2</w:t>
            </w:r>
          </w:p>
          <w:p>
            <w:pPr>
              <w:pStyle w:val="TableParagraph"/>
              <w:spacing w:line="240" w:lineRule="auto" w:before="1"/>
              <w:ind w:right="19"/>
              <w:jc w:val="right"/>
              <w:rPr>
                <w:rFonts w:ascii="Times New Roman" w:hAnsi="Times New Roman" w:cs="Times New Roman" w:eastAsia="Times New Roman" w:hint="default"/>
                <w:sz w:val="21"/>
                <w:szCs w:val="21"/>
              </w:rPr>
            </w:pPr>
            <w:r>
              <w:rPr>
                <w:rFonts w:ascii="Times New Roman"/>
                <w:w w:val="100"/>
                <w:sz w:val="21"/>
              </w:rPr>
              <w:t>4</w:t>
            </w:r>
          </w:p>
        </w:tc>
      </w:tr>
      <w:tr>
        <w:trPr>
          <w:trHeight w:val="1102" w:hRule="exact"/>
        </w:trPr>
        <w:tc>
          <w:tcPr>
            <w:tcW w:w="16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exact"/>
              <w:ind w:left="12" w:right="0"/>
              <w:jc w:val="both"/>
              <w:rPr>
                <w:rFonts w:ascii="宋体" w:hAnsi="宋体" w:cs="宋体" w:eastAsia="宋体" w:hint="default"/>
                <w:sz w:val="21"/>
                <w:szCs w:val="21"/>
              </w:rPr>
            </w:pPr>
            <w:r>
              <w:rPr>
                <w:rFonts w:ascii="宋体" w:hAnsi="宋体" w:cs="宋体" w:eastAsia="宋体" w:hint="default"/>
                <w:sz w:val="21"/>
                <w:szCs w:val="21"/>
              </w:rPr>
              <w:t>单项金额不重大</w:t>
            </w:r>
          </w:p>
          <w:p>
            <w:pPr>
              <w:pStyle w:val="TableParagraph"/>
              <w:spacing w:line="240" w:lineRule="auto"/>
              <w:ind w:left="12" w:right="114"/>
              <w:jc w:val="both"/>
              <w:rPr>
                <w:rFonts w:ascii="宋体" w:hAnsi="宋体" w:cs="宋体" w:eastAsia="宋体" w:hint="default"/>
                <w:sz w:val="21"/>
                <w:szCs w:val="21"/>
              </w:rPr>
            </w:pPr>
            <w:r>
              <w:rPr>
                <w:rFonts w:ascii="宋体" w:hAnsi="宋体" w:cs="宋体" w:eastAsia="宋体" w:hint="default"/>
                <w:sz w:val="21"/>
                <w:szCs w:val="21"/>
              </w:rPr>
              <w:t>但单独计提坏账</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准备的其他应收</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款</w:t>
            </w:r>
          </w:p>
        </w:tc>
        <w:tc>
          <w:tcPr>
            <w:tcW w:w="77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9"/>
              <w:ind w:right="17"/>
              <w:jc w:val="right"/>
              <w:rPr>
                <w:rFonts w:ascii="Times New Roman" w:hAnsi="Times New Roman" w:cs="Times New Roman" w:eastAsia="Times New Roman" w:hint="default"/>
                <w:sz w:val="21"/>
                <w:szCs w:val="21"/>
              </w:rPr>
            </w:pPr>
            <w:r>
              <w:rPr>
                <w:rFonts w:ascii="Times New Roman"/>
                <w:sz w:val="21"/>
              </w:rPr>
              <w:t>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9"/>
              <w:ind w:right="16"/>
              <w:jc w:val="right"/>
              <w:rPr>
                <w:rFonts w:ascii="Times New Roman" w:hAnsi="Times New Roman" w:cs="Times New Roman" w:eastAsia="Times New Roman" w:hint="default"/>
                <w:sz w:val="21"/>
                <w:szCs w:val="21"/>
              </w:rPr>
            </w:pPr>
            <w:r>
              <w:rPr>
                <w:rFonts w:ascii="Times New Roman"/>
                <w:sz w:val="21"/>
              </w:rPr>
              <w:t>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9"/>
              <w:ind w:right="19"/>
              <w:jc w:val="right"/>
              <w:rPr>
                <w:rFonts w:ascii="Times New Roman" w:hAnsi="Times New Roman" w:cs="Times New Roman" w:eastAsia="Times New Roman" w:hint="default"/>
                <w:sz w:val="21"/>
                <w:szCs w:val="21"/>
              </w:rPr>
            </w:pPr>
            <w:r>
              <w:rPr>
                <w:rFonts w:ascii="Times New Roman"/>
                <w:sz w:val="21"/>
              </w:rPr>
              <w:t>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9"/>
              <w:ind w:right="16"/>
              <w:jc w:val="right"/>
              <w:rPr>
                <w:rFonts w:ascii="Times New Roman" w:hAnsi="Times New Roman" w:cs="Times New Roman" w:eastAsia="Times New Roman" w:hint="default"/>
                <w:sz w:val="21"/>
                <w:szCs w:val="21"/>
              </w:rPr>
            </w:pPr>
            <w:r>
              <w:rPr>
                <w:rFonts w:ascii="Times New Roman"/>
                <w:sz w:val="21"/>
              </w:rPr>
              <w:t>0.00%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9"/>
              <w:ind w:right="17"/>
              <w:jc w:val="right"/>
              <w:rPr>
                <w:rFonts w:ascii="Times New Roman" w:hAnsi="Times New Roman" w:cs="Times New Roman" w:eastAsia="Times New Roman" w:hint="default"/>
                <w:sz w:val="21"/>
                <w:szCs w:val="21"/>
              </w:rPr>
            </w:pPr>
            <w:r>
              <w:rPr>
                <w:rFonts w:ascii="Times New Roman"/>
                <w:sz w:val="21"/>
              </w:rPr>
              <w:t>0.00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9"/>
              <w:ind w:right="17"/>
              <w:jc w:val="right"/>
              <w:rPr>
                <w:rFonts w:ascii="Times New Roman" w:hAnsi="Times New Roman" w:cs="Times New Roman" w:eastAsia="Times New Roman" w:hint="default"/>
                <w:sz w:val="21"/>
                <w:szCs w:val="21"/>
              </w:rPr>
            </w:pPr>
            <w:r>
              <w:rPr>
                <w:rFonts w:ascii="Times New Roman"/>
                <w:sz w:val="21"/>
              </w:rPr>
              <w:t>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9"/>
              <w:ind w:right="16"/>
              <w:jc w:val="right"/>
              <w:rPr>
                <w:rFonts w:ascii="Times New Roman" w:hAnsi="Times New Roman" w:cs="Times New Roman" w:eastAsia="Times New Roman" w:hint="default"/>
                <w:sz w:val="21"/>
                <w:szCs w:val="21"/>
              </w:rPr>
            </w:pPr>
            <w:r>
              <w:rPr>
                <w:rFonts w:ascii="Times New Roman"/>
                <w:sz w:val="21"/>
              </w:rPr>
              <w:t>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9"/>
              <w:ind w:right="17"/>
              <w:jc w:val="right"/>
              <w:rPr>
                <w:rFonts w:ascii="Times New Roman" w:hAnsi="Times New Roman" w:cs="Times New Roman" w:eastAsia="Times New Roman" w:hint="default"/>
                <w:sz w:val="21"/>
                <w:szCs w:val="21"/>
              </w:rPr>
            </w:pPr>
            <w:r>
              <w:rPr>
                <w:rFonts w:ascii="Times New Roman"/>
                <w:sz w:val="21"/>
              </w:rPr>
              <w:t>0.00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9"/>
              <w:ind w:right="18"/>
              <w:jc w:val="right"/>
              <w:rPr>
                <w:rFonts w:ascii="Times New Roman" w:hAnsi="Times New Roman" w:cs="Times New Roman" w:eastAsia="Times New Roman" w:hint="default"/>
                <w:sz w:val="21"/>
                <w:szCs w:val="21"/>
              </w:rPr>
            </w:pPr>
            <w:r>
              <w:rPr>
                <w:rFonts w:ascii="Times New Roman"/>
                <w:sz w:val="21"/>
              </w:rPr>
              <w:t>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9"/>
              <w:ind w:right="17"/>
              <w:jc w:val="right"/>
              <w:rPr>
                <w:rFonts w:ascii="Times New Roman" w:hAnsi="Times New Roman" w:cs="Times New Roman" w:eastAsia="Times New Roman" w:hint="default"/>
                <w:sz w:val="21"/>
                <w:szCs w:val="21"/>
              </w:rPr>
            </w:pPr>
            <w:r>
              <w:rPr>
                <w:rFonts w:ascii="Times New Roman"/>
                <w:sz w:val="21"/>
              </w:rPr>
              <w:t>0.00</w:t>
            </w:r>
          </w:p>
        </w:tc>
      </w:tr>
      <w:tr>
        <w:trPr>
          <w:trHeight w:val="110" w:hRule="exact"/>
        </w:trPr>
        <w:tc>
          <w:tcPr>
            <w:tcW w:w="1612" w:type="dxa"/>
            <w:tcBorders>
              <w:top w:val="single" w:sz="4" w:space="0" w:color="000000"/>
              <w:left w:val="single" w:sz="4" w:space="0" w:color="000000"/>
              <w:bottom w:val="nil" w:sz="6" w:space="0" w:color="auto"/>
              <w:right w:val="single" w:sz="4" w:space="0" w:color="000000"/>
            </w:tcBorders>
            <w:shd w:val="clear" w:color="auto" w:fill="D4D4D4"/>
          </w:tcPr>
          <w:p>
            <w:pPr/>
          </w:p>
        </w:tc>
        <w:tc>
          <w:tcPr>
            <w:tcW w:w="774" w:type="dxa"/>
            <w:vMerge w:val="restart"/>
            <w:tcBorders>
              <w:top w:val="single" w:sz="4" w:space="0" w:color="000000"/>
              <w:left w:val="single" w:sz="12" w:space="0" w:color="D4D4D4"/>
              <w:right w:val="single" w:sz="4" w:space="0" w:color="000000"/>
            </w:tcBorders>
          </w:tcPr>
          <w:p>
            <w:pPr>
              <w:pStyle w:val="TableParagraph"/>
              <w:spacing w:line="237" w:lineRule="exact"/>
              <w:ind w:left="81" w:right="0"/>
              <w:jc w:val="center"/>
              <w:rPr>
                <w:rFonts w:ascii="Times New Roman" w:hAnsi="Times New Roman" w:cs="Times New Roman" w:eastAsia="Times New Roman" w:hint="default"/>
                <w:sz w:val="21"/>
                <w:szCs w:val="21"/>
              </w:rPr>
            </w:pPr>
            <w:r>
              <w:rPr>
                <w:rFonts w:ascii="Times New Roman"/>
                <w:sz w:val="21"/>
              </w:rPr>
              <w:t>1,478,8</w:t>
            </w:r>
          </w:p>
          <w:p>
            <w:pPr>
              <w:pStyle w:val="TableParagraph"/>
              <w:spacing w:line="241" w:lineRule="exact"/>
              <w:ind w:left="240" w:right="0"/>
              <w:jc w:val="center"/>
              <w:rPr>
                <w:rFonts w:ascii="Times New Roman" w:hAnsi="Times New Roman" w:cs="Times New Roman" w:eastAsia="Times New Roman" w:hint="default"/>
                <w:sz w:val="21"/>
                <w:szCs w:val="21"/>
              </w:rPr>
            </w:pPr>
            <w:r>
              <w:rPr>
                <w:rFonts w:ascii="Times New Roman"/>
                <w:sz w:val="21"/>
              </w:rPr>
              <w:t>84.36</w:t>
            </w:r>
          </w:p>
        </w:tc>
        <w:tc>
          <w:tcPr>
            <w:tcW w:w="761" w:type="dxa"/>
            <w:vMerge w:val="restart"/>
            <w:tcBorders>
              <w:top w:val="single" w:sz="4" w:space="0" w:color="000000"/>
              <w:left w:val="single" w:sz="4" w:space="0" w:color="000000"/>
              <w:right w:val="single" w:sz="4" w:space="0" w:color="000000"/>
            </w:tcBorders>
          </w:tcPr>
          <w:p>
            <w:pPr>
              <w:pStyle w:val="TableParagraph"/>
              <w:spacing w:line="237" w:lineRule="exact"/>
              <w:ind w:right="17"/>
              <w:jc w:val="right"/>
              <w:rPr>
                <w:rFonts w:ascii="Times New Roman" w:hAnsi="Times New Roman" w:cs="Times New Roman" w:eastAsia="Times New Roman" w:hint="default"/>
                <w:sz w:val="21"/>
                <w:szCs w:val="21"/>
              </w:rPr>
            </w:pPr>
            <w:r>
              <w:rPr>
                <w:rFonts w:ascii="Times New Roman"/>
                <w:sz w:val="21"/>
              </w:rPr>
              <w:t>100.00</w:t>
            </w:r>
          </w:p>
          <w:p>
            <w:pPr>
              <w:pStyle w:val="TableParagraph"/>
              <w:spacing w:line="241" w:lineRule="exact"/>
              <w:ind w:right="18"/>
              <w:jc w:val="right"/>
              <w:rPr>
                <w:rFonts w:ascii="Times New Roman" w:hAnsi="Times New Roman" w:cs="Times New Roman" w:eastAsia="Times New Roman" w:hint="default"/>
                <w:sz w:val="21"/>
                <w:szCs w:val="21"/>
              </w:rPr>
            </w:pPr>
            <w:r>
              <w:rPr>
                <w:rFonts w:ascii="Times New Roman"/>
                <w:w w:val="100"/>
                <w:sz w:val="21"/>
              </w:rPr>
              <w:t>%</w:t>
            </w:r>
          </w:p>
        </w:tc>
        <w:tc>
          <w:tcPr>
            <w:tcW w:w="763" w:type="dxa"/>
            <w:vMerge w:val="restart"/>
            <w:tcBorders>
              <w:top w:val="single" w:sz="4" w:space="0" w:color="000000"/>
              <w:left w:val="single" w:sz="4" w:space="0" w:color="000000"/>
              <w:right w:val="single" w:sz="4" w:space="0" w:color="000000"/>
            </w:tcBorders>
          </w:tcPr>
          <w:p>
            <w:pPr>
              <w:pStyle w:val="TableParagraph"/>
              <w:spacing w:line="237" w:lineRule="exact"/>
              <w:ind w:left="47" w:right="0"/>
              <w:jc w:val="left"/>
              <w:rPr>
                <w:rFonts w:ascii="Times New Roman" w:hAnsi="Times New Roman" w:cs="Times New Roman" w:eastAsia="Times New Roman" w:hint="default"/>
                <w:sz w:val="21"/>
                <w:szCs w:val="21"/>
              </w:rPr>
            </w:pPr>
            <w:r>
              <w:rPr>
                <w:rFonts w:ascii="Times New Roman"/>
                <w:sz w:val="21"/>
              </w:rPr>
              <w:t>340,694</w:t>
            </w:r>
          </w:p>
          <w:p>
            <w:pPr>
              <w:pStyle w:val="TableParagraph"/>
              <w:spacing w:line="241" w:lineRule="exact"/>
              <w:ind w:left="467" w:right="0"/>
              <w:jc w:val="left"/>
              <w:rPr>
                <w:rFonts w:ascii="Times New Roman" w:hAnsi="Times New Roman" w:cs="Times New Roman" w:eastAsia="Times New Roman" w:hint="default"/>
                <w:sz w:val="21"/>
                <w:szCs w:val="21"/>
              </w:rPr>
            </w:pPr>
            <w:r>
              <w:rPr>
                <w:rFonts w:ascii="Times New Roman"/>
                <w:sz w:val="21"/>
              </w:rPr>
              <w:t>.27</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16"/>
              <w:ind w:left="83" w:right="0"/>
              <w:jc w:val="left"/>
              <w:rPr>
                <w:rFonts w:ascii="Times New Roman" w:hAnsi="Times New Roman" w:cs="Times New Roman" w:eastAsia="Times New Roman" w:hint="default"/>
                <w:sz w:val="21"/>
                <w:szCs w:val="21"/>
              </w:rPr>
            </w:pPr>
            <w:r>
              <w:rPr>
                <w:rFonts w:ascii="Times New Roman"/>
                <w:sz w:val="21"/>
              </w:rPr>
              <w:t>23.04%</w:t>
            </w:r>
          </w:p>
        </w:tc>
        <w:tc>
          <w:tcPr>
            <w:tcW w:w="787" w:type="dxa"/>
            <w:vMerge w:val="restart"/>
            <w:tcBorders>
              <w:top w:val="single" w:sz="4" w:space="0" w:color="000000"/>
              <w:left w:val="single" w:sz="4" w:space="0" w:color="000000"/>
              <w:right w:val="single" w:sz="4" w:space="0" w:color="000000"/>
            </w:tcBorders>
          </w:tcPr>
          <w:p>
            <w:pPr>
              <w:pStyle w:val="TableParagraph"/>
              <w:spacing w:line="237" w:lineRule="exact"/>
              <w:ind w:left="105" w:right="0"/>
              <w:jc w:val="center"/>
              <w:rPr>
                <w:rFonts w:ascii="Times New Roman" w:hAnsi="Times New Roman" w:cs="Times New Roman" w:eastAsia="Times New Roman" w:hint="default"/>
                <w:sz w:val="21"/>
                <w:szCs w:val="21"/>
              </w:rPr>
            </w:pPr>
            <w:r>
              <w:rPr>
                <w:rFonts w:ascii="Times New Roman"/>
                <w:sz w:val="21"/>
              </w:rPr>
              <w:t>1,138,1</w:t>
            </w:r>
          </w:p>
          <w:p>
            <w:pPr>
              <w:pStyle w:val="TableParagraph"/>
              <w:spacing w:line="241" w:lineRule="exact"/>
              <w:ind w:left="263" w:right="0"/>
              <w:jc w:val="center"/>
              <w:rPr>
                <w:rFonts w:ascii="Times New Roman" w:hAnsi="Times New Roman" w:cs="Times New Roman" w:eastAsia="Times New Roman" w:hint="default"/>
                <w:sz w:val="21"/>
                <w:szCs w:val="21"/>
              </w:rPr>
            </w:pPr>
            <w:r>
              <w:rPr>
                <w:rFonts w:ascii="Times New Roman"/>
                <w:sz w:val="21"/>
              </w:rPr>
              <w:t>90.09</w:t>
            </w:r>
          </w:p>
        </w:tc>
        <w:tc>
          <w:tcPr>
            <w:tcW w:w="655" w:type="dxa"/>
            <w:vMerge w:val="restart"/>
            <w:tcBorders>
              <w:top w:val="single" w:sz="4" w:space="0" w:color="000000"/>
              <w:left w:val="single" w:sz="4" w:space="0" w:color="000000"/>
              <w:right w:val="single" w:sz="4" w:space="0" w:color="000000"/>
            </w:tcBorders>
          </w:tcPr>
          <w:p>
            <w:pPr>
              <w:pStyle w:val="TableParagraph"/>
              <w:spacing w:line="237" w:lineRule="exact"/>
              <w:ind w:left="45" w:right="0"/>
              <w:jc w:val="left"/>
              <w:rPr>
                <w:rFonts w:ascii="Times New Roman" w:hAnsi="Times New Roman" w:cs="Times New Roman" w:eastAsia="Times New Roman" w:hint="default"/>
                <w:sz w:val="21"/>
                <w:szCs w:val="21"/>
              </w:rPr>
            </w:pPr>
            <w:r>
              <w:rPr>
                <w:rFonts w:ascii="Times New Roman"/>
                <w:sz w:val="21"/>
              </w:rPr>
              <w:t>912,52</w:t>
            </w:r>
          </w:p>
          <w:p>
            <w:pPr>
              <w:pStyle w:val="TableParagraph"/>
              <w:spacing w:line="241" w:lineRule="exact"/>
              <w:ind w:left="256" w:right="0"/>
              <w:jc w:val="left"/>
              <w:rPr>
                <w:rFonts w:ascii="Times New Roman" w:hAnsi="Times New Roman" w:cs="Times New Roman" w:eastAsia="Times New Roman" w:hint="default"/>
                <w:sz w:val="21"/>
                <w:szCs w:val="21"/>
              </w:rPr>
            </w:pPr>
            <w:r>
              <w:rPr>
                <w:rFonts w:ascii="Times New Roman"/>
                <w:sz w:val="21"/>
              </w:rPr>
              <w:t>7.23</w:t>
            </w:r>
          </w:p>
        </w:tc>
        <w:tc>
          <w:tcPr>
            <w:tcW w:w="761" w:type="dxa"/>
            <w:vMerge w:val="restart"/>
            <w:tcBorders>
              <w:top w:val="single" w:sz="4" w:space="0" w:color="000000"/>
              <w:left w:val="single" w:sz="4" w:space="0" w:color="000000"/>
              <w:right w:val="single" w:sz="4" w:space="0" w:color="000000"/>
            </w:tcBorders>
          </w:tcPr>
          <w:p>
            <w:pPr>
              <w:pStyle w:val="TableParagraph"/>
              <w:spacing w:line="237" w:lineRule="exact"/>
              <w:ind w:right="17"/>
              <w:jc w:val="right"/>
              <w:rPr>
                <w:rFonts w:ascii="Times New Roman" w:hAnsi="Times New Roman" w:cs="Times New Roman" w:eastAsia="Times New Roman" w:hint="default"/>
                <w:sz w:val="21"/>
                <w:szCs w:val="21"/>
              </w:rPr>
            </w:pPr>
            <w:r>
              <w:rPr>
                <w:rFonts w:ascii="Times New Roman"/>
                <w:sz w:val="21"/>
              </w:rPr>
              <w:t>100.00</w:t>
            </w:r>
          </w:p>
          <w:p>
            <w:pPr>
              <w:pStyle w:val="TableParagraph"/>
              <w:spacing w:line="241" w:lineRule="exact"/>
              <w:ind w:right="18"/>
              <w:jc w:val="right"/>
              <w:rPr>
                <w:rFonts w:ascii="Times New Roman" w:hAnsi="Times New Roman" w:cs="Times New Roman" w:eastAsia="Times New Roman" w:hint="default"/>
                <w:sz w:val="21"/>
                <w:szCs w:val="21"/>
              </w:rPr>
            </w:pPr>
            <w:r>
              <w:rPr>
                <w:rFonts w:ascii="Times New Roman"/>
                <w:w w:val="100"/>
                <w:sz w:val="21"/>
              </w:rPr>
              <w:t>%</w:t>
            </w:r>
          </w:p>
        </w:tc>
        <w:tc>
          <w:tcPr>
            <w:tcW w:w="814" w:type="dxa"/>
            <w:vMerge w:val="restart"/>
            <w:tcBorders>
              <w:top w:val="single" w:sz="4" w:space="0" w:color="000000"/>
              <w:left w:val="single" w:sz="4" w:space="0" w:color="000000"/>
              <w:right w:val="single" w:sz="4" w:space="0" w:color="000000"/>
            </w:tcBorders>
          </w:tcPr>
          <w:p>
            <w:pPr>
              <w:pStyle w:val="TableParagraph"/>
              <w:spacing w:line="237" w:lineRule="exact"/>
              <w:ind w:right="17"/>
              <w:jc w:val="right"/>
              <w:rPr>
                <w:rFonts w:ascii="Times New Roman" w:hAnsi="Times New Roman" w:cs="Times New Roman" w:eastAsia="Times New Roman" w:hint="default"/>
                <w:sz w:val="21"/>
                <w:szCs w:val="21"/>
              </w:rPr>
            </w:pPr>
            <w:r>
              <w:rPr>
                <w:rFonts w:ascii="Times New Roman"/>
                <w:spacing w:val="-1"/>
                <w:sz w:val="21"/>
              </w:rPr>
              <w:t>175,414.</w:t>
            </w:r>
          </w:p>
          <w:p>
            <w:pPr>
              <w:pStyle w:val="TableParagraph"/>
              <w:spacing w:line="241" w:lineRule="exact"/>
              <w:ind w:right="19"/>
              <w:jc w:val="right"/>
              <w:rPr>
                <w:rFonts w:ascii="Times New Roman" w:hAnsi="Times New Roman" w:cs="Times New Roman" w:eastAsia="Times New Roman" w:hint="default"/>
                <w:sz w:val="21"/>
                <w:szCs w:val="21"/>
              </w:rPr>
            </w:pPr>
            <w:r>
              <w:rPr>
                <w:rFonts w:ascii="Times New Roman"/>
                <w:sz w:val="21"/>
              </w:rPr>
              <w:t>99</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16"/>
              <w:ind w:left="251" w:right="0"/>
              <w:jc w:val="left"/>
              <w:rPr>
                <w:rFonts w:ascii="Times New Roman" w:hAnsi="Times New Roman" w:cs="Times New Roman" w:eastAsia="Times New Roman" w:hint="default"/>
                <w:sz w:val="21"/>
                <w:szCs w:val="21"/>
              </w:rPr>
            </w:pPr>
            <w:r>
              <w:rPr>
                <w:rFonts w:ascii="Times New Roman"/>
                <w:sz w:val="21"/>
              </w:rPr>
              <w:t>19.22%</w:t>
            </w:r>
          </w:p>
        </w:tc>
        <w:tc>
          <w:tcPr>
            <w:tcW w:w="931" w:type="dxa"/>
            <w:vMerge w:val="restart"/>
            <w:tcBorders>
              <w:top w:val="single" w:sz="4" w:space="0" w:color="000000"/>
              <w:left w:val="single" w:sz="4" w:space="0" w:color="000000"/>
              <w:right w:val="single" w:sz="4" w:space="0" w:color="000000"/>
            </w:tcBorders>
          </w:tcPr>
          <w:p>
            <w:pPr>
              <w:pStyle w:val="TableParagraph"/>
              <w:spacing w:line="237" w:lineRule="exact"/>
              <w:ind w:right="17"/>
              <w:jc w:val="right"/>
              <w:rPr>
                <w:rFonts w:ascii="Times New Roman" w:hAnsi="Times New Roman" w:cs="Times New Roman" w:eastAsia="Times New Roman" w:hint="default"/>
                <w:sz w:val="21"/>
                <w:szCs w:val="21"/>
              </w:rPr>
            </w:pPr>
            <w:r>
              <w:rPr>
                <w:rFonts w:ascii="Times New Roman"/>
                <w:spacing w:val="-2"/>
                <w:sz w:val="21"/>
              </w:rPr>
              <w:t>737,112.2</w:t>
            </w:r>
          </w:p>
          <w:p>
            <w:pPr>
              <w:pStyle w:val="TableParagraph"/>
              <w:spacing w:line="241" w:lineRule="exact"/>
              <w:ind w:right="19"/>
              <w:jc w:val="right"/>
              <w:rPr>
                <w:rFonts w:ascii="Times New Roman" w:hAnsi="Times New Roman" w:cs="Times New Roman" w:eastAsia="Times New Roman" w:hint="default"/>
                <w:sz w:val="21"/>
                <w:szCs w:val="21"/>
              </w:rPr>
            </w:pPr>
            <w:r>
              <w:rPr>
                <w:rFonts w:ascii="Times New Roman"/>
                <w:w w:val="100"/>
                <w:sz w:val="21"/>
              </w:rPr>
              <w:t>4</w:t>
            </w:r>
          </w:p>
        </w:tc>
      </w:tr>
      <w:tr>
        <w:trPr>
          <w:trHeight w:val="384" w:hRule="exact"/>
        </w:trPr>
        <w:tc>
          <w:tcPr>
            <w:tcW w:w="1612" w:type="dxa"/>
            <w:tcBorders>
              <w:top w:val="nil" w:sz="6" w:space="0" w:color="auto"/>
              <w:left w:val="single" w:sz="4" w:space="0" w:color="000000"/>
              <w:bottom w:val="single" w:sz="4" w:space="0" w:color="000000"/>
              <w:right w:val="single" w:sz="4" w:space="0" w:color="000000"/>
            </w:tcBorders>
            <w:shd w:val="clear" w:color="auto" w:fill="D4D4D4"/>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74" w:type="dxa"/>
            <w:vMerge/>
            <w:tcBorders>
              <w:left w:val="single" w:sz="12" w:space="0" w:color="D4D4D4"/>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880" w:footer="979" w:top="1060" w:bottom="1160" w:left="980" w:right="980"/>
        </w:sectPr>
      </w:pPr>
    </w:p>
    <w:p>
      <w:pPr>
        <w:pStyle w:val="BodyText"/>
        <w:spacing w:line="262" w:lineRule="exact"/>
        <w:ind w:right="0"/>
        <w:jc w:val="left"/>
      </w:pPr>
      <w:r>
        <w:rPr>
          <w:spacing w:val="-2"/>
        </w:rPr>
        <w:t>期末单项金额重大并单项计提坏账准备的其他应收款：</w:t>
      </w:r>
    </w:p>
    <w:p>
      <w:pPr>
        <w:pStyle w:val="BodyText"/>
        <w:spacing w:line="256" w:lineRule="auto" w:before="3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组合中，按账龄分析法计提坏账准备的其他应收款：</w:t>
      </w:r>
    </w:p>
    <w:p>
      <w:pPr>
        <w:pStyle w:val="BodyText"/>
        <w:spacing w:line="240" w:lineRule="auto" w:before="2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spacing w:line="240" w:lineRule="auto"/>
        <w:ind w:right="0"/>
        <w:jc w:val="left"/>
      </w:pPr>
      <w:r>
        <w:rPr/>
        <w:t>单位：</w:t>
      </w:r>
      <w:r>
        <w:rPr>
          <w:spacing w:val="2"/>
        </w:rPr>
        <w:t> </w:t>
      </w:r>
      <w:r>
        <w:rPr/>
        <w:t>元</w:t>
      </w:r>
    </w:p>
    <w:p>
      <w:pPr>
        <w:spacing w:after="0" w:line="240" w:lineRule="auto"/>
        <w:jc w:val="left"/>
        <w:sectPr>
          <w:type w:val="continuous"/>
          <w:pgSz w:w="11910" w:h="16840"/>
          <w:pgMar w:top="1060" w:bottom="1180" w:left="980" w:right="980"/>
          <w:cols w:num="2" w:equalWidth="0">
            <w:col w:w="5199" w:space="3494"/>
            <w:col w:w="1257"/>
          </w:cols>
        </w:sectPr>
      </w:pPr>
    </w:p>
    <w:p>
      <w:pPr>
        <w:spacing w:line="240" w:lineRule="auto" w:before="11"/>
        <w:rPr>
          <w:rFonts w:ascii="宋体" w:hAnsi="宋体" w:cs="宋体" w:eastAsia="宋体" w:hint="default"/>
          <w:sz w:val="3"/>
          <w:szCs w:val="3"/>
        </w:rPr>
      </w:pPr>
    </w:p>
    <w:tbl>
      <w:tblPr>
        <w:tblW w:w="0" w:type="auto"/>
        <w:jc w:val="left"/>
        <w:tblInd w:w="160" w:type="dxa"/>
        <w:tblLayout w:type="fixed"/>
        <w:tblCellMar>
          <w:top w:w="0" w:type="dxa"/>
          <w:left w:w="0" w:type="dxa"/>
          <w:bottom w:w="0" w:type="dxa"/>
          <w:right w:w="0" w:type="dxa"/>
        </w:tblCellMar>
        <w:tblLook w:val="01E0"/>
      </w:tblPr>
      <w:tblGrid>
        <w:gridCol w:w="2379"/>
        <w:gridCol w:w="2393"/>
        <w:gridCol w:w="2393"/>
        <w:gridCol w:w="2392"/>
      </w:tblGrid>
      <w:tr>
        <w:trPr>
          <w:trHeight w:val="146" w:hRule="exact"/>
        </w:trPr>
        <w:tc>
          <w:tcPr>
            <w:tcW w:w="2379" w:type="dxa"/>
            <w:tcBorders>
              <w:top w:val="single" w:sz="4" w:space="0" w:color="000000"/>
              <w:left w:val="single" w:sz="4" w:space="0" w:color="000000"/>
              <w:bottom w:val="nil" w:sz="6" w:space="0" w:color="auto"/>
              <w:right w:val="single" w:sz="4" w:space="0" w:color="000000"/>
            </w:tcBorders>
            <w:shd w:val="clear" w:color="auto" w:fill="D4D4D4"/>
          </w:tcPr>
          <w:p>
            <w:pPr/>
          </w:p>
        </w:tc>
        <w:tc>
          <w:tcPr>
            <w:tcW w:w="7178"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132" w:hRule="exact"/>
        </w:trPr>
        <w:tc>
          <w:tcPr>
            <w:tcW w:w="2379" w:type="dxa"/>
            <w:vMerge w:val="restart"/>
            <w:tcBorders>
              <w:top w:val="nil" w:sz="6" w:space="0" w:color="auto"/>
              <w:left w:val="single" w:sz="4" w:space="0" w:color="000000"/>
              <w:right w:val="single" w:sz="4" w:space="0" w:color="000000"/>
            </w:tcBorders>
            <w:shd w:val="clear" w:color="auto" w:fill="D4D4D4"/>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账龄</w:t>
            </w:r>
          </w:p>
        </w:tc>
        <w:tc>
          <w:tcPr>
            <w:tcW w:w="7178" w:type="dxa"/>
            <w:gridSpan w:val="3"/>
            <w:vMerge/>
            <w:tcBorders>
              <w:left w:val="single" w:sz="4" w:space="0" w:color="000000"/>
              <w:bottom w:val="single" w:sz="4" w:space="0" w:color="000000"/>
              <w:right w:val="single" w:sz="4" w:space="0" w:color="000000"/>
            </w:tcBorders>
            <w:shd w:val="clear" w:color="auto" w:fill="D4D4D4"/>
          </w:tcPr>
          <w:p>
            <w:pPr/>
          </w:p>
        </w:tc>
      </w:tr>
      <w:tr>
        <w:trPr>
          <w:trHeight w:val="142" w:hRule="exact"/>
        </w:trPr>
        <w:tc>
          <w:tcPr>
            <w:tcW w:w="2379" w:type="dxa"/>
            <w:vMerge/>
            <w:tcBorders>
              <w:left w:val="single" w:sz="4" w:space="0" w:color="000000"/>
              <w:bottom w:val="nil" w:sz="6" w:space="0" w:color="auto"/>
              <w:right w:val="single" w:sz="4" w:space="0" w:color="000000"/>
            </w:tcBorders>
            <w:shd w:val="clear" w:color="auto" w:fill="D4D4D4"/>
          </w:tcPr>
          <w:p>
            <w:pPr/>
          </w:p>
        </w:tc>
        <w:tc>
          <w:tcPr>
            <w:tcW w:w="2393" w:type="dxa"/>
            <w:vMerge w:val="restart"/>
            <w:tcBorders>
              <w:top w:val="single" w:sz="4" w:space="0" w:color="000000"/>
              <w:left w:val="single" w:sz="4" w:space="0" w:color="000000"/>
              <w:right w:val="single" w:sz="4" w:space="0" w:color="000000"/>
            </w:tcBorders>
            <w:shd w:val="clear" w:color="auto" w:fill="D4D4D4"/>
          </w:tcPr>
          <w:p>
            <w:pPr>
              <w:pStyle w:val="TableParagraph"/>
              <w:spacing w:line="246" w:lineRule="exact"/>
              <w:ind w:left="66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393" w:type="dxa"/>
            <w:vMerge w:val="restart"/>
            <w:tcBorders>
              <w:top w:val="single" w:sz="4" w:space="0" w:color="000000"/>
              <w:left w:val="single" w:sz="4" w:space="0" w:color="000000"/>
              <w:right w:val="single" w:sz="4" w:space="0" w:color="000000"/>
            </w:tcBorders>
            <w:shd w:val="clear" w:color="auto" w:fill="D4D4D4"/>
          </w:tcPr>
          <w:p>
            <w:pPr>
              <w:pStyle w:val="TableParagraph"/>
              <w:spacing w:line="246" w:lineRule="exact"/>
              <w:ind w:left="76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392" w:type="dxa"/>
            <w:vMerge w:val="restart"/>
            <w:tcBorders>
              <w:top w:val="single" w:sz="4" w:space="0" w:color="000000"/>
              <w:left w:val="single" w:sz="4" w:space="0" w:color="000000"/>
              <w:right w:val="single" w:sz="4" w:space="0" w:color="000000"/>
            </w:tcBorders>
            <w:shd w:val="clear" w:color="auto" w:fill="D4D4D4"/>
          </w:tcPr>
          <w:p>
            <w:pPr>
              <w:pStyle w:val="TableParagraph"/>
              <w:spacing w:line="246" w:lineRule="exact"/>
              <w:ind w:left="769"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151" w:hRule="exact"/>
        </w:trPr>
        <w:tc>
          <w:tcPr>
            <w:tcW w:w="2379" w:type="dxa"/>
            <w:tcBorders>
              <w:top w:val="nil" w:sz="6" w:space="0" w:color="auto"/>
              <w:left w:val="single" w:sz="4" w:space="0" w:color="000000"/>
              <w:bottom w:val="single" w:sz="4" w:space="0" w:color="000000"/>
              <w:right w:val="single" w:sz="4" w:space="0" w:color="000000"/>
            </w:tcBorders>
            <w:shd w:val="clear" w:color="auto" w:fill="D4D4D4"/>
          </w:tcPr>
          <w:p>
            <w:pPr/>
          </w:p>
        </w:tc>
        <w:tc>
          <w:tcPr>
            <w:tcW w:w="2393" w:type="dxa"/>
            <w:vMerge/>
            <w:tcBorders>
              <w:left w:val="single" w:sz="4" w:space="0" w:color="000000"/>
              <w:bottom w:val="single" w:sz="4" w:space="0" w:color="000000"/>
              <w:right w:val="single" w:sz="4" w:space="0" w:color="000000"/>
            </w:tcBorders>
            <w:shd w:val="clear" w:color="auto" w:fill="D4D4D4"/>
          </w:tcPr>
          <w:p>
            <w:pPr/>
          </w:p>
        </w:tc>
        <w:tc>
          <w:tcPr>
            <w:tcW w:w="2393" w:type="dxa"/>
            <w:vMerge/>
            <w:tcBorders>
              <w:left w:val="single" w:sz="4" w:space="0" w:color="000000"/>
              <w:bottom w:val="single" w:sz="4" w:space="0" w:color="000000"/>
              <w:right w:val="single" w:sz="4" w:space="0" w:color="000000"/>
            </w:tcBorders>
            <w:shd w:val="clear" w:color="auto" w:fill="D4D4D4"/>
          </w:tcPr>
          <w:p>
            <w:pPr/>
          </w:p>
        </w:tc>
        <w:tc>
          <w:tcPr>
            <w:tcW w:w="2392" w:type="dxa"/>
            <w:vMerge/>
            <w:tcBorders>
              <w:left w:val="single" w:sz="4" w:space="0" w:color="000000"/>
              <w:bottom w:val="single" w:sz="4" w:space="0" w:color="000000"/>
              <w:right w:val="single" w:sz="4" w:space="0" w:color="000000"/>
            </w:tcBorders>
            <w:shd w:val="clear" w:color="auto" w:fill="D4D4D4"/>
          </w:tcPr>
          <w:p>
            <w:pPr/>
          </w:p>
        </w:tc>
      </w:tr>
      <w:tr>
        <w:trPr>
          <w:trHeight w:val="278"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52" w:lineRule="exact"/>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年以内分项</w:t>
            </w:r>
          </w:p>
        </w:tc>
      </w:tr>
      <w:tr>
        <w:trPr>
          <w:trHeight w:val="281" w:hRule="exact"/>
        </w:trPr>
        <w:tc>
          <w:tcPr>
            <w:tcW w:w="23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57" w:lineRule="exact"/>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年以内小计</w:t>
            </w:r>
          </w:p>
        </w:tc>
        <w:tc>
          <w:tcPr>
            <w:tcW w:w="239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670,296.12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21"/>
                <w:szCs w:val="21"/>
              </w:rPr>
            </w:pPr>
            <w:r>
              <w:rPr>
                <w:rFonts w:ascii="Times New Roman"/>
                <w:spacing w:val="-1"/>
                <w:sz w:val="21"/>
              </w:rPr>
              <w:t>6,702.96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Times New Roman" w:hAnsi="Times New Roman" w:cs="Times New Roman" w:eastAsia="Times New Roman" w:hint="default"/>
                <w:sz w:val="21"/>
                <w:szCs w:val="21"/>
              </w:rPr>
            </w:pPr>
            <w:r>
              <w:rPr>
                <w:rFonts w:ascii="Times New Roman"/>
                <w:sz w:val="21"/>
              </w:rPr>
              <w:t>1.00%</w:t>
            </w:r>
          </w:p>
        </w:tc>
      </w:tr>
      <w:tr>
        <w:trPr>
          <w:trHeight w:val="283" w:hRule="exact"/>
        </w:trPr>
        <w:tc>
          <w:tcPr>
            <w:tcW w:w="23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59" w:lineRule="exact"/>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39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453,350.00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21"/>
                <w:szCs w:val="21"/>
              </w:rPr>
            </w:pPr>
            <w:r>
              <w:rPr>
                <w:rFonts w:ascii="Times New Roman"/>
                <w:spacing w:val="-1"/>
                <w:sz w:val="21"/>
              </w:rPr>
              <w:t>45,335.00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Times New Roman" w:hAnsi="Times New Roman" w:cs="Times New Roman" w:eastAsia="Times New Roman" w:hint="default"/>
                <w:sz w:val="21"/>
                <w:szCs w:val="21"/>
              </w:rPr>
            </w:pPr>
            <w:r>
              <w:rPr>
                <w:rFonts w:ascii="Times New Roman"/>
                <w:sz w:val="21"/>
              </w:rPr>
              <w:t>10.00%</w:t>
            </w:r>
          </w:p>
        </w:tc>
      </w:tr>
      <w:tr>
        <w:trPr>
          <w:trHeight w:val="283" w:hRule="exact"/>
        </w:trPr>
        <w:tc>
          <w:tcPr>
            <w:tcW w:w="23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59" w:lineRule="exact"/>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39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2"/>
                <w:sz w:val="21"/>
              </w:rPr>
              <w:t>95,117.04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21"/>
                <w:szCs w:val="21"/>
              </w:rPr>
            </w:pPr>
            <w:r>
              <w:rPr>
                <w:rFonts w:ascii="Times New Roman"/>
                <w:spacing w:val="-2"/>
                <w:sz w:val="21"/>
              </w:rPr>
              <w:t>28,535.11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Times New Roman" w:hAnsi="Times New Roman" w:cs="Times New Roman" w:eastAsia="Times New Roman" w:hint="default"/>
                <w:sz w:val="21"/>
                <w:szCs w:val="21"/>
              </w:rPr>
            </w:pPr>
            <w:r>
              <w:rPr>
                <w:rFonts w:ascii="Times New Roman"/>
                <w:sz w:val="21"/>
              </w:rPr>
              <w:t>30.00%</w:t>
            </w:r>
          </w:p>
        </w:tc>
      </w:tr>
      <w:tr>
        <w:trPr>
          <w:trHeight w:val="283" w:hRule="exact"/>
        </w:trPr>
        <w:tc>
          <w:tcPr>
            <w:tcW w:w="23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57" w:lineRule="exact"/>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年以上</w:t>
            </w:r>
          </w:p>
        </w:tc>
        <w:tc>
          <w:tcPr>
            <w:tcW w:w="239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260,121.20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21"/>
                <w:szCs w:val="21"/>
              </w:rPr>
            </w:pPr>
            <w:r>
              <w:rPr>
                <w:rFonts w:ascii="Times New Roman"/>
                <w:spacing w:val="-1"/>
                <w:sz w:val="21"/>
              </w:rPr>
              <w:t>260,121.20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Times New Roman" w:hAnsi="Times New Roman" w:cs="Times New Roman" w:eastAsia="Times New Roman" w:hint="default"/>
                <w:sz w:val="21"/>
                <w:szCs w:val="21"/>
              </w:rPr>
            </w:pPr>
            <w:r>
              <w:rPr>
                <w:rFonts w:ascii="Times New Roman"/>
                <w:sz w:val="21"/>
              </w:rPr>
              <w:t>100.00%</w:t>
            </w:r>
          </w:p>
        </w:tc>
      </w:tr>
      <w:tr>
        <w:trPr>
          <w:trHeight w:val="283" w:hRule="exact"/>
        </w:trPr>
        <w:tc>
          <w:tcPr>
            <w:tcW w:w="23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9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1,478,884.36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21"/>
                <w:szCs w:val="21"/>
              </w:rPr>
            </w:pPr>
            <w:r>
              <w:rPr>
                <w:rFonts w:ascii="Times New Roman"/>
                <w:spacing w:val="-1"/>
                <w:sz w:val="21"/>
              </w:rPr>
              <w:t>340,694.27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Times New Roman" w:hAnsi="Times New Roman" w:cs="Times New Roman" w:eastAsia="Times New Roman" w:hint="default"/>
                <w:sz w:val="21"/>
                <w:szCs w:val="21"/>
              </w:rPr>
            </w:pPr>
            <w:r>
              <w:rPr>
                <w:rFonts w:ascii="Times New Roman"/>
                <w:sz w:val="21"/>
              </w:rPr>
              <w:t>23.04%</w:t>
            </w:r>
          </w:p>
        </w:tc>
      </w:tr>
    </w:tbl>
    <w:p>
      <w:pPr>
        <w:pStyle w:val="BodyText"/>
        <w:spacing w:line="273" w:lineRule="auto"/>
        <w:ind w:right="3068"/>
        <w:jc w:val="left"/>
      </w:pPr>
      <w:r>
        <w:rPr/>
        <w:t>确定该组合依据的说明：</w:t>
      </w:r>
      <w:r>
        <w:rPr>
          <w:w w:val="100"/>
        </w:rPr>
        <w:t> </w:t>
      </w:r>
      <w:r>
        <w:rPr>
          <w:spacing w:val="-2"/>
        </w:rPr>
        <w:t>组合中，采用余额百分比法计提坏账准备的其他应收款：</w:t>
      </w:r>
    </w:p>
    <w:p>
      <w:pPr>
        <w:pStyle w:val="BodyText"/>
        <w:spacing w:line="240" w:lineRule="auto" w:before="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type w:val="continuous"/>
          <w:pgSz w:w="11910" w:h="16840"/>
          <w:pgMar w:top="1060" w:bottom="1180" w:left="980" w:right="980"/>
        </w:sectPr>
      </w:pPr>
    </w:p>
    <w:p>
      <w:pPr>
        <w:spacing w:line="240" w:lineRule="auto" w:before="8"/>
        <w:rPr>
          <w:rFonts w:ascii="宋体" w:hAnsi="宋体" w:cs="宋体" w:eastAsia="宋体" w:hint="default"/>
          <w:sz w:val="24"/>
          <w:szCs w:val="24"/>
        </w:rPr>
      </w:pPr>
    </w:p>
    <w:p>
      <w:pPr>
        <w:pStyle w:val="BodyText"/>
        <w:spacing w:line="240" w:lineRule="auto" w:before="36"/>
        <w:ind w:right="0"/>
        <w:jc w:val="left"/>
      </w:pPr>
      <w:r>
        <w:rPr/>
        <w:t>组合中，采用其他方法计提坏账准备的其他应收款：</w:t>
      </w:r>
    </w:p>
    <w:p>
      <w:pPr>
        <w:pStyle w:val="BodyText"/>
        <w:spacing w:line="240" w:lineRule="auto" w:before="3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7"/>
        <w:rPr>
          <w:rFonts w:ascii="宋体" w:hAnsi="宋体" w:cs="宋体" w:eastAsia="宋体" w:hint="default"/>
          <w:sz w:val="24"/>
          <w:szCs w:val="24"/>
        </w:rPr>
      </w:pPr>
    </w:p>
    <w:p>
      <w:pPr>
        <w:pStyle w:val="Heading5"/>
        <w:spacing w:line="240" w:lineRule="auto"/>
        <w:ind w:right="0"/>
        <w:jc w:val="left"/>
        <w:rPr>
          <w:b w:val="0"/>
          <w:bCs w:val="0"/>
        </w:rPr>
      </w:pPr>
      <w:bookmarkStart w:name="（2）本期计提、收回或转回的坏账准备情况" w:id="191"/>
      <w:bookmarkEnd w:id="191"/>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right="0"/>
        <w:jc w:val="left"/>
      </w:pPr>
      <w:r>
        <w:rPr/>
        <w:t>本期计提坏账准备金额</w:t>
      </w:r>
      <w:r>
        <w:rPr>
          <w:spacing w:val="-55"/>
        </w:rPr>
        <w:t> </w:t>
      </w:r>
      <w:r>
        <w:rPr>
          <w:rFonts w:ascii="Times New Roman" w:hAnsi="Times New Roman" w:cs="Times New Roman" w:eastAsia="Times New Roman" w:hint="default"/>
        </w:rPr>
        <w:t>340,694.27</w:t>
      </w:r>
      <w:r>
        <w:rPr>
          <w:rFonts w:ascii="Times New Roman" w:hAnsi="Times New Roman" w:cs="Times New Roman" w:eastAsia="Times New Roman" w:hint="default"/>
          <w:spacing w:val="-2"/>
        </w:rPr>
        <w:t> </w:t>
      </w:r>
      <w:r>
        <w:rPr/>
        <w:t>元；本期收回或转回坏账准备金额</w:t>
      </w:r>
      <w:r>
        <w:rPr>
          <w:spacing w:val="-5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3"/>
        </w:rPr>
        <w:t> </w:t>
      </w:r>
      <w:r>
        <w:rPr>
          <w:spacing w:val="-3"/>
        </w:rPr>
        <w:t>元。</w:t>
      </w:r>
      <w:r>
        <w:rPr/>
      </w:r>
    </w:p>
    <w:p>
      <w:pPr>
        <w:spacing w:line="240" w:lineRule="auto" w:before="7"/>
        <w:rPr>
          <w:rFonts w:ascii="宋体" w:hAnsi="宋体" w:cs="宋体" w:eastAsia="宋体" w:hint="default"/>
          <w:sz w:val="24"/>
          <w:szCs w:val="24"/>
        </w:rPr>
      </w:pPr>
    </w:p>
    <w:p>
      <w:pPr>
        <w:pStyle w:val="Heading5"/>
        <w:spacing w:line="240" w:lineRule="auto"/>
        <w:ind w:right="0"/>
        <w:jc w:val="left"/>
        <w:rPr>
          <w:b w:val="0"/>
          <w:bCs w:val="0"/>
        </w:rPr>
      </w:pPr>
      <w:bookmarkStart w:name="（3）其他应收款按款项性质分类情况" w:id="192"/>
      <w:bookmarkEnd w:id="192"/>
      <w:r>
        <w:rPr>
          <w:b w:val="0"/>
          <w:bCs w:val="0"/>
        </w:rPr>
      </w: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36"/>
        <w:ind w:left="0" w:right="150"/>
        <w:jc w:val="right"/>
      </w:pPr>
      <w:r>
        <w:rPr/>
        <w:t>单位：</w:t>
      </w:r>
      <w:r>
        <w:rPr>
          <w:spacing w:val="2"/>
        </w:rPr>
        <w:t> </w:t>
      </w:r>
      <w:r>
        <w:rPr/>
        <w:t>元</w:t>
      </w:r>
    </w:p>
    <w:p>
      <w:pPr>
        <w:spacing w:line="240" w:lineRule="auto" w:before="10"/>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28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959"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9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保证金及押金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821,036.18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519,838.24</w:t>
            </w:r>
          </w:p>
        </w:tc>
      </w:tr>
      <w:tr>
        <w:trPr>
          <w:trHeight w:val="28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328,848.18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63,688.99</w:t>
            </w:r>
          </w:p>
        </w:tc>
      </w:tr>
      <w:tr>
        <w:trPr>
          <w:trHeight w:val="28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往来款项及其他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329,000.00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329,000.00</w:t>
            </w:r>
          </w:p>
        </w:tc>
      </w:tr>
      <w:tr>
        <w:trPr>
          <w:trHeight w:val="28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1,478,884.36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912,527.23</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bookmarkStart w:name="（4）按欠款方归集的期末余额前五名的其他应收款情况" w:id="193"/>
      <w:bookmarkEnd w:id="193"/>
      <w:r>
        <w:rPr>
          <w:b w:val="0"/>
          <w:bCs w:val="0"/>
        </w:rPr>
      </w: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36"/>
        <w:ind w:left="0" w:right="150"/>
        <w:jc w:val="right"/>
      </w:pPr>
      <w:r>
        <w:rPr/>
        <w:t>单位：</w:t>
      </w:r>
      <w:r>
        <w:rPr>
          <w:spacing w:val="2"/>
        </w:rPr>
        <w:t> </w:t>
      </w:r>
      <w:r>
        <w:rPr/>
        <w:t>元</w:t>
      </w:r>
    </w:p>
    <w:p>
      <w:pPr>
        <w:spacing w:line="240" w:lineRule="auto" w:before="12"/>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829"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7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66"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71"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exact"/>
              <w:ind w:left="57" w:right="0"/>
              <w:jc w:val="left"/>
              <w:rPr>
                <w:rFonts w:ascii="宋体" w:hAnsi="宋体" w:cs="宋体" w:eastAsia="宋体" w:hint="default"/>
                <w:sz w:val="21"/>
                <w:szCs w:val="21"/>
              </w:rPr>
            </w:pPr>
            <w:r>
              <w:rPr>
                <w:rFonts w:ascii="宋体" w:hAnsi="宋体" w:cs="宋体" w:eastAsia="宋体" w:hint="default"/>
                <w:sz w:val="21"/>
                <w:szCs w:val="21"/>
              </w:rPr>
              <w:t>占其他应收款期</w:t>
            </w:r>
          </w:p>
          <w:p>
            <w:pPr>
              <w:pStyle w:val="TableParagraph"/>
              <w:spacing w:line="240" w:lineRule="auto"/>
              <w:ind w:left="583" w:right="50" w:hanging="526"/>
              <w:jc w:val="left"/>
              <w:rPr>
                <w:rFonts w:ascii="宋体" w:hAnsi="宋体" w:cs="宋体" w:eastAsia="宋体" w:hint="default"/>
                <w:sz w:val="21"/>
                <w:szCs w:val="21"/>
              </w:rPr>
            </w:pPr>
            <w:r>
              <w:rPr>
                <w:rFonts w:ascii="宋体" w:hAnsi="宋体" w:cs="宋体" w:eastAsia="宋体" w:hint="default"/>
                <w:sz w:val="21"/>
                <w:szCs w:val="21"/>
              </w:rPr>
              <w:t>末余额合计数的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比例</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left="686" w:right="53" w:hanging="629"/>
              <w:jc w:val="left"/>
              <w:rPr>
                <w:rFonts w:ascii="宋体" w:hAnsi="宋体" w:cs="宋体" w:eastAsia="宋体" w:hint="default"/>
                <w:sz w:val="21"/>
                <w:szCs w:val="21"/>
              </w:rPr>
            </w:pPr>
            <w:r>
              <w:rPr>
                <w:rFonts w:ascii="宋体" w:hAnsi="宋体" w:cs="宋体" w:eastAsia="宋体" w:hint="default"/>
                <w:sz w:val="21"/>
                <w:szCs w:val="21"/>
              </w:rPr>
              <w:t>坏账准备期末余</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额</w:t>
            </w:r>
          </w:p>
        </w:tc>
      </w:tr>
      <w:tr>
        <w:trPr>
          <w:trHeight w:val="55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北京惟德基业科</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319,000.00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21"/>
                <w:szCs w:val="21"/>
              </w:rPr>
            </w:pPr>
            <w:r>
              <w:rPr>
                <w:rFonts w:ascii="Times New Roman"/>
                <w:sz w:val="21"/>
              </w:rPr>
              <w:t>21.57%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31,900.00</w:t>
            </w:r>
          </w:p>
        </w:tc>
      </w:tr>
      <w:tr>
        <w:trPr>
          <w:trHeight w:val="830"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84"/>
              <w:jc w:val="left"/>
              <w:rPr>
                <w:rFonts w:ascii="宋体" w:hAnsi="宋体" w:cs="宋体" w:eastAsia="宋体" w:hint="default"/>
                <w:sz w:val="21"/>
                <w:szCs w:val="21"/>
              </w:rPr>
            </w:pPr>
            <w:r>
              <w:rPr>
                <w:rFonts w:ascii="宋体" w:hAnsi="宋体" w:cs="宋体" w:eastAsia="宋体" w:hint="default"/>
                <w:sz w:val="21"/>
                <w:szCs w:val="21"/>
              </w:rPr>
              <w:t>深圳市昱为科技</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押金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194,988.00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年以内</w:t>
            </w:r>
          </w:p>
          <w:p>
            <w:pPr>
              <w:pStyle w:val="TableParagraph"/>
              <w:spacing w:line="274" w:lineRule="exact" w:before="16"/>
              <w:ind w:left="23" w:right="17"/>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9"/>
                <w:w w:val="100"/>
                <w:sz w:val="21"/>
                <w:szCs w:val="21"/>
              </w:rPr>
              <w:t>52,988.00</w:t>
            </w:r>
            <w:r>
              <w:rPr>
                <w:rFonts w:ascii="宋体" w:hAnsi="宋体" w:cs="宋体" w:eastAsia="宋体" w:hint="default"/>
                <w:spacing w:val="-9"/>
                <w:w w:val="100"/>
                <w:sz w:val="21"/>
                <w:szCs w:val="21"/>
              </w:rPr>
              <w:t>；</w:t>
            </w:r>
            <w:r>
              <w:rPr>
                <w:rFonts w:ascii="Times New Roman" w:hAnsi="Times New Roman" w:cs="Times New Roman" w:eastAsia="Times New Roman" w:hint="default"/>
                <w:spacing w:val="-9"/>
                <w:w w:val="100"/>
                <w:sz w:val="21"/>
                <w:szCs w:val="21"/>
              </w:rPr>
              <w:t>3</w:t>
            </w:r>
            <w:r>
              <w:rPr>
                <w:rFonts w:ascii="Times New Roman" w:hAnsi="Times New Roman" w:cs="Times New Roman" w:eastAsia="Times New Roman" w:hint="default"/>
                <w:spacing w:val="-1"/>
                <w:w w:val="100"/>
                <w:sz w:val="21"/>
                <w:szCs w:val="21"/>
              </w:rPr>
              <w:t> </w:t>
            </w:r>
            <w:r>
              <w:rPr>
                <w:rFonts w:ascii="宋体" w:hAnsi="宋体" w:cs="宋体" w:eastAsia="宋体" w:hint="default"/>
                <w:w w:val="100"/>
                <w:sz w:val="21"/>
                <w:szCs w:val="21"/>
              </w:rPr>
              <w:t>年以 </w:t>
            </w:r>
            <w:r>
              <w:rPr>
                <w:rFonts w:ascii="宋体" w:hAnsi="宋体" w:cs="宋体" w:eastAsia="宋体" w:hint="default"/>
                <w:sz w:val="21"/>
                <w:szCs w:val="21"/>
              </w:rPr>
              <w:t>上</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142,000.00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13.18%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142,529.88</w:t>
            </w:r>
          </w:p>
        </w:tc>
      </w:tr>
      <w:tr>
        <w:trPr>
          <w:trHeight w:val="797"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4" w:right="84"/>
              <w:jc w:val="left"/>
              <w:rPr>
                <w:rFonts w:ascii="宋体" w:hAnsi="宋体" w:cs="宋体" w:eastAsia="宋体" w:hint="default"/>
                <w:sz w:val="21"/>
                <w:szCs w:val="21"/>
              </w:rPr>
            </w:pPr>
            <w:r>
              <w:rPr>
                <w:rFonts w:ascii="宋体" w:hAnsi="宋体" w:cs="宋体" w:eastAsia="宋体" w:hint="default"/>
                <w:sz w:val="21"/>
                <w:szCs w:val="21"/>
              </w:rPr>
              <w:t>浙江天猫技术有</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170,000.00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年以内</w:t>
            </w:r>
          </w:p>
          <w:p>
            <w:pPr>
              <w:pStyle w:val="TableParagraph"/>
              <w:spacing w:line="282"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pacing w:val="-5"/>
                <w:sz w:val="21"/>
                <w:szCs w:val="21"/>
              </w:rPr>
              <w:t>40,000.00</w:t>
            </w: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1-2</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p>
          <w:p>
            <w:pPr>
              <w:pStyle w:val="TableParagraph"/>
              <w:spacing w:line="240" w:lineRule="auto" w:before="10"/>
              <w:ind w:left="23" w:right="0"/>
              <w:jc w:val="left"/>
              <w:rPr>
                <w:rFonts w:ascii="Times New Roman" w:hAnsi="Times New Roman" w:cs="Times New Roman" w:eastAsia="Times New Roman" w:hint="default"/>
                <w:sz w:val="21"/>
                <w:szCs w:val="21"/>
              </w:rPr>
            </w:pPr>
            <w:r>
              <w:rPr>
                <w:rFonts w:ascii="Times New Roman"/>
                <w:sz w:val="21"/>
              </w:rPr>
              <w:t>130,000.00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pacing w:val="-2"/>
                <w:sz w:val="21"/>
              </w:rPr>
              <w:t>11.50%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13,400.00</w:t>
            </w:r>
          </w:p>
        </w:tc>
      </w:tr>
      <w:tr>
        <w:trPr>
          <w:trHeight w:val="557"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北京教育科学研</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究院</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160,000.00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6"/>
              <w:jc w:val="right"/>
              <w:rPr>
                <w:rFonts w:ascii="Times New Roman" w:hAnsi="Times New Roman" w:cs="Times New Roman" w:eastAsia="Times New Roman" w:hint="default"/>
                <w:sz w:val="21"/>
                <w:szCs w:val="21"/>
              </w:rPr>
            </w:pPr>
            <w:r>
              <w:rPr>
                <w:rFonts w:ascii="Times New Roman"/>
                <w:sz w:val="21"/>
              </w:rPr>
              <w:t>10.82%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1,600.00</w:t>
            </w:r>
          </w:p>
        </w:tc>
      </w:tr>
      <w:tr>
        <w:trPr>
          <w:trHeight w:val="83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84"/>
              <w:jc w:val="left"/>
              <w:rPr>
                <w:rFonts w:ascii="宋体" w:hAnsi="宋体" w:cs="宋体" w:eastAsia="宋体" w:hint="default"/>
                <w:sz w:val="21"/>
                <w:szCs w:val="21"/>
              </w:rPr>
            </w:pPr>
            <w:r>
              <w:rPr>
                <w:rFonts w:ascii="宋体" w:hAnsi="宋体" w:cs="宋体" w:eastAsia="宋体" w:hint="default"/>
                <w:sz w:val="21"/>
                <w:szCs w:val="21"/>
              </w:rPr>
              <w:t>深圳市高新区开</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发建设公司</w:t>
            </w:r>
          </w:p>
        </w:tc>
        <w:tc>
          <w:tcPr>
            <w:tcW w:w="1594" w:type="dxa"/>
            <w:tcBorders>
              <w:top w:val="single" w:sz="4" w:space="0" w:color="000000"/>
              <w:left w:val="single" w:sz="4" w:space="0" w:color="000000"/>
              <w:bottom w:val="single" w:sz="7" w:space="0" w:color="D4D4D4"/>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押金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121,072.14</w:t>
            </w:r>
          </w:p>
        </w:tc>
        <w:tc>
          <w:tcPr>
            <w:tcW w:w="1594" w:type="dxa"/>
            <w:tcBorders>
              <w:top w:val="single" w:sz="4" w:space="0" w:color="000000"/>
              <w:left w:val="single" w:sz="4" w:space="0" w:color="000000"/>
              <w:bottom w:val="single" w:sz="7" w:space="0" w:color="D4D4D4"/>
              <w:right w:val="single" w:sz="4" w:space="0" w:color="000000"/>
            </w:tcBorders>
          </w:tcPr>
          <w:p>
            <w:pPr>
              <w:pStyle w:val="TableParagraph"/>
              <w:spacing w:line="248"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年以内</w:t>
            </w:r>
          </w:p>
          <w:p>
            <w:pPr>
              <w:pStyle w:val="TableParagraph"/>
              <w:spacing w:line="272" w:lineRule="exact" w:before="19"/>
              <w:ind w:left="23" w:right="17"/>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9"/>
                <w:w w:val="100"/>
                <w:sz w:val="21"/>
                <w:szCs w:val="21"/>
              </w:rPr>
              <w:t>44,200.94</w:t>
            </w:r>
            <w:r>
              <w:rPr>
                <w:rFonts w:ascii="宋体" w:hAnsi="宋体" w:cs="宋体" w:eastAsia="宋体" w:hint="default"/>
                <w:spacing w:val="-9"/>
                <w:w w:val="100"/>
                <w:sz w:val="21"/>
                <w:szCs w:val="21"/>
              </w:rPr>
              <w:t>；</w:t>
            </w:r>
            <w:r>
              <w:rPr>
                <w:rFonts w:ascii="Times New Roman" w:hAnsi="Times New Roman" w:cs="Times New Roman" w:eastAsia="Times New Roman" w:hint="default"/>
                <w:spacing w:val="-9"/>
                <w:w w:val="100"/>
                <w:sz w:val="21"/>
                <w:szCs w:val="21"/>
              </w:rPr>
              <w:t>3</w:t>
            </w:r>
            <w:r>
              <w:rPr>
                <w:rFonts w:ascii="Times New Roman" w:hAnsi="Times New Roman" w:cs="Times New Roman" w:eastAsia="Times New Roman" w:hint="default"/>
                <w:spacing w:val="-1"/>
                <w:w w:val="100"/>
                <w:sz w:val="21"/>
                <w:szCs w:val="21"/>
              </w:rPr>
              <w:t> </w:t>
            </w:r>
            <w:r>
              <w:rPr>
                <w:rFonts w:ascii="宋体" w:hAnsi="宋体" w:cs="宋体" w:eastAsia="宋体" w:hint="default"/>
                <w:w w:val="100"/>
                <w:sz w:val="21"/>
                <w:szCs w:val="21"/>
              </w:rPr>
              <w:t>年以 </w:t>
            </w:r>
            <w:r>
              <w:rPr>
                <w:rFonts w:ascii="宋体" w:hAnsi="宋体" w:cs="宋体" w:eastAsia="宋体" w:hint="default"/>
                <w:sz w:val="21"/>
                <w:szCs w:val="21"/>
              </w:rPr>
              <w:t>上</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76,871.20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8.19%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77,313.21</w:t>
            </w:r>
          </w:p>
        </w:tc>
      </w:tr>
      <w:tr>
        <w:trPr>
          <w:trHeight w:val="266"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
              <w:ind w:right="0"/>
              <w:jc w:val="center"/>
              <w:rPr>
                <w:rFonts w:ascii="Times New Roman" w:hAnsi="Times New Roman" w:cs="Times New Roman" w:eastAsia="Times New Roman" w:hint="default"/>
                <w:sz w:val="21"/>
                <w:szCs w:val="21"/>
              </w:rPr>
            </w:pPr>
            <w:r>
              <w:rPr>
                <w:rFonts w:ascii="Times New Roman"/>
                <w:sz w:val="21"/>
              </w:rPr>
              <w:t>--</w:t>
            </w:r>
          </w:p>
        </w:tc>
        <w:tc>
          <w:tcPr>
            <w:tcW w:w="159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2"/>
              <w:ind w:right="19"/>
              <w:jc w:val="right"/>
              <w:rPr>
                <w:rFonts w:ascii="Times New Roman" w:hAnsi="Times New Roman" w:cs="Times New Roman" w:eastAsia="Times New Roman" w:hint="default"/>
                <w:sz w:val="21"/>
                <w:szCs w:val="21"/>
              </w:rPr>
            </w:pPr>
            <w:r>
              <w:rPr>
                <w:rFonts w:ascii="Times New Roman"/>
                <w:spacing w:val="-1"/>
                <w:sz w:val="21"/>
              </w:rPr>
              <w:t>965,060.14</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
              <w:ind w:right="0"/>
              <w:jc w:val="center"/>
              <w:rPr>
                <w:rFonts w:ascii="Times New Roman" w:hAnsi="Times New Roman" w:cs="Times New Roman" w:eastAsia="Times New Roman" w:hint="default"/>
                <w:sz w:val="21"/>
                <w:szCs w:val="21"/>
              </w:rPr>
            </w:pPr>
            <w:r>
              <w:rPr>
                <w:rFonts w:ascii="Times New Roman"/>
                <w:sz w:val="21"/>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6"/>
              <w:jc w:val="right"/>
              <w:rPr>
                <w:rFonts w:ascii="Times New Roman" w:hAnsi="Times New Roman" w:cs="Times New Roman" w:eastAsia="Times New Roman" w:hint="default"/>
                <w:sz w:val="21"/>
                <w:szCs w:val="21"/>
              </w:rPr>
            </w:pPr>
            <w:r>
              <w:rPr>
                <w:rFonts w:ascii="Times New Roman"/>
                <w:sz w:val="21"/>
              </w:rPr>
              <w:t>65.26%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9"/>
              <w:jc w:val="right"/>
              <w:rPr>
                <w:rFonts w:ascii="Times New Roman" w:hAnsi="Times New Roman" w:cs="Times New Roman" w:eastAsia="Times New Roman" w:hint="default"/>
                <w:sz w:val="21"/>
                <w:szCs w:val="21"/>
              </w:rPr>
            </w:pPr>
            <w:r>
              <w:rPr>
                <w:rFonts w:ascii="Times New Roman"/>
                <w:spacing w:val="-1"/>
                <w:sz w:val="21"/>
              </w:rPr>
              <w:t>266,743.09</w:t>
            </w:r>
          </w:p>
        </w:tc>
      </w:tr>
    </w:tbl>
    <w:p>
      <w:pPr>
        <w:pStyle w:val="BodyText"/>
        <w:spacing w:line="264" w:lineRule="auto"/>
        <w:ind w:right="0"/>
        <w:jc w:val="left"/>
      </w:pPr>
      <w:r>
        <w:rPr/>
        <w:t>其他说明：</w:t>
      </w:r>
      <w:r>
        <w:rPr>
          <w:spacing w:val="-102"/>
        </w:rPr>
        <w:t> </w:t>
      </w:r>
      <w:r>
        <w:rPr>
          <w:spacing w:val="-102"/>
        </w:rPr>
      </w:r>
      <w:r>
        <w:rPr>
          <w:spacing w:val="-2"/>
        </w:rPr>
        <w:t>其他应收款期末余额比期初余额增加</w:t>
      </w:r>
      <w:r>
        <w:rPr>
          <w:rFonts w:ascii="Times New Roman" w:hAnsi="Times New Roman" w:cs="Times New Roman" w:eastAsia="Times New Roman" w:hint="default"/>
          <w:spacing w:val="-2"/>
        </w:rPr>
        <w:t>566,357.13</w:t>
      </w:r>
      <w:r>
        <w:rPr>
          <w:spacing w:val="-2"/>
        </w:rPr>
        <w:t>元，增幅为</w:t>
      </w:r>
      <w:r>
        <w:rPr>
          <w:rFonts w:ascii="Times New Roman" w:hAnsi="Times New Roman" w:cs="Times New Roman" w:eastAsia="Times New Roman" w:hint="default"/>
          <w:spacing w:val="-2"/>
        </w:rPr>
        <w:t>62.06%</w:t>
      </w:r>
      <w:r>
        <w:rPr>
          <w:spacing w:val="-2"/>
        </w:rPr>
        <w:t>，主要系本公司应收的保证金、押金及</w:t>
      </w:r>
      <w:r>
        <w:rPr>
          <w:spacing w:val="-11"/>
        </w:rPr>
        <w:t> </w:t>
      </w:r>
      <w:r>
        <w:rPr>
          <w:spacing w:val="-11"/>
        </w:rPr>
      </w:r>
      <w:r>
        <w:rPr/>
        <w:t>备用金增加所致。</w:t>
      </w:r>
    </w:p>
    <w:p>
      <w:pPr>
        <w:spacing w:line="240" w:lineRule="auto" w:before="2"/>
        <w:rPr>
          <w:rFonts w:ascii="宋体" w:hAnsi="宋体" w:cs="宋体" w:eastAsia="宋体" w:hint="default"/>
          <w:sz w:val="24"/>
          <w:szCs w:val="24"/>
        </w:rPr>
      </w:pPr>
    </w:p>
    <w:p>
      <w:pPr>
        <w:pStyle w:val="Heading5"/>
        <w:spacing w:line="240" w:lineRule="auto"/>
        <w:ind w:right="0"/>
        <w:jc w:val="left"/>
        <w:rPr>
          <w:b w:val="0"/>
          <w:bCs w:val="0"/>
        </w:rPr>
      </w:pPr>
      <w:bookmarkStart w:name="8、存货" w:id="194"/>
      <w:bookmarkEnd w:id="194"/>
      <w:r>
        <w:rPr>
          <w:b w:val="0"/>
          <w:bCs w:val="0"/>
        </w:rPr>
      </w:r>
      <w:r>
        <w:rPr>
          <w:rFonts w:ascii="Times New Roman" w:hAnsi="Times New Roman" w:cs="Times New Roman" w:eastAsia="Times New Roman" w:hint="default"/>
        </w:rPr>
        <w:t>8</w:t>
      </w:r>
      <w:r>
        <w:rPr/>
        <w:t>、存货</w:t>
      </w:r>
      <w:r>
        <w:rPr>
          <w:b w:val="0"/>
          <w:bCs w:val="0"/>
        </w:rPr>
      </w:r>
    </w:p>
    <w:p>
      <w:pPr>
        <w:spacing w:line="240" w:lineRule="auto" w:before="0"/>
        <w:rPr>
          <w:rFonts w:ascii="宋体" w:hAnsi="宋体" w:cs="宋体" w:eastAsia="宋体" w:hint="default"/>
          <w:b/>
          <w:bCs/>
          <w:sz w:val="22"/>
          <w:szCs w:val="22"/>
        </w:rPr>
      </w:pPr>
    </w:p>
    <w:p>
      <w:pPr>
        <w:spacing w:line="240" w:lineRule="auto" w:before="9"/>
        <w:rPr>
          <w:rFonts w:ascii="宋体" w:hAnsi="宋体" w:cs="宋体" w:eastAsia="宋体" w:hint="default"/>
          <w:b/>
          <w:bCs/>
          <w:sz w:val="25"/>
          <w:szCs w:val="25"/>
        </w:rPr>
      </w:pPr>
    </w:p>
    <w:p>
      <w:pPr>
        <w:pStyle w:val="Heading5"/>
        <w:spacing w:line="240" w:lineRule="auto"/>
        <w:ind w:right="0"/>
        <w:jc w:val="left"/>
        <w:rPr>
          <w:b w:val="0"/>
          <w:bCs w:val="0"/>
        </w:rPr>
      </w:pPr>
      <w:bookmarkStart w:name="（1）存货分类" w:id="195"/>
      <w:bookmarkEnd w:id="195"/>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0" w:right="150"/>
        <w:jc w:val="right"/>
      </w:pPr>
      <w:r>
        <w:rPr/>
        <w:t>单位：</w:t>
      </w:r>
      <w:r>
        <w:rPr>
          <w:spacing w:val="2"/>
        </w:rPr>
        <w:t> </w:t>
      </w:r>
      <w:r>
        <w:rPr/>
        <w:t>元</w:t>
      </w:r>
    </w:p>
    <w:p>
      <w:pPr>
        <w:spacing w:line="240" w:lineRule="auto" w:before="10"/>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1367"/>
        <w:gridCol w:w="4102"/>
        <w:gridCol w:w="4091"/>
      </w:tblGrid>
      <w:tr>
        <w:trPr>
          <w:trHeight w:val="283" w:hRule="exact"/>
        </w:trPr>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1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0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0" w:right="0"/>
              <w:jc w:val="center"/>
              <w:rPr>
                <w:rFonts w:ascii="宋体" w:hAnsi="宋体" w:cs="宋体" w:eastAsia="宋体" w:hint="default"/>
                <w:sz w:val="21"/>
                <w:szCs w:val="21"/>
              </w:rPr>
            </w:pPr>
            <w:r>
              <w:rPr>
                <w:rFonts w:ascii="宋体" w:hAnsi="宋体" w:cs="宋体" w:eastAsia="宋体" w:hint="default"/>
                <w:sz w:val="21"/>
                <w:szCs w:val="21"/>
              </w:rPr>
              <w:t>期初余额</w:t>
            </w:r>
          </w:p>
        </w:tc>
      </w:tr>
    </w:tbl>
    <w:p>
      <w:pPr>
        <w:spacing w:after="0" w:line="241" w:lineRule="exact"/>
        <w:jc w:val="center"/>
        <w:rPr>
          <w:rFonts w:ascii="宋体" w:hAnsi="宋体" w:cs="宋体" w:eastAsia="宋体" w:hint="default"/>
          <w:sz w:val="21"/>
          <w:szCs w:val="21"/>
        </w:rPr>
        <w:sectPr>
          <w:pgSz w:w="11910" w:h="16840"/>
          <w:pgMar w:header="880" w:footer="979" w:top="1060" w:bottom="1160" w:left="980" w:right="980"/>
        </w:sectPr>
      </w:pPr>
    </w:p>
    <w:p>
      <w:pPr>
        <w:spacing w:line="240" w:lineRule="auto" w:before="4"/>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345"/>
        <w:gridCol w:w="1379"/>
        <w:gridCol w:w="1368"/>
        <w:gridCol w:w="1366"/>
        <w:gridCol w:w="1368"/>
        <w:gridCol w:w="1366"/>
        <w:gridCol w:w="1368"/>
      </w:tblGrid>
      <w:tr>
        <w:trPr>
          <w:trHeight w:val="283" w:hRule="exact"/>
        </w:trPr>
        <w:tc>
          <w:tcPr>
            <w:tcW w:w="1345"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3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27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259"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259"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25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259"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259"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3" w:hRule="exact"/>
        </w:trPr>
        <w:tc>
          <w:tcPr>
            <w:tcW w:w="134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379"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0"/>
              <w:ind w:left="235" w:right="0"/>
              <w:jc w:val="left"/>
              <w:rPr>
                <w:rFonts w:ascii="Times New Roman" w:hAnsi="Times New Roman" w:cs="Times New Roman" w:eastAsia="Times New Roman" w:hint="default"/>
                <w:sz w:val="21"/>
                <w:szCs w:val="21"/>
              </w:rPr>
            </w:pPr>
            <w:r>
              <w:rPr>
                <w:rFonts w:ascii="Times New Roman"/>
                <w:sz w:val="21"/>
              </w:rPr>
              <w:t>1,176,973.52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208,767.21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968,206.31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2" w:right="0"/>
              <w:jc w:val="left"/>
              <w:rPr>
                <w:rFonts w:ascii="Times New Roman" w:hAnsi="Times New Roman" w:cs="Times New Roman" w:eastAsia="Times New Roman" w:hint="default"/>
                <w:sz w:val="21"/>
                <w:szCs w:val="21"/>
              </w:rPr>
            </w:pPr>
            <w:r>
              <w:rPr>
                <w:rFonts w:ascii="Times New Roman"/>
                <w:sz w:val="21"/>
              </w:rPr>
              <w:t>1,233,804.38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170,025.34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2" w:right="0"/>
              <w:jc w:val="left"/>
              <w:rPr>
                <w:rFonts w:ascii="Times New Roman" w:hAnsi="Times New Roman" w:cs="Times New Roman" w:eastAsia="Times New Roman" w:hint="default"/>
                <w:sz w:val="21"/>
                <w:szCs w:val="21"/>
              </w:rPr>
            </w:pPr>
            <w:r>
              <w:rPr>
                <w:rFonts w:ascii="Times New Roman"/>
                <w:sz w:val="21"/>
              </w:rPr>
              <w:t>1,063,779.04</w:t>
            </w:r>
          </w:p>
        </w:tc>
      </w:tr>
      <w:tr>
        <w:trPr>
          <w:trHeight w:val="283" w:hRule="exact"/>
        </w:trPr>
        <w:tc>
          <w:tcPr>
            <w:tcW w:w="134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379"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0"/>
              <w:ind w:left="235" w:right="0"/>
              <w:jc w:val="left"/>
              <w:rPr>
                <w:rFonts w:ascii="Times New Roman" w:hAnsi="Times New Roman" w:cs="Times New Roman" w:eastAsia="Times New Roman" w:hint="default"/>
                <w:sz w:val="21"/>
                <w:szCs w:val="21"/>
              </w:rPr>
            </w:pPr>
            <w:r>
              <w:rPr>
                <w:rFonts w:ascii="Times New Roman"/>
                <w:sz w:val="21"/>
              </w:rPr>
              <w:t>4,959,212.75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789,537.49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4,169,675.26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2" w:right="0"/>
              <w:jc w:val="left"/>
              <w:rPr>
                <w:rFonts w:ascii="Times New Roman" w:hAnsi="Times New Roman" w:cs="Times New Roman" w:eastAsia="Times New Roman" w:hint="default"/>
                <w:sz w:val="21"/>
                <w:szCs w:val="21"/>
              </w:rPr>
            </w:pPr>
            <w:r>
              <w:rPr>
                <w:rFonts w:ascii="Times New Roman"/>
                <w:sz w:val="21"/>
              </w:rPr>
              <w:t>6,446,834.28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542,045.90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2" w:right="0"/>
              <w:jc w:val="left"/>
              <w:rPr>
                <w:rFonts w:ascii="Times New Roman" w:hAnsi="Times New Roman" w:cs="Times New Roman" w:eastAsia="Times New Roman" w:hint="default"/>
                <w:sz w:val="21"/>
                <w:szCs w:val="21"/>
              </w:rPr>
            </w:pPr>
            <w:r>
              <w:rPr>
                <w:rFonts w:ascii="Times New Roman"/>
                <w:sz w:val="21"/>
              </w:rPr>
              <w:t>5,904,788.38</w:t>
            </w:r>
          </w:p>
        </w:tc>
      </w:tr>
      <w:tr>
        <w:trPr>
          <w:trHeight w:val="283" w:hRule="exact"/>
        </w:trPr>
        <w:tc>
          <w:tcPr>
            <w:tcW w:w="134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79"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0"/>
              <w:ind w:left="235" w:right="0"/>
              <w:jc w:val="left"/>
              <w:rPr>
                <w:rFonts w:ascii="Times New Roman" w:hAnsi="Times New Roman" w:cs="Times New Roman" w:eastAsia="Times New Roman" w:hint="default"/>
                <w:sz w:val="21"/>
                <w:szCs w:val="21"/>
              </w:rPr>
            </w:pPr>
            <w:r>
              <w:rPr>
                <w:rFonts w:ascii="Times New Roman"/>
                <w:sz w:val="21"/>
              </w:rPr>
              <w:t>6,136,186.27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998,304.70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5,137,881.57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2" w:right="0"/>
              <w:jc w:val="left"/>
              <w:rPr>
                <w:rFonts w:ascii="Times New Roman" w:hAnsi="Times New Roman" w:cs="Times New Roman" w:eastAsia="Times New Roman" w:hint="default"/>
                <w:sz w:val="21"/>
                <w:szCs w:val="21"/>
              </w:rPr>
            </w:pPr>
            <w:r>
              <w:rPr>
                <w:rFonts w:ascii="Times New Roman"/>
                <w:sz w:val="21"/>
              </w:rPr>
              <w:t>7,680,638.66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712,071.24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2" w:right="0"/>
              <w:jc w:val="left"/>
              <w:rPr>
                <w:rFonts w:ascii="Times New Roman" w:hAnsi="Times New Roman" w:cs="Times New Roman" w:eastAsia="Times New Roman" w:hint="default"/>
                <w:sz w:val="21"/>
                <w:szCs w:val="21"/>
              </w:rPr>
            </w:pPr>
            <w:r>
              <w:rPr>
                <w:rFonts w:ascii="Times New Roman"/>
                <w:sz w:val="21"/>
              </w:rPr>
              <w:t>6,968,567.42</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bookmarkStart w:name="（2）存货跌价准备" w:id="196"/>
      <w:bookmarkEnd w:id="196"/>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36"/>
        <w:ind w:left="0" w:right="190"/>
        <w:jc w:val="right"/>
      </w:pPr>
      <w:r>
        <w:rPr/>
        <w:t>单位：</w:t>
      </w:r>
      <w:r>
        <w:rPr>
          <w:spacing w:val="2"/>
        </w:rPr>
        <w:t> </w:t>
      </w:r>
      <w:r>
        <w:rPr/>
        <w:t>元</w:t>
      </w:r>
    </w:p>
    <w:p>
      <w:pPr>
        <w:spacing w:line="240" w:lineRule="auto" w:before="10"/>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146" w:hRule="exact"/>
        </w:trPr>
        <w:tc>
          <w:tcPr>
            <w:tcW w:w="1368" w:type="dxa"/>
            <w:tcBorders>
              <w:top w:val="single" w:sz="4" w:space="0" w:color="000000"/>
              <w:left w:val="single" w:sz="4" w:space="0" w:color="000000"/>
              <w:bottom w:val="nil" w:sz="6" w:space="0" w:color="auto"/>
              <w:right w:val="single" w:sz="4" w:space="0" w:color="000000"/>
            </w:tcBorders>
            <w:shd w:val="clear" w:color="auto" w:fill="D4D4D4"/>
          </w:tcPr>
          <w:p>
            <w:pPr/>
          </w:p>
        </w:tc>
        <w:tc>
          <w:tcPr>
            <w:tcW w:w="1368" w:type="dxa"/>
            <w:tcBorders>
              <w:top w:val="single" w:sz="4" w:space="0" w:color="000000"/>
              <w:left w:val="single" w:sz="4" w:space="0" w:color="000000"/>
              <w:bottom w:val="nil" w:sz="6" w:space="0" w:color="auto"/>
              <w:right w:val="single" w:sz="4" w:space="0" w:color="000000"/>
            </w:tcBorders>
            <w:shd w:val="clear" w:color="auto" w:fill="D4D4D4"/>
          </w:tcPr>
          <w:p>
            <w:pPr/>
          </w:p>
        </w:tc>
        <w:tc>
          <w:tcPr>
            <w:tcW w:w="2734"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2734"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本期减少金额</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07"/>
              <w:ind w:left="259"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132" w:hRule="exact"/>
        </w:trPr>
        <w:tc>
          <w:tcPr>
            <w:tcW w:w="1368" w:type="dxa"/>
            <w:vMerge w:val="restart"/>
            <w:tcBorders>
              <w:top w:val="nil" w:sz="6" w:space="0" w:color="auto"/>
              <w:left w:val="single" w:sz="4" w:space="0" w:color="000000"/>
              <w:right w:val="single" w:sz="4" w:space="0" w:color="000000"/>
            </w:tcBorders>
            <w:shd w:val="clear" w:color="auto" w:fill="D4D4D4"/>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368" w:type="dxa"/>
            <w:vMerge w:val="restart"/>
            <w:tcBorders>
              <w:top w:val="nil" w:sz="6" w:space="0" w:color="auto"/>
              <w:left w:val="single" w:sz="4" w:space="0" w:color="000000"/>
              <w:right w:val="single" w:sz="4" w:space="0" w:color="000000"/>
            </w:tcBorders>
            <w:shd w:val="clear" w:color="auto" w:fill="D4D4D4"/>
          </w:tcPr>
          <w:p>
            <w:pPr>
              <w:pStyle w:val="TableParagraph"/>
              <w:spacing w:line="241" w:lineRule="exact"/>
              <w:ind w:left="259"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734" w:type="dxa"/>
            <w:gridSpan w:val="2"/>
            <w:vMerge/>
            <w:tcBorders>
              <w:left w:val="single" w:sz="4" w:space="0" w:color="000000"/>
              <w:bottom w:val="single" w:sz="4" w:space="0" w:color="000000"/>
              <w:right w:val="single" w:sz="4" w:space="0" w:color="000000"/>
            </w:tcBorders>
            <w:shd w:val="clear" w:color="auto" w:fill="D4D4D4"/>
          </w:tcPr>
          <w:p>
            <w:pPr/>
          </w:p>
        </w:tc>
        <w:tc>
          <w:tcPr>
            <w:tcW w:w="2734" w:type="dxa"/>
            <w:gridSpan w:val="2"/>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right w:val="single" w:sz="4" w:space="0" w:color="000000"/>
            </w:tcBorders>
            <w:shd w:val="clear" w:color="auto" w:fill="D4D4D4"/>
          </w:tcPr>
          <w:p>
            <w:pPr/>
          </w:p>
        </w:tc>
      </w:tr>
      <w:tr>
        <w:trPr>
          <w:trHeight w:val="142" w:hRule="exact"/>
        </w:trPr>
        <w:tc>
          <w:tcPr>
            <w:tcW w:w="1368" w:type="dxa"/>
            <w:vMerge/>
            <w:tcBorders>
              <w:left w:val="single" w:sz="4" w:space="0" w:color="000000"/>
              <w:bottom w:val="nil" w:sz="6" w:space="0" w:color="auto"/>
              <w:right w:val="single" w:sz="4" w:space="0" w:color="000000"/>
            </w:tcBorders>
            <w:shd w:val="clear" w:color="auto" w:fill="D4D4D4"/>
          </w:tcPr>
          <w:p>
            <w:pPr/>
          </w:p>
        </w:tc>
        <w:tc>
          <w:tcPr>
            <w:tcW w:w="1368" w:type="dxa"/>
            <w:vMerge/>
            <w:tcBorders>
              <w:left w:val="single" w:sz="4" w:space="0" w:color="000000"/>
              <w:bottom w:val="nil" w:sz="6" w:space="0" w:color="auto"/>
              <w:right w:val="single" w:sz="4" w:space="0" w:color="000000"/>
            </w:tcBorders>
            <w:shd w:val="clear" w:color="auto" w:fill="D4D4D4"/>
          </w:tcPr>
          <w:p>
            <w:pP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计提</w:t>
            </w: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246" w:lineRule="exact"/>
              <w:ind w:left="2"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6" w:lineRule="exact"/>
              <w:ind w:left="153" w:right="0"/>
              <w:jc w:val="left"/>
              <w:rPr>
                <w:rFonts w:ascii="宋体" w:hAnsi="宋体" w:cs="宋体" w:eastAsia="宋体" w:hint="default"/>
                <w:sz w:val="21"/>
                <w:szCs w:val="21"/>
              </w:rPr>
            </w:pPr>
            <w:r>
              <w:rPr>
                <w:rFonts w:ascii="宋体" w:hAnsi="宋体" w:cs="宋体" w:eastAsia="宋体" w:hint="default"/>
                <w:sz w:val="21"/>
                <w:szCs w:val="21"/>
              </w:rPr>
              <w:t>转回或转销</w:t>
            </w: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246" w:lineRule="exact"/>
              <w:ind w:left="2"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368" w:type="dxa"/>
            <w:vMerge/>
            <w:tcBorders>
              <w:left w:val="single" w:sz="4" w:space="0" w:color="000000"/>
              <w:right w:val="single" w:sz="4" w:space="0" w:color="000000"/>
            </w:tcBorders>
            <w:shd w:val="clear" w:color="auto" w:fill="D4D4D4"/>
          </w:tcPr>
          <w:p>
            <w:pPr/>
          </w:p>
        </w:tc>
      </w:tr>
      <w:tr>
        <w:trPr>
          <w:trHeight w:val="146" w:hRule="exact"/>
        </w:trPr>
        <w:tc>
          <w:tcPr>
            <w:tcW w:w="1368" w:type="dxa"/>
            <w:tcBorders>
              <w:top w:val="nil" w:sz="6" w:space="0" w:color="auto"/>
              <w:left w:val="single" w:sz="4" w:space="0" w:color="000000"/>
              <w:bottom w:val="single" w:sz="4" w:space="0" w:color="000000"/>
              <w:right w:val="single" w:sz="4" w:space="0" w:color="000000"/>
            </w:tcBorders>
            <w:shd w:val="clear" w:color="auto" w:fill="D4D4D4"/>
          </w:tcPr>
          <w:p>
            <w:pPr/>
          </w:p>
        </w:tc>
        <w:tc>
          <w:tcPr>
            <w:tcW w:w="1368" w:type="dxa"/>
            <w:tcBorders>
              <w:top w:val="nil" w:sz="6" w:space="0" w:color="auto"/>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6"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6"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r>
      <w:tr>
        <w:trPr>
          <w:trHeight w:val="28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368"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170,025.34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182,485.17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143,743.30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208,767.21</w:t>
            </w:r>
          </w:p>
        </w:tc>
      </w:tr>
      <w:tr>
        <w:trPr>
          <w:trHeight w:val="28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368"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542,045.90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1,425,339.91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1,177,848.32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789,537.49</w:t>
            </w:r>
          </w:p>
        </w:tc>
      </w:tr>
      <w:tr>
        <w:trPr>
          <w:trHeight w:val="28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68"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712,071.24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1,607,825.08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1,321,591.62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998,304.70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pStyle w:val="Heading5"/>
        <w:spacing w:line="240" w:lineRule="auto" w:before="36"/>
        <w:ind w:right="0"/>
        <w:jc w:val="left"/>
        <w:rPr>
          <w:b w:val="0"/>
          <w:bCs w:val="0"/>
        </w:rPr>
      </w:pPr>
      <w:bookmarkStart w:name="9、其他流动资产" w:id="197"/>
      <w:bookmarkEnd w:id="197"/>
      <w:r>
        <w:rPr>
          <w:b w:val="0"/>
          <w:bCs w:val="0"/>
        </w:rPr>
      </w:r>
      <w:r>
        <w:rPr>
          <w:rFonts w:ascii="Times New Roman" w:hAnsi="Times New Roman" w:cs="Times New Roman" w:eastAsia="Times New Roman" w:hint="default"/>
        </w:rPr>
        <w:t>9</w:t>
      </w:r>
      <w:r>
        <w:rPr/>
        <w:t>、其他流动资产</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36"/>
        <w:ind w:left="0" w:right="190"/>
        <w:jc w:val="right"/>
      </w:pPr>
      <w:r>
        <w:rPr/>
        <w:t>单位：</w:t>
      </w:r>
      <w:r>
        <w:rPr>
          <w:spacing w:val="2"/>
        </w:rPr>
        <w:t> </w:t>
      </w:r>
      <w:r>
        <w:rPr/>
        <w:t>元</w:t>
      </w:r>
    </w:p>
    <w:p>
      <w:pPr>
        <w:spacing w:line="240" w:lineRule="auto" w:before="10"/>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28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银行理财产品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100,000,000.00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80,000,000.00</w:t>
            </w:r>
          </w:p>
        </w:tc>
      </w:tr>
      <w:tr>
        <w:trPr>
          <w:trHeight w:val="28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100,000,000.00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80,000,000.00</w:t>
            </w:r>
          </w:p>
        </w:tc>
      </w:tr>
    </w:tbl>
    <w:p>
      <w:pPr>
        <w:pStyle w:val="BodyText"/>
        <w:spacing w:line="262" w:lineRule="exact"/>
        <w:ind w:right="0"/>
        <w:jc w:val="left"/>
      </w:pPr>
      <w:r>
        <w:rPr/>
        <w:t>其他说明：</w:t>
      </w:r>
    </w:p>
    <w:p>
      <w:pPr>
        <w:spacing w:line="240" w:lineRule="auto" w:before="2"/>
        <w:rPr>
          <w:rFonts w:ascii="宋体" w:hAnsi="宋体" w:cs="宋体" w:eastAsia="宋体" w:hint="default"/>
          <w:sz w:val="21"/>
          <w:szCs w:val="21"/>
        </w:rPr>
      </w:pPr>
    </w:p>
    <w:p>
      <w:pPr>
        <w:pStyle w:val="Heading5"/>
        <w:spacing w:line="240" w:lineRule="auto"/>
        <w:ind w:left="640" w:right="616"/>
        <w:jc w:val="center"/>
        <w:rPr>
          <w:b w:val="0"/>
          <w:bCs w:val="0"/>
        </w:rPr>
      </w:pPr>
      <w:r>
        <w:rPr/>
        <w:t>其他流动资产为广发银行的广盈安盛理财产品</w:t>
      </w:r>
      <w:r>
        <w:rPr>
          <w:rFonts w:ascii="Times New Roman" w:hAnsi="Times New Roman" w:cs="Times New Roman" w:eastAsia="Times New Roman" w:hint="default"/>
        </w:rPr>
        <w:t>10,000,000.00</w:t>
      </w:r>
      <w:r>
        <w:rPr/>
        <w:t>元；包商银行的佳赢</w:t>
      </w:r>
      <w:r>
        <w:rPr>
          <w:rFonts w:ascii="Times New Roman" w:hAnsi="Times New Roman" w:cs="Times New Roman" w:eastAsia="Times New Roman" w:hint="default"/>
        </w:rPr>
        <w:t>14065</w:t>
      </w:r>
      <w:r>
        <w:rPr/>
        <w:t>理财产品</w:t>
      </w:r>
      <w:r>
        <w:rPr>
          <w:b w:val="0"/>
          <w:bCs w:val="0"/>
        </w:rPr>
      </w:r>
    </w:p>
    <w:p>
      <w:pPr>
        <w:pStyle w:val="Heading5"/>
        <w:spacing w:line="240" w:lineRule="auto" w:before="21"/>
        <w:ind w:right="0"/>
        <w:jc w:val="left"/>
        <w:rPr>
          <w:b w:val="0"/>
          <w:bCs w:val="0"/>
        </w:rPr>
      </w:pPr>
      <w:r>
        <w:rPr>
          <w:rFonts w:ascii="Times New Roman" w:hAnsi="Times New Roman" w:cs="Times New Roman" w:eastAsia="Times New Roman" w:hint="default"/>
        </w:rPr>
        <w:t>10,000,000.00</w:t>
      </w:r>
      <w:r>
        <w:rPr/>
        <w:t>元；宁波银行的启盈理财产品</w:t>
      </w:r>
      <w:r>
        <w:rPr>
          <w:rFonts w:ascii="Times New Roman" w:hAnsi="Times New Roman" w:cs="Times New Roman" w:eastAsia="Times New Roman" w:hint="default"/>
        </w:rPr>
        <w:t>10,000,000.00</w:t>
      </w:r>
      <w:r>
        <w:rPr/>
        <w:t>元；浦发银行的利多多理财产品</w:t>
      </w:r>
      <w:r>
        <w:rPr>
          <w:rFonts w:ascii="Times New Roman" w:hAnsi="Times New Roman" w:cs="Times New Roman" w:eastAsia="Times New Roman" w:hint="default"/>
        </w:rPr>
        <w:t>70,000,000.00</w:t>
      </w:r>
      <w:r>
        <w:rPr/>
        <w:t>元。</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26"/>
          <w:szCs w:val="26"/>
        </w:rPr>
      </w:pPr>
    </w:p>
    <w:p>
      <w:pPr>
        <w:pStyle w:val="Heading5"/>
        <w:spacing w:line="240" w:lineRule="auto"/>
        <w:ind w:right="0"/>
        <w:jc w:val="left"/>
        <w:rPr>
          <w:b w:val="0"/>
          <w:bCs w:val="0"/>
        </w:rPr>
      </w:pPr>
      <w:bookmarkStart w:name="10、可供出售金融资产" w:id="198"/>
      <w:bookmarkEnd w:id="198"/>
      <w:r>
        <w:rPr>
          <w:b w:val="0"/>
          <w:bCs w:val="0"/>
        </w:rPr>
      </w:r>
      <w:r>
        <w:rPr>
          <w:rFonts w:ascii="Times New Roman" w:hAnsi="Times New Roman" w:cs="Times New Roman" w:eastAsia="Times New Roman" w:hint="default"/>
        </w:rPr>
        <w:t>10</w:t>
      </w:r>
      <w:r>
        <w:rPr/>
        <w:t>、可供出售金融资产</w:t>
      </w:r>
      <w:r>
        <w:rPr>
          <w:b w:val="0"/>
          <w:bCs w:val="0"/>
        </w:rPr>
      </w:r>
    </w:p>
    <w:p>
      <w:pPr>
        <w:spacing w:line="240" w:lineRule="auto" w:before="0"/>
        <w:rPr>
          <w:rFonts w:ascii="宋体" w:hAnsi="宋体" w:cs="宋体" w:eastAsia="宋体" w:hint="default"/>
          <w:b/>
          <w:bCs/>
          <w:sz w:val="22"/>
          <w:szCs w:val="22"/>
        </w:rPr>
      </w:pPr>
    </w:p>
    <w:p>
      <w:pPr>
        <w:spacing w:line="240" w:lineRule="auto" w:before="9"/>
        <w:rPr>
          <w:rFonts w:ascii="宋体" w:hAnsi="宋体" w:cs="宋体" w:eastAsia="宋体" w:hint="default"/>
          <w:b/>
          <w:bCs/>
          <w:sz w:val="25"/>
          <w:szCs w:val="25"/>
        </w:rPr>
      </w:pPr>
    </w:p>
    <w:p>
      <w:pPr>
        <w:pStyle w:val="Heading5"/>
        <w:spacing w:line="240" w:lineRule="auto"/>
        <w:ind w:right="0"/>
        <w:jc w:val="left"/>
        <w:rPr>
          <w:b w:val="0"/>
          <w:bCs w:val="0"/>
        </w:rPr>
      </w:pPr>
      <w:bookmarkStart w:name="（1）可供出售金融资产情况" w:id="199"/>
      <w:bookmarkEnd w:id="199"/>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0" w:right="190"/>
        <w:jc w:val="right"/>
      </w:pPr>
      <w:r>
        <w:rPr/>
        <w:t>单位：</w:t>
      </w:r>
      <w:r>
        <w:rPr>
          <w:spacing w:val="2"/>
        </w:rPr>
        <w:t> </w:t>
      </w:r>
      <w:r>
        <w:rPr/>
        <w:t>元</w:t>
      </w:r>
    </w:p>
    <w:p>
      <w:pPr>
        <w:spacing w:line="240" w:lineRule="auto" w:before="10"/>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2000"/>
        <w:gridCol w:w="1194"/>
        <w:gridCol w:w="1198"/>
        <w:gridCol w:w="1195"/>
        <w:gridCol w:w="1248"/>
        <w:gridCol w:w="1368"/>
        <w:gridCol w:w="1366"/>
      </w:tblGrid>
      <w:tr>
        <w:trPr>
          <w:trHeight w:val="146" w:hRule="exact"/>
        </w:trPr>
        <w:tc>
          <w:tcPr>
            <w:tcW w:w="2000" w:type="dxa"/>
            <w:tcBorders>
              <w:top w:val="single" w:sz="4" w:space="0" w:color="000000"/>
              <w:left w:val="single" w:sz="4" w:space="0" w:color="000000"/>
              <w:bottom w:val="nil" w:sz="6" w:space="0" w:color="auto"/>
              <w:right w:val="single" w:sz="4" w:space="0" w:color="000000"/>
            </w:tcBorders>
            <w:shd w:val="clear" w:color="auto" w:fill="D4D4D4"/>
          </w:tcPr>
          <w:p>
            <w:pPr/>
          </w:p>
        </w:tc>
        <w:tc>
          <w:tcPr>
            <w:tcW w:w="3587"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32" w:hRule="exact"/>
        </w:trPr>
        <w:tc>
          <w:tcPr>
            <w:tcW w:w="2000" w:type="dxa"/>
            <w:vMerge w:val="restart"/>
            <w:tcBorders>
              <w:top w:val="nil" w:sz="6" w:space="0" w:color="auto"/>
              <w:left w:val="single" w:sz="4" w:space="0" w:color="000000"/>
              <w:right w:val="single" w:sz="4" w:space="0" w:color="000000"/>
            </w:tcBorders>
            <w:shd w:val="clear" w:color="auto" w:fill="D4D4D4"/>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587" w:type="dxa"/>
            <w:gridSpan w:val="3"/>
            <w:vMerge/>
            <w:tcBorders>
              <w:left w:val="single" w:sz="4" w:space="0" w:color="000000"/>
              <w:bottom w:val="single" w:sz="4" w:space="0" w:color="000000"/>
              <w:right w:val="single" w:sz="4" w:space="0" w:color="000000"/>
            </w:tcBorders>
            <w:shd w:val="clear" w:color="auto" w:fill="D4D4D4"/>
          </w:tcPr>
          <w:p>
            <w:pPr/>
          </w:p>
        </w:tc>
        <w:tc>
          <w:tcPr>
            <w:tcW w:w="3982" w:type="dxa"/>
            <w:gridSpan w:val="3"/>
            <w:vMerge/>
            <w:tcBorders>
              <w:left w:val="single" w:sz="4" w:space="0" w:color="000000"/>
              <w:bottom w:val="single" w:sz="4" w:space="0" w:color="000000"/>
              <w:right w:val="single" w:sz="4" w:space="0" w:color="000000"/>
            </w:tcBorders>
            <w:shd w:val="clear" w:color="auto" w:fill="D4D4D4"/>
          </w:tcPr>
          <w:p>
            <w:pPr/>
          </w:p>
        </w:tc>
      </w:tr>
      <w:tr>
        <w:trPr>
          <w:trHeight w:val="142" w:hRule="exact"/>
        </w:trPr>
        <w:tc>
          <w:tcPr>
            <w:tcW w:w="2000" w:type="dxa"/>
            <w:vMerge/>
            <w:tcBorders>
              <w:left w:val="single" w:sz="4" w:space="0" w:color="000000"/>
              <w:bottom w:val="nil" w:sz="6" w:space="0" w:color="auto"/>
              <w:right w:val="single" w:sz="4" w:space="0" w:color="000000"/>
            </w:tcBorders>
            <w:shd w:val="clear" w:color="auto" w:fill="D4D4D4"/>
          </w:tcPr>
          <w:p>
            <w:pPr/>
          </w:p>
        </w:tc>
        <w:tc>
          <w:tcPr>
            <w:tcW w:w="1194" w:type="dxa"/>
            <w:vMerge w:val="restart"/>
            <w:tcBorders>
              <w:top w:val="single" w:sz="4" w:space="0" w:color="000000"/>
              <w:left w:val="single" w:sz="4" w:space="0" w:color="000000"/>
              <w:right w:val="single" w:sz="4" w:space="0" w:color="000000"/>
            </w:tcBorders>
            <w:shd w:val="clear" w:color="auto" w:fill="D4D4D4"/>
          </w:tcPr>
          <w:p>
            <w:pPr>
              <w:pStyle w:val="TableParagraph"/>
              <w:spacing w:line="246" w:lineRule="exact"/>
              <w:ind w:left="17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98" w:type="dxa"/>
            <w:vMerge w:val="restart"/>
            <w:tcBorders>
              <w:top w:val="single" w:sz="4" w:space="0" w:color="000000"/>
              <w:left w:val="single" w:sz="4" w:space="0" w:color="000000"/>
              <w:right w:val="single" w:sz="4" w:space="0" w:color="000000"/>
            </w:tcBorders>
            <w:shd w:val="clear" w:color="auto" w:fill="D4D4D4"/>
          </w:tcPr>
          <w:p>
            <w:pPr>
              <w:pStyle w:val="TableParagraph"/>
              <w:spacing w:line="246" w:lineRule="exact"/>
              <w:ind w:left="172"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195" w:type="dxa"/>
            <w:vMerge w:val="restart"/>
            <w:tcBorders>
              <w:top w:val="single" w:sz="4" w:space="0" w:color="000000"/>
              <w:left w:val="single" w:sz="4" w:space="0" w:color="000000"/>
              <w:right w:val="single" w:sz="4" w:space="0" w:color="000000"/>
            </w:tcBorders>
            <w:shd w:val="clear" w:color="auto" w:fill="D4D4D4"/>
          </w:tcPr>
          <w:p>
            <w:pPr>
              <w:pStyle w:val="TableParagraph"/>
              <w:spacing w:line="246" w:lineRule="exact"/>
              <w:ind w:left="172"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248" w:type="dxa"/>
            <w:vMerge w:val="restart"/>
            <w:tcBorders>
              <w:top w:val="single" w:sz="4" w:space="0" w:color="000000"/>
              <w:left w:val="single" w:sz="4" w:space="0" w:color="000000"/>
              <w:right w:val="single" w:sz="4" w:space="0" w:color="000000"/>
            </w:tcBorders>
            <w:shd w:val="clear" w:color="auto" w:fill="D4D4D4"/>
          </w:tcPr>
          <w:p>
            <w:pPr>
              <w:pStyle w:val="TableParagraph"/>
              <w:spacing w:line="246" w:lineRule="exact"/>
              <w:ind w:left="19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6" w:lineRule="exact"/>
              <w:ind w:left="259"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246" w:lineRule="exact"/>
              <w:ind w:left="259"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146" w:hRule="exact"/>
        </w:trPr>
        <w:tc>
          <w:tcPr>
            <w:tcW w:w="2000" w:type="dxa"/>
            <w:tcBorders>
              <w:top w:val="nil" w:sz="6" w:space="0" w:color="auto"/>
              <w:left w:val="single" w:sz="4" w:space="0" w:color="000000"/>
              <w:bottom w:val="single" w:sz="4" w:space="0" w:color="000000"/>
              <w:right w:val="single" w:sz="4" w:space="0" w:color="000000"/>
            </w:tcBorders>
            <w:shd w:val="clear" w:color="auto" w:fill="D4D4D4"/>
          </w:tcPr>
          <w:p>
            <w:pPr/>
          </w:p>
        </w:tc>
        <w:tc>
          <w:tcPr>
            <w:tcW w:w="1194" w:type="dxa"/>
            <w:vMerge/>
            <w:tcBorders>
              <w:left w:val="single" w:sz="4" w:space="0" w:color="000000"/>
              <w:bottom w:val="single" w:sz="4" w:space="0" w:color="000000"/>
              <w:right w:val="single" w:sz="4" w:space="0" w:color="000000"/>
            </w:tcBorders>
            <w:shd w:val="clear" w:color="auto" w:fill="D4D4D4"/>
          </w:tcPr>
          <w:p>
            <w:pPr/>
          </w:p>
        </w:tc>
        <w:tc>
          <w:tcPr>
            <w:tcW w:w="1198" w:type="dxa"/>
            <w:vMerge/>
            <w:tcBorders>
              <w:left w:val="single" w:sz="4" w:space="0" w:color="000000"/>
              <w:bottom w:val="single" w:sz="4" w:space="0" w:color="000000"/>
              <w:right w:val="single" w:sz="4" w:space="0" w:color="000000"/>
            </w:tcBorders>
            <w:shd w:val="clear" w:color="auto" w:fill="D4D4D4"/>
          </w:tcPr>
          <w:p>
            <w:pPr/>
          </w:p>
        </w:tc>
        <w:tc>
          <w:tcPr>
            <w:tcW w:w="1195" w:type="dxa"/>
            <w:vMerge/>
            <w:tcBorders>
              <w:left w:val="single" w:sz="4" w:space="0" w:color="000000"/>
              <w:bottom w:val="single" w:sz="4" w:space="0" w:color="000000"/>
              <w:right w:val="single" w:sz="4" w:space="0" w:color="000000"/>
            </w:tcBorders>
            <w:shd w:val="clear" w:color="auto" w:fill="D4D4D4"/>
          </w:tcPr>
          <w:p>
            <w:pPr/>
          </w:p>
        </w:tc>
        <w:tc>
          <w:tcPr>
            <w:tcW w:w="1248"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6" w:type="dxa"/>
            <w:vMerge/>
            <w:tcBorders>
              <w:left w:val="single" w:sz="4" w:space="0" w:color="000000"/>
              <w:bottom w:val="single" w:sz="4" w:space="0" w:color="000000"/>
              <w:right w:val="single" w:sz="4" w:space="0" w:color="000000"/>
            </w:tcBorders>
            <w:shd w:val="clear" w:color="auto" w:fill="D4D4D4"/>
          </w:tcPr>
          <w:p>
            <w:pPr/>
          </w:p>
        </w:tc>
      </w:tr>
      <w:tr>
        <w:trPr>
          <w:trHeight w:val="283" w:hRule="exact"/>
        </w:trPr>
        <w:tc>
          <w:tcPr>
            <w:tcW w:w="20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可供出售权益工具：</w:t>
            </w:r>
          </w:p>
        </w:tc>
        <w:tc>
          <w:tcPr>
            <w:tcW w:w="119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6,000,000.00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6,000,000.00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按成本计量的</w:t>
            </w:r>
          </w:p>
        </w:tc>
        <w:tc>
          <w:tcPr>
            <w:tcW w:w="119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6,000,000.00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6,000,000.00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9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6,000,000.00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6,000,000.00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bookmarkStart w:name="（2）期末按成本计量的可供出售金融资产" w:id="200"/>
      <w:bookmarkEnd w:id="200"/>
      <w:r>
        <w:rPr>
          <w:b w:val="0"/>
          <w:bCs w:val="0"/>
        </w:rPr>
      </w:r>
      <w:r>
        <w:rPr/>
        <w:t>（</w:t>
      </w:r>
      <w:r>
        <w:rPr>
          <w:rFonts w:ascii="Times New Roman" w:hAnsi="Times New Roman" w:cs="Times New Roman" w:eastAsia="Times New Roman" w:hint="default"/>
        </w:rPr>
        <w:t>2</w:t>
      </w:r>
      <w:r>
        <w:rPr/>
        <w:t>）期末按成本计量的可供出售金融资产</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36"/>
        <w:ind w:left="0" w:right="190"/>
        <w:jc w:val="right"/>
      </w:pPr>
      <w:r>
        <w:rPr/>
        <w:t>单位：</w:t>
      </w:r>
      <w:r>
        <w:rPr>
          <w:spacing w:val="2"/>
        </w:rPr>
        <w:t> </w:t>
      </w:r>
      <w:r>
        <w:rPr/>
        <w:t>元</w:t>
      </w:r>
    </w:p>
    <w:p>
      <w:pPr>
        <w:spacing w:line="240" w:lineRule="auto" w:before="12"/>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863"/>
        <w:gridCol w:w="869"/>
        <w:gridCol w:w="871"/>
        <w:gridCol w:w="869"/>
        <w:gridCol w:w="871"/>
        <w:gridCol w:w="869"/>
        <w:gridCol w:w="871"/>
        <w:gridCol w:w="869"/>
        <w:gridCol w:w="871"/>
        <w:gridCol w:w="869"/>
        <w:gridCol w:w="871"/>
      </w:tblGrid>
      <w:tr>
        <w:trPr>
          <w:trHeight w:val="283" w:hRule="exact"/>
        </w:trPr>
        <w:tc>
          <w:tcPr>
            <w:tcW w:w="863" w:type="dxa"/>
            <w:vMerge w:val="restart"/>
            <w:tcBorders>
              <w:top w:val="single" w:sz="4" w:space="0" w:color="000000"/>
              <w:left w:val="single" w:sz="4" w:space="0" w:color="000000"/>
              <w:right w:val="single" w:sz="4" w:space="0" w:color="000000"/>
            </w:tcBorders>
            <w:shd w:val="clear" w:color="auto" w:fill="D4D4D4"/>
          </w:tcPr>
          <w:p>
            <w:pPr>
              <w:pStyle w:val="TableParagraph"/>
              <w:spacing w:line="272" w:lineRule="exact" w:before="136"/>
              <w:ind w:left="214" w:right="108" w:hanging="106"/>
              <w:jc w:val="left"/>
              <w:rPr>
                <w:rFonts w:ascii="宋体" w:hAnsi="宋体" w:cs="宋体" w:eastAsia="宋体" w:hint="default"/>
                <w:sz w:val="21"/>
                <w:szCs w:val="21"/>
              </w:rPr>
            </w:pPr>
            <w:r>
              <w:rPr>
                <w:rFonts w:ascii="宋体" w:hAnsi="宋体" w:cs="宋体" w:eastAsia="宋体" w:hint="default"/>
                <w:sz w:val="21"/>
                <w:szCs w:val="21"/>
              </w:rPr>
              <w:t>被投资</w:t>
            </w:r>
            <w:r>
              <w:rPr>
                <w:rFonts w:ascii="宋体" w:hAnsi="宋体" w:cs="宋体" w:eastAsia="宋体" w:hint="default"/>
                <w:spacing w:val="-102"/>
                <w:sz w:val="21"/>
                <w:szCs w:val="21"/>
              </w:rPr>
              <w:t> </w:t>
            </w:r>
            <w:r>
              <w:rPr>
                <w:rFonts w:ascii="宋体" w:hAnsi="宋体" w:cs="宋体" w:eastAsia="宋体" w:hint="default"/>
                <w:sz w:val="21"/>
                <w:szCs w:val="21"/>
              </w:rPr>
              <w:t>单位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减值准备</w:t>
            </w:r>
          </w:p>
        </w:tc>
        <w:tc>
          <w:tcPr>
            <w:tcW w:w="869" w:type="dxa"/>
            <w:vMerge w:val="restart"/>
            <w:tcBorders>
              <w:top w:val="single" w:sz="4" w:space="0" w:color="000000"/>
              <w:left w:val="single" w:sz="4" w:space="0" w:color="000000"/>
              <w:right w:val="single" w:sz="4" w:space="0" w:color="000000"/>
            </w:tcBorders>
            <w:shd w:val="clear" w:color="auto" w:fill="D4D4D4"/>
          </w:tcPr>
          <w:p>
            <w:pPr>
              <w:pStyle w:val="TableParagraph"/>
              <w:spacing w:line="272" w:lineRule="exact"/>
              <w:ind w:left="115" w:right="108"/>
              <w:jc w:val="left"/>
              <w:rPr>
                <w:rFonts w:ascii="宋体" w:hAnsi="宋体" w:cs="宋体" w:eastAsia="宋体" w:hint="default"/>
                <w:sz w:val="21"/>
                <w:szCs w:val="21"/>
              </w:rPr>
            </w:pPr>
            <w:r>
              <w:rPr>
                <w:rFonts w:ascii="宋体" w:hAnsi="宋体" w:cs="宋体" w:eastAsia="宋体" w:hint="default"/>
                <w:sz w:val="21"/>
                <w:szCs w:val="21"/>
              </w:rPr>
              <w:t>在被投</w:t>
            </w:r>
            <w:r>
              <w:rPr>
                <w:rFonts w:ascii="宋体" w:hAnsi="宋体" w:cs="宋体" w:eastAsia="宋体" w:hint="default"/>
                <w:spacing w:val="-102"/>
                <w:sz w:val="21"/>
                <w:szCs w:val="21"/>
              </w:rPr>
              <w:t> </w:t>
            </w:r>
            <w:r>
              <w:rPr>
                <w:rFonts w:ascii="宋体" w:hAnsi="宋体" w:cs="宋体" w:eastAsia="宋体" w:hint="default"/>
                <w:sz w:val="21"/>
                <w:szCs w:val="21"/>
              </w:rPr>
              <w:t>资单位</w:t>
            </w:r>
          </w:p>
          <w:p>
            <w:pPr>
              <w:pStyle w:val="TableParagraph"/>
              <w:spacing w:line="249" w:lineRule="exact"/>
              <w:ind w:left="115" w:right="0"/>
              <w:jc w:val="left"/>
              <w:rPr>
                <w:rFonts w:ascii="宋体" w:hAnsi="宋体" w:cs="宋体" w:eastAsia="宋体" w:hint="default"/>
                <w:sz w:val="21"/>
                <w:szCs w:val="21"/>
              </w:rPr>
            </w:pPr>
            <w:r>
              <w:rPr>
                <w:rFonts w:ascii="宋体" w:hAnsi="宋体" w:cs="宋体" w:eastAsia="宋体" w:hint="default"/>
                <w:sz w:val="21"/>
                <w:szCs w:val="21"/>
              </w:rPr>
              <w:t>持股比</w:t>
            </w:r>
          </w:p>
        </w:tc>
        <w:tc>
          <w:tcPr>
            <w:tcW w:w="871" w:type="dxa"/>
            <w:vMerge w:val="restart"/>
            <w:tcBorders>
              <w:top w:val="single" w:sz="4" w:space="0" w:color="000000"/>
              <w:left w:val="single" w:sz="4" w:space="0" w:color="000000"/>
              <w:right w:val="single" w:sz="4" w:space="0" w:color="000000"/>
            </w:tcBorders>
            <w:shd w:val="clear" w:color="auto" w:fill="D4D4D4"/>
          </w:tcPr>
          <w:p>
            <w:pPr>
              <w:pStyle w:val="TableParagraph"/>
              <w:spacing w:line="272" w:lineRule="exact" w:before="136"/>
              <w:ind w:left="115" w:right="110"/>
              <w:jc w:val="left"/>
              <w:rPr>
                <w:rFonts w:ascii="宋体" w:hAnsi="宋体" w:cs="宋体" w:eastAsia="宋体" w:hint="default"/>
                <w:sz w:val="21"/>
                <w:szCs w:val="21"/>
              </w:rPr>
            </w:pPr>
            <w:r>
              <w:rPr>
                <w:rFonts w:ascii="宋体" w:hAnsi="宋体" w:cs="宋体" w:eastAsia="宋体" w:hint="default"/>
                <w:sz w:val="21"/>
                <w:szCs w:val="21"/>
              </w:rPr>
              <w:t>本期现</w:t>
            </w:r>
            <w:r>
              <w:rPr>
                <w:rFonts w:ascii="宋体" w:hAnsi="宋体" w:cs="宋体" w:eastAsia="宋体" w:hint="default"/>
                <w:spacing w:val="-102"/>
                <w:sz w:val="21"/>
                <w:szCs w:val="21"/>
              </w:rPr>
              <w:t> </w:t>
            </w:r>
            <w:r>
              <w:rPr>
                <w:rFonts w:ascii="宋体" w:hAnsi="宋体" w:cs="宋体" w:eastAsia="宋体" w:hint="default"/>
                <w:sz w:val="21"/>
                <w:szCs w:val="21"/>
              </w:rPr>
              <w:t>金红利</w:t>
            </w:r>
          </w:p>
        </w:tc>
      </w:tr>
      <w:tr>
        <w:trPr>
          <w:trHeight w:val="556" w:hRule="exact"/>
        </w:trPr>
        <w:tc>
          <w:tcPr>
            <w:tcW w:w="863" w:type="dxa"/>
            <w:vMerge/>
            <w:tcBorders>
              <w:left w:val="single" w:sz="4" w:space="0" w:color="000000"/>
              <w:bottom w:val="single" w:sz="4" w:space="0" w:color="000000"/>
              <w:right w:val="single" w:sz="4" w:space="0" w:color="000000"/>
            </w:tcBorders>
            <w:shd w:val="clear" w:color="auto" w:fill="D4D4D4"/>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left="220" w:right="0"/>
              <w:jc w:val="left"/>
              <w:rPr>
                <w:rFonts w:ascii="宋体" w:hAnsi="宋体" w:cs="宋体" w:eastAsia="宋体" w:hint="default"/>
                <w:sz w:val="21"/>
                <w:szCs w:val="21"/>
              </w:rPr>
            </w:pPr>
            <w:r>
              <w:rPr>
                <w:rFonts w:ascii="宋体" w:hAnsi="宋体" w:cs="宋体" w:eastAsia="宋体" w:hint="default"/>
                <w:sz w:val="21"/>
                <w:szCs w:val="21"/>
              </w:rPr>
              <w:t>期初</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本期增</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加</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本期减</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少</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left="220" w:right="0"/>
              <w:jc w:val="left"/>
              <w:rPr>
                <w:rFonts w:ascii="宋体" w:hAnsi="宋体" w:cs="宋体" w:eastAsia="宋体" w:hint="default"/>
                <w:sz w:val="21"/>
                <w:szCs w:val="21"/>
              </w:rPr>
            </w:pPr>
            <w:r>
              <w:rPr>
                <w:rFonts w:ascii="宋体" w:hAnsi="宋体" w:cs="宋体" w:eastAsia="宋体" w:hint="default"/>
                <w:sz w:val="21"/>
                <w:szCs w:val="21"/>
              </w:rPr>
              <w:t>期末</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left="220" w:right="0"/>
              <w:jc w:val="left"/>
              <w:rPr>
                <w:rFonts w:ascii="宋体" w:hAnsi="宋体" w:cs="宋体" w:eastAsia="宋体" w:hint="default"/>
                <w:sz w:val="21"/>
                <w:szCs w:val="21"/>
              </w:rPr>
            </w:pPr>
            <w:r>
              <w:rPr>
                <w:rFonts w:ascii="宋体" w:hAnsi="宋体" w:cs="宋体" w:eastAsia="宋体" w:hint="default"/>
                <w:sz w:val="21"/>
                <w:szCs w:val="21"/>
              </w:rPr>
              <w:t>期初</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本期增</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加</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本期减</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少</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left="220" w:right="0"/>
              <w:jc w:val="left"/>
              <w:rPr>
                <w:rFonts w:ascii="宋体" w:hAnsi="宋体" w:cs="宋体" w:eastAsia="宋体" w:hint="default"/>
                <w:sz w:val="21"/>
                <w:szCs w:val="21"/>
              </w:rPr>
            </w:pPr>
            <w:r>
              <w:rPr>
                <w:rFonts w:ascii="宋体" w:hAnsi="宋体" w:cs="宋体" w:eastAsia="宋体" w:hint="default"/>
                <w:sz w:val="21"/>
                <w:szCs w:val="21"/>
              </w:rPr>
              <w:t>期末</w:t>
            </w:r>
          </w:p>
        </w:tc>
        <w:tc>
          <w:tcPr>
            <w:tcW w:w="869" w:type="dxa"/>
            <w:vMerge/>
            <w:tcBorders>
              <w:left w:val="single" w:sz="4" w:space="0" w:color="000000"/>
              <w:bottom w:val="single" w:sz="4" w:space="0" w:color="000000"/>
              <w:right w:val="single" w:sz="4" w:space="0" w:color="000000"/>
            </w:tcBorders>
            <w:shd w:val="clear" w:color="auto" w:fill="D4D4D4"/>
          </w:tcPr>
          <w:p>
            <w:pPr/>
          </w:p>
        </w:tc>
        <w:tc>
          <w:tcPr>
            <w:tcW w:w="871" w:type="dxa"/>
            <w:vMerge/>
            <w:tcBorders>
              <w:left w:val="single" w:sz="4" w:space="0" w:color="000000"/>
              <w:bottom w:val="single" w:sz="4" w:space="0" w:color="000000"/>
              <w:right w:val="single" w:sz="4" w:space="0" w:color="000000"/>
            </w:tcBorders>
            <w:shd w:val="clear" w:color="auto" w:fill="D4D4D4"/>
          </w:tcPr>
          <w:p>
            <w:pPr/>
          </w:p>
        </w:tc>
      </w:tr>
    </w:tbl>
    <w:p>
      <w:pPr>
        <w:spacing w:after="0"/>
        <w:sectPr>
          <w:pgSz w:w="11910" w:h="16840"/>
          <w:pgMar w:header="880" w:footer="979" w:top="1060" w:bottom="1160" w:left="980" w:right="94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864"/>
        <w:gridCol w:w="869"/>
        <w:gridCol w:w="871"/>
        <w:gridCol w:w="869"/>
        <w:gridCol w:w="871"/>
        <w:gridCol w:w="869"/>
        <w:gridCol w:w="871"/>
        <w:gridCol w:w="869"/>
        <w:gridCol w:w="871"/>
        <w:gridCol w:w="869"/>
        <w:gridCol w:w="871"/>
      </w:tblGrid>
      <w:tr>
        <w:trPr>
          <w:trHeight w:val="283" w:hRule="exact"/>
        </w:trPr>
        <w:tc>
          <w:tcPr>
            <w:tcW w:w="864"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例</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137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both"/>
              <w:rPr>
                <w:rFonts w:ascii="宋体" w:hAnsi="宋体" w:cs="宋体" w:eastAsia="宋体" w:hint="default"/>
                <w:sz w:val="21"/>
                <w:szCs w:val="21"/>
              </w:rPr>
            </w:pPr>
            <w:r>
              <w:rPr>
                <w:rFonts w:ascii="宋体" w:hAnsi="宋体" w:cs="宋体" w:eastAsia="宋体" w:hint="default"/>
                <w:sz w:val="21"/>
                <w:szCs w:val="21"/>
              </w:rPr>
              <w:t>深圳市</w:t>
            </w:r>
          </w:p>
          <w:p>
            <w:pPr>
              <w:pStyle w:val="TableParagraph"/>
              <w:spacing w:line="237" w:lineRule="auto" w:before="2"/>
              <w:ind w:left="24" w:right="194"/>
              <w:jc w:val="both"/>
              <w:rPr>
                <w:rFonts w:ascii="宋体" w:hAnsi="宋体" w:cs="宋体" w:eastAsia="宋体" w:hint="default"/>
                <w:sz w:val="21"/>
                <w:szCs w:val="21"/>
              </w:rPr>
            </w:pPr>
            <w:r>
              <w:rPr>
                <w:rFonts w:ascii="宋体" w:hAnsi="宋体" w:cs="宋体" w:eastAsia="宋体" w:hint="default"/>
                <w:sz w:val="21"/>
                <w:szCs w:val="21"/>
              </w:rPr>
              <w:t>科葩信</w:t>
            </w:r>
            <w:r>
              <w:rPr>
                <w:rFonts w:ascii="宋体" w:hAnsi="宋体" w:cs="宋体" w:eastAsia="宋体" w:hint="default"/>
                <w:spacing w:val="-102"/>
                <w:sz w:val="21"/>
                <w:szCs w:val="21"/>
              </w:rPr>
              <w:t> </w:t>
            </w:r>
            <w:r>
              <w:rPr>
                <w:rFonts w:ascii="宋体" w:hAnsi="宋体" w:cs="宋体" w:eastAsia="宋体" w:hint="default"/>
                <w:sz w:val="21"/>
                <w:szCs w:val="21"/>
              </w:rPr>
              <w:t>息技术</w:t>
            </w:r>
            <w:r>
              <w:rPr>
                <w:rFonts w:ascii="宋体" w:hAnsi="宋体" w:cs="宋体" w:eastAsia="宋体" w:hint="default"/>
                <w:spacing w:val="-102"/>
                <w:sz w:val="21"/>
                <w:szCs w:val="21"/>
              </w:rPr>
              <w:t> </w:t>
            </w:r>
            <w:r>
              <w:rPr>
                <w:rFonts w:ascii="宋体" w:hAnsi="宋体" w:cs="宋体" w:eastAsia="宋体" w:hint="default"/>
                <w:sz w:val="21"/>
                <w:szCs w:val="21"/>
              </w:rPr>
              <w:t>有限公</w:t>
            </w:r>
            <w:r>
              <w:rPr>
                <w:rFonts w:ascii="宋体" w:hAnsi="宋体" w:cs="宋体" w:eastAsia="宋体" w:hint="default"/>
                <w:spacing w:val="-102"/>
                <w:sz w:val="21"/>
                <w:szCs w:val="21"/>
              </w:rPr>
              <w:t> </w:t>
            </w:r>
            <w:r>
              <w:rPr>
                <w:rFonts w:ascii="宋体" w:hAnsi="宋体" w:cs="宋体" w:eastAsia="宋体" w:hint="default"/>
                <w:sz w:val="21"/>
                <w:szCs w:val="21"/>
              </w:rPr>
              <w:t>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1" w:lineRule="exact" w:before="173"/>
              <w:ind w:left="103" w:right="0"/>
              <w:jc w:val="left"/>
              <w:rPr>
                <w:rFonts w:ascii="Times New Roman" w:hAnsi="Times New Roman" w:cs="Times New Roman" w:eastAsia="Times New Roman" w:hint="default"/>
                <w:sz w:val="21"/>
                <w:szCs w:val="21"/>
              </w:rPr>
            </w:pPr>
            <w:r>
              <w:rPr>
                <w:rFonts w:ascii="Times New Roman"/>
                <w:sz w:val="21"/>
              </w:rPr>
              <w:t>6,000,00</w:t>
            </w:r>
          </w:p>
          <w:p>
            <w:pPr>
              <w:pStyle w:val="TableParagraph"/>
              <w:spacing w:line="241" w:lineRule="exact"/>
              <w:ind w:left="470" w:right="0"/>
              <w:jc w:val="left"/>
              <w:rPr>
                <w:rFonts w:ascii="Times New Roman" w:hAnsi="Times New Roman" w:cs="Times New Roman" w:eastAsia="Times New Roman" w:hint="default"/>
                <w:sz w:val="21"/>
                <w:szCs w:val="21"/>
              </w:rPr>
            </w:pPr>
            <w:r>
              <w:rPr>
                <w:rFonts w:ascii="Times New Roman"/>
                <w:sz w:val="21"/>
              </w:rPr>
              <w:t>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1" w:lineRule="exact" w:before="173"/>
              <w:ind w:left="103" w:right="0"/>
              <w:jc w:val="left"/>
              <w:rPr>
                <w:rFonts w:ascii="Times New Roman" w:hAnsi="Times New Roman" w:cs="Times New Roman" w:eastAsia="Times New Roman" w:hint="default"/>
                <w:sz w:val="21"/>
                <w:szCs w:val="21"/>
              </w:rPr>
            </w:pPr>
            <w:r>
              <w:rPr>
                <w:rFonts w:ascii="Times New Roman"/>
                <w:sz w:val="21"/>
              </w:rPr>
              <w:t>6,000,00</w:t>
            </w:r>
          </w:p>
          <w:p>
            <w:pPr>
              <w:pStyle w:val="TableParagraph"/>
              <w:spacing w:line="241" w:lineRule="exact"/>
              <w:ind w:left="470" w:right="0"/>
              <w:jc w:val="left"/>
              <w:rPr>
                <w:rFonts w:ascii="Times New Roman" w:hAnsi="Times New Roman" w:cs="Times New Roman" w:eastAsia="Times New Roman" w:hint="default"/>
                <w:sz w:val="21"/>
                <w:szCs w:val="21"/>
              </w:rPr>
            </w:pPr>
            <w:r>
              <w:rPr>
                <w:rFonts w:ascii="Times New Roman"/>
                <w:sz w:val="21"/>
              </w:rPr>
              <w:t>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189" w:right="0"/>
              <w:jc w:val="left"/>
              <w:rPr>
                <w:rFonts w:ascii="Times New Roman" w:hAnsi="Times New Roman" w:cs="Times New Roman" w:eastAsia="Times New Roman" w:hint="default"/>
                <w:sz w:val="21"/>
                <w:szCs w:val="21"/>
              </w:rPr>
            </w:pPr>
            <w:r>
              <w:rPr>
                <w:rFonts w:ascii="Times New Roman"/>
                <w:sz w:val="21"/>
              </w:rPr>
              <w:t>15.00%</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492" w:hRule="exact"/>
        </w:trPr>
        <w:tc>
          <w:tcPr>
            <w:tcW w:w="8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1"/>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6,000,00</w:t>
            </w:r>
          </w:p>
          <w:p>
            <w:pPr>
              <w:pStyle w:val="TableParagraph"/>
              <w:spacing w:line="240" w:lineRule="auto" w:before="1"/>
              <w:ind w:left="470" w:right="0"/>
              <w:jc w:val="left"/>
              <w:rPr>
                <w:rFonts w:ascii="Times New Roman" w:hAnsi="Times New Roman" w:cs="Times New Roman" w:eastAsia="Times New Roman" w:hint="default"/>
                <w:sz w:val="21"/>
                <w:szCs w:val="21"/>
              </w:rPr>
            </w:pPr>
            <w:r>
              <w:rPr>
                <w:rFonts w:ascii="Times New Roman"/>
                <w:sz w:val="21"/>
              </w:rPr>
              <w:t>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6,000,00</w:t>
            </w:r>
          </w:p>
          <w:p>
            <w:pPr>
              <w:pStyle w:val="TableParagraph"/>
              <w:spacing w:line="240" w:lineRule="auto" w:before="1"/>
              <w:ind w:left="470" w:right="0"/>
              <w:jc w:val="left"/>
              <w:rPr>
                <w:rFonts w:ascii="Times New Roman" w:hAnsi="Times New Roman" w:cs="Times New Roman" w:eastAsia="Times New Roman" w:hint="default"/>
                <w:sz w:val="21"/>
                <w:szCs w:val="21"/>
              </w:rPr>
            </w:pPr>
            <w:r>
              <w:rPr>
                <w:rFonts w:ascii="Times New Roman"/>
                <w:sz w:val="21"/>
              </w:rPr>
              <w:t>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3"/>
              <w:ind w:right="0"/>
              <w:jc w:val="center"/>
              <w:rPr>
                <w:rFonts w:ascii="Times New Roman" w:hAnsi="Times New Roman" w:cs="Times New Roman" w:eastAsia="Times New Roman" w:hint="default"/>
                <w:sz w:val="21"/>
                <w:szCs w:val="21"/>
              </w:rPr>
            </w:pPr>
            <w:r>
              <w:rPr>
                <w:rFonts w:ascii="Times New Roman"/>
                <w:sz w:val="21"/>
              </w:rPr>
              <w:t>--</w:t>
            </w:r>
          </w:p>
        </w:tc>
        <w:tc>
          <w:tcPr>
            <w:tcW w:w="87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bookmarkStart w:name="11、投资性房地产" w:id="201"/>
      <w:bookmarkEnd w:id="201"/>
      <w:r>
        <w:rPr>
          <w:b w:val="0"/>
          <w:bCs w:val="0"/>
        </w:rPr>
      </w:r>
      <w:r>
        <w:rPr>
          <w:rFonts w:ascii="Times New Roman" w:hAnsi="Times New Roman" w:cs="Times New Roman" w:eastAsia="Times New Roman" w:hint="default"/>
        </w:rPr>
        <w:t>11</w:t>
      </w:r>
      <w:r>
        <w:rPr/>
        <w:t>、投资性房地产</w:t>
      </w:r>
      <w:r>
        <w:rPr>
          <w:b w:val="0"/>
          <w:bCs w:val="0"/>
        </w:rPr>
      </w:r>
    </w:p>
    <w:p>
      <w:pPr>
        <w:spacing w:line="240" w:lineRule="auto" w:before="0"/>
        <w:rPr>
          <w:rFonts w:ascii="宋体" w:hAnsi="宋体" w:cs="宋体" w:eastAsia="宋体" w:hint="default"/>
          <w:b/>
          <w:bCs/>
          <w:sz w:val="22"/>
          <w:szCs w:val="22"/>
        </w:rPr>
      </w:pPr>
    </w:p>
    <w:p>
      <w:pPr>
        <w:spacing w:line="240" w:lineRule="auto" w:before="9"/>
        <w:rPr>
          <w:rFonts w:ascii="宋体" w:hAnsi="宋体" w:cs="宋体" w:eastAsia="宋体" w:hint="default"/>
          <w:b/>
          <w:bCs/>
          <w:sz w:val="25"/>
          <w:szCs w:val="25"/>
        </w:rPr>
      </w:pPr>
    </w:p>
    <w:p>
      <w:pPr>
        <w:pStyle w:val="Heading5"/>
        <w:spacing w:line="240" w:lineRule="auto"/>
        <w:ind w:right="0"/>
        <w:jc w:val="left"/>
        <w:rPr>
          <w:b w:val="0"/>
          <w:bCs w:val="0"/>
        </w:rPr>
      </w:pPr>
      <w:bookmarkStart w:name="（1）采用成本计量模式的投资性房地产" w:id="202"/>
      <w:bookmarkEnd w:id="202"/>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7"/>
        <w:rPr>
          <w:rFonts w:ascii="宋体" w:hAnsi="宋体" w:cs="宋体" w:eastAsia="宋体" w:hint="default"/>
          <w:sz w:val="24"/>
          <w:szCs w:val="24"/>
        </w:rPr>
      </w:pPr>
    </w:p>
    <w:p>
      <w:pPr>
        <w:pStyle w:val="Heading5"/>
        <w:spacing w:line="240" w:lineRule="auto"/>
        <w:ind w:right="0"/>
        <w:jc w:val="left"/>
        <w:rPr>
          <w:b w:val="0"/>
          <w:bCs w:val="0"/>
        </w:rPr>
      </w:pPr>
      <w:bookmarkStart w:name="（2）采用公允价值计量模式的投资性房地产" w:id="203"/>
      <w:bookmarkEnd w:id="203"/>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7"/>
        <w:rPr>
          <w:rFonts w:ascii="宋体" w:hAnsi="宋体" w:cs="宋体" w:eastAsia="宋体" w:hint="default"/>
          <w:sz w:val="24"/>
          <w:szCs w:val="24"/>
        </w:rPr>
      </w:pPr>
    </w:p>
    <w:p>
      <w:pPr>
        <w:pStyle w:val="Heading5"/>
        <w:spacing w:line="240" w:lineRule="auto"/>
        <w:ind w:right="0"/>
        <w:jc w:val="left"/>
        <w:rPr>
          <w:b w:val="0"/>
          <w:bCs w:val="0"/>
        </w:rPr>
      </w:pPr>
      <w:bookmarkStart w:name="12、固定资产" w:id="204"/>
      <w:bookmarkEnd w:id="204"/>
      <w:r>
        <w:rPr>
          <w:b w:val="0"/>
          <w:bCs w:val="0"/>
        </w:rPr>
      </w:r>
      <w:r>
        <w:rPr>
          <w:rFonts w:ascii="Times New Roman" w:hAnsi="Times New Roman" w:cs="Times New Roman" w:eastAsia="Times New Roman" w:hint="default"/>
        </w:rPr>
        <w:t>12</w:t>
      </w:r>
      <w:r>
        <w:rPr/>
        <w:t>、固定资产</w:t>
      </w:r>
      <w:r>
        <w:rPr>
          <w:b w:val="0"/>
          <w:bCs w:val="0"/>
        </w:rPr>
      </w:r>
    </w:p>
    <w:p>
      <w:pPr>
        <w:spacing w:line="240" w:lineRule="auto" w:before="0"/>
        <w:rPr>
          <w:rFonts w:ascii="宋体" w:hAnsi="宋体" w:cs="宋体" w:eastAsia="宋体" w:hint="default"/>
          <w:b/>
          <w:bCs/>
          <w:sz w:val="22"/>
          <w:szCs w:val="22"/>
        </w:rPr>
      </w:pPr>
    </w:p>
    <w:p>
      <w:pPr>
        <w:spacing w:line="240" w:lineRule="auto" w:before="6"/>
        <w:rPr>
          <w:rFonts w:ascii="宋体" w:hAnsi="宋体" w:cs="宋体" w:eastAsia="宋体" w:hint="default"/>
          <w:b/>
          <w:bCs/>
          <w:sz w:val="25"/>
          <w:szCs w:val="25"/>
        </w:rPr>
      </w:pPr>
    </w:p>
    <w:p>
      <w:pPr>
        <w:pStyle w:val="Heading5"/>
        <w:spacing w:line="240" w:lineRule="auto"/>
        <w:ind w:right="0"/>
        <w:jc w:val="left"/>
        <w:rPr>
          <w:b w:val="0"/>
          <w:bCs w:val="0"/>
        </w:rPr>
      </w:pPr>
      <w:bookmarkStart w:name="（1）固定资产情况" w:id="205"/>
      <w:bookmarkEnd w:id="205"/>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150"/>
        <w:jc w:val="right"/>
      </w:pPr>
      <w:r>
        <w:rPr/>
        <w:t>单位：</w:t>
      </w:r>
      <w:r>
        <w:rPr>
          <w:spacing w:val="2"/>
        </w:rPr>
        <w:t> </w:t>
      </w:r>
      <w:r>
        <w:rPr/>
        <w:t>元</w:t>
      </w:r>
    </w:p>
    <w:p>
      <w:pPr>
        <w:spacing w:line="240" w:lineRule="auto" w:before="10"/>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2131"/>
        <w:gridCol w:w="1198"/>
        <w:gridCol w:w="1195"/>
        <w:gridCol w:w="1195"/>
        <w:gridCol w:w="1195"/>
        <w:gridCol w:w="1286"/>
        <w:gridCol w:w="1368"/>
      </w:tblGrid>
      <w:tr>
        <w:trPr>
          <w:trHeight w:val="142" w:hRule="exact"/>
        </w:trPr>
        <w:tc>
          <w:tcPr>
            <w:tcW w:w="2131" w:type="dxa"/>
            <w:tcBorders>
              <w:top w:val="single" w:sz="4" w:space="0" w:color="000000"/>
              <w:left w:val="single" w:sz="4" w:space="0" w:color="000000"/>
              <w:bottom w:val="nil" w:sz="6" w:space="0" w:color="auto"/>
              <w:right w:val="single" w:sz="4" w:space="0" w:color="000000"/>
            </w:tcBorders>
            <w:shd w:val="clear" w:color="auto" w:fill="D4D4D4"/>
          </w:tcPr>
          <w:p>
            <w:pPr/>
          </w:p>
        </w:tc>
        <w:tc>
          <w:tcPr>
            <w:tcW w:w="119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房屋及建筑</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物</w:t>
            </w:r>
          </w:p>
        </w:tc>
        <w:tc>
          <w:tcPr>
            <w:tcW w:w="1195" w:type="dxa"/>
            <w:tcBorders>
              <w:top w:val="single" w:sz="4" w:space="0" w:color="000000"/>
              <w:left w:val="single" w:sz="4" w:space="0" w:color="000000"/>
              <w:bottom w:val="nil" w:sz="6" w:space="0" w:color="auto"/>
              <w:right w:val="single" w:sz="4" w:space="0" w:color="000000"/>
            </w:tcBorders>
            <w:shd w:val="clear" w:color="auto" w:fill="D4D4D4"/>
          </w:tcPr>
          <w:p>
            <w:pPr/>
          </w:p>
        </w:tc>
        <w:tc>
          <w:tcPr>
            <w:tcW w:w="1195" w:type="dxa"/>
            <w:tcBorders>
              <w:top w:val="single" w:sz="4" w:space="0" w:color="000000"/>
              <w:left w:val="single" w:sz="4" w:space="0" w:color="000000"/>
              <w:bottom w:val="nil" w:sz="6" w:space="0" w:color="auto"/>
              <w:right w:val="single" w:sz="4" w:space="0" w:color="000000"/>
            </w:tcBorders>
            <w:shd w:val="clear" w:color="auto" w:fill="D4D4D4"/>
          </w:tcPr>
          <w:p>
            <w:pPr/>
          </w:p>
        </w:tc>
        <w:tc>
          <w:tcPr>
            <w:tcW w:w="1195" w:type="dxa"/>
            <w:tcBorders>
              <w:top w:val="single" w:sz="4" w:space="0" w:color="000000"/>
              <w:left w:val="single" w:sz="4" w:space="0" w:color="000000"/>
              <w:bottom w:val="nil" w:sz="6" w:space="0" w:color="auto"/>
              <w:right w:val="single" w:sz="4" w:space="0" w:color="000000"/>
            </w:tcBorders>
            <w:shd w:val="clear" w:color="auto" w:fill="D4D4D4"/>
          </w:tcPr>
          <w:p>
            <w:pPr/>
          </w:p>
        </w:tc>
        <w:tc>
          <w:tcPr>
            <w:tcW w:w="1286" w:type="dxa"/>
            <w:tcBorders>
              <w:top w:val="single" w:sz="4" w:space="0" w:color="000000"/>
              <w:left w:val="single" w:sz="4" w:space="0" w:color="000000"/>
              <w:bottom w:val="nil" w:sz="6" w:space="0" w:color="auto"/>
              <w:right w:val="single" w:sz="4" w:space="0" w:color="000000"/>
            </w:tcBorders>
            <w:shd w:val="clear" w:color="auto" w:fill="D4D4D4"/>
          </w:tcPr>
          <w:p>
            <w:pPr/>
          </w:p>
        </w:tc>
        <w:tc>
          <w:tcPr>
            <w:tcW w:w="1368"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274" w:hRule="exact"/>
        </w:trPr>
        <w:tc>
          <w:tcPr>
            <w:tcW w:w="2131"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198" w:type="dxa"/>
            <w:vMerge/>
            <w:tcBorders>
              <w:left w:val="single" w:sz="4" w:space="0" w:color="000000"/>
              <w:right w:val="single" w:sz="4" w:space="0" w:color="000000"/>
            </w:tcBorders>
            <w:shd w:val="clear" w:color="auto" w:fill="D4D4D4"/>
          </w:tcPr>
          <w:p>
            <w:pPr/>
          </w:p>
        </w:tc>
        <w:tc>
          <w:tcPr>
            <w:tcW w:w="119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1" w:lineRule="exact"/>
              <w:ind w:left="172"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19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1" w:lineRule="exact"/>
              <w:ind w:left="172"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19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1" w:lineRule="exact"/>
              <w:ind w:left="172"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28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1" w:lineRule="exact"/>
              <w:ind w:left="42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36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142" w:hRule="exact"/>
        </w:trPr>
        <w:tc>
          <w:tcPr>
            <w:tcW w:w="2131" w:type="dxa"/>
            <w:tcBorders>
              <w:top w:val="nil" w:sz="6" w:space="0" w:color="auto"/>
              <w:left w:val="single" w:sz="4" w:space="0" w:color="000000"/>
              <w:bottom w:val="single" w:sz="4" w:space="0" w:color="000000"/>
              <w:right w:val="single" w:sz="4" w:space="0" w:color="000000"/>
            </w:tcBorders>
            <w:shd w:val="clear" w:color="auto" w:fill="D4D4D4"/>
          </w:tcPr>
          <w:p>
            <w:pPr/>
          </w:p>
        </w:tc>
        <w:tc>
          <w:tcPr>
            <w:tcW w:w="1198" w:type="dxa"/>
            <w:vMerge/>
            <w:tcBorders>
              <w:left w:val="single" w:sz="4" w:space="0" w:color="000000"/>
              <w:bottom w:val="single" w:sz="4" w:space="0" w:color="000000"/>
              <w:right w:val="single" w:sz="4" w:space="0" w:color="000000"/>
            </w:tcBorders>
            <w:shd w:val="clear" w:color="auto" w:fill="D4D4D4"/>
          </w:tcPr>
          <w:p>
            <w:pPr/>
          </w:p>
        </w:tc>
        <w:tc>
          <w:tcPr>
            <w:tcW w:w="1195" w:type="dxa"/>
            <w:tcBorders>
              <w:top w:val="nil" w:sz="6" w:space="0" w:color="auto"/>
              <w:left w:val="single" w:sz="4" w:space="0" w:color="000000"/>
              <w:bottom w:val="single" w:sz="4" w:space="0" w:color="000000"/>
              <w:right w:val="single" w:sz="4" w:space="0" w:color="000000"/>
            </w:tcBorders>
            <w:shd w:val="clear" w:color="auto" w:fill="D4D4D4"/>
          </w:tcPr>
          <w:p>
            <w:pPr/>
          </w:p>
        </w:tc>
        <w:tc>
          <w:tcPr>
            <w:tcW w:w="1195" w:type="dxa"/>
            <w:tcBorders>
              <w:top w:val="nil" w:sz="6" w:space="0" w:color="auto"/>
              <w:left w:val="single" w:sz="4" w:space="0" w:color="000000"/>
              <w:bottom w:val="single" w:sz="4" w:space="0" w:color="000000"/>
              <w:right w:val="single" w:sz="4" w:space="0" w:color="000000"/>
            </w:tcBorders>
            <w:shd w:val="clear" w:color="auto" w:fill="D4D4D4"/>
          </w:tcPr>
          <w:p>
            <w:pPr/>
          </w:p>
        </w:tc>
        <w:tc>
          <w:tcPr>
            <w:tcW w:w="1195" w:type="dxa"/>
            <w:tcBorders>
              <w:top w:val="nil" w:sz="6" w:space="0" w:color="auto"/>
              <w:left w:val="single" w:sz="4" w:space="0" w:color="000000"/>
              <w:bottom w:val="single" w:sz="4" w:space="0" w:color="000000"/>
              <w:right w:val="single" w:sz="4" w:space="0" w:color="000000"/>
            </w:tcBorders>
            <w:shd w:val="clear" w:color="auto" w:fill="D4D4D4"/>
          </w:tcPr>
          <w:p>
            <w:pPr/>
          </w:p>
        </w:tc>
        <w:tc>
          <w:tcPr>
            <w:tcW w:w="1286" w:type="dxa"/>
            <w:tcBorders>
              <w:top w:val="nil" w:sz="6" w:space="0" w:color="auto"/>
              <w:left w:val="single" w:sz="4" w:space="0" w:color="000000"/>
              <w:bottom w:val="single" w:sz="4" w:space="0" w:color="000000"/>
              <w:right w:val="single" w:sz="4" w:space="0" w:color="000000"/>
            </w:tcBorders>
            <w:shd w:val="clear" w:color="auto" w:fill="D4D4D4"/>
          </w:tcPr>
          <w:p>
            <w:pPr/>
          </w:p>
        </w:tc>
        <w:tc>
          <w:tcPr>
            <w:tcW w:w="1368"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283" w:hRule="exact"/>
        </w:trPr>
        <w:tc>
          <w:tcPr>
            <w:tcW w:w="21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198" w:type="dxa"/>
            <w:tcBorders>
              <w:top w:val="single" w:sz="4" w:space="0" w:color="000000"/>
              <w:left w:val="single" w:sz="10" w:space="0" w:color="D4D4D4"/>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08" w:hRule="exact"/>
        </w:trPr>
        <w:tc>
          <w:tcPr>
            <w:tcW w:w="2131" w:type="dxa"/>
            <w:tcBorders>
              <w:top w:val="single" w:sz="4" w:space="0" w:color="000000"/>
              <w:left w:val="single" w:sz="4" w:space="0" w:color="000000"/>
              <w:bottom w:val="nil" w:sz="6" w:space="0" w:color="auto"/>
              <w:right w:val="single" w:sz="4" w:space="0" w:color="000000"/>
            </w:tcBorders>
            <w:shd w:val="clear" w:color="auto" w:fill="D4D4D4"/>
          </w:tcPr>
          <w:p>
            <w:pPr/>
          </w:p>
        </w:tc>
        <w:tc>
          <w:tcPr>
            <w:tcW w:w="1198" w:type="dxa"/>
            <w:vMerge w:val="restart"/>
            <w:tcBorders>
              <w:top w:val="single" w:sz="4" w:space="0" w:color="000000"/>
              <w:left w:val="single" w:sz="10" w:space="0" w:color="D4D4D4"/>
              <w:right w:val="single" w:sz="4" w:space="0" w:color="000000"/>
            </w:tcBorders>
          </w:tcPr>
          <w:p>
            <w:pPr>
              <w:pStyle w:val="TableParagraph"/>
              <w:spacing w:line="234" w:lineRule="exact"/>
              <w:ind w:right="19"/>
              <w:jc w:val="right"/>
              <w:rPr>
                <w:rFonts w:ascii="Times New Roman" w:hAnsi="Times New Roman" w:cs="Times New Roman" w:eastAsia="Times New Roman" w:hint="default"/>
                <w:sz w:val="21"/>
                <w:szCs w:val="21"/>
              </w:rPr>
            </w:pPr>
            <w:r>
              <w:rPr>
                <w:rFonts w:ascii="Times New Roman"/>
                <w:spacing w:val="-1"/>
                <w:sz w:val="21"/>
              </w:rPr>
              <w:t>15,840,463.9</w:t>
            </w:r>
          </w:p>
          <w:p>
            <w:pPr>
              <w:pStyle w:val="TableParagraph"/>
              <w:spacing w:line="241" w:lineRule="exact"/>
              <w:ind w:right="23"/>
              <w:jc w:val="right"/>
              <w:rPr>
                <w:rFonts w:ascii="Times New Roman" w:hAnsi="Times New Roman" w:cs="Times New Roman" w:eastAsia="Times New Roman" w:hint="default"/>
                <w:sz w:val="21"/>
                <w:szCs w:val="21"/>
              </w:rPr>
            </w:pPr>
            <w:r>
              <w:rPr>
                <w:rFonts w:ascii="Times New Roman"/>
                <w:w w:val="100"/>
                <w:sz w:val="21"/>
              </w:rPr>
              <w:t>1</w:t>
            </w:r>
          </w:p>
        </w:tc>
        <w:tc>
          <w:tcPr>
            <w:tcW w:w="1195" w:type="dxa"/>
            <w:vMerge w:val="restart"/>
            <w:tcBorders>
              <w:top w:val="single" w:sz="4" w:space="0" w:color="000000"/>
              <w:left w:val="single" w:sz="4" w:space="0" w:color="000000"/>
              <w:right w:val="single" w:sz="4" w:space="0" w:color="000000"/>
            </w:tcBorders>
          </w:tcPr>
          <w:p>
            <w:pP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13"/>
              <w:ind w:left="62" w:right="0"/>
              <w:jc w:val="left"/>
              <w:rPr>
                <w:rFonts w:ascii="Times New Roman" w:hAnsi="Times New Roman" w:cs="Times New Roman" w:eastAsia="Times New Roman" w:hint="default"/>
                <w:sz w:val="21"/>
                <w:szCs w:val="21"/>
              </w:rPr>
            </w:pPr>
            <w:r>
              <w:rPr>
                <w:rFonts w:ascii="Times New Roman"/>
                <w:sz w:val="21"/>
              </w:rPr>
              <w:t>2,387,994.68</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13"/>
              <w:ind w:left="62" w:right="0"/>
              <w:jc w:val="left"/>
              <w:rPr>
                <w:rFonts w:ascii="Times New Roman" w:hAnsi="Times New Roman" w:cs="Times New Roman" w:eastAsia="Times New Roman" w:hint="default"/>
                <w:sz w:val="21"/>
                <w:szCs w:val="21"/>
              </w:rPr>
            </w:pPr>
            <w:r>
              <w:rPr>
                <w:rFonts w:ascii="Times New Roman"/>
                <w:sz w:val="21"/>
              </w:rPr>
              <w:t>2,990,305.00</w:t>
            </w:r>
          </w:p>
        </w:tc>
        <w:tc>
          <w:tcPr>
            <w:tcW w:w="1286" w:type="dxa"/>
            <w:vMerge w:val="restart"/>
            <w:tcBorders>
              <w:top w:val="single" w:sz="4" w:space="0" w:color="000000"/>
              <w:left w:val="single" w:sz="4" w:space="0" w:color="000000"/>
              <w:right w:val="single" w:sz="4" w:space="0" w:color="000000"/>
            </w:tcBorders>
          </w:tcPr>
          <w:p>
            <w:pPr>
              <w:pStyle w:val="TableParagraph"/>
              <w:spacing w:line="240" w:lineRule="auto" w:before="113"/>
              <w:ind w:left="153" w:right="0"/>
              <w:jc w:val="left"/>
              <w:rPr>
                <w:rFonts w:ascii="Times New Roman" w:hAnsi="Times New Roman" w:cs="Times New Roman" w:eastAsia="Times New Roman" w:hint="default"/>
                <w:sz w:val="21"/>
                <w:szCs w:val="21"/>
              </w:rPr>
            </w:pPr>
            <w:r>
              <w:rPr>
                <w:rFonts w:ascii="Times New Roman"/>
                <w:sz w:val="21"/>
              </w:rPr>
              <w:t>1,104,276.43</w:t>
            </w:r>
          </w:p>
        </w:tc>
        <w:tc>
          <w:tcPr>
            <w:tcW w:w="1368" w:type="dxa"/>
            <w:vMerge w:val="restart"/>
            <w:tcBorders>
              <w:top w:val="single" w:sz="4" w:space="0" w:color="000000"/>
              <w:left w:val="single" w:sz="4" w:space="0" w:color="000000"/>
              <w:right w:val="single" w:sz="4" w:space="0" w:color="000000"/>
            </w:tcBorders>
          </w:tcPr>
          <w:p>
            <w:pPr>
              <w:pStyle w:val="TableParagraph"/>
              <w:spacing w:line="240" w:lineRule="auto" w:before="113"/>
              <w:ind w:left="127" w:right="0"/>
              <w:jc w:val="left"/>
              <w:rPr>
                <w:rFonts w:ascii="Times New Roman" w:hAnsi="Times New Roman" w:cs="Times New Roman" w:eastAsia="Times New Roman" w:hint="default"/>
                <w:sz w:val="21"/>
                <w:szCs w:val="21"/>
              </w:rPr>
            </w:pPr>
            <w:r>
              <w:rPr>
                <w:rFonts w:ascii="Times New Roman"/>
                <w:sz w:val="21"/>
              </w:rPr>
              <w:t>22,323,040.02</w:t>
            </w:r>
          </w:p>
        </w:tc>
      </w:tr>
      <w:tr>
        <w:trPr>
          <w:trHeight w:val="384" w:hRule="exact"/>
        </w:trPr>
        <w:tc>
          <w:tcPr>
            <w:tcW w:w="2131" w:type="dxa"/>
            <w:tcBorders>
              <w:top w:val="nil" w:sz="6" w:space="0" w:color="auto"/>
              <w:left w:val="single" w:sz="4" w:space="0" w:color="000000"/>
              <w:bottom w:val="single" w:sz="4" w:space="0" w:color="000000"/>
              <w:right w:val="single" w:sz="4" w:space="0" w:color="000000"/>
            </w:tcBorders>
            <w:shd w:val="clear" w:color="auto" w:fill="D4D4D4"/>
          </w:tcPr>
          <w:p>
            <w:pPr>
              <w:pStyle w:val="TableParagraph"/>
              <w:spacing w:line="257"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198" w:type="dxa"/>
            <w:vMerge/>
            <w:tcBorders>
              <w:left w:val="single" w:sz="10" w:space="0" w:color="D4D4D4"/>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286"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r>
      <w:tr>
        <w:trPr>
          <w:trHeight w:val="283" w:hRule="exact"/>
        </w:trPr>
        <w:tc>
          <w:tcPr>
            <w:tcW w:w="21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57" w:lineRule="exact"/>
              <w:ind w:right="254"/>
              <w:jc w:val="right"/>
              <w:rPr>
                <w:rFonts w:ascii="宋体" w:hAnsi="宋体" w:cs="宋体" w:eastAsia="宋体" w:hint="default"/>
                <w:sz w:val="21"/>
                <w:szCs w:val="21"/>
              </w:rPr>
            </w:pP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本期增加金额</w:t>
            </w:r>
          </w:p>
        </w:tc>
        <w:tc>
          <w:tcPr>
            <w:tcW w:w="1198" w:type="dxa"/>
            <w:tcBorders>
              <w:top w:val="single" w:sz="4" w:space="0" w:color="000000"/>
              <w:left w:val="single" w:sz="10" w:space="0" w:color="D4D4D4"/>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577,692.42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1,049,730.00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8,290.59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1,635,713.01</w:t>
            </w:r>
          </w:p>
        </w:tc>
      </w:tr>
      <w:tr>
        <w:trPr>
          <w:trHeight w:val="283" w:hRule="exact"/>
        </w:trPr>
        <w:tc>
          <w:tcPr>
            <w:tcW w:w="21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57" w:lineRule="exact"/>
              <w:ind w:left="655"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）购置</w:t>
            </w:r>
          </w:p>
        </w:tc>
        <w:tc>
          <w:tcPr>
            <w:tcW w:w="1198" w:type="dxa"/>
            <w:tcBorders>
              <w:top w:val="single" w:sz="4" w:space="0" w:color="000000"/>
              <w:left w:val="single" w:sz="10" w:space="0" w:color="D4D4D4"/>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577,692.42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1,049,730.00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8,290.59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1,635,713.01</w:t>
            </w:r>
          </w:p>
        </w:tc>
      </w:tr>
      <w:tr>
        <w:trPr>
          <w:trHeight w:val="554" w:hRule="exact"/>
        </w:trPr>
        <w:tc>
          <w:tcPr>
            <w:tcW w:w="21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8" w:lineRule="exact"/>
              <w:ind w:left="655"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）在建工程</w:t>
            </w:r>
          </w:p>
          <w:p>
            <w:pPr>
              <w:pStyle w:val="TableParagraph"/>
              <w:spacing w:line="266" w:lineRule="exact"/>
              <w:ind w:left="24" w:right="0"/>
              <w:jc w:val="left"/>
              <w:rPr>
                <w:rFonts w:ascii="宋体" w:hAnsi="宋体" w:cs="宋体" w:eastAsia="宋体" w:hint="default"/>
                <w:sz w:val="21"/>
                <w:szCs w:val="21"/>
              </w:rPr>
            </w:pPr>
            <w:r>
              <w:rPr>
                <w:rFonts w:ascii="宋体" w:hAnsi="宋体" w:cs="宋体" w:eastAsia="宋体" w:hint="default"/>
                <w:sz w:val="21"/>
                <w:szCs w:val="21"/>
              </w:rPr>
              <w:t>转入</w:t>
            </w:r>
          </w:p>
        </w:tc>
        <w:tc>
          <w:tcPr>
            <w:tcW w:w="1198" w:type="dxa"/>
            <w:tcBorders>
              <w:top w:val="single" w:sz="4" w:space="0" w:color="000000"/>
              <w:left w:val="single" w:sz="10" w:space="0" w:color="D4D4D4"/>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1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8" w:lineRule="exact"/>
              <w:ind w:left="655"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）企业合并</w:t>
            </w:r>
          </w:p>
          <w:p>
            <w:pPr>
              <w:pStyle w:val="TableParagraph"/>
              <w:spacing w:line="266" w:lineRule="exact"/>
              <w:ind w:left="24" w:right="0"/>
              <w:jc w:val="left"/>
              <w:rPr>
                <w:rFonts w:ascii="宋体" w:hAnsi="宋体" w:cs="宋体" w:eastAsia="宋体" w:hint="default"/>
                <w:sz w:val="21"/>
                <w:szCs w:val="21"/>
              </w:rPr>
            </w:pPr>
            <w:r>
              <w:rPr>
                <w:rFonts w:ascii="宋体" w:hAnsi="宋体" w:cs="宋体" w:eastAsia="宋体" w:hint="default"/>
                <w:sz w:val="21"/>
                <w:szCs w:val="21"/>
              </w:rPr>
              <w:t>增加</w:t>
            </w:r>
          </w:p>
        </w:tc>
        <w:tc>
          <w:tcPr>
            <w:tcW w:w="1198" w:type="dxa"/>
            <w:tcBorders>
              <w:top w:val="single" w:sz="4" w:space="0" w:color="000000"/>
              <w:left w:val="single" w:sz="10" w:space="0" w:color="D4D4D4"/>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2131"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57" w:lineRule="exact"/>
              <w:ind w:right="254"/>
              <w:jc w:val="right"/>
              <w:rPr>
                <w:rFonts w:ascii="宋体" w:hAnsi="宋体" w:cs="宋体" w:eastAsia="宋体" w:hint="default"/>
                <w:sz w:val="21"/>
                <w:szCs w:val="21"/>
              </w:rPr>
            </w:pP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本期减少金额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167,423.54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1,330,000.00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3,990.00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1,501,413.54</w:t>
            </w:r>
          </w:p>
        </w:tc>
      </w:tr>
      <w:tr>
        <w:trPr>
          <w:trHeight w:val="554" w:hRule="exact"/>
        </w:trPr>
        <w:tc>
          <w:tcPr>
            <w:tcW w:w="21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8" w:lineRule="exact"/>
              <w:ind w:left="655"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）处置或报</w:t>
            </w:r>
          </w:p>
          <w:p>
            <w:pPr>
              <w:pStyle w:val="TableParagraph"/>
              <w:spacing w:line="266"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废</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167,423.54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1,330,000.00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3,990.00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1,501,413.54</w:t>
            </w:r>
          </w:p>
        </w:tc>
      </w:tr>
      <w:tr>
        <w:trPr>
          <w:trHeight w:val="252" w:hRule="exact"/>
        </w:trPr>
        <w:tc>
          <w:tcPr>
            <w:tcW w:w="2131"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92" w:hRule="exact"/>
        </w:trPr>
        <w:tc>
          <w:tcPr>
            <w:tcW w:w="21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1"/>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15,840,463.9</w:t>
            </w:r>
            <w:r>
              <w:rPr>
                <w:rFonts w:ascii="Times New Roman"/>
                <w:sz w:val="21"/>
              </w:rPr>
            </w:r>
          </w:p>
          <w:p>
            <w:pPr>
              <w:pStyle w:val="TableParagraph"/>
              <w:spacing w:line="240" w:lineRule="auto" w:before="1"/>
              <w:ind w:right="23"/>
              <w:jc w:val="right"/>
              <w:rPr>
                <w:rFonts w:ascii="Times New Roman" w:hAnsi="Times New Roman" w:cs="Times New Roman" w:eastAsia="Times New Roman" w:hint="default"/>
                <w:sz w:val="21"/>
                <w:szCs w:val="21"/>
              </w:rPr>
            </w:pPr>
            <w:r>
              <w:rPr>
                <w:rFonts w:ascii="Times New Roman"/>
                <w:w w:val="100"/>
                <w:sz w:val="21"/>
              </w:rPr>
              <w:t>1</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7"/>
              <w:jc w:val="right"/>
              <w:rPr>
                <w:rFonts w:ascii="Times New Roman" w:hAnsi="Times New Roman" w:cs="Times New Roman" w:eastAsia="Times New Roman" w:hint="default"/>
                <w:sz w:val="21"/>
                <w:szCs w:val="21"/>
              </w:rPr>
            </w:pPr>
            <w:r>
              <w:rPr>
                <w:rFonts w:ascii="Times New Roman"/>
                <w:spacing w:val="-1"/>
                <w:sz w:val="21"/>
              </w:rPr>
              <w:t>2,798,263.56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7"/>
              <w:jc w:val="right"/>
              <w:rPr>
                <w:rFonts w:ascii="Times New Roman" w:hAnsi="Times New Roman" w:cs="Times New Roman" w:eastAsia="Times New Roman" w:hint="default"/>
                <w:sz w:val="21"/>
                <w:szCs w:val="21"/>
              </w:rPr>
            </w:pPr>
            <w:r>
              <w:rPr>
                <w:rFonts w:ascii="Times New Roman"/>
                <w:spacing w:val="-1"/>
                <w:sz w:val="21"/>
              </w:rPr>
              <w:t>2,710,035.00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7"/>
              <w:jc w:val="right"/>
              <w:rPr>
                <w:rFonts w:ascii="Times New Roman" w:hAnsi="Times New Roman" w:cs="Times New Roman" w:eastAsia="Times New Roman" w:hint="default"/>
                <w:sz w:val="21"/>
                <w:szCs w:val="21"/>
              </w:rPr>
            </w:pPr>
            <w:r>
              <w:rPr>
                <w:rFonts w:ascii="Times New Roman"/>
                <w:spacing w:val="-1"/>
                <w:sz w:val="21"/>
              </w:rPr>
              <w:t>1,108,577.02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9"/>
              <w:jc w:val="right"/>
              <w:rPr>
                <w:rFonts w:ascii="Times New Roman" w:hAnsi="Times New Roman" w:cs="Times New Roman" w:eastAsia="Times New Roman" w:hint="default"/>
                <w:sz w:val="21"/>
                <w:szCs w:val="21"/>
              </w:rPr>
            </w:pPr>
            <w:r>
              <w:rPr>
                <w:rFonts w:ascii="Times New Roman"/>
                <w:spacing w:val="-1"/>
                <w:sz w:val="21"/>
              </w:rPr>
              <w:t>22,457,339.49</w:t>
            </w:r>
          </w:p>
        </w:tc>
      </w:tr>
      <w:tr>
        <w:trPr>
          <w:trHeight w:val="283" w:hRule="exact"/>
        </w:trPr>
        <w:tc>
          <w:tcPr>
            <w:tcW w:w="21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二、累计折旧</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57"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64,652.36</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1,206,233.20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1,419,783.70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253,347.92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2,944,017.18</w:t>
            </w:r>
          </w:p>
        </w:tc>
      </w:tr>
      <w:tr>
        <w:trPr>
          <w:trHeight w:val="283" w:hRule="exact"/>
        </w:trPr>
        <w:tc>
          <w:tcPr>
            <w:tcW w:w="21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57" w:lineRule="exact"/>
              <w:ind w:right="254"/>
              <w:jc w:val="right"/>
              <w:rPr>
                <w:rFonts w:ascii="宋体" w:hAnsi="宋体" w:cs="宋体" w:eastAsia="宋体" w:hint="default"/>
                <w:sz w:val="21"/>
                <w:szCs w:val="21"/>
              </w:rPr>
            </w:pP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本期增加金额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494,222.52</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362,266.97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2"/>
                <w:sz w:val="21"/>
              </w:rPr>
              <w:t>511,848.21</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173,223.85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1,541,561.55</w:t>
            </w:r>
          </w:p>
        </w:tc>
      </w:tr>
      <w:tr>
        <w:trPr>
          <w:trHeight w:val="283" w:hRule="exact"/>
        </w:trPr>
        <w:tc>
          <w:tcPr>
            <w:tcW w:w="21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57" w:lineRule="exact"/>
              <w:ind w:left="655"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）计提</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494,222.52</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362,266.97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2"/>
                <w:sz w:val="21"/>
              </w:rPr>
              <w:t>511,848.21</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173,223.85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1,541,561.55</w:t>
            </w:r>
          </w:p>
        </w:tc>
      </w:tr>
      <w:tr>
        <w:trPr>
          <w:trHeight w:val="252" w:hRule="exact"/>
        </w:trPr>
        <w:tc>
          <w:tcPr>
            <w:tcW w:w="2131"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979" w:top="1060" w:bottom="1160" w:left="980" w:right="98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131"/>
        <w:gridCol w:w="1198"/>
        <w:gridCol w:w="1195"/>
        <w:gridCol w:w="1195"/>
        <w:gridCol w:w="1195"/>
        <w:gridCol w:w="1286"/>
        <w:gridCol w:w="1368"/>
      </w:tblGrid>
      <w:tr>
        <w:trPr>
          <w:trHeight w:val="283" w:hRule="exact"/>
        </w:trPr>
        <w:tc>
          <w:tcPr>
            <w:tcW w:w="21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57" w:lineRule="exact"/>
              <w:ind w:right="254"/>
              <w:jc w:val="right"/>
              <w:rPr>
                <w:rFonts w:ascii="宋体" w:hAnsi="宋体" w:cs="宋体" w:eastAsia="宋体" w:hint="default"/>
                <w:sz w:val="21"/>
                <w:szCs w:val="21"/>
              </w:rPr>
            </w:pP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本期减少金额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159,052.36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714,476.00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3,790.50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877,318.86</w:t>
            </w:r>
          </w:p>
        </w:tc>
      </w:tr>
      <w:tr>
        <w:trPr>
          <w:trHeight w:val="557" w:hRule="exact"/>
        </w:trPr>
        <w:tc>
          <w:tcPr>
            <w:tcW w:w="21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8" w:lineRule="exact"/>
              <w:ind w:left="655"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）处置或报</w:t>
            </w:r>
          </w:p>
          <w:p>
            <w:pPr>
              <w:pStyle w:val="TableParagraph"/>
              <w:spacing w:line="266"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废</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1"/>
                <w:sz w:val="21"/>
              </w:rPr>
              <w:t>159,052.36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1"/>
                <w:sz w:val="21"/>
              </w:rPr>
              <w:t>714,476.00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1"/>
                <w:sz w:val="21"/>
              </w:rPr>
              <w:t>3,790.50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877,318.86</w:t>
            </w:r>
          </w:p>
        </w:tc>
      </w:tr>
      <w:tr>
        <w:trPr>
          <w:trHeight w:val="250" w:hRule="exact"/>
        </w:trPr>
        <w:tc>
          <w:tcPr>
            <w:tcW w:w="2131"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59"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8" w:right="0"/>
              <w:jc w:val="left"/>
              <w:rPr>
                <w:rFonts w:ascii="Times New Roman" w:hAnsi="Times New Roman" w:cs="Times New Roman" w:eastAsia="Times New Roman" w:hint="default"/>
                <w:sz w:val="21"/>
                <w:szCs w:val="21"/>
              </w:rPr>
            </w:pPr>
            <w:r>
              <w:rPr>
                <w:rFonts w:ascii="Times New Roman"/>
                <w:sz w:val="21"/>
              </w:rPr>
              <w:t>558,874.88</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1,409,447.81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1,217,155.91</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422,781.27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3,608,259.87</w:t>
            </w:r>
          </w:p>
        </w:tc>
      </w:tr>
      <w:tr>
        <w:trPr>
          <w:trHeight w:val="283" w:hRule="exact"/>
        </w:trPr>
        <w:tc>
          <w:tcPr>
            <w:tcW w:w="21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57"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57" w:lineRule="exact"/>
              <w:ind w:right="254"/>
              <w:jc w:val="right"/>
              <w:rPr>
                <w:rFonts w:ascii="宋体" w:hAnsi="宋体" w:cs="宋体" w:eastAsia="宋体" w:hint="default"/>
                <w:sz w:val="21"/>
                <w:szCs w:val="21"/>
              </w:rPr>
            </w:pP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本期增加金额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57" w:lineRule="exact"/>
              <w:ind w:left="655"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）计提</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2131"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57" w:lineRule="exact"/>
              <w:ind w:right="254"/>
              <w:jc w:val="right"/>
              <w:rPr>
                <w:rFonts w:ascii="宋体" w:hAnsi="宋体" w:cs="宋体" w:eastAsia="宋体" w:hint="default"/>
                <w:sz w:val="21"/>
                <w:szCs w:val="21"/>
              </w:rPr>
            </w:pP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本期减少金额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8" w:lineRule="exact"/>
              <w:ind w:left="655"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）处置或报</w:t>
            </w:r>
          </w:p>
          <w:p>
            <w:pPr>
              <w:pStyle w:val="TableParagraph"/>
              <w:spacing w:line="266"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废</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2131"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57"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92" w:hRule="exact"/>
        </w:trPr>
        <w:tc>
          <w:tcPr>
            <w:tcW w:w="21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1"/>
              <w:ind w:left="24"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15,281,589.0</w:t>
            </w:r>
          </w:p>
          <w:p>
            <w:pPr>
              <w:pStyle w:val="TableParagraph"/>
              <w:spacing w:line="240" w:lineRule="auto" w:before="1"/>
              <w:ind w:right="23"/>
              <w:jc w:val="right"/>
              <w:rPr>
                <w:rFonts w:ascii="Times New Roman" w:hAnsi="Times New Roman" w:cs="Times New Roman" w:eastAsia="Times New Roman" w:hint="default"/>
                <w:sz w:val="21"/>
                <w:szCs w:val="21"/>
              </w:rPr>
            </w:pPr>
            <w:r>
              <w:rPr>
                <w:rFonts w:ascii="Times New Roman"/>
                <w:w w:val="100"/>
                <w:sz w:val="21"/>
              </w:rPr>
              <w:t>3</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7"/>
              <w:jc w:val="right"/>
              <w:rPr>
                <w:rFonts w:ascii="Times New Roman" w:hAnsi="Times New Roman" w:cs="Times New Roman" w:eastAsia="Times New Roman" w:hint="default"/>
                <w:sz w:val="21"/>
                <w:szCs w:val="21"/>
              </w:rPr>
            </w:pPr>
            <w:r>
              <w:rPr>
                <w:rFonts w:ascii="Times New Roman"/>
                <w:spacing w:val="-1"/>
                <w:sz w:val="21"/>
              </w:rPr>
              <w:t>1,388,815.75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7"/>
              <w:jc w:val="right"/>
              <w:rPr>
                <w:rFonts w:ascii="Times New Roman" w:hAnsi="Times New Roman" w:cs="Times New Roman" w:eastAsia="Times New Roman" w:hint="default"/>
                <w:sz w:val="21"/>
                <w:szCs w:val="21"/>
              </w:rPr>
            </w:pPr>
            <w:r>
              <w:rPr>
                <w:rFonts w:ascii="Times New Roman"/>
                <w:spacing w:val="-1"/>
                <w:sz w:val="21"/>
              </w:rPr>
              <w:t>1,492,879.09</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7"/>
              <w:jc w:val="right"/>
              <w:rPr>
                <w:rFonts w:ascii="Times New Roman" w:hAnsi="Times New Roman" w:cs="Times New Roman" w:eastAsia="Times New Roman" w:hint="default"/>
                <w:sz w:val="21"/>
                <w:szCs w:val="21"/>
              </w:rPr>
            </w:pPr>
            <w:r>
              <w:rPr>
                <w:rFonts w:ascii="Times New Roman"/>
                <w:spacing w:val="-1"/>
                <w:sz w:val="21"/>
              </w:rPr>
              <w:t>685,795.75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9"/>
              <w:jc w:val="right"/>
              <w:rPr>
                <w:rFonts w:ascii="Times New Roman" w:hAnsi="Times New Roman" w:cs="Times New Roman" w:eastAsia="Times New Roman" w:hint="default"/>
                <w:sz w:val="21"/>
                <w:szCs w:val="21"/>
              </w:rPr>
            </w:pPr>
            <w:r>
              <w:rPr>
                <w:rFonts w:ascii="Times New Roman"/>
                <w:spacing w:val="-1"/>
                <w:sz w:val="21"/>
              </w:rPr>
              <w:t>18,849,079.62</w:t>
            </w:r>
          </w:p>
        </w:tc>
      </w:tr>
      <w:tr>
        <w:trPr>
          <w:trHeight w:val="492" w:hRule="exact"/>
        </w:trPr>
        <w:tc>
          <w:tcPr>
            <w:tcW w:w="21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1"/>
              <w:ind w:right="254"/>
              <w:jc w:val="right"/>
              <w:rPr>
                <w:rFonts w:ascii="宋体" w:hAnsi="宋体" w:cs="宋体" w:eastAsia="宋体" w:hint="default"/>
                <w:sz w:val="21"/>
                <w:szCs w:val="21"/>
              </w:rPr>
            </w:pP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期末账面价值</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15,281,589.0</w:t>
            </w:r>
          </w:p>
          <w:p>
            <w:pPr>
              <w:pStyle w:val="TableParagraph"/>
              <w:spacing w:line="240" w:lineRule="auto" w:before="1"/>
              <w:ind w:right="23"/>
              <w:jc w:val="right"/>
              <w:rPr>
                <w:rFonts w:ascii="Times New Roman" w:hAnsi="Times New Roman" w:cs="Times New Roman" w:eastAsia="Times New Roman" w:hint="default"/>
                <w:sz w:val="21"/>
                <w:szCs w:val="21"/>
              </w:rPr>
            </w:pPr>
            <w:r>
              <w:rPr>
                <w:rFonts w:ascii="Times New Roman"/>
                <w:w w:val="100"/>
                <w:sz w:val="21"/>
              </w:rPr>
              <w:t>3</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7"/>
              <w:jc w:val="right"/>
              <w:rPr>
                <w:rFonts w:ascii="Times New Roman" w:hAnsi="Times New Roman" w:cs="Times New Roman" w:eastAsia="Times New Roman" w:hint="default"/>
                <w:sz w:val="21"/>
                <w:szCs w:val="21"/>
              </w:rPr>
            </w:pPr>
            <w:r>
              <w:rPr>
                <w:rFonts w:ascii="Times New Roman"/>
                <w:spacing w:val="-1"/>
                <w:sz w:val="21"/>
              </w:rPr>
              <w:t>1,388,815.75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7"/>
              <w:jc w:val="right"/>
              <w:rPr>
                <w:rFonts w:ascii="Times New Roman" w:hAnsi="Times New Roman" w:cs="Times New Roman" w:eastAsia="Times New Roman" w:hint="default"/>
                <w:sz w:val="21"/>
                <w:szCs w:val="21"/>
              </w:rPr>
            </w:pPr>
            <w:r>
              <w:rPr>
                <w:rFonts w:ascii="Times New Roman"/>
                <w:spacing w:val="-1"/>
                <w:sz w:val="21"/>
              </w:rPr>
              <w:t>1,492,879.09</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7"/>
              <w:jc w:val="right"/>
              <w:rPr>
                <w:rFonts w:ascii="Times New Roman" w:hAnsi="Times New Roman" w:cs="Times New Roman" w:eastAsia="Times New Roman" w:hint="default"/>
                <w:sz w:val="21"/>
                <w:szCs w:val="21"/>
              </w:rPr>
            </w:pPr>
            <w:r>
              <w:rPr>
                <w:rFonts w:ascii="Times New Roman"/>
                <w:spacing w:val="-1"/>
                <w:sz w:val="21"/>
              </w:rPr>
              <w:t>685,795.75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9"/>
              <w:jc w:val="right"/>
              <w:rPr>
                <w:rFonts w:ascii="Times New Roman" w:hAnsi="Times New Roman" w:cs="Times New Roman" w:eastAsia="Times New Roman" w:hint="default"/>
                <w:sz w:val="21"/>
                <w:szCs w:val="21"/>
              </w:rPr>
            </w:pPr>
            <w:r>
              <w:rPr>
                <w:rFonts w:ascii="Times New Roman"/>
                <w:spacing w:val="-1"/>
                <w:sz w:val="21"/>
              </w:rPr>
              <w:t>18,849,079.62</w:t>
            </w:r>
          </w:p>
        </w:tc>
      </w:tr>
      <w:tr>
        <w:trPr>
          <w:trHeight w:val="494" w:hRule="exact"/>
        </w:trPr>
        <w:tc>
          <w:tcPr>
            <w:tcW w:w="21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1"/>
              <w:ind w:right="254"/>
              <w:jc w:val="right"/>
              <w:rPr>
                <w:rFonts w:ascii="宋体" w:hAnsi="宋体" w:cs="宋体" w:eastAsia="宋体" w:hint="default"/>
                <w:sz w:val="21"/>
                <w:szCs w:val="21"/>
              </w:rPr>
            </w:pP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期初账面价值</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2"/>
                <w:sz w:val="21"/>
              </w:rPr>
              <w:t>15,775,811.5</w:t>
            </w:r>
          </w:p>
          <w:p>
            <w:pPr>
              <w:pStyle w:val="TableParagraph"/>
              <w:spacing w:line="241" w:lineRule="exact"/>
              <w:ind w:right="23"/>
              <w:jc w:val="right"/>
              <w:rPr>
                <w:rFonts w:ascii="Times New Roman" w:hAnsi="Times New Roman" w:cs="Times New Roman" w:eastAsia="Times New Roman" w:hint="default"/>
                <w:sz w:val="21"/>
                <w:szCs w:val="21"/>
              </w:rPr>
            </w:pPr>
            <w:r>
              <w:rPr>
                <w:rFonts w:ascii="Times New Roman"/>
                <w:w w:val="100"/>
                <w:sz w:val="21"/>
              </w:rPr>
              <w:t>5</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7"/>
              <w:jc w:val="right"/>
              <w:rPr>
                <w:rFonts w:ascii="Times New Roman" w:hAnsi="Times New Roman" w:cs="Times New Roman" w:eastAsia="Times New Roman" w:hint="default"/>
                <w:sz w:val="21"/>
                <w:szCs w:val="21"/>
              </w:rPr>
            </w:pPr>
            <w:r>
              <w:rPr>
                <w:rFonts w:ascii="Times New Roman"/>
                <w:spacing w:val="-1"/>
                <w:sz w:val="21"/>
              </w:rPr>
              <w:t>1,181,761.48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7"/>
              <w:jc w:val="right"/>
              <w:rPr>
                <w:rFonts w:ascii="Times New Roman" w:hAnsi="Times New Roman" w:cs="Times New Roman" w:eastAsia="Times New Roman" w:hint="default"/>
                <w:sz w:val="21"/>
                <w:szCs w:val="21"/>
              </w:rPr>
            </w:pPr>
            <w:r>
              <w:rPr>
                <w:rFonts w:ascii="Times New Roman"/>
                <w:spacing w:val="-1"/>
                <w:sz w:val="21"/>
              </w:rPr>
              <w:t>1,570,521.30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7"/>
              <w:jc w:val="right"/>
              <w:rPr>
                <w:rFonts w:ascii="Times New Roman" w:hAnsi="Times New Roman" w:cs="Times New Roman" w:eastAsia="Times New Roman" w:hint="default"/>
                <w:sz w:val="21"/>
                <w:szCs w:val="21"/>
              </w:rPr>
            </w:pPr>
            <w:r>
              <w:rPr>
                <w:rFonts w:ascii="Times New Roman"/>
                <w:spacing w:val="-1"/>
                <w:sz w:val="21"/>
              </w:rPr>
              <w:t>850,928.51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9"/>
              <w:jc w:val="right"/>
              <w:rPr>
                <w:rFonts w:ascii="Times New Roman" w:hAnsi="Times New Roman" w:cs="Times New Roman" w:eastAsia="Times New Roman" w:hint="default"/>
                <w:sz w:val="21"/>
                <w:szCs w:val="21"/>
              </w:rPr>
            </w:pPr>
            <w:r>
              <w:rPr>
                <w:rFonts w:ascii="Times New Roman"/>
                <w:spacing w:val="-1"/>
                <w:sz w:val="21"/>
              </w:rPr>
              <w:t>19,379,022.84</w:t>
            </w:r>
          </w:p>
        </w:tc>
      </w:tr>
    </w:tbl>
    <w:p>
      <w:pPr>
        <w:pStyle w:val="BodyText"/>
        <w:spacing w:line="262" w:lineRule="exact"/>
        <w:ind w:right="0"/>
        <w:jc w:val="left"/>
      </w:pPr>
      <w:r>
        <w:rPr/>
        <w:t>其他说明</w:t>
      </w:r>
    </w:p>
    <w:p>
      <w:pPr>
        <w:pStyle w:val="BodyText"/>
        <w:spacing w:line="240" w:lineRule="auto" w:before="37"/>
        <w:ind w:right="0"/>
        <w:jc w:val="left"/>
      </w:pPr>
      <w:r>
        <w:rPr>
          <w:rFonts w:ascii="Times New Roman" w:hAnsi="Times New Roman" w:cs="Times New Roman" w:eastAsia="Times New Roman" w:hint="default"/>
        </w:rPr>
        <w:t>1.</w:t>
      </w:r>
      <w:r>
        <w:rPr/>
        <w:t>本公司认为期末固定资产不存在账面价值高于可收回金额的情况，故未计提固定资产减值准备。</w:t>
      </w:r>
    </w:p>
    <w:p>
      <w:pPr>
        <w:pStyle w:val="BodyText"/>
        <w:spacing w:line="240" w:lineRule="auto" w:before="21"/>
        <w:ind w:right="0"/>
        <w:jc w:val="left"/>
      </w:pPr>
      <w:r>
        <w:rPr>
          <w:rFonts w:ascii="Times New Roman" w:hAnsi="Times New Roman" w:cs="Times New Roman" w:eastAsia="Times New Roman" w:hint="default"/>
        </w:rPr>
        <w:t>2.</w:t>
      </w:r>
      <w:r>
        <w:rPr/>
        <w:t>本公司期末固定资产不存在抵押情况。</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6"/>
          <w:szCs w:val="26"/>
        </w:rPr>
      </w:pPr>
    </w:p>
    <w:p>
      <w:pPr>
        <w:pStyle w:val="Heading5"/>
        <w:spacing w:line="240" w:lineRule="auto"/>
        <w:ind w:right="0"/>
        <w:jc w:val="left"/>
        <w:rPr>
          <w:b w:val="0"/>
          <w:bCs w:val="0"/>
        </w:rPr>
      </w:pPr>
      <w:bookmarkStart w:name="13、生产性生物资产" w:id="206"/>
      <w:bookmarkEnd w:id="206"/>
      <w:r>
        <w:rPr>
          <w:b w:val="0"/>
          <w:bCs w:val="0"/>
        </w:rPr>
      </w:r>
      <w:r>
        <w:rPr>
          <w:rFonts w:ascii="Times New Roman" w:hAnsi="Times New Roman" w:cs="Times New Roman" w:eastAsia="Times New Roman" w:hint="default"/>
        </w:rPr>
        <w:t>13</w:t>
      </w:r>
      <w:r>
        <w:rPr/>
        <w:t>、生产性生物资产</w:t>
      </w:r>
      <w:r>
        <w:rPr>
          <w:b w:val="0"/>
          <w:bCs w:val="0"/>
        </w:rPr>
      </w:r>
    </w:p>
    <w:p>
      <w:pPr>
        <w:spacing w:line="240" w:lineRule="auto" w:before="0"/>
        <w:rPr>
          <w:rFonts w:ascii="宋体" w:hAnsi="宋体" w:cs="宋体" w:eastAsia="宋体" w:hint="default"/>
          <w:b/>
          <w:bCs/>
          <w:sz w:val="22"/>
          <w:szCs w:val="22"/>
        </w:rPr>
      </w:pPr>
    </w:p>
    <w:p>
      <w:pPr>
        <w:spacing w:line="240" w:lineRule="auto" w:before="6"/>
        <w:rPr>
          <w:rFonts w:ascii="宋体" w:hAnsi="宋体" w:cs="宋体" w:eastAsia="宋体" w:hint="default"/>
          <w:b/>
          <w:bCs/>
          <w:sz w:val="25"/>
          <w:szCs w:val="25"/>
        </w:rPr>
      </w:pPr>
    </w:p>
    <w:p>
      <w:pPr>
        <w:pStyle w:val="Heading5"/>
        <w:spacing w:line="240" w:lineRule="auto"/>
        <w:ind w:right="0"/>
        <w:jc w:val="left"/>
        <w:rPr>
          <w:b w:val="0"/>
          <w:bCs w:val="0"/>
        </w:rPr>
      </w:pPr>
      <w:bookmarkStart w:name="（1）采用成本计量模式的生产性生物资产" w:id="207"/>
      <w:bookmarkEnd w:id="207"/>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7"/>
        <w:rPr>
          <w:rFonts w:ascii="宋体" w:hAnsi="宋体" w:cs="宋体" w:eastAsia="宋体" w:hint="default"/>
          <w:sz w:val="24"/>
          <w:szCs w:val="24"/>
        </w:rPr>
      </w:pPr>
    </w:p>
    <w:p>
      <w:pPr>
        <w:pStyle w:val="Heading5"/>
        <w:spacing w:line="240" w:lineRule="auto"/>
        <w:ind w:right="0"/>
        <w:jc w:val="left"/>
        <w:rPr>
          <w:b w:val="0"/>
          <w:bCs w:val="0"/>
        </w:rPr>
      </w:pPr>
      <w:bookmarkStart w:name="（2）采用公允价值计量模式的生产性生物资产" w:id="208"/>
      <w:bookmarkEnd w:id="208"/>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7"/>
        <w:rPr>
          <w:rFonts w:ascii="宋体" w:hAnsi="宋体" w:cs="宋体" w:eastAsia="宋体" w:hint="default"/>
          <w:sz w:val="24"/>
          <w:szCs w:val="24"/>
        </w:rPr>
      </w:pPr>
    </w:p>
    <w:p>
      <w:pPr>
        <w:pStyle w:val="Heading5"/>
        <w:spacing w:line="240" w:lineRule="auto"/>
        <w:ind w:right="0"/>
        <w:jc w:val="left"/>
        <w:rPr>
          <w:b w:val="0"/>
          <w:bCs w:val="0"/>
        </w:rPr>
      </w:pPr>
      <w:bookmarkStart w:name="14、油气资产" w:id="209"/>
      <w:bookmarkEnd w:id="209"/>
      <w:r>
        <w:rPr>
          <w:b w:val="0"/>
          <w:bCs w:val="0"/>
        </w:rPr>
      </w:r>
      <w:r>
        <w:rPr>
          <w:rFonts w:ascii="Times New Roman" w:hAnsi="Times New Roman" w:cs="Times New Roman" w:eastAsia="Times New Roman" w:hint="default"/>
        </w:rPr>
        <w:t>14</w:t>
      </w:r>
      <w:r>
        <w:rPr/>
        <w:t>、油气资产</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7"/>
        <w:rPr>
          <w:rFonts w:ascii="宋体" w:hAnsi="宋体" w:cs="宋体" w:eastAsia="宋体" w:hint="default"/>
          <w:sz w:val="24"/>
          <w:szCs w:val="24"/>
        </w:rPr>
      </w:pPr>
    </w:p>
    <w:p>
      <w:pPr>
        <w:pStyle w:val="Heading5"/>
        <w:spacing w:line="240" w:lineRule="auto"/>
        <w:ind w:right="0"/>
        <w:jc w:val="left"/>
        <w:rPr>
          <w:b w:val="0"/>
          <w:bCs w:val="0"/>
        </w:rPr>
      </w:pPr>
      <w:bookmarkStart w:name="15、无形资产" w:id="210"/>
      <w:bookmarkEnd w:id="210"/>
      <w:r>
        <w:rPr>
          <w:b w:val="0"/>
          <w:bCs w:val="0"/>
        </w:rPr>
      </w:r>
      <w:r>
        <w:rPr>
          <w:rFonts w:ascii="Times New Roman" w:hAnsi="Times New Roman" w:cs="Times New Roman" w:eastAsia="Times New Roman" w:hint="default"/>
        </w:rPr>
        <w:t>15</w:t>
      </w:r>
      <w:r>
        <w:rPr/>
        <w:t>、无形资产</w:t>
      </w:r>
      <w:r>
        <w:rPr>
          <w:b w:val="0"/>
          <w:bCs w:val="0"/>
        </w:rPr>
      </w:r>
    </w:p>
    <w:p>
      <w:pPr>
        <w:spacing w:line="240" w:lineRule="auto" w:before="0"/>
        <w:rPr>
          <w:rFonts w:ascii="宋体" w:hAnsi="宋体" w:cs="宋体" w:eastAsia="宋体" w:hint="default"/>
          <w:b/>
          <w:bCs/>
          <w:sz w:val="22"/>
          <w:szCs w:val="22"/>
        </w:rPr>
      </w:pPr>
    </w:p>
    <w:p>
      <w:pPr>
        <w:spacing w:line="240" w:lineRule="auto" w:before="9"/>
        <w:rPr>
          <w:rFonts w:ascii="宋体" w:hAnsi="宋体" w:cs="宋体" w:eastAsia="宋体" w:hint="default"/>
          <w:b/>
          <w:bCs/>
          <w:sz w:val="25"/>
          <w:szCs w:val="25"/>
        </w:rPr>
      </w:pPr>
    </w:p>
    <w:p>
      <w:pPr>
        <w:pStyle w:val="Heading5"/>
        <w:spacing w:line="240" w:lineRule="auto"/>
        <w:ind w:right="0"/>
        <w:jc w:val="left"/>
        <w:rPr>
          <w:b w:val="0"/>
          <w:bCs w:val="0"/>
        </w:rPr>
      </w:pPr>
      <w:bookmarkStart w:name="（1）无形资产情况" w:id="211"/>
      <w:bookmarkEnd w:id="211"/>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0" w:right="150"/>
        <w:jc w:val="right"/>
      </w:pPr>
      <w:r>
        <w:rPr/>
        <w:t>单位：</w:t>
      </w:r>
      <w:r>
        <w:rPr>
          <w:spacing w:val="2"/>
        </w:rPr>
        <w:t> </w:t>
      </w:r>
      <w:r>
        <w:rPr/>
        <w:t>元</w:t>
      </w:r>
    </w:p>
    <w:p>
      <w:pPr>
        <w:spacing w:line="240" w:lineRule="auto" w:before="10"/>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2461"/>
        <w:gridCol w:w="1397"/>
        <w:gridCol w:w="1368"/>
        <w:gridCol w:w="1382"/>
        <w:gridCol w:w="1380"/>
        <w:gridCol w:w="1579"/>
      </w:tblGrid>
      <w:tr>
        <w:trPr>
          <w:trHeight w:val="283" w:hRule="exact"/>
        </w:trPr>
        <w:tc>
          <w:tcPr>
            <w:tcW w:w="24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3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68"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364" w:right="0"/>
              <w:jc w:val="left"/>
              <w:rPr>
                <w:rFonts w:ascii="宋体" w:hAnsi="宋体" w:cs="宋体" w:eastAsia="宋体" w:hint="default"/>
                <w:sz w:val="21"/>
                <w:szCs w:val="21"/>
              </w:rPr>
            </w:pPr>
            <w:r>
              <w:rPr>
                <w:rFonts w:ascii="宋体" w:hAnsi="宋体" w:cs="宋体" w:eastAsia="宋体" w:hint="default"/>
                <w:sz w:val="21"/>
                <w:szCs w:val="21"/>
              </w:rPr>
              <w:t>专利权</w:t>
            </w:r>
          </w:p>
        </w:tc>
        <w:tc>
          <w:tcPr>
            <w:tcW w:w="13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60" w:right="0"/>
              <w:jc w:val="left"/>
              <w:rPr>
                <w:rFonts w:ascii="宋体" w:hAnsi="宋体" w:cs="宋体" w:eastAsia="宋体" w:hint="default"/>
                <w:sz w:val="21"/>
                <w:szCs w:val="21"/>
              </w:rPr>
            </w:pPr>
            <w:r>
              <w:rPr>
                <w:rFonts w:ascii="宋体" w:hAnsi="宋体" w:cs="宋体" w:eastAsia="宋体" w:hint="default"/>
                <w:sz w:val="21"/>
                <w:szCs w:val="21"/>
              </w:rPr>
              <w:t>非专利技术</w:t>
            </w:r>
          </w:p>
        </w:tc>
        <w:tc>
          <w:tcPr>
            <w:tcW w:w="13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5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r>
    </w:tbl>
    <w:p>
      <w:pPr>
        <w:spacing w:after="0" w:line="241" w:lineRule="exact"/>
        <w:jc w:val="center"/>
        <w:rPr>
          <w:rFonts w:ascii="宋体" w:hAnsi="宋体" w:cs="宋体" w:eastAsia="宋体" w:hint="default"/>
          <w:sz w:val="21"/>
          <w:szCs w:val="21"/>
        </w:rPr>
        <w:sectPr>
          <w:pgSz w:w="11910" w:h="16840"/>
          <w:pgMar w:header="880" w:footer="979" w:top="1060" w:bottom="1160" w:left="980" w:right="98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462"/>
        <w:gridCol w:w="1397"/>
        <w:gridCol w:w="1368"/>
        <w:gridCol w:w="1382"/>
        <w:gridCol w:w="1380"/>
        <w:gridCol w:w="1579"/>
      </w:tblGrid>
      <w:tr>
        <w:trPr>
          <w:trHeight w:val="283" w:hRule="exact"/>
        </w:trPr>
        <w:tc>
          <w:tcPr>
            <w:tcW w:w="24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57"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9,179,430.42</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472,766.68</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9,652,197.10</w:t>
            </w:r>
          </w:p>
        </w:tc>
      </w:tr>
      <w:tr>
        <w:trPr>
          <w:trHeight w:val="283" w:hRule="exact"/>
        </w:trPr>
        <w:tc>
          <w:tcPr>
            <w:tcW w:w="24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57"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本期增加金额</w:t>
            </w: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22,294.32</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175,699.07</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197,993.39</w:t>
            </w:r>
          </w:p>
        </w:tc>
      </w:tr>
      <w:tr>
        <w:trPr>
          <w:trHeight w:val="283" w:hRule="exact"/>
        </w:trPr>
        <w:tc>
          <w:tcPr>
            <w:tcW w:w="24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57" w:lineRule="exact"/>
              <w:ind w:left="655"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）购置</w:t>
            </w: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175,699.07</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175,699.07</w:t>
            </w:r>
          </w:p>
        </w:tc>
      </w:tr>
      <w:tr>
        <w:trPr>
          <w:trHeight w:val="283" w:hRule="exact"/>
        </w:trPr>
        <w:tc>
          <w:tcPr>
            <w:tcW w:w="24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57" w:lineRule="exact"/>
              <w:ind w:left="655"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）内部研发</w:t>
            </w: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22,294.32</w:t>
            </w: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22,294.32</w:t>
            </w:r>
          </w:p>
        </w:tc>
      </w:tr>
      <w:tr>
        <w:trPr>
          <w:trHeight w:val="281" w:hRule="exact"/>
        </w:trPr>
        <w:tc>
          <w:tcPr>
            <w:tcW w:w="24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57" w:lineRule="exact"/>
              <w:ind w:left="650"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）企业合并增加</w:t>
            </w: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2462"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57"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本期减少金额</w:t>
            </w: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57" w:lineRule="exact"/>
              <w:ind w:left="655"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）处置</w:t>
            </w: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2462"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57"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9,201,724.74</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648,465.75</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9,850,190.49</w:t>
            </w:r>
          </w:p>
        </w:tc>
      </w:tr>
      <w:tr>
        <w:trPr>
          <w:trHeight w:val="283" w:hRule="exact"/>
        </w:trPr>
        <w:tc>
          <w:tcPr>
            <w:tcW w:w="24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二、累计摊销</w:t>
            </w: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57"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4,382,230.01</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145,026.87</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4,527,256.88</w:t>
            </w:r>
          </w:p>
        </w:tc>
      </w:tr>
      <w:tr>
        <w:trPr>
          <w:trHeight w:val="283" w:hRule="exact"/>
        </w:trPr>
        <w:tc>
          <w:tcPr>
            <w:tcW w:w="24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57"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本期增加金额</w:t>
            </w: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1,508,490.04</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136,143.70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1,644,633.74</w:t>
            </w:r>
          </w:p>
        </w:tc>
      </w:tr>
      <w:tr>
        <w:trPr>
          <w:trHeight w:val="281" w:hRule="exact"/>
        </w:trPr>
        <w:tc>
          <w:tcPr>
            <w:tcW w:w="24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57" w:lineRule="exact"/>
              <w:ind w:left="655"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）计提</w:t>
            </w: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1,508,490.04</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136,143.70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1,644,633.74</w:t>
            </w:r>
          </w:p>
        </w:tc>
      </w:tr>
      <w:tr>
        <w:trPr>
          <w:trHeight w:val="252" w:hRule="exact"/>
        </w:trPr>
        <w:tc>
          <w:tcPr>
            <w:tcW w:w="2462"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57"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本期减少金额</w:t>
            </w: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57" w:lineRule="exact"/>
              <w:ind w:left="655"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）处置</w:t>
            </w: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2462"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57"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5,890,720.05</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281,170.57</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6,171,890.62</w:t>
            </w:r>
          </w:p>
        </w:tc>
      </w:tr>
      <w:tr>
        <w:trPr>
          <w:trHeight w:val="283" w:hRule="exact"/>
        </w:trPr>
        <w:tc>
          <w:tcPr>
            <w:tcW w:w="24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57"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57"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本期增加金额</w:t>
            </w: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57" w:lineRule="exact"/>
              <w:ind w:left="655"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）计提</w:t>
            </w: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2462"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57"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本期减少金额</w:t>
            </w: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57" w:lineRule="exact"/>
              <w:ind w:left="446"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）处置</w:t>
            </w: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2462"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57"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2"/>
                <w:sz w:val="21"/>
              </w:rPr>
              <w:t>3,311,004.69</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367,295.18</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3,678,299.87</w:t>
            </w:r>
          </w:p>
        </w:tc>
      </w:tr>
      <w:tr>
        <w:trPr>
          <w:trHeight w:val="283" w:hRule="exact"/>
        </w:trPr>
        <w:tc>
          <w:tcPr>
            <w:tcW w:w="24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57"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期末账面价值</w:t>
            </w: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2"/>
                <w:sz w:val="21"/>
              </w:rPr>
              <w:t>3,311,004.69</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367,295.18</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3,678,299.87</w:t>
            </w:r>
          </w:p>
        </w:tc>
      </w:tr>
      <w:tr>
        <w:trPr>
          <w:trHeight w:val="283" w:hRule="exact"/>
        </w:trPr>
        <w:tc>
          <w:tcPr>
            <w:tcW w:w="24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57" w:lineRule="exact"/>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期初账面价值</w:t>
            </w: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4,797,200.41</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327,739.81</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5,124,940.22</w:t>
            </w:r>
          </w:p>
        </w:tc>
      </w:tr>
    </w:tbl>
    <w:p>
      <w:pPr>
        <w:pStyle w:val="BodyText"/>
        <w:spacing w:line="256" w:lineRule="auto"/>
        <w:ind w:left="153" w:right="3029" w:hanging="1"/>
        <w:jc w:val="left"/>
      </w:pPr>
      <w:r>
        <w:rPr/>
        <w:t>本期末通过公司内部研发形成的无形资产占无形资产余额的比例</w:t>
      </w:r>
      <w:r>
        <w:rPr>
          <w:spacing w:val="-58"/>
        </w:rPr>
        <w:t> </w:t>
      </w:r>
      <w:r>
        <w:rPr>
          <w:rFonts w:ascii="Times New Roman" w:hAnsi="Times New Roman" w:cs="Times New Roman" w:eastAsia="Times New Roman" w:hint="default"/>
        </w:rPr>
        <w:t>93.42%</w:t>
      </w:r>
      <w:r>
        <w:rPr/>
        <w:t>。</w:t>
      </w:r>
      <w:r>
        <w:rPr>
          <w:w w:val="100"/>
        </w:rPr>
        <w:t> </w:t>
      </w:r>
      <w:r>
        <w:rPr/>
        <w:t>其他说明：</w:t>
      </w:r>
    </w:p>
    <w:p>
      <w:pPr>
        <w:pStyle w:val="BodyText"/>
        <w:spacing w:line="240" w:lineRule="auto" w:before="22"/>
        <w:ind w:left="153" w:right="0"/>
        <w:jc w:val="left"/>
      </w:pPr>
      <w:r>
        <w:rPr>
          <w:rFonts w:ascii="Times New Roman" w:hAnsi="Times New Roman" w:cs="Times New Roman" w:eastAsia="Times New Roman" w:hint="default"/>
        </w:rPr>
        <w:t>1.</w:t>
      </w:r>
      <w:r>
        <w:rPr/>
        <w:t>本公司认为期末无形资产未出现可收回金额低于账面价值的情形，故未计提无形资产减值准备。</w:t>
      </w:r>
    </w:p>
    <w:p>
      <w:pPr>
        <w:pStyle w:val="BodyText"/>
        <w:spacing w:line="240" w:lineRule="auto" w:before="21"/>
        <w:ind w:left="153" w:right="0"/>
        <w:jc w:val="left"/>
      </w:pPr>
      <w:r>
        <w:rPr>
          <w:rFonts w:ascii="Times New Roman" w:hAnsi="Times New Roman" w:cs="Times New Roman" w:eastAsia="Times New Roman" w:hint="default"/>
        </w:rPr>
        <w:t>2.</w:t>
      </w:r>
      <w:r>
        <w:rPr/>
        <w:t>本公司期末无形资产不存在抵押情况。</w:t>
      </w:r>
    </w:p>
    <w:p>
      <w:pPr>
        <w:spacing w:line="240" w:lineRule="auto" w:before="7"/>
        <w:rPr>
          <w:rFonts w:ascii="宋体" w:hAnsi="宋体" w:cs="宋体" w:eastAsia="宋体" w:hint="default"/>
          <w:sz w:val="24"/>
          <w:szCs w:val="24"/>
        </w:rPr>
      </w:pPr>
    </w:p>
    <w:p>
      <w:pPr>
        <w:pStyle w:val="Heading5"/>
        <w:spacing w:line="240" w:lineRule="auto"/>
        <w:ind w:right="0"/>
        <w:jc w:val="left"/>
        <w:rPr>
          <w:b w:val="0"/>
          <w:bCs w:val="0"/>
        </w:rPr>
      </w:pPr>
      <w:bookmarkStart w:name="16、开发支出" w:id="212"/>
      <w:bookmarkEnd w:id="212"/>
      <w:r>
        <w:rPr>
          <w:b w:val="0"/>
          <w:bCs w:val="0"/>
        </w:rPr>
      </w:r>
      <w:r>
        <w:rPr>
          <w:rFonts w:ascii="Times New Roman" w:hAnsi="Times New Roman" w:cs="Times New Roman" w:eastAsia="Times New Roman" w:hint="default"/>
        </w:rPr>
        <w:t>16</w:t>
      </w:r>
      <w:r>
        <w:rPr/>
        <w:t>、开发支出</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0" w:right="190"/>
        <w:jc w:val="right"/>
      </w:pPr>
      <w:r>
        <w:rPr/>
        <w:t>单位：</w:t>
      </w:r>
      <w:r>
        <w:rPr>
          <w:spacing w:val="2"/>
        </w:rPr>
        <w:t> </w:t>
      </w:r>
      <w:r>
        <w:rPr/>
        <w:t>元</w:t>
      </w:r>
    </w:p>
    <w:p>
      <w:pPr>
        <w:spacing w:line="240" w:lineRule="auto" w:before="10"/>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1195"/>
        <w:gridCol w:w="1198"/>
        <w:gridCol w:w="1195"/>
        <w:gridCol w:w="1195"/>
        <w:gridCol w:w="1198"/>
        <w:gridCol w:w="1195"/>
        <w:gridCol w:w="1195"/>
        <w:gridCol w:w="1198"/>
      </w:tblGrid>
      <w:tr>
        <w:trPr>
          <w:trHeight w:val="283" w:hRule="exact"/>
        </w:trPr>
        <w:tc>
          <w:tcPr>
            <w:tcW w:w="119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84"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19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7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39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561"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3588"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159" w:right="0"/>
              <w:jc w:val="left"/>
              <w:rPr>
                <w:rFonts w:ascii="宋体" w:hAnsi="宋体" w:cs="宋体" w:eastAsia="宋体" w:hint="default"/>
                <w:sz w:val="21"/>
                <w:szCs w:val="21"/>
              </w:rPr>
            </w:pPr>
            <w:r>
              <w:rPr>
                <w:rFonts w:ascii="宋体" w:hAnsi="宋体" w:cs="宋体" w:eastAsia="宋体" w:hint="default"/>
                <w:sz w:val="21"/>
                <w:szCs w:val="21"/>
              </w:rPr>
              <w:t>本期减少金额</w:t>
            </w:r>
          </w:p>
        </w:tc>
        <w:tc>
          <w:tcPr>
            <w:tcW w:w="119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7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7" w:hRule="exact"/>
        </w:trPr>
        <w:tc>
          <w:tcPr>
            <w:tcW w:w="1195" w:type="dxa"/>
            <w:vMerge/>
            <w:tcBorders>
              <w:left w:val="single" w:sz="4" w:space="0" w:color="000000"/>
              <w:bottom w:val="single" w:sz="4" w:space="0" w:color="000000"/>
              <w:right w:val="single" w:sz="4" w:space="0" w:color="000000"/>
            </w:tcBorders>
            <w:shd w:val="clear" w:color="auto" w:fill="D4D4D4"/>
          </w:tcPr>
          <w:p>
            <w:pPr/>
          </w:p>
        </w:tc>
        <w:tc>
          <w:tcPr>
            <w:tcW w:w="1198" w:type="dxa"/>
            <w:vMerge/>
            <w:tcBorders>
              <w:left w:val="single" w:sz="4" w:space="0" w:color="000000"/>
              <w:bottom w:val="single" w:sz="4" w:space="0" w:color="000000"/>
              <w:right w:val="single" w:sz="4" w:space="0" w:color="000000"/>
            </w:tcBorders>
            <w:shd w:val="clear" w:color="auto" w:fill="D4D4D4"/>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内部开发支</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出</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2"/>
              <w:ind w:left="38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1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确认为无形</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资产</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转入当期损</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益</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2"/>
              <w:ind w:left="38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198" w:type="dxa"/>
            <w:vMerge/>
            <w:tcBorders>
              <w:left w:val="single" w:sz="4" w:space="0" w:color="000000"/>
              <w:bottom w:val="single" w:sz="4" w:space="0" w:color="000000"/>
              <w:right w:val="single" w:sz="4" w:space="0" w:color="000000"/>
            </w:tcBorders>
            <w:shd w:val="clear" w:color="auto" w:fill="D4D4D4"/>
          </w:tcPr>
          <w:p>
            <w:pPr/>
          </w:p>
        </w:tc>
      </w:tr>
      <w:tr>
        <w:trPr>
          <w:trHeight w:val="554"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中小学教材</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同步辅导</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1,457,813.01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963,465.59</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40" w:right="0"/>
              <w:jc w:val="center"/>
              <w:rPr>
                <w:rFonts w:ascii="Times New Roman" w:hAnsi="Times New Roman" w:cs="Times New Roman" w:eastAsia="Times New Roman" w:hint="default"/>
                <w:sz w:val="21"/>
                <w:szCs w:val="21"/>
              </w:rPr>
            </w:pPr>
            <w:r>
              <w:rPr>
                <w:rFonts w:ascii="Times New Roman"/>
                <w:sz w:val="21"/>
              </w:rPr>
              <w:t>2,421,278.60</w:t>
            </w:r>
          </w:p>
        </w:tc>
      </w:tr>
      <w:tr>
        <w:trPr>
          <w:trHeight w:val="286" w:hRule="exact"/>
        </w:trPr>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1,457,813.01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963,465.59</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0" w:right="0"/>
              <w:jc w:val="center"/>
              <w:rPr>
                <w:rFonts w:ascii="Times New Roman" w:hAnsi="Times New Roman" w:cs="Times New Roman" w:eastAsia="Times New Roman" w:hint="default"/>
                <w:sz w:val="21"/>
                <w:szCs w:val="21"/>
              </w:rPr>
            </w:pPr>
            <w:r>
              <w:rPr>
                <w:rFonts w:ascii="Times New Roman"/>
                <w:sz w:val="21"/>
              </w:rPr>
              <w:t>2,421,278.60</w:t>
            </w:r>
          </w:p>
        </w:tc>
      </w:tr>
    </w:tbl>
    <w:p>
      <w:pPr>
        <w:pStyle w:val="BodyText"/>
        <w:spacing w:line="262" w:lineRule="exact"/>
        <w:ind w:right="0"/>
        <w:jc w:val="left"/>
      </w:pPr>
      <w:r>
        <w:rPr/>
        <w:t>其他说明</w:t>
      </w:r>
    </w:p>
    <w:p>
      <w:pPr>
        <w:spacing w:line="240" w:lineRule="auto" w:before="2"/>
        <w:rPr>
          <w:rFonts w:ascii="宋体" w:hAnsi="宋体" w:cs="宋体" w:eastAsia="宋体" w:hint="default"/>
          <w:sz w:val="21"/>
          <w:szCs w:val="21"/>
        </w:rPr>
      </w:pPr>
    </w:p>
    <w:p>
      <w:pPr>
        <w:pStyle w:val="Heading5"/>
        <w:spacing w:line="240" w:lineRule="auto"/>
        <w:ind w:left="575" w:right="0"/>
        <w:jc w:val="left"/>
        <w:rPr>
          <w:b w:val="0"/>
          <w:bCs w:val="0"/>
        </w:rPr>
      </w:pP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中小学教材同步辅导是按新课标开发中小学英语及其他学科教材多版本同步辅导软件的开发支出，</w:t>
      </w:r>
      <w:r>
        <w:rPr>
          <w:b w:val="0"/>
          <w:bCs w:val="0"/>
        </w:rPr>
      </w:r>
    </w:p>
    <w:p>
      <w:pPr>
        <w:spacing w:after="0" w:line="240" w:lineRule="auto"/>
        <w:jc w:val="left"/>
        <w:sectPr>
          <w:pgSz w:w="11910" w:h="16840"/>
          <w:pgMar w:header="880" w:footer="979" w:top="1060" w:bottom="1160" w:left="980" w:right="940"/>
        </w:sectPr>
      </w:pPr>
    </w:p>
    <w:p>
      <w:pPr>
        <w:spacing w:line="240" w:lineRule="auto" w:before="8"/>
        <w:rPr>
          <w:rFonts w:ascii="宋体" w:hAnsi="宋体" w:cs="宋体" w:eastAsia="宋体" w:hint="default"/>
          <w:b/>
          <w:bCs/>
          <w:sz w:val="24"/>
          <w:szCs w:val="24"/>
        </w:rPr>
      </w:pPr>
    </w:p>
    <w:p>
      <w:pPr>
        <w:pStyle w:val="Heading5"/>
        <w:spacing w:line="240" w:lineRule="auto" w:before="36"/>
        <w:ind w:right="0"/>
        <w:jc w:val="left"/>
        <w:rPr>
          <w:b w:val="0"/>
          <w:bCs w:val="0"/>
        </w:rPr>
      </w:pPr>
      <w:r>
        <w:rPr/>
        <w:t>本期的增加为开发该项目所发生的人力支出及其他支出，以下按不同版本分别列示资本化开始时点：</w:t>
      </w:r>
      <w:r>
        <w:rPr>
          <w:b w:val="0"/>
          <w:bCs w:val="0"/>
        </w:rPr>
      </w:r>
    </w:p>
    <w:p>
      <w:pPr>
        <w:spacing w:line="240" w:lineRule="auto" w:before="9"/>
        <w:rPr>
          <w:rFonts w:ascii="宋体" w:hAnsi="宋体" w:cs="宋体" w:eastAsia="宋体" w:hint="default"/>
          <w:b/>
          <w:bCs/>
          <w:sz w:val="10"/>
          <w:szCs w:val="10"/>
        </w:rPr>
      </w:pPr>
    </w:p>
    <w:p>
      <w:pPr>
        <w:spacing w:line="1389" w:lineRule="exact"/>
        <w:ind w:left="159" w:right="0" w:firstLine="0"/>
        <w:rPr>
          <w:rFonts w:ascii="宋体" w:hAnsi="宋体" w:cs="宋体" w:eastAsia="宋体" w:hint="default"/>
          <w:sz w:val="20"/>
          <w:szCs w:val="20"/>
        </w:rPr>
      </w:pPr>
      <w:r>
        <w:rPr>
          <w:rFonts w:ascii="宋体" w:hAnsi="宋体" w:cs="宋体" w:eastAsia="宋体" w:hint="default"/>
          <w:position w:val="-27"/>
          <w:sz w:val="20"/>
          <w:szCs w:val="20"/>
        </w:rPr>
        <w:drawing>
          <wp:inline distT="0" distB="0" distL="0" distR="0">
            <wp:extent cx="6157124" cy="882491"/>
            <wp:effectExtent l="0" t="0" r="0" b="0"/>
            <wp:docPr id="43" name="image50.png" descr="?"/>
            <wp:cNvGraphicFramePr>
              <a:graphicFrameLocks noChangeAspect="1"/>
            </wp:cNvGraphicFramePr>
            <a:graphic>
              <a:graphicData uri="http://schemas.openxmlformats.org/drawingml/2006/picture">
                <pic:pic>
                  <pic:nvPicPr>
                    <pic:cNvPr id="44" name="image50.png"/>
                    <pic:cNvPicPr/>
                  </pic:nvPicPr>
                  <pic:blipFill>
                    <a:blip r:embed="rId88" cstate="print"/>
                    <a:stretch>
                      <a:fillRect/>
                    </a:stretch>
                  </pic:blipFill>
                  <pic:spPr>
                    <a:xfrm>
                      <a:off x="0" y="0"/>
                      <a:ext cx="6157124" cy="882491"/>
                    </a:xfrm>
                    <a:prstGeom prst="rect">
                      <a:avLst/>
                    </a:prstGeom>
                  </pic:spPr>
                </pic:pic>
              </a:graphicData>
            </a:graphic>
          </wp:inline>
        </w:drawing>
      </w:r>
      <w:r>
        <w:rPr>
          <w:rFonts w:ascii="宋体" w:hAnsi="宋体" w:cs="宋体" w:eastAsia="宋体" w:hint="default"/>
          <w:position w:val="-27"/>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5"/>
        <w:spacing w:line="240" w:lineRule="auto" w:before="156"/>
        <w:ind w:right="0"/>
        <w:jc w:val="left"/>
        <w:rPr>
          <w:b w:val="0"/>
          <w:bCs w:val="0"/>
        </w:rPr>
      </w:pPr>
      <w:bookmarkStart w:name="17、商誉" w:id="213"/>
      <w:bookmarkEnd w:id="213"/>
      <w:r>
        <w:rPr>
          <w:b w:val="0"/>
          <w:bCs w:val="0"/>
        </w:rPr>
      </w:r>
      <w:r>
        <w:rPr>
          <w:rFonts w:ascii="Times New Roman" w:hAnsi="Times New Roman" w:cs="Times New Roman" w:eastAsia="Times New Roman" w:hint="default"/>
        </w:rPr>
        <w:t>17</w:t>
      </w:r>
      <w:r>
        <w:rPr/>
        <w:t>、商誉</w:t>
      </w:r>
      <w:r>
        <w:rPr>
          <w:b w:val="0"/>
          <w:bCs w:val="0"/>
        </w:rPr>
      </w:r>
    </w:p>
    <w:p>
      <w:pPr>
        <w:spacing w:line="240" w:lineRule="auto" w:before="0"/>
        <w:rPr>
          <w:rFonts w:ascii="宋体" w:hAnsi="宋体" w:cs="宋体" w:eastAsia="宋体" w:hint="default"/>
          <w:b/>
          <w:bCs/>
          <w:sz w:val="22"/>
          <w:szCs w:val="22"/>
        </w:rPr>
      </w:pPr>
    </w:p>
    <w:p>
      <w:pPr>
        <w:spacing w:line="240" w:lineRule="auto" w:before="9"/>
        <w:rPr>
          <w:rFonts w:ascii="宋体" w:hAnsi="宋体" w:cs="宋体" w:eastAsia="宋体" w:hint="default"/>
          <w:b/>
          <w:bCs/>
          <w:sz w:val="25"/>
          <w:szCs w:val="25"/>
        </w:rPr>
      </w:pPr>
    </w:p>
    <w:p>
      <w:pPr>
        <w:pStyle w:val="Heading5"/>
        <w:spacing w:line="240" w:lineRule="auto"/>
        <w:ind w:right="0"/>
        <w:jc w:val="left"/>
        <w:rPr>
          <w:b w:val="0"/>
          <w:bCs w:val="0"/>
        </w:rPr>
      </w:pPr>
      <w:bookmarkStart w:name="（1）商誉账面原值" w:id="214"/>
      <w:bookmarkEnd w:id="214"/>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0" w:right="170"/>
        <w:jc w:val="right"/>
      </w:pPr>
      <w:r>
        <w:rPr/>
        <w:t>单位：</w:t>
      </w:r>
      <w:r>
        <w:rPr>
          <w:spacing w:val="2"/>
        </w:rPr>
        <w:t> </w:t>
      </w:r>
      <w:r>
        <w:rPr/>
        <w:t>元</w:t>
      </w:r>
    </w:p>
    <w:p>
      <w:pPr>
        <w:spacing w:line="240" w:lineRule="auto" w:before="10"/>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283" w:hRule="exact"/>
        </w:trPr>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5" w:lineRule="exact"/>
              <w:ind w:left="48" w:right="0"/>
              <w:jc w:val="left"/>
              <w:rPr>
                <w:rFonts w:ascii="宋体" w:hAnsi="宋体" w:cs="宋体" w:eastAsia="宋体" w:hint="default"/>
                <w:sz w:val="21"/>
                <w:szCs w:val="21"/>
              </w:rPr>
            </w:pPr>
            <w:r>
              <w:rPr>
                <w:rFonts w:ascii="宋体" w:hAnsi="宋体" w:cs="宋体" w:eastAsia="宋体" w:hint="default"/>
                <w:sz w:val="21"/>
                <w:szCs w:val="21"/>
              </w:rPr>
              <w:t>被投资单位名</w:t>
            </w:r>
          </w:p>
          <w:p>
            <w:pPr>
              <w:pStyle w:val="TableParagraph"/>
              <w:spacing w:line="240" w:lineRule="auto"/>
              <w:ind w:left="362" w:right="45" w:hanging="315"/>
              <w:jc w:val="left"/>
              <w:rPr>
                <w:rFonts w:ascii="宋体" w:hAnsi="宋体" w:cs="宋体" w:eastAsia="宋体" w:hint="default"/>
                <w:sz w:val="21"/>
                <w:szCs w:val="21"/>
              </w:rPr>
            </w:pPr>
            <w:r>
              <w:rPr>
                <w:rFonts w:ascii="宋体" w:hAnsi="宋体" w:cs="宋体" w:eastAsia="宋体" w:hint="default"/>
                <w:sz w:val="21"/>
                <w:szCs w:val="21"/>
              </w:rPr>
              <w:t>称或形成商誉</w:t>
            </w:r>
            <w:r>
              <w:rPr>
                <w:rFonts w:ascii="宋体" w:hAnsi="宋体" w:cs="宋体" w:eastAsia="宋体" w:hint="default"/>
                <w:w w:val="100"/>
                <w:sz w:val="21"/>
                <w:szCs w:val="21"/>
              </w:rPr>
              <w:t> </w:t>
            </w:r>
            <w:r>
              <w:rPr>
                <w:rFonts w:ascii="宋体" w:hAnsi="宋体" w:cs="宋体" w:eastAsia="宋体" w:hint="default"/>
                <w:sz w:val="21"/>
                <w:szCs w:val="21"/>
              </w:rPr>
              <w:t>的事项</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7" w:hRule="exact"/>
        </w:trPr>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企业合并形成</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的</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处置</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368" w:type="dxa"/>
            <w:vMerge/>
            <w:tcBorders>
              <w:left w:val="single" w:sz="4" w:space="0" w:color="000000"/>
              <w:bottom w:val="single" w:sz="4" w:space="0" w:color="000000"/>
              <w:right w:val="single" w:sz="4" w:space="0" w:color="000000"/>
            </w:tcBorders>
            <w:shd w:val="clear" w:color="auto" w:fill="D4D4D4"/>
          </w:tcPr>
          <w:p>
            <w:pPr/>
          </w:p>
        </w:tc>
      </w:tr>
      <w:tr>
        <w:trPr>
          <w:trHeight w:val="82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深圳市连邦信</w:t>
            </w:r>
          </w:p>
          <w:p>
            <w:pPr>
              <w:pStyle w:val="TableParagraph"/>
              <w:spacing w:line="272" w:lineRule="exact" w:before="27"/>
              <w:ind w:left="24" w:right="69"/>
              <w:jc w:val="left"/>
              <w:rPr>
                <w:rFonts w:ascii="宋体" w:hAnsi="宋体" w:cs="宋体" w:eastAsia="宋体" w:hint="default"/>
                <w:sz w:val="21"/>
                <w:szCs w:val="21"/>
              </w:rPr>
            </w:pPr>
            <w:r>
              <w:rPr>
                <w:rFonts w:ascii="宋体" w:hAnsi="宋体" w:cs="宋体" w:eastAsia="宋体" w:hint="default"/>
                <w:sz w:val="21"/>
                <w:szCs w:val="21"/>
              </w:rPr>
              <w:t>息技术有限公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83,940.16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83,940.16</w:t>
            </w:r>
          </w:p>
        </w:tc>
      </w:tr>
      <w:tr>
        <w:trPr>
          <w:trHeight w:val="28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83,940.16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83,940.16</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bookmarkStart w:name="（2）商誉减值准备" w:id="215"/>
      <w:bookmarkEnd w:id="215"/>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right="0"/>
        <w:jc w:val="left"/>
      </w:pPr>
      <w:r>
        <w:rPr/>
        <w:t>说明商誉减值测试过程、参数及商誉减值损失的确认方法：</w:t>
      </w:r>
    </w:p>
    <w:p>
      <w:pPr>
        <w:pStyle w:val="Heading5"/>
        <w:spacing w:line="240" w:lineRule="auto" w:before="37"/>
        <w:ind w:left="575" w:right="0"/>
        <w:jc w:val="left"/>
        <w:rPr>
          <w:b w:val="0"/>
          <w:bCs w:val="0"/>
        </w:rPr>
      </w:pPr>
      <w:r>
        <w:rPr>
          <w:rFonts w:ascii="Times New Roman" w:hAnsi="Times New Roman" w:cs="Times New Roman" w:eastAsia="Times New Roman" w:hint="default"/>
        </w:rPr>
        <w:t>1</w:t>
      </w:r>
      <w:r>
        <w:rPr/>
        <w:t>、期末商誉不存在减值的迹象，故未计提商誉减值准备。</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26"/>
          <w:szCs w:val="26"/>
        </w:rPr>
      </w:pPr>
    </w:p>
    <w:p>
      <w:pPr>
        <w:pStyle w:val="Heading5"/>
        <w:spacing w:line="240" w:lineRule="auto"/>
        <w:ind w:right="0"/>
        <w:jc w:val="left"/>
        <w:rPr>
          <w:b w:val="0"/>
          <w:bCs w:val="0"/>
        </w:rPr>
      </w:pPr>
      <w:bookmarkStart w:name="18、长期待摊费用" w:id="216"/>
      <w:bookmarkEnd w:id="216"/>
      <w:r>
        <w:rPr>
          <w:b w:val="0"/>
          <w:bCs w:val="0"/>
        </w:rPr>
      </w:r>
      <w:r>
        <w:rPr>
          <w:rFonts w:ascii="Times New Roman" w:hAnsi="Times New Roman" w:cs="Times New Roman" w:eastAsia="Times New Roman" w:hint="default"/>
        </w:rPr>
        <w:t>18</w:t>
      </w:r>
      <w:r>
        <w:rPr/>
        <w:t>、长期待摊费用</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36"/>
        <w:ind w:left="0" w:right="170"/>
        <w:jc w:val="right"/>
      </w:pPr>
      <w:r>
        <w:rPr/>
        <w:t>单位：</w:t>
      </w:r>
      <w:r>
        <w:rPr>
          <w:spacing w:val="2"/>
        </w:rPr>
        <w:t> </w:t>
      </w:r>
      <w:r>
        <w:rPr/>
        <w:t>元</w:t>
      </w:r>
    </w:p>
    <w:p>
      <w:pPr>
        <w:spacing w:line="240" w:lineRule="auto" w:before="10"/>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1594"/>
        <w:gridCol w:w="1596"/>
        <w:gridCol w:w="1594"/>
        <w:gridCol w:w="1596"/>
        <w:gridCol w:w="1594"/>
        <w:gridCol w:w="1594"/>
      </w:tblGrid>
      <w:tr>
        <w:trPr>
          <w:trHeight w:val="28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37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63"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63" w:right="0"/>
              <w:jc w:val="left"/>
              <w:rPr>
                <w:rFonts w:ascii="宋体" w:hAnsi="宋体" w:cs="宋体" w:eastAsia="宋体" w:hint="default"/>
                <w:sz w:val="21"/>
                <w:szCs w:val="21"/>
              </w:rPr>
            </w:pPr>
            <w:r>
              <w:rPr>
                <w:rFonts w:ascii="宋体" w:hAnsi="宋体" w:cs="宋体" w:eastAsia="宋体" w:hint="default"/>
                <w:sz w:val="21"/>
                <w:szCs w:val="21"/>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63" w:right="0"/>
              <w:jc w:val="left"/>
              <w:rPr>
                <w:rFonts w:ascii="宋体" w:hAnsi="宋体" w:cs="宋体" w:eastAsia="宋体" w:hint="default"/>
                <w:sz w:val="21"/>
                <w:szCs w:val="21"/>
              </w:rPr>
            </w:pPr>
            <w:r>
              <w:rPr>
                <w:rFonts w:ascii="宋体" w:hAnsi="宋体" w:cs="宋体" w:eastAsia="宋体" w:hint="default"/>
                <w:sz w:val="21"/>
                <w:szCs w:val="21"/>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371"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办公楼装修费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8,488.50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8,488.50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仓库装修费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65,296.59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52,237.20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13,059.39</w:t>
            </w:r>
          </w:p>
        </w:tc>
      </w:tr>
      <w:tr>
        <w:trPr>
          <w:trHeight w:val="28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4" w:right="0"/>
              <w:jc w:val="left"/>
              <w:rPr>
                <w:rFonts w:ascii="宋体" w:hAnsi="宋体" w:cs="宋体" w:eastAsia="宋体" w:hint="default"/>
                <w:sz w:val="21"/>
                <w:szCs w:val="21"/>
              </w:rPr>
            </w:pPr>
            <w:r>
              <w:rPr>
                <w:rFonts w:ascii="宋体" w:hAnsi="宋体" w:cs="宋体" w:eastAsia="宋体" w:hint="default"/>
                <w:sz w:val="21"/>
                <w:szCs w:val="21"/>
              </w:rPr>
              <w:t>企业</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QQ</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服务费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25,630.90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6,686.28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18,944.62</w:t>
            </w:r>
          </w:p>
        </w:tc>
      </w:tr>
      <w:tr>
        <w:trPr>
          <w:trHeight w:val="28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99,415.99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2"/>
                <w:sz w:val="21"/>
              </w:rPr>
              <w:t>67,411.98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32,004.01</w:t>
            </w:r>
          </w:p>
        </w:tc>
      </w:tr>
    </w:tbl>
    <w:p>
      <w:pPr>
        <w:pStyle w:val="BodyText"/>
        <w:spacing w:line="262" w:lineRule="exact"/>
        <w:ind w:right="0"/>
        <w:jc w:val="left"/>
      </w:pPr>
      <w:r>
        <w:rPr/>
        <w:t>其他说明</w:t>
      </w:r>
    </w:p>
    <w:p>
      <w:pPr>
        <w:pStyle w:val="Heading5"/>
        <w:spacing w:line="240" w:lineRule="auto" w:before="37"/>
        <w:ind w:left="579" w:right="0"/>
        <w:jc w:val="left"/>
        <w:rPr>
          <w:b w:val="0"/>
          <w:bCs w:val="0"/>
        </w:rPr>
      </w:pPr>
      <w:r>
        <w:rPr>
          <w:rFonts w:ascii="Times New Roman" w:hAnsi="Times New Roman" w:cs="Times New Roman" w:eastAsia="Times New Roman" w:hint="default"/>
        </w:rPr>
        <w:t>1</w:t>
      </w:r>
      <w:r>
        <w:rPr/>
        <w:t>、长期待摊费用期末余额比期初余额减少</w:t>
      </w:r>
      <w:r>
        <w:rPr>
          <w:rFonts w:ascii="Times New Roman" w:hAnsi="Times New Roman" w:cs="Times New Roman" w:eastAsia="Times New Roman" w:hint="default"/>
        </w:rPr>
        <w:t>67,411.98</w:t>
      </w:r>
      <w:r>
        <w:rPr/>
        <w:t>元，减幅为</w:t>
      </w:r>
      <w:r>
        <w:rPr>
          <w:rFonts w:ascii="Times New Roman" w:hAnsi="Times New Roman" w:cs="Times New Roman" w:eastAsia="Times New Roman" w:hint="default"/>
        </w:rPr>
        <w:t>67.81%</w:t>
      </w:r>
      <w:r>
        <w:rPr/>
        <w:t>，主要系本期摊销所致。</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26"/>
          <w:szCs w:val="26"/>
        </w:rPr>
      </w:pPr>
    </w:p>
    <w:p>
      <w:pPr>
        <w:pStyle w:val="Heading5"/>
        <w:spacing w:line="240" w:lineRule="auto"/>
        <w:ind w:right="0"/>
        <w:jc w:val="left"/>
        <w:rPr>
          <w:b w:val="0"/>
          <w:bCs w:val="0"/>
        </w:rPr>
      </w:pPr>
      <w:bookmarkStart w:name="19、递延所得税资产/递延所得税负债" w:id="217"/>
      <w:bookmarkEnd w:id="217"/>
      <w:r>
        <w:rPr>
          <w:b w:val="0"/>
          <w:bCs w:val="0"/>
        </w:rPr>
      </w:r>
      <w:r>
        <w:rPr>
          <w:rFonts w:ascii="Times New Roman" w:hAnsi="Times New Roman" w:cs="Times New Roman" w:eastAsia="Times New Roman" w:hint="default"/>
        </w:rPr>
        <w:t>19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0"/>
        <w:rPr>
          <w:rFonts w:ascii="宋体" w:hAnsi="宋体" w:cs="宋体" w:eastAsia="宋体" w:hint="default"/>
          <w:b/>
          <w:bCs/>
          <w:sz w:val="22"/>
          <w:szCs w:val="22"/>
        </w:rPr>
      </w:pPr>
    </w:p>
    <w:p>
      <w:pPr>
        <w:spacing w:line="240" w:lineRule="auto" w:before="9"/>
        <w:rPr>
          <w:rFonts w:ascii="宋体" w:hAnsi="宋体" w:cs="宋体" w:eastAsia="宋体" w:hint="default"/>
          <w:b/>
          <w:bCs/>
          <w:sz w:val="25"/>
          <w:szCs w:val="25"/>
        </w:rPr>
      </w:pPr>
    </w:p>
    <w:p>
      <w:pPr>
        <w:pStyle w:val="Heading5"/>
        <w:spacing w:line="240" w:lineRule="auto"/>
        <w:ind w:right="0"/>
        <w:jc w:val="left"/>
        <w:rPr>
          <w:b w:val="0"/>
          <w:bCs w:val="0"/>
        </w:rPr>
      </w:pPr>
      <w:bookmarkStart w:name="（1）未经抵销的递延所得税资产" w:id="218"/>
      <w:bookmarkEnd w:id="218"/>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0" w:right="170"/>
        <w:jc w:val="right"/>
      </w:pPr>
      <w:r>
        <w:rPr/>
        <w:t>单位：</w:t>
      </w:r>
      <w:r>
        <w:rPr>
          <w:spacing w:val="2"/>
        </w:rPr>
        <w:t> </w:t>
      </w:r>
      <w:r>
        <w:rPr/>
        <w:t>元</w:t>
      </w:r>
    </w:p>
    <w:p>
      <w:pPr>
        <w:spacing w:after="0" w:line="240" w:lineRule="auto"/>
        <w:jc w:val="right"/>
        <w:sectPr>
          <w:footerReference w:type="default" r:id="rId87"/>
          <w:pgSz w:w="11910" w:h="16840"/>
          <w:pgMar w:footer="979" w:header="880" w:top="1060" w:bottom="1160" w:left="980" w:right="960"/>
          <w:pgNumType w:start="166"/>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283" w:hRule="exact"/>
        </w:trPr>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913" w:type="dxa"/>
            <w:vMerge/>
            <w:tcBorders>
              <w:left w:val="single" w:sz="4" w:space="0" w:color="000000"/>
              <w:bottom w:val="single" w:sz="4" w:space="0" w:color="000000"/>
              <w:right w:val="single" w:sz="4" w:space="0" w:color="000000"/>
            </w:tcBorders>
            <w:shd w:val="clear" w:color="auto" w:fill="D4D4D4"/>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12"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215"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12"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216"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r>
      <w:tr>
        <w:trPr>
          <w:trHeight w:val="28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849,530.18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155,951.96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475,499.15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83,470.26</w:t>
            </w:r>
          </w:p>
        </w:tc>
      </w:tr>
      <w:tr>
        <w:trPr>
          <w:trHeight w:val="28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存货跌价准备</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998,304.70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154,943.02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712,071.24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3"/>
                <w:sz w:val="21"/>
              </w:rPr>
              <w:t>111,948.99</w:t>
            </w:r>
          </w:p>
        </w:tc>
      </w:tr>
      <w:tr>
        <w:trPr>
          <w:trHeight w:val="28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1,847,834.88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310,894.98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1,187,570.39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195,419.25</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bookmarkStart w:name="（2）未经抵销的递延所得税负债" w:id="219"/>
      <w:bookmarkEnd w:id="219"/>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36"/>
        <w:ind w:left="0" w:right="150"/>
        <w:jc w:val="right"/>
      </w:pPr>
      <w:r>
        <w:rPr/>
        <w:t>单位：</w:t>
      </w:r>
      <w:r>
        <w:rPr>
          <w:spacing w:val="2"/>
        </w:rPr>
        <w:t> </w:t>
      </w:r>
      <w:r>
        <w:rPr/>
        <w:t>元</w:t>
      </w:r>
    </w:p>
    <w:p>
      <w:pPr>
        <w:spacing w:line="240" w:lineRule="auto" w:before="10"/>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283" w:hRule="exact"/>
        </w:trPr>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913" w:type="dxa"/>
            <w:vMerge/>
            <w:tcBorders>
              <w:left w:val="single" w:sz="4" w:space="0" w:color="000000"/>
              <w:bottom w:val="single" w:sz="4" w:space="0" w:color="000000"/>
              <w:right w:val="single" w:sz="4" w:space="0" w:color="000000"/>
            </w:tcBorders>
            <w:shd w:val="clear" w:color="auto" w:fill="D4D4D4"/>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12" w:right="0"/>
              <w:jc w:val="left"/>
              <w:rPr>
                <w:rFonts w:ascii="宋体" w:hAnsi="宋体" w:cs="宋体" w:eastAsia="宋体" w:hint="default"/>
                <w:sz w:val="21"/>
                <w:szCs w:val="21"/>
              </w:rPr>
            </w:pPr>
            <w:r>
              <w:rPr>
                <w:rFonts w:ascii="宋体" w:hAnsi="宋体" w:cs="宋体" w:eastAsia="宋体" w:hint="default"/>
                <w:sz w:val="21"/>
                <w:szCs w:val="21"/>
              </w:rPr>
              <w:t>应纳税暂时性差异</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215"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12" w:right="0"/>
              <w:jc w:val="left"/>
              <w:rPr>
                <w:rFonts w:ascii="宋体" w:hAnsi="宋体" w:cs="宋体" w:eastAsia="宋体" w:hint="default"/>
                <w:sz w:val="21"/>
                <w:szCs w:val="21"/>
              </w:rPr>
            </w:pPr>
            <w:r>
              <w:rPr>
                <w:rFonts w:ascii="宋体" w:hAnsi="宋体" w:cs="宋体" w:eastAsia="宋体" w:hint="default"/>
                <w:sz w:val="21"/>
                <w:szCs w:val="21"/>
              </w:rPr>
              <w:t>应纳税暂时性差异</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216"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r>
      <w:tr>
        <w:trPr>
          <w:trHeight w:val="28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固定资产折旧</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1,308,229.47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196,234.42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1,308,229.47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196,234.42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bookmarkStart w:name="（3）以抵销后净额列示的递延所得税资产或负债" w:id="220"/>
      <w:bookmarkEnd w:id="220"/>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150"/>
        <w:jc w:val="right"/>
      </w:pPr>
      <w:r>
        <w:rPr/>
        <w:t>单位：</w:t>
      </w:r>
      <w:r>
        <w:rPr>
          <w:spacing w:val="2"/>
        </w:rPr>
        <w:t> </w:t>
      </w:r>
      <w:r>
        <w:rPr/>
        <w:t>元</w:t>
      </w:r>
    </w:p>
    <w:p>
      <w:pPr>
        <w:spacing w:line="240" w:lineRule="auto" w:before="10"/>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142" w:hRule="exact"/>
        </w:trPr>
        <w:tc>
          <w:tcPr>
            <w:tcW w:w="1913" w:type="dxa"/>
            <w:vMerge w:val="restart"/>
            <w:tcBorders>
              <w:top w:val="single" w:sz="4" w:space="0" w:color="000000"/>
              <w:left w:val="single" w:sz="4" w:space="0" w:color="000000"/>
              <w:right w:val="single" w:sz="4" w:space="0" w:color="000000"/>
            </w:tcBorders>
            <w:shd w:val="clear" w:color="auto" w:fill="D4D4D4"/>
          </w:tcPr>
          <w:p>
            <w:pPr/>
          </w:p>
        </w:tc>
        <w:tc>
          <w:tcPr>
            <w:tcW w:w="1915" w:type="dxa"/>
            <w:tcBorders>
              <w:top w:val="single" w:sz="4" w:space="0" w:color="000000"/>
              <w:left w:val="single" w:sz="4" w:space="0" w:color="000000"/>
              <w:bottom w:val="nil" w:sz="6" w:space="0" w:color="auto"/>
              <w:right w:val="single" w:sz="4" w:space="0" w:color="000000"/>
            </w:tcBorders>
            <w:shd w:val="clear" w:color="auto" w:fill="D4D4D4"/>
          </w:tcPr>
          <w:p>
            <w:pP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exact"/>
              <w:ind w:left="112" w:right="0"/>
              <w:jc w:val="left"/>
              <w:rPr>
                <w:rFonts w:ascii="宋体" w:hAnsi="宋体" w:cs="宋体" w:eastAsia="宋体" w:hint="default"/>
                <w:sz w:val="21"/>
                <w:szCs w:val="21"/>
              </w:rPr>
            </w:pPr>
            <w:r>
              <w:rPr>
                <w:rFonts w:ascii="宋体" w:hAnsi="宋体" w:cs="宋体" w:eastAsia="宋体" w:hint="default"/>
                <w:sz w:val="21"/>
                <w:szCs w:val="21"/>
              </w:rPr>
              <w:t>抵销后递延所得税</w:t>
            </w:r>
          </w:p>
          <w:p>
            <w:pPr>
              <w:pStyle w:val="TableParagraph"/>
              <w:spacing w:line="272" w:lineRule="exact" w:before="27"/>
              <w:ind w:left="847" w:right="108" w:hanging="735"/>
              <w:jc w:val="left"/>
              <w:rPr>
                <w:rFonts w:ascii="宋体" w:hAnsi="宋体" w:cs="宋体" w:eastAsia="宋体" w:hint="default"/>
                <w:sz w:val="21"/>
                <w:szCs w:val="21"/>
              </w:rPr>
            </w:pPr>
            <w:r>
              <w:rPr>
                <w:rFonts w:ascii="宋体" w:hAnsi="宋体" w:cs="宋体" w:eastAsia="宋体" w:hint="default"/>
                <w:sz w:val="21"/>
                <w:szCs w:val="21"/>
              </w:rPr>
              <w:t>资产或负债期末余</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1913" w:type="dxa"/>
            <w:tcBorders>
              <w:top w:val="single" w:sz="4" w:space="0" w:color="000000"/>
              <w:left w:val="single" w:sz="4" w:space="0" w:color="000000"/>
              <w:bottom w:val="nil" w:sz="6" w:space="0" w:color="auto"/>
              <w:right w:val="single" w:sz="4" w:space="0" w:color="000000"/>
            </w:tcBorders>
            <w:shd w:val="clear" w:color="auto" w:fill="D4D4D4"/>
          </w:tcPr>
          <w:p>
            <w:pP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exact"/>
              <w:ind w:left="112" w:right="0"/>
              <w:jc w:val="left"/>
              <w:rPr>
                <w:rFonts w:ascii="宋体" w:hAnsi="宋体" w:cs="宋体" w:eastAsia="宋体" w:hint="default"/>
                <w:sz w:val="21"/>
                <w:szCs w:val="21"/>
              </w:rPr>
            </w:pPr>
            <w:r>
              <w:rPr>
                <w:rFonts w:ascii="宋体" w:hAnsi="宋体" w:cs="宋体" w:eastAsia="宋体" w:hint="default"/>
                <w:sz w:val="21"/>
                <w:szCs w:val="21"/>
              </w:rPr>
              <w:t>抵销后递延所得税</w:t>
            </w:r>
          </w:p>
          <w:p>
            <w:pPr>
              <w:pStyle w:val="TableParagraph"/>
              <w:spacing w:line="272" w:lineRule="exact" w:before="27"/>
              <w:ind w:left="847" w:right="108" w:hanging="735"/>
              <w:jc w:val="left"/>
              <w:rPr>
                <w:rFonts w:ascii="宋体" w:hAnsi="宋体" w:cs="宋体" w:eastAsia="宋体" w:hint="default"/>
                <w:sz w:val="21"/>
                <w:szCs w:val="21"/>
              </w:rPr>
            </w:pPr>
            <w:r>
              <w:rPr>
                <w:rFonts w:ascii="宋体" w:hAnsi="宋体" w:cs="宋体" w:eastAsia="宋体" w:hint="default"/>
                <w:sz w:val="21"/>
                <w:szCs w:val="21"/>
              </w:rPr>
              <w:t>资产或负债期初余</w:t>
            </w:r>
            <w:r>
              <w:rPr>
                <w:rFonts w:ascii="宋体" w:hAnsi="宋体" w:cs="宋体" w:eastAsia="宋体" w:hint="default"/>
                <w:w w:val="100"/>
                <w:sz w:val="21"/>
                <w:szCs w:val="21"/>
              </w:rPr>
              <w:t> </w:t>
            </w:r>
            <w:r>
              <w:rPr>
                <w:rFonts w:ascii="宋体" w:hAnsi="宋体" w:cs="宋体" w:eastAsia="宋体" w:hint="default"/>
                <w:sz w:val="21"/>
                <w:szCs w:val="21"/>
              </w:rPr>
              <w:t>额</w:t>
            </w:r>
          </w:p>
        </w:tc>
      </w:tr>
      <w:tr>
        <w:trPr>
          <w:trHeight w:val="137" w:hRule="exact"/>
        </w:trPr>
        <w:tc>
          <w:tcPr>
            <w:tcW w:w="1913" w:type="dxa"/>
            <w:vMerge/>
            <w:tcBorders>
              <w:left w:val="single" w:sz="4" w:space="0" w:color="000000"/>
              <w:bottom w:val="nil" w:sz="6" w:space="0" w:color="auto"/>
              <w:right w:val="single" w:sz="4" w:space="0" w:color="000000"/>
            </w:tcBorders>
            <w:shd w:val="clear" w:color="auto" w:fill="D4D4D4"/>
          </w:tcPr>
          <w:p>
            <w:pPr/>
          </w:p>
        </w:tc>
        <w:tc>
          <w:tcPr>
            <w:tcW w:w="1915" w:type="dxa"/>
            <w:vMerge w:val="restart"/>
            <w:tcBorders>
              <w:top w:val="nil" w:sz="6" w:space="0" w:color="auto"/>
              <w:left w:val="single" w:sz="4" w:space="0" w:color="000000"/>
              <w:right w:val="single" w:sz="4" w:space="0" w:color="000000"/>
            </w:tcBorders>
            <w:shd w:val="clear" w:color="auto" w:fill="D4D4D4"/>
          </w:tcPr>
          <w:p>
            <w:pPr>
              <w:pStyle w:val="TableParagraph"/>
              <w:spacing w:line="239" w:lineRule="exact"/>
              <w:ind w:left="112" w:right="0"/>
              <w:jc w:val="left"/>
              <w:rPr>
                <w:rFonts w:ascii="宋体" w:hAnsi="宋体" w:cs="宋体" w:eastAsia="宋体" w:hint="default"/>
                <w:sz w:val="21"/>
                <w:szCs w:val="21"/>
              </w:rPr>
            </w:pPr>
            <w:r>
              <w:rPr>
                <w:rFonts w:ascii="宋体" w:hAnsi="宋体" w:cs="宋体" w:eastAsia="宋体" w:hint="default"/>
                <w:sz w:val="21"/>
                <w:szCs w:val="21"/>
              </w:rPr>
              <w:t>递延所得税资产和</w:t>
            </w:r>
          </w:p>
          <w:p>
            <w:pPr>
              <w:pStyle w:val="TableParagraph"/>
              <w:spacing w:line="273" w:lineRule="exact"/>
              <w:ind w:left="112" w:right="0"/>
              <w:jc w:val="left"/>
              <w:rPr>
                <w:rFonts w:ascii="宋体" w:hAnsi="宋体" w:cs="宋体" w:eastAsia="宋体" w:hint="default"/>
                <w:sz w:val="21"/>
                <w:szCs w:val="21"/>
              </w:rPr>
            </w:pPr>
            <w:r>
              <w:rPr>
                <w:rFonts w:ascii="宋体" w:hAnsi="宋体" w:cs="宋体" w:eastAsia="宋体" w:hint="default"/>
                <w:sz w:val="21"/>
                <w:szCs w:val="21"/>
              </w:rPr>
              <w:t>负债期末互抵金额</w:t>
            </w:r>
          </w:p>
        </w:tc>
        <w:tc>
          <w:tcPr>
            <w:tcW w:w="1915" w:type="dxa"/>
            <w:vMerge/>
            <w:tcBorders>
              <w:left w:val="single" w:sz="4" w:space="0" w:color="000000"/>
              <w:right w:val="single" w:sz="4" w:space="0" w:color="000000"/>
            </w:tcBorders>
            <w:shd w:val="clear" w:color="auto" w:fill="D4D4D4"/>
          </w:tcPr>
          <w:p>
            <w:pPr/>
          </w:p>
        </w:tc>
        <w:tc>
          <w:tcPr>
            <w:tcW w:w="1913" w:type="dxa"/>
            <w:vMerge w:val="restart"/>
            <w:tcBorders>
              <w:top w:val="nil" w:sz="6" w:space="0" w:color="auto"/>
              <w:left w:val="single" w:sz="4" w:space="0" w:color="000000"/>
              <w:right w:val="single" w:sz="4" w:space="0" w:color="000000"/>
            </w:tcBorders>
            <w:shd w:val="clear" w:color="auto" w:fill="D4D4D4"/>
          </w:tcPr>
          <w:p>
            <w:pPr>
              <w:pStyle w:val="TableParagraph"/>
              <w:spacing w:line="239" w:lineRule="exact"/>
              <w:ind w:left="112" w:right="0"/>
              <w:jc w:val="left"/>
              <w:rPr>
                <w:rFonts w:ascii="宋体" w:hAnsi="宋体" w:cs="宋体" w:eastAsia="宋体" w:hint="default"/>
                <w:sz w:val="21"/>
                <w:szCs w:val="21"/>
              </w:rPr>
            </w:pPr>
            <w:r>
              <w:rPr>
                <w:rFonts w:ascii="宋体" w:hAnsi="宋体" w:cs="宋体" w:eastAsia="宋体" w:hint="default"/>
                <w:sz w:val="21"/>
                <w:szCs w:val="21"/>
              </w:rPr>
              <w:t>递延所得税资产和</w:t>
            </w:r>
          </w:p>
          <w:p>
            <w:pPr>
              <w:pStyle w:val="TableParagraph"/>
              <w:spacing w:line="273" w:lineRule="exact"/>
              <w:ind w:left="112" w:right="0"/>
              <w:jc w:val="left"/>
              <w:rPr>
                <w:rFonts w:ascii="宋体" w:hAnsi="宋体" w:cs="宋体" w:eastAsia="宋体" w:hint="default"/>
                <w:sz w:val="21"/>
                <w:szCs w:val="21"/>
              </w:rPr>
            </w:pPr>
            <w:r>
              <w:rPr>
                <w:rFonts w:ascii="宋体" w:hAnsi="宋体" w:cs="宋体" w:eastAsia="宋体" w:hint="default"/>
                <w:sz w:val="21"/>
                <w:szCs w:val="21"/>
              </w:rPr>
              <w:t>负债期初互抵金额</w:t>
            </w:r>
          </w:p>
        </w:tc>
        <w:tc>
          <w:tcPr>
            <w:tcW w:w="1915" w:type="dxa"/>
            <w:vMerge/>
            <w:tcBorders>
              <w:left w:val="single" w:sz="4" w:space="0" w:color="000000"/>
              <w:right w:val="single" w:sz="4" w:space="0" w:color="000000"/>
            </w:tcBorders>
            <w:shd w:val="clear" w:color="auto" w:fill="D4D4D4"/>
          </w:tcPr>
          <w:p>
            <w:pPr/>
          </w:p>
        </w:tc>
      </w:tr>
      <w:tr>
        <w:trPr>
          <w:trHeight w:val="271" w:hRule="exact"/>
        </w:trPr>
        <w:tc>
          <w:tcPr>
            <w:tcW w:w="1913"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15" w:type="dxa"/>
            <w:vMerge/>
            <w:tcBorders>
              <w:left w:val="single" w:sz="4" w:space="0" w:color="000000"/>
              <w:right w:val="single" w:sz="4" w:space="0" w:color="000000"/>
            </w:tcBorders>
            <w:shd w:val="clear" w:color="auto" w:fill="D4D4D4"/>
          </w:tcPr>
          <w:p>
            <w:pPr/>
          </w:p>
        </w:tc>
        <w:tc>
          <w:tcPr>
            <w:tcW w:w="1915" w:type="dxa"/>
            <w:vMerge/>
            <w:tcBorders>
              <w:left w:val="single" w:sz="4" w:space="0" w:color="000000"/>
              <w:right w:val="single" w:sz="4" w:space="0" w:color="000000"/>
            </w:tcBorders>
            <w:shd w:val="clear" w:color="auto" w:fill="D4D4D4"/>
          </w:tcPr>
          <w:p>
            <w:pPr/>
          </w:p>
        </w:tc>
        <w:tc>
          <w:tcPr>
            <w:tcW w:w="1913" w:type="dxa"/>
            <w:vMerge/>
            <w:tcBorders>
              <w:left w:val="single" w:sz="4" w:space="0" w:color="000000"/>
              <w:right w:val="single" w:sz="4" w:space="0" w:color="000000"/>
            </w:tcBorders>
            <w:shd w:val="clear" w:color="auto" w:fill="D4D4D4"/>
          </w:tcPr>
          <w:p>
            <w:pPr/>
          </w:p>
        </w:tc>
        <w:tc>
          <w:tcPr>
            <w:tcW w:w="1915" w:type="dxa"/>
            <w:vMerge/>
            <w:tcBorders>
              <w:left w:val="single" w:sz="4" w:space="0" w:color="000000"/>
              <w:right w:val="single" w:sz="4" w:space="0" w:color="000000"/>
            </w:tcBorders>
            <w:shd w:val="clear" w:color="auto" w:fill="D4D4D4"/>
          </w:tcPr>
          <w:p>
            <w:pPr/>
          </w:p>
        </w:tc>
      </w:tr>
      <w:tr>
        <w:trPr>
          <w:trHeight w:val="137" w:hRule="exact"/>
        </w:trPr>
        <w:tc>
          <w:tcPr>
            <w:tcW w:w="1913" w:type="dxa"/>
            <w:vMerge w:val="restart"/>
            <w:tcBorders>
              <w:top w:val="nil" w:sz="6" w:space="0" w:color="auto"/>
              <w:left w:val="single" w:sz="4" w:space="0" w:color="000000"/>
              <w:right w:val="single" w:sz="4" w:space="0" w:color="000000"/>
            </w:tcBorders>
            <w:shd w:val="clear" w:color="auto" w:fill="D4D4D4"/>
          </w:tcPr>
          <w:p>
            <w:pPr/>
          </w:p>
        </w:tc>
        <w:tc>
          <w:tcPr>
            <w:tcW w:w="1915" w:type="dxa"/>
            <w:vMerge/>
            <w:tcBorders>
              <w:left w:val="single" w:sz="4" w:space="0" w:color="000000"/>
              <w:bottom w:val="nil" w:sz="6" w:space="0" w:color="auto"/>
              <w:right w:val="single" w:sz="4" w:space="0" w:color="000000"/>
            </w:tcBorders>
            <w:shd w:val="clear" w:color="auto" w:fill="D4D4D4"/>
          </w:tcPr>
          <w:p>
            <w:pPr/>
          </w:p>
        </w:tc>
        <w:tc>
          <w:tcPr>
            <w:tcW w:w="1915" w:type="dxa"/>
            <w:vMerge/>
            <w:tcBorders>
              <w:left w:val="single" w:sz="4" w:space="0" w:color="000000"/>
              <w:right w:val="single" w:sz="4" w:space="0" w:color="000000"/>
            </w:tcBorders>
            <w:shd w:val="clear" w:color="auto" w:fill="D4D4D4"/>
          </w:tcPr>
          <w:p>
            <w:pPr/>
          </w:p>
        </w:tc>
        <w:tc>
          <w:tcPr>
            <w:tcW w:w="1913" w:type="dxa"/>
            <w:vMerge/>
            <w:tcBorders>
              <w:left w:val="single" w:sz="4" w:space="0" w:color="000000"/>
              <w:bottom w:val="nil" w:sz="6" w:space="0" w:color="auto"/>
              <w:right w:val="single" w:sz="4" w:space="0" w:color="000000"/>
            </w:tcBorders>
            <w:shd w:val="clear" w:color="auto" w:fill="D4D4D4"/>
          </w:tcPr>
          <w:p>
            <w:pPr/>
          </w:p>
        </w:tc>
        <w:tc>
          <w:tcPr>
            <w:tcW w:w="1915" w:type="dxa"/>
            <w:vMerge/>
            <w:tcBorders>
              <w:left w:val="single" w:sz="4" w:space="0" w:color="000000"/>
              <w:right w:val="single" w:sz="4" w:space="0" w:color="000000"/>
            </w:tcBorders>
            <w:shd w:val="clear" w:color="auto" w:fill="D4D4D4"/>
          </w:tcPr>
          <w:p>
            <w:pPr/>
          </w:p>
        </w:tc>
      </w:tr>
      <w:tr>
        <w:trPr>
          <w:trHeight w:val="142" w:hRule="exact"/>
        </w:trPr>
        <w:tc>
          <w:tcPr>
            <w:tcW w:w="1913" w:type="dxa"/>
            <w:vMerge/>
            <w:tcBorders>
              <w:left w:val="single" w:sz="4" w:space="0" w:color="000000"/>
              <w:bottom w:val="single" w:sz="4" w:space="0" w:color="000000"/>
              <w:right w:val="single" w:sz="4" w:space="0" w:color="000000"/>
            </w:tcBorders>
            <w:shd w:val="clear" w:color="auto" w:fill="D4D4D4"/>
          </w:tcPr>
          <w:p>
            <w:pPr/>
          </w:p>
        </w:tc>
        <w:tc>
          <w:tcPr>
            <w:tcW w:w="1915" w:type="dxa"/>
            <w:tcBorders>
              <w:top w:val="nil" w:sz="6" w:space="0" w:color="auto"/>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c>
          <w:tcPr>
            <w:tcW w:w="1913" w:type="dxa"/>
            <w:tcBorders>
              <w:top w:val="nil" w:sz="6" w:space="0" w:color="auto"/>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r>
      <w:tr>
        <w:trPr>
          <w:trHeight w:val="28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915" w:type="dxa"/>
            <w:tcBorders>
              <w:top w:val="single" w:sz="4" w:space="0" w:color="000000"/>
              <w:left w:val="single" w:sz="13" w:space="0" w:color="D4D4D4"/>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310,894.98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36" w:right="0"/>
              <w:jc w:val="left"/>
              <w:rPr>
                <w:rFonts w:ascii="Times New Roman" w:hAnsi="Times New Roman" w:cs="Times New Roman" w:eastAsia="Times New Roman" w:hint="default"/>
                <w:sz w:val="21"/>
                <w:szCs w:val="21"/>
              </w:rPr>
            </w:pPr>
            <w:r>
              <w:rPr>
                <w:rFonts w:ascii="Times New Roman"/>
                <w:sz w:val="21"/>
              </w:rPr>
              <w:t>195,419.25</w:t>
            </w:r>
          </w:p>
        </w:tc>
      </w:tr>
      <w:tr>
        <w:trPr>
          <w:trHeight w:val="28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915" w:type="dxa"/>
            <w:tcBorders>
              <w:top w:val="single" w:sz="4" w:space="0" w:color="000000"/>
              <w:left w:val="single" w:sz="13" w:space="0" w:color="D4D4D4"/>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196,234.42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pStyle w:val="Heading5"/>
        <w:spacing w:line="240" w:lineRule="auto" w:before="36"/>
        <w:ind w:right="0"/>
        <w:jc w:val="left"/>
        <w:rPr>
          <w:b w:val="0"/>
          <w:bCs w:val="0"/>
        </w:rPr>
      </w:pPr>
      <w:bookmarkStart w:name="20、其他非流动资产" w:id="221"/>
      <w:bookmarkEnd w:id="221"/>
      <w:r>
        <w:rPr>
          <w:b w:val="0"/>
          <w:bCs w:val="0"/>
        </w:rPr>
      </w:r>
      <w:r>
        <w:rPr>
          <w:rFonts w:ascii="Times New Roman" w:hAnsi="Times New Roman" w:cs="Times New Roman" w:eastAsia="Times New Roman" w:hint="default"/>
        </w:rPr>
        <w:t>20</w:t>
      </w:r>
      <w:r>
        <w:rPr/>
        <w:t>、其他非流动资产</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36"/>
        <w:ind w:left="0" w:right="150"/>
        <w:jc w:val="right"/>
      </w:pPr>
      <w:r>
        <w:rPr/>
        <w:t>单位：</w:t>
      </w:r>
      <w:r>
        <w:rPr>
          <w:spacing w:val="2"/>
        </w:rPr>
        <w:t> </w:t>
      </w:r>
      <w:r>
        <w:rPr/>
        <w:t>元</w:t>
      </w:r>
    </w:p>
    <w:p>
      <w:pPr>
        <w:spacing w:line="240" w:lineRule="auto" w:before="10"/>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28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预付购房款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74,053,557.00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74,053,557.00</w:t>
            </w:r>
          </w:p>
        </w:tc>
      </w:tr>
      <w:tr>
        <w:trPr>
          <w:trHeight w:val="28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74,053,557.00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74,053,557.00</w:t>
            </w:r>
          </w:p>
        </w:tc>
      </w:tr>
    </w:tbl>
    <w:p>
      <w:pPr>
        <w:pStyle w:val="BodyText"/>
        <w:spacing w:line="262" w:lineRule="exact"/>
        <w:ind w:right="0"/>
        <w:jc w:val="left"/>
      </w:pPr>
      <w:r>
        <w:rPr/>
        <w:t>其他说明：</w:t>
      </w:r>
    </w:p>
    <w:p>
      <w:pPr>
        <w:spacing w:line="240" w:lineRule="auto" w:before="2"/>
        <w:rPr>
          <w:rFonts w:ascii="宋体" w:hAnsi="宋体" w:cs="宋体" w:eastAsia="宋体" w:hint="default"/>
          <w:sz w:val="21"/>
          <w:szCs w:val="21"/>
        </w:rPr>
      </w:pPr>
    </w:p>
    <w:p>
      <w:pPr>
        <w:pStyle w:val="Heading5"/>
        <w:spacing w:line="256" w:lineRule="auto"/>
        <w:ind w:right="0" w:firstLine="516"/>
        <w:jc w:val="left"/>
        <w:rPr>
          <w:b w:val="0"/>
          <w:bCs w:val="0"/>
        </w:rPr>
      </w:pPr>
      <w:r>
        <w:rPr>
          <w:spacing w:val="-1"/>
        </w:rPr>
        <w:t>其他非流动资产期末余额</w:t>
      </w:r>
      <w:r>
        <w:rPr>
          <w:rFonts w:ascii="Times New Roman" w:hAnsi="Times New Roman" w:cs="Times New Roman" w:eastAsia="Times New Roman" w:hint="default"/>
          <w:spacing w:val="-1"/>
        </w:rPr>
        <w:t>74,053,557.00</w:t>
      </w:r>
      <w:r>
        <w:rPr>
          <w:spacing w:val="-1"/>
        </w:rPr>
        <w:t>元系本公司向深圳市大沙河创新走廊建设投资管理有限公司</w:t>
      </w:r>
      <w:r>
        <w:rPr>
          <w:w w:val="100"/>
        </w:rPr>
        <w:t> </w:t>
      </w:r>
      <w:r>
        <w:rPr/>
        <w:t>支付的购房款。</w:t>
      </w:r>
      <w:r>
        <w:rPr>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8"/>
          <w:szCs w:val="28"/>
        </w:rPr>
      </w:pPr>
    </w:p>
    <w:p>
      <w:pPr>
        <w:pStyle w:val="Heading5"/>
        <w:spacing w:line="240" w:lineRule="auto"/>
        <w:ind w:right="0"/>
        <w:jc w:val="left"/>
        <w:rPr>
          <w:b w:val="0"/>
          <w:bCs w:val="0"/>
        </w:rPr>
      </w:pPr>
      <w:bookmarkStart w:name="21、衍生金融负债" w:id="222"/>
      <w:bookmarkEnd w:id="222"/>
      <w:r>
        <w:rPr>
          <w:b w:val="0"/>
          <w:bCs w:val="0"/>
        </w:rPr>
      </w:r>
      <w:r>
        <w:rPr>
          <w:rFonts w:ascii="Times New Roman" w:hAnsi="Times New Roman" w:cs="Times New Roman" w:eastAsia="Times New Roman" w:hint="default"/>
        </w:rPr>
        <w:t>21</w:t>
      </w:r>
      <w:r>
        <w:rPr/>
        <w:t>、衍生金融负债</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80" w:footer="979" w:top="1060" w:bottom="1160" w:left="980" w:right="980"/>
        </w:sectPr>
      </w:pPr>
    </w:p>
    <w:p>
      <w:pPr>
        <w:spacing w:line="240" w:lineRule="auto" w:before="8"/>
        <w:rPr>
          <w:rFonts w:ascii="宋体" w:hAnsi="宋体" w:cs="宋体" w:eastAsia="宋体" w:hint="default"/>
          <w:sz w:val="24"/>
          <w:szCs w:val="24"/>
        </w:rPr>
      </w:pPr>
    </w:p>
    <w:p>
      <w:pPr>
        <w:pStyle w:val="Heading5"/>
        <w:spacing w:line="240" w:lineRule="auto" w:before="36"/>
        <w:ind w:right="0"/>
        <w:jc w:val="left"/>
        <w:rPr>
          <w:b w:val="0"/>
          <w:bCs w:val="0"/>
        </w:rPr>
      </w:pPr>
      <w:r>
        <w:rPr>
          <w:rFonts w:ascii="Times New Roman" w:hAnsi="Times New Roman" w:cs="Times New Roman" w:eastAsia="Times New Roman" w:hint="default"/>
        </w:rPr>
        <w:t>22</w:t>
      </w:r>
      <w:r>
        <w:rPr/>
        <w:t>、应付账款</w:t>
      </w:r>
      <w:r>
        <w:rPr>
          <w:b w:val="0"/>
          <w:bCs w:val="0"/>
        </w:rPr>
      </w:r>
    </w:p>
    <w:p>
      <w:pPr>
        <w:spacing w:line="240" w:lineRule="auto" w:before="0"/>
        <w:rPr>
          <w:rFonts w:ascii="宋体" w:hAnsi="宋体" w:cs="宋体" w:eastAsia="宋体" w:hint="default"/>
          <w:b/>
          <w:bCs/>
          <w:sz w:val="22"/>
          <w:szCs w:val="22"/>
        </w:rPr>
      </w:pPr>
    </w:p>
    <w:p>
      <w:pPr>
        <w:spacing w:line="240" w:lineRule="auto" w:before="9"/>
        <w:rPr>
          <w:rFonts w:ascii="宋体" w:hAnsi="宋体" w:cs="宋体" w:eastAsia="宋体" w:hint="default"/>
          <w:b/>
          <w:bCs/>
          <w:sz w:val="25"/>
          <w:szCs w:val="25"/>
        </w:rPr>
      </w:pPr>
    </w:p>
    <w:p>
      <w:pPr>
        <w:pStyle w:val="Heading5"/>
        <w:spacing w:line="240" w:lineRule="auto"/>
        <w:ind w:right="0"/>
        <w:jc w:val="left"/>
        <w:rPr>
          <w:b w:val="0"/>
          <w:bCs w:val="0"/>
        </w:rPr>
      </w:pPr>
      <w:bookmarkStart w:name="22、应付账款" w:id="223"/>
      <w:bookmarkEnd w:id="223"/>
      <w:r>
        <w:rPr>
          <w:b w:val="0"/>
          <w:bCs w:val="0"/>
        </w:rPr>
      </w:r>
      <w:bookmarkStart w:name="（1）应付账款列示" w:id="224"/>
      <w:bookmarkEnd w:id="224"/>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36"/>
        <w:ind w:left="0" w:right="150"/>
        <w:jc w:val="right"/>
      </w:pPr>
      <w:r>
        <w:rPr/>
        <w:t>单位：</w:t>
      </w:r>
      <w:r>
        <w:rPr>
          <w:spacing w:val="2"/>
        </w:rPr>
        <w:t> </w:t>
      </w:r>
      <w:r>
        <w:rPr/>
        <w:t>元</w:t>
      </w:r>
    </w:p>
    <w:p>
      <w:pPr>
        <w:spacing w:line="240" w:lineRule="auto" w:before="10"/>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28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5,948,432.34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7,654,086.30</w:t>
            </w:r>
          </w:p>
        </w:tc>
      </w:tr>
      <w:tr>
        <w:trPr>
          <w:trHeight w:val="28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1,557.21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5,949,989.55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7,654,086.30</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bookmarkStart w:name="23、预收款项" w:id="225"/>
      <w:bookmarkEnd w:id="225"/>
      <w:r>
        <w:rPr>
          <w:b w:val="0"/>
          <w:bCs w:val="0"/>
        </w:rPr>
      </w:r>
      <w:r>
        <w:rPr>
          <w:rFonts w:ascii="Times New Roman" w:hAnsi="Times New Roman" w:cs="Times New Roman" w:eastAsia="Times New Roman" w:hint="default"/>
        </w:rPr>
        <w:t>23</w:t>
      </w:r>
      <w:r>
        <w:rPr/>
        <w:t>、预收款项</w:t>
      </w:r>
      <w:r>
        <w:rPr>
          <w:b w:val="0"/>
          <w:bCs w:val="0"/>
        </w:rPr>
      </w:r>
    </w:p>
    <w:p>
      <w:pPr>
        <w:spacing w:line="240" w:lineRule="auto" w:before="0"/>
        <w:rPr>
          <w:rFonts w:ascii="宋体" w:hAnsi="宋体" w:cs="宋体" w:eastAsia="宋体" w:hint="default"/>
          <w:b/>
          <w:bCs/>
          <w:sz w:val="22"/>
          <w:szCs w:val="22"/>
        </w:rPr>
      </w:pPr>
    </w:p>
    <w:p>
      <w:pPr>
        <w:spacing w:line="240" w:lineRule="auto" w:before="6"/>
        <w:rPr>
          <w:rFonts w:ascii="宋体" w:hAnsi="宋体" w:cs="宋体" w:eastAsia="宋体" w:hint="default"/>
          <w:b/>
          <w:bCs/>
          <w:sz w:val="25"/>
          <w:szCs w:val="25"/>
        </w:rPr>
      </w:pPr>
    </w:p>
    <w:p>
      <w:pPr>
        <w:pStyle w:val="Heading5"/>
        <w:spacing w:line="240" w:lineRule="auto"/>
        <w:ind w:right="0"/>
        <w:jc w:val="left"/>
        <w:rPr>
          <w:b w:val="0"/>
          <w:bCs w:val="0"/>
        </w:rPr>
      </w:pPr>
      <w:bookmarkStart w:name="（1）预收款项列示" w:id="226"/>
      <w:bookmarkEnd w:id="226"/>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150"/>
        <w:jc w:val="right"/>
      </w:pPr>
      <w:r>
        <w:rPr/>
        <w:t>单位：</w:t>
      </w:r>
      <w:r>
        <w:rPr>
          <w:spacing w:val="2"/>
        </w:rPr>
        <w:t> </w:t>
      </w:r>
      <w:r>
        <w:rPr/>
        <w:t>元</w:t>
      </w:r>
    </w:p>
    <w:p>
      <w:pPr>
        <w:spacing w:line="240" w:lineRule="auto" w:before="10"/>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28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1,184,014.22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658,898.84</w:t>
            </w:r>
          </w:p>
        </w:tc>
      </w:tr>
      <w:tr>
        <w:trPr>
          <w:trHeight w:val="28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34,387.70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12,705.60</w:t>
            </w:r>
          </w:p>
        </w:tc>
      </w:tr>
      <w:tr>
        <w:trPr>
          <w:trHeight w:val="28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z w:val="21"/>
              </w:rPr>
              <w:t>197.90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1,522.00</w:t>
            </w:r>
          </w:p>
        </w:tc>
      </w:tr>
      <w:tr>
        <w:trPr>
          <w:trHeight w:val="28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1,218,599.82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673,126.44</w:t>
            </w:r>
          </w:p>
        </w:tc>
      </w:tr>
    </w:tbl>
    <w:p>
      <w:pPr>
        <w:pStyle w:val="Heading5"/>
        <w:spacing w:line="264" w:lineRule="auto"/>
        <w:ind w:right="0"/>
        <w:jc w:val="left"/>
        <w:rPr>
          <w:b w:val="0"/>
          <w:bCs w:val="0"/>
        </w:rPr>
      </w:pPr>
      <w:r>
        <w:rPr>
          <w:rFonts w:ascii="宋体" w:hAnsi="宋体" w:cs="宋体" w:eastAsia="宋体" w:hint="default"/>
          <w:b w:val="0"/>
          <w:bCs w:val="0"/>
        </w:rPr>
        <w:t>其他说明：</w:t>
      </w:r>
      <w:r>
        <w:rPr>
          <w:rFonts w:ascii="宋体" w:hAnsi="宋体" w:cs="宋体" w:eastAsia="宋体" w:hint="default"/>
          <w:b w:val="0"/>
          <w:bCs w:val="0"/>
          <w:spacing w:val="-102"/>
        </w:rPr>
        <w:t> </w:t>
      </w:r>
      <w:r>
        <w:rPr>
          <w:rFonts w:ascii="宋体" w:hAnsi="宋体" w:cs="宋体" w:eastAsia="宋体" w:hint="default"/>
          <w:b w:val="0"/>
          <w:bCs w:val="0"/>
          <w:spacing w:val="-102"/>
        </w:rPr>
      </w:r>
      <w:r>
        <w:rPr>
          <w:spacing w:val="-2"/>
        </w:rPr>
        <w:t>预收款项期末余额比期初余额增加</w:t>
      </w:r>
      <w:r>
        <w:rPr>
          <w:rFonts w:ascii="Times New Roman" w:hAnsi="Times New Roman" w:cs="Times New Roman" w:eastAsia="Times New Roman" w:hint="default"/>
          <w:spacing w:val="-2"/>
        </w:rPr>
        <w:t>545,473.38</w:t>
      </w:r>
      <w:r>
        <w:rPr>
          <w:spacing w:val="-2"/>
        </w:rPr>
        <w:t>元，增幅为</w:t>
      </w:r>
      <w:r>
        <w:rPr>
          <w:rFonts w:ascii="Times New Roman" w:hAnsi="Times New Roman" w:cs="Times New Roman" w:eastAsia="Times New Roman" w:hint="default"/>
          <w:spacing w:val="-2"/>
        </w:rPr>
        <w:t>81.04%</w:t>
      </w:r>
      <w:r>
        <w:rPr>
          <w:spacing w:val="-2"/>
        </w:rPr>
        <w:t>，增加的主要原因是本期预收的非征订业</w:t>
      </w:r>
      <w:r>
        <w:rPr>
          <w:spacing w:val="-30"/>
        </w:rPr>
        <w:t> </w:t>
      </w:r>
      <w:r>
        <w:rPr>
          <w:spacing w:val="-30"/>
        </w:rPr>
      </w:r>
      <w:r>
        <w:rPr/>
        <w:t>务货款增加所致</w:t>
      </w:r>
      <w:r>
        <w:rPr>
          <w:b w:val="0"/>
          <w:bCs w:val="0"/>
        </w:rPr>
      </w:r>
    </w:p>
    <w:p>
      <w:pPr>
        <w:spacing w:line="240" w:lineRule="auto" w:before="2"/>
        <w:rPr>
          <w:rFonts w:ascii="宋体" w:hAnsi="宋体" w:cs="宋体" w:eastAsia="宋体" w:hint="default"/>
          <w:b/>
          <w:bCs/>
          <w:sz w:val="24"/>
          <w:szCs w:val="24"/>
        </w:rPr>
      </w:pPr>
    </w:p>
    <w:p>
      <w:pPr>
        <w:pStyle w:val="Heading5"/>
        <w:spacing w:line="240" w:lineRule="auto"/>
        <w:ind w:right="0"/>
        <w:jc w:val="left"/>
        <w:rPr>
          <w:b w:val="0"/>
          <w:bCs w:val="0"/>
        </w:rPr>
      </w:pPr>
      <w:bookmarkStart w:name="24、应付职工薪酬" w:id="227"/>
      <w:bookmarkEnd w:id="227"/>
      <w:r>
        <w:rPr>
          <w:b w:val="0"/>
          <w:bCs w:val="0"/>
        </w:rPr>
      </w:r>
      <w:r>
        <w:rPr>
          <w:rFonts w:ascii="Times New Roman" w:hAnsi="Times New Roman" w:cs="Times New Roman" w:eastAsia="Times New Roman" w:hint="default"/>
        </w:rPr>
        <w:t>24</w:t>
      </w:r>
      <w:r>
        <w:rPr/>
        <w:t>、应付职工薪酬</w:t>
      </w:r>
      <w:r>
        <w:rPr>
          <w:b w:val="0"/>
          <w:bCs w:val="0"/>
        </w:rPr>
      </w:r>
    </w:p>
    <w:p>
      <w:pPr>
        <w:spacing w:line="240" w:lineRule="auto" w:before="0"/>
        <w:rPr>
          <w:rFonts w:ascii="宋体" w:hAnsi="宋体" w:cs="宋体" w:eastAsia="宋体" w:hint="default"/>
          <w:b/>
          <w:bCs/>
          <w:sz w:val="22"/>
          <w:szCs w:val="22"/>
        </w:rPr>
      </w:pPr>
    </w:p>
    <w:p>
      <w:pPr>
        <w:spacing w:line="240" w:lineRule="auto" w:before="6"/>
        <w:rPr>
          <w:rFonts w:ascii="宋体" w:hAnsi="宋体" w:cs="宋体" w:eastAsia="宋体" w:hint="default"/>
          <w:b/>
          <w:bCs/>
          <w:sz w:val="25"/>
          <w:szCs w:val="25"/>
        </w:rPr>
      </w:pPr>
    </w:p>
    <w:p>
      <w:pPr>
        <w:pStyle w:val="Heading5"/>
        <w:spacing w:line="240" w:lineRule="auto"/>
        <w:ind w:right="0"/>
        <w:jc w:val="left"/>
        <w:rPr>
          <w:b w:val="0"/>
          <w:bCs w:val="0"/>
        </w:rPr>
      </w:pPr>
      <w:bookmarkStart w:name="（1）应付职工薪酬列示" w:id="228"/>
      <w:bookmarkEnd w:id="228"/>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left="0" w:right="150"/>
        <w:jc w:val="right"/>
      </w:pPr>
      <w:r>
        <w:rPr/>
        <w:t>单位：</w:t>
      </w:r>
      <w:r>
        <w:rPr>
          <w:spacing w:val="2"/>
        </w:rPr>
        <w:t> </w:t>
      </w:r>
      <w:r>
        <w:rPr/>
        <w:t>元</w:t>
      </w:r>
    </w:p>
    <w:p>
      <w:pPr>
        <w:spacing w:line="240" w:lineRule="auto" w:before="10"/>
        <w:rPr>
          <w:rFonts w:ascii="宋体" w:hAnsi="宋体" w:cs="宋体" w:eastAsia="宋体" w:hint="default"/>
          <w:sz w:val="3"/>
          <w:szCs w:val="3"/>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5"/>
        <w:gridCol w:w="1913"/>
        <w:gridCol w:w="1915"/>
      </w:tblGrid>
      <w:tr>
        <w:trPr>
          <w:trHeight w:val="28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54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53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53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53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一、短期薪酬</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2"/>
                <w:sz w:val="21"/>
              </w:rPr>
              <w:t>600,311.81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23,836,583.02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23,602,957.95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833,936.88</w:t>
            </w:r>
          </w:p>
        </w:tc>
      </w:tr>
      <w:tr>
        <w:trPr>
          <w:trHeight w:val="554"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8" w:lineRule="exact"/>
              <w:ind w:left="12" w:right="0"/>
              <w:jc w:val="left"/>
              <w:rPr>
                <w:rFonts w:ascii="宋体" w:hAnsi="宋体" w:cs="宋体" w:eastAsia="宋体" w:hint="default"/>
                <w:sz w:val="21"/>
                <w:szCs w:val="21"/>
              </w:rPr>
            </w:pPr>
            <w:r>
              <w:rPr>
                <w:rFonts w:ascii="宋体" w:hAnsi="宋体" w:cs="宋体" w:eastAsia="宋体" w:hint="default"/>
                <w:w w:val="100"/>
                <w:sz w:val="21"/>
                <w:szCs w:val="21"/>
              </w:rPr>
              <w:t>二</w:t>
            </w:r>
            <w:r>
              <w:rPr>
                <w:rFonts w:ascii="宋体" w:hAnsi="宋体" w:cs="宋体" w:eastAsia="宋体" w:hint="default"/>
                <w:spacing w:val="-106"/>
                <w:w w:val="100"/>
                <w:sz w:val="21"/>
                <w:szCs w:val="21"/>
              </w:rPr>
              <w:t>、</w:t>
            </w:r>
            <w:r>
              <w:rPr>
                <w:rFonts w:ascii="宋体" w:hAnsi="宋体" w:cs="宋体" w:eastAsia="宋体" w:hint="default"/>
                <w:w w:val="100"/>
                <w:sz w:val="21"/>
                <w:szCs w:val="21"/>
              </w:rPr>
              <w:t>离</w:t>
            </w:r>
            <w:r>
              <w:rPr>
                <w:rFonts w:ascii="宋体" w:hAnsi="宋体" w:cs="宋体" w:eastAsia="宋体" w:hint="default"/>
                <w:spacing w:val="-3"/>
                <w:w w:val="100"/>
                <w:sz w:val="21"/>
                <w:szCs w:val="21"/>
              </w:rPr>
              <w:t>职</w:t>
            </w:r>
            <w:r>
              <w:rPr>
                <w:rFonts w:ascii="宋体" w:hAnsi="宋体" w:cs="宋体" w:eastAsia="宋体" w:hint="default"/>
                <w:w w:val="100"/>
                <w:sz w:val="21"/>
                <w:szCs w:val="21"/>
              </w:rPr>
              <w:t>后</w:t>
            </w:r>
            <w:r>
              <w:rPr>
                <w:rFonts w:ascii="宋体" w:hAnsi="宋体" w:cs="宋体" w:eastAsia="宋体" w:hint="default"/>
                <w:spacing w:val="-3"/>
                <w:w w:val="100"/>
                <w:sz w:val="21"/>
                <w:szCs w:val="21"/>
              </w:rPr>
              <w:t>福</w:t>
            </w:r>
            <w:r>
              <w:rPr>
                <w:rFonts w:ascii="宋体" w:hAnsi="宋体" w:cs="宋体" w:eastAsia="宋体" w:hint="default"/>
                <w:spacing w:val="-1"/>
                <w:w w:val="100"/>
                <w:sz w:val="21"/>
                <w:szCs w:val="21"/>
              </w:rPr>
              <w:t>利</w:t>
            </w:r>
            <w:r>
              <w:rPr>
                <w:rFonts w:ascii="Times New Roman" w:hAnsi="Times New Roman" w:cs="Times New Roman" w:eastAsia="Times New Roman" w:hint="default"/>
                <w:spacing w:val="-4"/>
                <w:w w:val="100"/>
                <w:sz w:val="21"/>
                <w:szCs w:val="21"/>
              </w:rPr>
              <w:t>-</w:t>
            </w:r>
            <w:r>
              <w:rPr>
                <w:rFonts w:ascii="宋体" w:hAnsi="宋体" w:cs="宋体" w:eastAsia="宋体" w:hint="default"/>
                <w:w w:val="100"/>
                <w:sz w:val="21"/>
                <w:szCs w:val="21"/>
              </w:rPr>
              <w:t>设定</w:t>
            </w:r>
          </w:p>
          <w:p>
            <w:pPr>
              <w:pStyle w:val="TableParagraph"/>
              <w:spacing w:line="266" w:lineRule="exact"/>
              <w:ind w:left="12" w:right="0"/>
              <w:jc w:val="left"/>
              <w:rPr>
                <w:rFonts w:ascii="宋体" w:hAnsi="宋体" w:cs="宋体" w:eastAsia="宋体" w:hint="default"/>
                <w:sz w:val="21"/>
                <w:szCs w:val="21"/>
              </w:rPr>
            </w:pPr>
            <w:r>
              <w:rPr>
                <w:rFonts w:ascii="宋体" w:hAnsi="宋体" w:cs="宋体" w:eastAsia="宋体" w:hint="default"/>
                <w:sz w:val="21"/>
                <w:szCs w:val="21"/>
              </w:rPr>
              <w:t>提存计划</w:t>
            </w:r>
          </w:p>
        </w:tc>
        <w:tc>
          <w:tcPr>
            <w:tcW w:w="1927" w:type="dxa"/>
            <w:tcBorders>
              <w:top w:val="single" w:sz="4" w:space="0" w:color="000000"/>
              <w:left w:val="single" w:sz="13" w:space="0" w:color="D4D4D4"/>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1,399,448.02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1,399,448.02</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2"/>
                <w:sz w:val="21"/>
              </w:rPr>
              <w:t>600,311.81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25,236,031.04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25,002,405.97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833,936.88</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bookmarkStart w:name="（2）短期薪酬列示" w:id="229"/>
      <w:bookmarkEnd w:id="229"/>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150"/>
        <w:jc w:val="right"/>
      </w:pPr>
      <w:r>
        <w:rPr/>
        <w:t>单位：</w:t>
      </w:r>
      <w:r>
        <w:rPr>
          <w:spacing w:val="2"/>
        </w:rPr>
        <w:t> </w:t>
      </w:r>
      <w:r>
        <w:rPr/>
        <w:t>元</w:t>
      </w:r>
    </w:p>
    <w:p>
      <w:pPr>
        <w:spacing w:line="240" w:lineRule="auto" w:before="10"/>
        <w:rPr>
          <w:rFonts w:ascii="宋体" w:hAnsi="宋体" w:cs="宋体" w:eastAsia="宋体" w:hint="default"/>
          <w:sz w:val="3"/>
          <w:szCs w:val="3"/>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5"/>
        <w:gridCol w:w="1913"/>
        <w:gridCol w:w="1915"/>
      </w:tblGrid>
      <w:tr>
        <w:trPr>
          <w:trHeight w:val="28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54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53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53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53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7"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8" w:lineRule="exact"/>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、工资、奖金、津</w:t>
            </w:r>
          </w:p>
          <w:p>
            <w:pPr>
              <w:pStyle w:val="TableParagraph"/>
              <w:spacing w:line="266" w:lineRule="exact"/>
              <w:ind w:left="12" w:right="0"/>
              <w:jc w:val="left"/>
              <w:rPr>
                <w:rFonts w:ascii="宋体" w:hAnsi="宋体" w:cs="宋体" w:eastAsia="宋体" w:hint="default"/>
                <w:sz w:val="21"/>
                <w:szCs w:val="21"/>
              </w:rPr>
            </w:pPr>
            <w:r>
              <w:rPr>
                <w:rFonts w:ascii="宋体" w:hAnsi="宋体" w:cs="宋体" w:eastAsia="宋体" w:hint="default"/>
                <w:sz w:val="21"/>
                <w:szCs w:val="21"/>
              </w:rPr>
              <w:t>贴和补贴</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144"/>
              <w:ind w:left="945" w:right="0"/>
              <w:jc w:val="left"/>
              <w:rPr>
                <w:rFonts w:ascii="Times New Roman" w:hAnsi="Times New Roman" w:cs="Times New Roman" w:eastAsia="Times New Roman" w:hint="default"/>
                <w:sz w:val="21"/>
                <w:szCs w:val="21"/>
              </w:rPr>
            </w:pPr>
            <w:r>
              <w:rPr>
                <w:rFonts w:ascii="Times New Roman"/>
                <w:sz w:val="21"/>
              </w:rPr>
              <w:t>600,311.81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21,558,882.12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21,325,257.05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936" w:right="0"/>
              <w:jc w:val="left"/>
              <w:rPr>
                <w:rFonts w:ascii="Times New Roman" w:hAnsi="Times New Roman" w:cs="Times New Roman" w:eastAsia="Times New Roman" w:hint="default"/>
                <w:sz w:val="21"/>
                <w:szCs w:val="21"/>
              </w:rPr>
            </w:pPr>
            <w:r>
              <w:rPr>
                <w:rFonts w:ascii="Times New Roman"/>
                <w:sz w:val="21"/>
              </w:rPr>
              <w:t>833,936.88</w:t>
            </w:r>
          </w:p>
        </w:tc>
      </w:tr>
      <w:tr>
        <w:trPr>
          <w:trHeight w:val="281"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57" w:lineRule="exact"/>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、职工福利费</w:t>
            </w:r>
          </w:p>
        </w:tc>
        <w:tc>
          <w:tcPr>
            <w:tcW w:w="1927" w:type="dxa"/>
            <w:tcBorders>
              <w:top w:val="single" w:sz="4" w:space="0" w:color="000000"/>
              <w:left w:val="single" w:sz="13" w:space="0" w:color="D4D4D4"/>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1,536,566.91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1,536,566.91</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59" w:lineRule="exact"/>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、社会保险费</w:t>
            </w:r>
          </w:p>
        </w:tc>
        <w:tc>
          <w:tcPr>
            <w:tcW w:w="1927" w:type="dxa"/>
            <w:tcBorders>
              <w:top w:val="single" w:sz="4" w:space="0" w:color="000000"/>
              <w:left w:val="single" w:sz="13" w:space="0" w:color="D4D4D4"/>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489,041.63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489,041.63</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3" w:lineRule="exact"/>
              <w:ind w:left="434" w:right="0"/>
              <w:jc w:val="left"/>
              <w:rPr>
                <w:rFonts w:ascii="宋体" w:hAnsi="宋体" w:cs="宋体" w:eastAsia="宋体" w:hint="default"/>
                <w:sz w:val="21"/>
                <w:szCs w:val="21"/>
              </w:rPr>
            </w:pPr>
            <w:r>
              <w:rPr>
                <w:rFonts w:ascii="宋体" w:hAnsi="宋体" w:cs="宋体" w:eastAsia="宋体" w:hint="default"/>
                <w:spacing w:val="-7"/>
                <w:sz w:val="21"/>
                <w:szCs w:val="21"/>
              </w:rPr>
              <w:t>其中：医疗保险</w:t>
            </w:r>
            <w:r>
              <w:rPr>
                <w:rFonts w:ascii="宋体" w:hAnsi="宋体" w:cs="宋体" w:eastAsia="宋体" w:hint="default"/>
                <w:sz w:val="21"/>
                <w:szCs w:val="21"/>
              </w:rPr>
            </w:r>
          </w:p>
        </w:tc>
        <w:tc>
          <w:tcPr>
            <w:tcW w:w="1927" w:type="dxa"/>
            <w:tcBorders>
              <w:top w:val="single" w:sz="4" w:space="0" w:color="000000"/>
              <w:left w:val="single" w:sz="13" w:space="0" w:color="D4D4D4"/>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418,049.58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418,049.58</w:t>
            </w:r>
          </w:p>
        </w:tc>
        <w:tc>
          <w:tcPr>
            <w:tcW w:w="191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979" w:top="1060" w:bottom="1160" w:left="980" w:right="98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283"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w w:val="100"/>
                <w:sz w:val="21"/>
                <w:szCs w:val="21"/>
              </w:rPr>
              <w:t>费</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exact"/>
              <w:ind w:left="1073" w:right="0"/>
              <w:jc w:val="left"/>
              <w:rPr>
                <w:rFonts w:ascii="宋体" w:hAnsi="宋体" w:cs="宋体" w:eastAsia="宋体" w:hint="default"/>
                <w:sz w:val="21"/>
                <w:szCs w:val="21"/>
              </w:rPr>
            </w:pPr>
            <w:r>
              <w:rPr>
                <w:rFonts w:ascii="宋体" w:hAnsi="宋体" w:cs="宋体" w:eastAsia="宋体" w:hint="default"/>
                <w:sz w:val="21"/>
                <w:szCs w:val="21"/>
              </w:rPr>
              <w:t>工伤保</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险费</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25,239.25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1"/>
                <w:sz w:val="21"/>
              </w:rPr>
              <w:t>25,239.25</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9" w:lineRule="exact"/>
              <w:ind w:left="1073" w:right="0"/>
              <w:jc w:val="left"/>
              <w:rPr>
                <w:rFonts w:ascii="宋体" w:hAnsi="宋体" w:cs="宋体" w:eastAsia="宋体" w:hint="default"/>
                <w:sz w:val="21"/>
                <w:szCs w:val="21"/>
              </w:rPr>
            </w:pPr>
            <w:r>
              <w:rPr>
                <w:rFonts w:ascii="宋体" w:hAnsi="宋体" w:cs="宋体" w:eastAsia="宋体" w:hint="default"/>
                <w:sz w:val="21"/>
                <w:szCs w:val="21"/>
              </w:rPr>
              <w:t>生育保</w:t>
            </w:r>
          </w:p>
          <w:p>
            <w:pPr>
              <w:pStyle w:val="TableParagraph"/>
              <w:spacing w:line="273" w:lineRule="exact"/>
              <w:ind w:left="22" w:right="0"/>
              <w:jc w:val="left"/>
              <w:rPr>
                <w:rFonts w:ascii="宋体" w:hAnsi="宋体" w:cs="宋体" w:eastAsia="宋体" w:hint="default"/>
                <w:sz w:val="21"/>
                <w:szCs w:val="21"/>
              </w:rPr>
            </w:pPr>
            <w:r>
              <w:rPr>
                <w:rFonts w:ascii="宋体" w:hAnsi="宋体" w:cs="宋体" w:eastAsia="宋体" w:hint="default"/>
                <w:sz w:val="21"/>
                <w:szCs w:val="21"/>
              </w:rPr>
              <w:t>险费</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45,752.80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45,752.80</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57"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、住房公积金</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252,092.36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252,092.36</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45" w:right="0"/>
              <w:jc w:val="left"/>
              <w:rPr>
                <w:rFonts w:ascii="Times New Roman" w:hAnsi="Times New Roman" w:cs="Times New Roman" w:eastAsia="Times New Roman" w:hint="default"/>
                <w:sz w:val="21"/>
                <w:szCs w:val="21"/>
              </w:rPr>
            </w:pPr>
            <w:r>
              <w:rPr>
                <w:rFonts w:ascii="Times New Roman"/>
                <w:sz w:val="21"/>
              </w:rPr>
              <w:t>600,311.81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23,836,583.02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23,602,957.95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36" w:right="0"/>
              <w:jc w:val="left"/>
              <w:rPr>
                <w:rFonts w:ascii="Times New Roman" w:hAnsi="Times New Roman" w:cs="Times New Roman" w:eastAsia="Times New Roman" w:hint="default"/>
                <w:sz w:val="21"/>
                <w:szCs w:val="21"/>
              </w:rPr>
            </w:pPr>
            <w:r>
              <w:rPr>
                <w:rFonts w:ascii="Times New Roman"/>
                <w:sz w:val="21"/>
              </w:rPr>
              <w:t>833,936.88</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bookmarkStart w:name="（3）设定提存计划列示" w:id="230"/>
      <w:bookmarkEnd w:id="230"/>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150"/>
        <w:jc w:val="right"/>
      </w:pPr>
      <w:r>
        <w:rPr/>
        <w:t>单位：</w:t>
      </w:r>
      <w:r>
        <w:rPr>
          <w:spacing w:val="2"/>
        </w:rPr>
        <w:t> </w:t>
      </w:r>
      <w:r>
        <w:rPr/>
        <w:t>元</w:t>
      </w:r>
    </w:p>
    <w:p>
      <w:pPr>
        <w:spacing w:line="240" w:lineRule="auto" w:before="10"/>
        <w:rPr>
          <w:rFonts w:ascii="宋体" w:hAnsi="宋体" w:cs="宋体" w:eastAsia="宋体" w:hint="default"/>
          <w:sz w:val="3"/>
          <w:szCs w:val="3"/>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5"/>
        <w:gridCol w:w="1913"/>
        <w:gridCol w:w="1915"/>
      </w:tblGrid>
      <w:tr>
        <w:trPr>
          <w:trHeight w:val="28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54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53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53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53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57" w:lineRule="exact"/>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、基本养老保险</w:t>
            </w:r>
          </w:p>
        </w:tc>
        <w:tc>
          <w:tcPr>
            <w:tcW w:w="1927" w:type="dxa"/>
            <w:tcBorders>
              <w:top w:val="single" w:sz="4" w:space="0" w:color="000000"/>
              <w:left w:val="single" w:sz="13" w:space="0" w:color="D4D4D4"/>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1,315,725.30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1,315,725.30</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57" w:lineRule="exact"/>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、失业保险费</w:t>
            </w:r>
          </w:p>
        </w:tc>
        <w:tc>
          <w:tcPr>
            <w:tcW w:w="1927" w:type="dxa"/>
            <w:tcBorders>
              <w:top w:val="single" w:sz="4" w:space="0" w:color="000000"/>
              <w:left w:val="single" w:sz="13" w:space="0" w:color="D4D4D4"/>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83,722.72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83,722.72</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27" w:type="dxa"/>
            <w:tcBorders>
              <w:top w:val="single" w:sz="4" w:space="0" w:color="000000"/>
              <w:left w:val="single" w:sz="13" w:space="0" w:color="D4D4D4"/>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1,399,448.02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1,399,448.02</w:t>
            </w:r>
          </w:p>
        </w:tc>
        <w:tc>
          <w:tcPr>
            <w:tcW w:w="191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62" w:lineRule="exact"/>
        <w:ind w:right="0"/>
        <w:jc w:val="left"/>
      </w:pPr>
      <w:r>
        <w:rPr/>
        <w:t>其他说明：</w:t>
      </w:r>
    </w:p>
    <w:p>
      <w:pPr>
        <w:pStyle w:val="Heading5"/>
        <w:spacing w:line="256" w:lineRule="auto" w:before="37"/>
        <w:ind w:right="0" w:firstLine="422"/>
        <w:jc w:val="left"/>
        <w:rPr>
          <w:b w:val="0"/>
          <w:bCs w:val="0"/>
        </w:rPr>
      </w:pPr>
      <w:r>
        <w:rPr>
          <w:rFonts w:ascii="Times New Roman" w:hAnsi="Times New Roman" w:cs="Times New Roman" w:eastAsia="Times New Roman" w:hint="default"/>
          <w:spacing w:val="-3"/>
        </w:rPr>
        <w:t>1</w:t>
      </w:r>
      <w:r>
        <w:rPr>
          <w:spacing w:val="-3"/>
        </w:rPr>
        <w:t>、应付职工薪酬期末余额比期初余额增加</w:t>
      </w:r>
      <w:r>
        <w:rPr>
          <w:rFonts w:ascii="Times New Roman" w:hAnsi="Times New Roman" w:cs="Times New Roman" w:eastAsia="Times New Roman" w:hint="default"/>
          <w:spacing w:val="-3"/>
        </w:rPr>
        <w:t>233,625.07</w:t>
      </w:r>
      <w:r>
        <w:rPr>
          <w:spacing w:val="-3"/>
        </w:rPr>
        <w:t>元，增幅为</w:t>
      </w:r>
      <w:r>
        <w:rPr>
          <w:rFonts w:ascii="Times New Roman" w:hAnsi="Times New Roman" w:cs="Times New Roman" w:eastAsia="Times New Roman" w:hint="default"/>
          <w:spacing w:val="-3"/>
        </w:rPr>
        <w:t>38.92%</w:t>
      </w:r>
      <w:r>
        <w:rPr>
          <w:spacing w:val="-3"/>
        </w:rPr>
        <w:t>，增加的主要原因是本期人力</w:t>
      </w:r>
      <w:r>
        <w:rPr>
          <w:w w:val="100"/>
        </w:rPr>
        <w:t> </w:t>
      </w:r>
      <w:r>
        <w:rPr/>
        <w:t>成本较上期增加，期末计提工资、奖金较上期增加所致。</w:t>
      </w:r>
      <w:r>
        <w:rPr>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8"/>
          <w:szCs w:val="28"/>
        </w:rPr>
      </w:pPr>
    </w:p>
    <w:p>
      <w:pPr>
        <w:pStyle w:val="Heading5"/>
        <w:spacing w:line="240" w:lineRule="auto"/>
        <w:ind w:right="0"/>
        <w:jc w:val="left"/>
        <w:rPr>
          <w:b w:val="0"/>
          <w:bCs w:val="0"/>
        </w:rPr>
      </w:pPr>
      <w:bookmarkStart w:name="25、应交税费" w:id="231"/>
      <w:bookmarkEnd w:id="231"/>
      <w:r>
        <w:rPr>
          <w:b w:val="0"/>
          <w:bCs w:val="0"/>
        </w:rPr>
      </w:r>
      <w:r>
        <w:rPr>
          <w:rFonts w:ascii="Times New Roman" w:hAnsi="Times New Roman" w:cs="Times New Roman" w:eastAsia="Times New Roman" w:hint="default"/>
        </w:rPr>
        <w:t>25</w:t>
      </w:r>
      <w:r>
        <w:rPr/>
        <w:t>、应交税费</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0" w:right="150"/>
        <w:jc w:val="right"/>
      </w:pPr>
      <w:r>
        <w:rPr/>
        <w:t>单位：</w:t>
      </w:r>
      <w:r>
        <w:rPr>
          <w:spacing w:val="2"/>
        </w:rPr>
        <w:t> </w:t>
      </w:r>
      <w:r>
        <w:rPr/>
        <w:t>元</w:t>
      </w:r>
    </w:p>
    <w:p>
      <w:pPr>
        <w:spacing w:line="240" w:lineRule="auto" w:before="10"/>
        <w:rPr>
          <w:rFonts w:ascii="宋体" w:hAnsi="宋体" w:cs="宋体" w:eastAsia="宋体" w:hint="default"/>
          <w:sz w:val="3"/>
          <w:szCs w:val="3"/>
        </w:rPr>
      </w:pPr>
    </w:p>
    <w:tbl>
      <w:tblPr>
        <w:tblW w:w="0" w:type="auto"/>
        <w:jc w:val="left"/>
        <w:tblInd w:w="160" w:type="dxa"/>
        <w:tblLayout w:type="fixed"/>
        <w:tblCellMar>
          <w:top w:w="0" w:type="dxa"/>
          <w:left w:w="0" w:type="dxa"/>
          <w:bottom w:w="0" w:type="dxa"/>
          <w:right w:w="0" w:type="dxa"/>
        </w:tblCellMar>
        <w:tblLook w:val="01E0"/>
      </w:tblPr>
      <w:tblGrid>
        <w:gridCol w:w="3164"/>
        <w:gridCol w:w="3203"/>
        <w:gridCol w:w="3190"/>
      </w:tblGrid>
      <w:tr>
        <w:trPr>
          <w:trHeight w:val="28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3"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94,556.42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138,820.19</w:t>
            </w:r>
          </w:p>
        </w:tc>
      </w:tr>
      <w:tr>
        <w:trPr>
          <w:trHeight w:val="28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27,289.44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65,264.80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668,385.70</w:t>
            </w:r>
          </w:p>
        </w:tc>
      </w:tr>
      <w:tr>
        <w:trPr>
          <w:trHeight w:val="28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186,235.06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34,899.63</w:t>
            </w:r>
          </w:p>
        </w:tc>
      </w:tr>
      <w:tr>
        <w:trPr>
          <w:trHeight w:val="28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29,856.67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2"/>
                <w:sz w:val="21"/>
              </w:rPr>
              <w:t>11,109.97</w:t>
            </w:r>
          </w:p>
        </w:tc>
      </w:tr>
      <w:tr>
        <w:trPr>
          <w:trHeight w:val="283"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21,326.19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7,935.70</w:t>
            </w:r>
          </w:p>
        </w:tc>
      </w:tr>
      <w:tr>
        <w:trPr>
          <w:trHeight w:val="281"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围堤费</w:t>
            </w:r>
          </w:p>
        </w:tc>
        <w:tc>
          <w:tcPr>
            <w:tcW w:w="3203"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z w:val="21"/>
              </w:rPr>
              <w:t>526.83</w:t>
            </w:r>
          </w:p>
        </w:tc>
      </w:tr>
      <w:tr>
        <w:trPr>
          <w:trHeight w:val="286"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3" w:lineRule="exact"/>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424,528.58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861,678.02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Heading5"/>
        <w:spacing w:line="240" w:lineRule="auto" w:before="36"/>
        <w:ind w:right="0"/>
        <w:jc w:val="left"/>
        <w:rPr>
          <w:b w:val="0"/>
          <w:bCs w:val="0"/>
        </w:rPr>
      </w:pPr>
      <w:bookmarkStart w:name="26、其他应付款" w:id="232"/>
      <w:bookmarkEnd w:id="232"/>
      <w:r>
        <w:rPr>
          <w:b w:val="0"/>
          <w:bCs w:val="0"/>
        </w:rPr>
      </w:r>
      <w:r>
        <w:rPr>
          <w:rFonts w:ascii="Times New Roman" w:hAnsi="Times New Roman" w:cs="Times New Roman" w:eastAsia="Times New Roman" w:hint="default"/>
        </w:rPr>
        <w:t>26</w:t>
      </w:r>
      <w:r>
        <w:rPr/>
        <w:t>、其他应付款</w:t>
      </w:r>
      <w:r>
        <w:rPr>
          <w:b w:val="0"/>
          <w:bCs w:val="0"/>
        </w:rPr>
      </w:r>
    </w:p>
    <w:p>
      <w:pPr>
        <w:spacing w:line="240" w:lineRule="auto" w:before="0"/>
        <w:rPr>
          <w:rFonts w:ascii="宋体" w:hAnsi="宋体" w:cs="宋体" w:eastAsia="宋体" w:hint="default"/>
          <w:b/>
          <w:bCs/>
          <w:sz w:val="22"/>
          <w:szCs w:val="22"/>
        </w:rPr>
      </w:pPr>
    </w:p>
    <w:p>
      <w:pPr>
        <w:spacing w:line="240" w:lineRule="auto" w:before="9"/>
        <w:rPr>
          <w:rFonts w:ascii="宋体" w:hAnsi="宋体" w:cs="宋体" w:eastAsia="宋体" w:hint="default"/>
          <w:b/>
          <w:bCs/>
          <w:sz w:val="25"/>
          <w:szCs w:val="25"/>
        </w:rPr>
      </w:pPr>
    </w:p>
    <w:p>
      <w:pPr>
        <w:pStyle w:val="Heading5"/>
        <w:spacing w:line="240" w:lineRule="auto"/>
        <w:ind w:right="0"/>
        <w:jc w:val="left"/>
        <w:rPr>
          <w:b w:val="0"/>
          <w:bCs w:val="0"/>
        </w:rPr>
      </w:pPr>
      <w:bookmarkStart w:name="（1）按款项性质列示其他应付款" w:id="233"/>
      <w:bookmarkEnd w:id="233"/>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36"/>
        <w:ind w:left="0" w:right="150"/>
        <w:jc w:val="right"/>
      </w:pPr>
      <w:r>
        <w:rPr/>
        <w:t>单位：</w:t>
      </w:r>
      <w:r>
        <w:rPr>
          <w:spacing w:val="2"/>
        </w:rPr>
        <w:t> </w:t>
      </w:r>
      <w:r>
        <w:rPr/>
        <w:t>元</w:t>
      </w:r>
    </w:p>
    <w:p>
      <w:pPr>
        <w:spacing w:line="240" w:lineRule="auto" w:before="10"/>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28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押金及保证金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127,022.77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84,000.08</w:t>
            </w:r>
          </w:p>
        </w:tc>
      </w:tr>
      <w:tr>
        <w:trPr>
          <w:trHeight w:val="28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版权费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926,481.00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809,139.00</w:t>
            </w:r>
          </w:p>
        </w:tc>
      </w:tr>
      <w:tr>
        <w:trPr>
          <w:trHeight w:val="28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投资款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3,000,000.00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南山区财政局个人住房补助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400,000.00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979" w:top="1060" w:bottom="1160" w:left="980" w:right="98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28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诉讼费及赔偿款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320,000.00</w:t>
            </w:r>
          </w:p>
        </w:tc>
      </w:tr>
      <w:tr>
        <w:trPr>
          <w:trHeight w:val="28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往来款项及其他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25,373.48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15,400.00</w:t>
            </w:r>
          </w:p>
        </w:tc>
      </w:tr>
      <w:tr>
        <w:trPr>
          <w:trHeight w:val="28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4,478,877.25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1,228,539.08</w:t>
            </w:r>
          </w:p>
        </w:tc>
      </w:tr>
    </w:tbl>
    <w:p>
      <w:pPr>
        <w:pStyle w:val="Heading5"/>
        <w:spacing w:line="256" w:lineRule="auto"/>
        <w:ind w:right="0"/>
        <w:jc w:val="left"/>
        <w:rPr>
          <w:b w:val="0"/>
          <w:bCs w:val="0"/>
        </w:rPr>
      </w:pPr>
      <w:r>
        <w:rPr>
          <w:spacing w:val="-2"/>
        </w:rPr>
        <w:t>其他应付款期末余额比期初余额增加</w:t>
      </w:r>
      <w:r>
        <w:rPr>
          <w:rFonts w:ascii="Times New Roman" w:hAnsi="Times New Roman" w:cs="Times New Roman" w:eastAsia="Times New Roman" w:hint="default"/>
          <w:spacing w:val="-2"/>
        </w:rPr>
        <w:t>3,250,338.17</w:t>
      </w:r>
      <w:r>
        <w:rPr>
          <w:spacing w:val="-2"/>
        </w:rPr>
        <w:t>元，增幅为</w:t>
      </w:r>
      <w:r>
        <w:rPr>
          <w:rFonts w:ascii="Times New Roman" w:hAnsi="Times New Roman" w:cs="Times New Roman" w:eastAsia="Times New Roman" w:hint="default"/>
          <w:spacing w:val="-2"/>
        </w:rPr>
        <w:t>264.57%</w:t>
      </w:r>
      <w:r>
        <w:rPr>
          <w:spacing w:val="-2"/>
        </w:rPr>
        <w:t>，增加的主要原因是应付的投资款增</w:t>
      </w:r>
      <w:r>
        <w:rPr>
          <w:spacing w:val="-58"/>
        </w:rPr>
        <w:t> </w:t>
      </w:r>
      <w:r>
        <w:rPr>
          <w:spacing w:val="-58"/>
        </w:rPr>
      </w:r>
      <w:r>
        <w:rPr/>
        <w:t>加所致</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27、递延收益" w:id="234"/>
      <w:bookmarkEnd w:id="234"/>
      <w:r>
        <w:rPr>
          <w:b w:val="0"/>
          <w:bCs w:val="0"/>
        </w:rPr>
      </w:r>
      <w:r>
        <w:rPr>
          <w:rFonts w:ascii="Times New Roman" w:hAnsi="Times New Roman" w:cs="Times New Roman" w:eastAsia="Times New Roman" w:hint="default"/>
        </w:rPr>
        <w:t>27</w:t>
      </w:r>
      <w:r>
        <w:rPr/>
        <w:t>、递延收益</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0" w:right="150"/>
        <w:jc w:val="right"/>
      </w:pPr>
      <w:r>
        <w:rPr/>
        <w:t>单位：</w:t>
      </w:r>
      <w:r>
        <w:rPr>
          <w:spacing w:val="2"/>
        </w:rPr>
        <w:t> </w:t>
      </w:r>
      <w:r>
        <w:rPr/>
        <w:t>元</w:t>
      </w:r>
    </w:p>
    <w:p>
      <w:pPr>
        <w:spacing w:line="240" w:lineRule="auto" w:before="10"/>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1594"/>
        <w:gridCol w:w="1596"/>
        <w:gridCol w:w="1594"/>
        <w:gridCol w:w="1596"/>
        <w:gridCol w:w="1594"/>
        <w:gridCol w:w="1594"/>
      </w:tblGrid>
      <w:tr>
        <w:trPr>
          <w:trHeight w:val="28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3" w:lineRule="exact"/>
              <w:ind w:left="37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3" w:lineRule="exact"/>
              <w:ind w:left="37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3" w:lineRule="exact"/>
              <w:ind w:left="37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3" w:lineRule="exact"/>
              <w:ind w:left="371"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形成原因</w:t>
            </w:r>
          </w:p>
        </w:tc>
      </w:tr>
      <w:tr>
        <w:trPr>
          <w:trHeight w:val="28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59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4,555,051.01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629,382.35</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5,184,433.36</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830"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在线培训递延收</w:t>
            </w:r>
          </w:p>
          <w:p>
            <w:pPr>
              <w:pStyle w:val="TableParagraph"/>
              <w:spacing w:line="240" w:lineRule="auto"/>
              <w:ind w:left="24" w:right="84"/>
              <w:jc w:val="left"/>
              <w:rPr>
                <w:rFonts w:ascii="宋体" w:hAnsi="宋体" w:cs="宋体" w:eastAsia="宋体" w:hint="default"/>
                <w:sz w:val="21"/>
                <w:szCs w:val="21"/>
              </w:rPr>
            </w:pPr>
            <w:r>
              <w:rPr>
                <w:rFonts w:ascii="宋体" w:hAnsi="宋体" w:cs="宋体" w:eastAsia="宋体" w:hint="default"/>
                <w:sz w:val="21"/>
                <w:szCs w:val="21"/>
              </w:rPr>
              <w:t>益（金太阳口语</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专家）</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65,505.00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155,863.00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221,368.00</w:t>
            </w:r>
          </w:p>
        </w:tc>
        <w:tc>
          <w:tcPr>
            <w:tcW w:w="1594" w:type="dxa"/>
            <w:tcBorders>
              <w:top w:val="single" w:sz="4" w:space="0" w:color="000000"/>
              <w:left w:val="single" w:sz="4" w:space="0" w:color="000000"/>
              <w:bottom w:val="single" w:sz="10" w:space="0" w:color="D4D4D4"/>
              <w:right w:val="single" w:sz="4" w:space="0" w:color="000000"/>
            </w:tcBorders>
          </w:tcPr>
          <w:p>
            <w:pPr/>
          </w:p>
        </w:tc>
      </w:tr>
      <w:tr>
        <w:trPr>
          <w:trHeight w:val="28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4,620,556.01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785,245.35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z w:val="21"/>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5,405,801.36</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w:t>
            </w:r>
          </w:p>
        </w:tc>
      </w:tr>
    </w:tbl>
    <w:p>
      <w:pPr>
        <w:pStyle w:val="BodyText"/>
        <w:spacing w:line="262" w:lineRule="exact"/>
        <w:ind w:right="0"/>
        <w:jc w:val="left"/>
      </w:pPr>
      <w:r>
        <w:rPr/>
        <w:t>涉及政府补助的项目：</w:t>
      </w:r>
    </w:p>
    <w:p>
      <w:pPr>
        <w:pStyle w:val="BodyText"/>
        <w:spacing w:line="240" w:lineRule="auto" w:before="37"/>
        <w:ind w:left="0" w:right="150"/>
        <w:jc w:val="right"/>
      </w:pPr>
      <w:r>
        <w:rPr/>
        <w:t>单位：</w:t>
      </w:r>
      <w:r>
        <w:rPr>
          <w:spacing w:val="2"/>
        </w:rPr>
        <w:t> </w:t>
      </w:r>
      <w:r>
        <w:rPr/>
        <w:t>元</w:t>
      </w:r>
    </w:p>
    <w:p>
      <w:pPr>
        <w:spacing w:line="240" w:lineRule="auto" w:before="10"/>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554"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2"/>
              <w:ind w:left="259" w:right="0"/>
              <w:jc w:val="left"/>
              <w:rPr>
                <w:rFonts w:ascii="宋体" w:hAnsi="宋体" w:cs="宋体" w:eastAsia="宋体" w:hint="default"/>
                <w:sz w:val="21"/>
                <w:szCs w:val="21"/>
              </w:rPr>
            </w:pPr>
            <w:r>
              <w:rPr>
                <w:rFonts w:ascii="宋体" w:hAnsi="宋体" w:cs="宋体" w:eastAsia="宋体" w:hint="default"/>
                <w:sz w:val="21"/>
                <w:szCs w:val="21"/>
              </w:rPr>
              <w:t>负债项目</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2"/>
              <w:ind w:left="259"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本期新增补助</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本期计入营业</w:t>
            </w:r>
          </w:p>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外收入金额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2"/>
              <w:ind w:left="259" w:right="0"/>
              <w:jc w:val="left"/>
              <w:rPr>
                <w:rFonts w:ascii="宋体" w:hAnsi="宋体" w:cs="宋体" w:eastAsia="宋体" w:hint="default"/>
                <w:sz w:val="21"/>
                <w:szCs w:val="21"/>
              </w:rPr>
            </w:pPr>
            <w:r>
              <w:rPr>
                <w:rFonts w:ascii="宋体" w:hAnsi="宋体" w:cs="宋体" w:eastAsia="宋体" w:hint="default"/>
                <w:sz w:val="21"/>
                <w:szCs w:val="21"/>
              </w:rPr>
              <w:t>其他变动</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2"/>
              <w:ind w:left="259"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8" w:lineRule="exact"/>
              <w:ind w:left="153" w:right="0" w:hanging="29"/>
              <w:jc w:val="left"/>
              <w:rPr>
                <w:rFonts w:ascii="Times New Roman" w:hAnsi="Times New Roman" w:cs="Times New Roman" w:eastAsia="Times New Roman" w:hint="default"/>
                <w:sz w:val="21"/>
                <w:szCs w:val="21"/>
              </w:rPr>
            </w:pPr>
            <w:r>
              <w:rPr>
                <w:rFonts w:ascii="宋体" w:hAnsi="宋体" w:cs="宋体" w:eastAsia="宋体" w:hint="default"/>
                <w:sz w:val="21"/>
                <w:szCs w:val="21"/>
              </w:rPr>
              <w:t>与资产相关</w:t>
            </w:r>
            <w:r>
              <w:rPr>
                <w:rFonts w:ascii="Times New Roman" w:hAnsi="Times New Roman" w:cs="Times New Roman" w:eastAsia="Times New Roman" w:hint="default"/>
                <w:sz w:val="21"/>
                <w:szCs w:val="21"/>
              </w:rPr>
              <w:t>/</w:t>
            </w:r>
          </w:p>
          <w:p>
            <w:pPr>
              <w:pStyle w:val="TableParagraph"/>
              <w:spacing w:line="266" w:lineRule="exact"/>
              <w:ind w:left="15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11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4" w:right="0"/>
              <w:jc w:val="both"/>
              <w:rPr>
                <w:rFonts w:ascii="宋体" w:hAnsi="宋体" w:cs="宋体" w:eastAsia="宋体" w:hint="default"/>
                <w:sz w:val="21"/>
                <w:szCs w:val="21"/>
              </w:rPr>
            </w:pP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1</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基</w:t>
            </w:r>
            <w:r>
              <w:rPr>
                <w:rFonts w:ascii="宋体" w:hAnsi="宋体" w:cs="宋体" w:eastAsia="宋体" w:hint="default"/>
                <w:spacing w:val="-3"/>
                <w:w w:val="100"/>
                <w:sz w:val="21"/>
                <w:szCs w:val="21"/>
              </w:rPr>
              <w:t>于互</w:t>
            </w:r>
            <w:r>
              <w:rPr>
                <w:rFonts w:ascii="宋体" w:hAnsi="宋体" w:cs="宋体" w:eastAsia="宋体" w:hint="default"/>
                <w:w w:val="100"/>
                <w:sz w:val="21"/>
                <w:szCs w:val="21"/>
              </w:rPr>
            </w:r>
          </w:p>
          <w:p>
            <w:pPr>
              <w:pStyle w:val="TableParagraph"/>
              <w:spacing w:line="274" w:lineRule="exact" w:before="16"/>
              <w:ind w:left="24" w:right="69"/>
              <w:jc w:val="both"/>
              <w:rPr>
                <w:rFonts w:ascii="宋体" w:hAnsi="宋体" w:cs="宋体" w:eastAsia="宋体" w:hint="default"/>
                <w:sz w:val="21"/>
                <w:szCs w:val="21"/>
              </w:rPr>
            </w:pPr>
            <w:r>
              <w:rPr>
                <w:rFonts w:ascii="宋体" w:hAnsi="宋体" w:cs="宋体" w:eastAsia="宋体" w:hint="default"/>
                <w:sz w:val="21"/>
                <w:szCs w:val="21"/>
              </w:rPr>
              <w:t>联网的中小学</w:t>
            </w:r>
            <w:r>
              <w:rPr>
                <w:rFonts w:ascii="宋体" w:hAnsi="宋体" w:cs="宋体" w:eastAsia="宋体" w:hint="default"/>
                <w:w w:val="100"/>
                <w:sz w:val="21"/>
                <w:szCs w:val="21"/>
              </w:rPr>
              <w:t> </w:t>
            </w:r>
            <w:r>
              <w:rPr>
                <w:rFonts w:ascii="宋体" w:hAnsi="宋体" w:cs="宋体" w:eastAsia="宋体" w:hint="default"/>
                <w:sz w:val="21"/>
                <w:szCs w:val="21"/>
              </w:rPr>
              <w:t>英语在线智能</w:t>
            </w:r>
            <w:r>
              <w:rPr>
                <w:rFonts w:ascii="宋体" w:hAnsi="宋体" w:cs="宋体" w:eastAsia="宋体" w:hint="default"/>
                <w:w w:val="100"/>
                <w:sz w:val="21"/>
                <w:szCs w:val="21"/>
              </w:rPr>
              <w:t> </w:t>
            </w:r>
            <w:r>
              <w:rPr>
                <w:rFonts w:ascii="宋体" w:hAnsi="宋体" w:cs="宋体" w:eastAsia="宋体" w:hint="default"/>
                <w:sz w:val="21"/>
                <w:szCs w:val="21"/>
              </w:rPr>
              <w:t>记忆平台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9"/>
              <w:ind w:right="17"/>
              <w:jc w:val="right"/>
              <w:rPr>
                <w:rFonts w:ascii="Times New Roman" w:hAnsi="Times New Roman" w:cs="Times New Roman" w:eastAsia="Times New Roman" w:hint="default"/>
                <w:sz w:val="21"/>
                <w:szCs w:val="21"/>
              </w:rPr>
            </w:pPr>
            <w:r>
              <w:rPr>
                <w:rFonts w:ascii="Times New Roman"/>
                <w:spacing w:val="-1"/>
                <w:sz w:val="21"/>
              </w:rPr>
              <w:t>71,245.26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9"/>
              <w:ind w:right="17"/>
              <w:jc w:val="right"/>
              <w:rPr>
                <w:rFonts w:ascii="Times New Roman" w:hAnsi="Times New Roman" w:cs="Times New Roman" w:eastAsia="Times New Roman" w:hint="default"/>
                <w:sz w:val="21"/>
                <w:szCs w:val="21"/>
              </w:rPr>
            </w:pPr>
            <w:r>
              <w:rPr>
                <w:rFonts w:ascii="Times New Roman"/>
                <w:spacing w:val="-1"/>
                <w:sz w:val="21"/>
              </w:rPr>
              <w:t>19,996.56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9"/>
              <w:ind w:right="17"/>
              <w:jc w:val="right"/>
              <w:rPr>
                <w:rFonts w:ascii="Times New Roman" w:hAnsi="Times New Roman" w:cs="Times New Roman" w:eastAsia="Times New Roman" w:hint="default"/>
                <w:sz w:val="21"/>
                <w:szCs w:val="21"/>
              </w:rPr>
            </w:pPr>
            <w:r>
              <w:rPr>
                <w:rFonts w:ascii="Times New Roman"/>
                <w:spacing w:val="-1"/>
                <w:sz w:val="21"/>
              </w:rPr>
              <w:t>51,248.70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11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4" w:right="0"/>
              <w:jc w:val="both"/>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2</w:t>
            </w: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-1</w:t>
            </w:r>
            <w:r>
              <w:rPr>
                <w:rFonts w:ascii="宋体" w:hAnsi="宋体" w:cs="宋体" w:eastAsia="宋体" w:hint="default"/>
                <w:spacing w:val="-4"/>
                <w:sz w:val="21"/>
                <w:szCs w:val="21"/>
              </w:rPr>
              <w:t>、基于</w:t>
            </w:r>
          </w:p>
          <w:p>
            <w:pPr>
              <w:pStyle w:val="TableParagraph"/>
              <w:spacing w:line="237" w:lineRule="auto"/>
              <w:ind w:left="24" w:right="69"/>
              <w:jc w:val="both"/>
              <w:rPr>
                <w:rFonts w:ascii="宋体" w:hAnsi="宋体" w:cs="宋体" w:eastAsia="宋体" w:hint="default"/>
                <w:sz w:val="21"/>
                <w:szCs w:val="21"/>
              </w:rPr>
            </w:pPr>
            <w:r>
              <w:rPr>
                <w:rFonts w:ascii="宋体" w:hAnsi="宋体" w:cs="宋体" w:eastAsia="宋体" w:hint="default"/>
                <w:sz w:val="21"/>
                <w:szCs w:val="21"/>
              </w:rPr>
              <w:t>云计算的教育</w:t>
            </w:r>
            <w:r>
              <w:rPr>
                <w:rFonts w:ascii="宋体" w:hAnsi="宋体" w:cs="宋体" w:eastAsia="宋体" w:hint="default"/>
                <w:w w:val="100"/>
                <w:sz w:val="21"/>
                <w:szCs w:val="21"/>
              </w:rPr>
              <w:t> </w:t>
            </w:r>
            <w:r>
              <w:rPr>
                <w:rFonts w:ascii="宋体" w:hAnsi="宋体" w:cs="宋体" w:eastAsia="宋体" w:hint="default"/>
                <w:sz w:val="21"/>
                <w:szCs w:val="21"/>
              </w:rPr>
              <w:t>质量监测与评</w:t>
            </w:r>
            <w:r>
              <w:rPr>
                <w:rFonts w:ascii="宋体" w:hAnsi="宋体" w:cs="宋体" w:eastAsia="宋体" w:hint="default"/>
                <w:w w:val="100"/>
                <w:sz w:val="21"/>
                <w:szCs w:val="21"/>
              </w:rPr>
              <w:t> </w:t>
            </w:r>
            <w:r>
              <w:rPr>
                <w:rFonts w:ascii="宋体" w:hAnsi="宋体" w:cs="宋体" w:eastAsia="宋体" w:hint="default"/>
                <w:sz w:val="21"/>
                <w:szCs w:val="21"/>
              </w:rPr>
              <w:t>价系统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17"/>
              <w:jc w:val="right"/>
              <w:rPr>
                <w:rFonts w:ascii="Times New Roman" w:hAnsi="Times New Roman" w:cs="Times New Roman" w:eastAsia="Times New Roman" w:hint="default"/>
                <w:sz w:val="21"/>
                <w:szCs w:val="21"/>
              </w:rPr>
            </w:pPr>
            <w:r>
              <w:rPr>
                <w:rFonts w:ascii="Times New Roman"/>
                <w:spacing w:val="-1"/>
                <w:sz w:val="21"/>
              </w:rPr>
              <w:t>334,335.58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17"/>
              <w:jc w:val="right"/>
              <w:rPr>
                <w:rFonts w:ascii="Times New Roman" w:hAnsi="Times New Roman" w:cs="Times New Roman" w:eastAsia="Times New Roman" w:hint="default"/>
                <w:sz w:val="21"/>
                <w:szCs w:val="21"/>
              </w:rPr>
            </w:pPr>
            <w:r>
              <w:rPr>
                <w:rFonts w:ascii="Times New Roman"/>
                <w:spacing w:val="-1"/>
                <w:sz w:val="21"/>
              </w:rPr>
              <w:t>62,299.16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17"/>
              <w:jc w:val="right"/>
              <w:rPr>
                <w:rFonts w:ascii="Times New Roman" w:hAnsi="Times New Roman" w:cs="Times New Roman" w:eastAsia="Times New Roman" w:hint="default"/>
                <w:sz w:val="21"/>
                <w:szCs w:val="21"/>
              </w:rPr>
            </w:pPr>
            <w:r>
              <w:rPr>
                <w:rFonts w:ascii="Times New Roman"/>
                <w:spacing w:val="-1"/>
                <w:sz w:val="21"/>
              </w:rPr>
              <w:t>272,036.42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11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4" w:right="0"/>
              <w:jc w:val="both"/>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2</w:t>
            </w: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-2</w:t>
            </w:r>
            <w:r>
              <w:rPr>
                <w:rFonts w:ascii="宋体" w:hAnsi="宋体" w:cs="宋体" w:eastAsia="宋体" w:hint="default"/>
                <w:spacing w:val="-4"/>
                <w:sz w:val="21"/>
                <w:szCs w:val="21"/>
              </w:rPr>
              <w:t>、基于</w:t>
            </w:r>
          </w:p>
          <w:p>
            <w:pPr>
              <w:pStyle w:val="TableParagraph"/>
              <w:spacing w:line="237" w:lineRule="auto"/>
              <w:ind w:left="24" w:right="69"/>
              <w:jc w:val="both"/>
              <w:rPr>
                <w:rFonts w:ascii="宋体" w:hAnsi="宋体" w:cs="宋体" w:eastAsia="宋体" w:hint="default"/>
                <w:sz w:val="21"/>
                <w:szCs w:val="21"/>
              </w:rPr>
            </w:pPr>
            <w:r>
              <w:rPr>
                <w:rFonts w:ascii="宋体" w:hAnsi="宋体" w:cs="宋体" w:eastAsia="宋体" w:hint="default"/>
                <w:sz w:val="21"/>
                <w:szCs w:val="21"/>
              </w:rPr>
              <w:t>云计算的教育</w:t>
            </w:r>
            <w:r>
              <w:rPr>
                <w:rFonts w:ascii="宋体" w:hAnsi="宋体" w:cs="宋体" w:eastAsia="宋体" w:hint="default"/>
                <w:w w:val="100"/>
                <w:sz w:val="21"/>
                <w:szCs w:val="21"/>
              </w:rPr>
              <w:t> </w:t>
            </w:r>
            <w:r>
              <w:rPr>
                <w:rFonts w:ascii="宋体" w:hAnsi="宋体" w:cs="宋体" w:eastAsia="宋体" w:hint="default"/>
                <w:sz w:val="21"/>
                <w:szCs w:val="21"/>
              </w:rPr>
              <w:t>质量监测与评</w:t>
            </w:r>
            <w:r>
              <w:rPr>
                <w:rFonts w:ascii="宋体" w:hAnsi="宋体" w:cs="宋体" w:eastAsia="宋体" w:hint="default"/>
                <w:w w:val="100"/>
                <w:sz w:val="21"/>
                <w:szCs w:val="21"/>
              </w:rPr>
              <w:t> </w:t>
            </w:r>
            <w:r>
              <w:rPr>
                <w:rFonts w:ascii="宋体" w:hAnsi="宋体" w:cs="宋体" w:eastAsia="宋体" w:hint="default"/>
                <w:sz w:val="21"/>
                <w:szCs w:val="21"/>
              </w:rPr>
              <w:t>价系统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17"/>
              <w:jc w:val="right"/>
              <w:rPr>
                <w:rFonts w:ascii="Times New Roman" w:hAnsi="Times New Roman" w:cs="Times New Roman" w:eastAsia="Times New Roman" w:hint="default"/>
                <w:sz w:val="21"/>
                <w:szCs w:val="21"/>
              </w:rPr>
            </w:pPr>
            <w:r>
              <w:rPr>
                <w:rFonts w:ascii="Times New Roman"/>
                <w:spacing w:val="-1"/>
                <w:sz w:val="21"/>
              </w:rPr>
              <w:t>20,000.00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17"/>
              <w:jc w:val="right"/>
              <w:rPr>
                <w:rFonts w:ascii="Times New Roman" w:hAnsi="Times New Roman" w:cs="Times New Roman" w:eastAsia="Times New Roman" w:hint="default"/>
                <w:sz w:val="21"/>
                <w:szCs w:val="21"/>
              </w:rPr>
            </w:pPr>
            <w:r>
              <w:rPr>
                <w:rFonts w:ascii="Times New Roman"/>
                <w:spacing w:val="-1"/>
                <w:sz w:val="21"/>
              </w:rPr>
              <w:t>20,000.00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82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4" w:right="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3</w:t>
            </w: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-1</w:t>
            </w:r>
            <w:r>
              <w:rPr>
                <w:rFonts w:ascii="宋体" w:hAnsi="宋体" w:cs="宋体" w:eastAsia="宋体" w:hint="default"/>
                <w:spacing w:val="-4"/>
                <w:sz w:val="21"/>
                <w:szCs w:val="21"/>
              </w:rPr>
              <w:t>、外语</w:t>
            </w:r>
          </w:p>
          <w:p>
            <w:pPr>
              <w:pStyle w:val="TableParagraph"/>
              <w:spacing w:line="274" w:lineRule="exact" w:before="17"/>
              <w:ind w:left="24" w:right="69"/>
              <w:jc w:val="left"/>
              <w:rPr>
                <w:rFonts w:ascii="宋体" w:hAnsi="宋体" w:cs="宋体" w:eastAsia="宋体" w:hint="default"/>
                <w:sz w:val="21"/>
                <w:szCs w:val="21"/>
              </w:rPr>
            </w:pPr>
            <w:r>
              <w:rPr>
                <w:rFonts w:ascii="宋体" w:hAnsi="宋体" w:cs="宋体" w:eastAsia="宋体" w:hint="default"/>
                <w:sz w:val="21"/>
                <w:szCs w:val="21"/>
              </w:rPr>
              <w:t>互动学习平台</w:t>
            </w:r>
            <w:r>
              <w:rPr>
                <w:rFonts w:ascii="宋体" w:hAnsi="宋体" w:cs="宋体" w:eastAsia="宋体" w:hint="default"/>
                <w:w w:val="100"/>
                <w:sz w:val="21"/>
                <w:szCs w:val="21"/>
              </w:rPr>
              <w:t> </w:t>
            </w:r>
            <w:r>
              <w:rPr>
                <w:rFonts w:ascii="宋体" w:hAnsi="宋体" w:cs="宋体" w:eastAsia="宋体" w:hint="default"/>
                <w:sz w:val="21"/>
                <w:szCs w:val="21"/>
              </w:rPr>
              <w:t>创新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250,000.00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2,138.72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247,861.28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83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4" w:right="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3</w:t>
            </w: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-2</w:t>
            </w:r>
            <w:r>
              <w:rPr>
                <w:rFonts w:ascii="宋体" w:hAnsi="宋体" w:cs="宋体" w:eastAsia="宋体" w:hint="default"/>
                <w:spacing w:val="-4"/>
                <w:sz w:val="21"/>
                <w:szCs w:val="21"/>
              </w:rPr>
              <w:t>、外语</w:t>
            </w:r>
          </w:p>
          <w:p>
            <w:pPr>
              <w:pStyle w:val="TableParagraph"/>
              <w:spacing w:line="274" w:lineRule="exact" w:before="16"/>
              <w:ind w:left="24" w:right="69"/>
              <w:jc w:val="left"/>
              <w:rPr>
                <w:rFonts w:ascii="宋体" w:hAnsi="宋体" w:cs="宋体" w:eastAsia="宋体" w:hint="default"/>
                <w:sz w:val="21"/>
                <w:szCs w:val="21"/>
              </w:rPr>
            </w:pPr>
            <w:r>
              <w:rPr>
                <w:rFonts w:ascii="宋体" w:hAnsi="宋体" w:cs="宋体" w:eastAsia="宋体" w:hint="default"/>
                <w:sz w:val="21"/>
                <w:szCs w:val="21"/>
              </w:rPr>
              <w:t>互动学习平台</w:t>
            </w:r>
            <w:r>
              <w:rPr>
                <w:rFonts w:ascii="宋体" w:hAnsi="宋体" w:cs="宋体" w:eastAsia="宋体" w:hint="default"/>
                <w:w w:val="100"/>
                <w:sz w:val="21"/>
                <w:szCs w:val="21"/>
              </w:rPr>
              <w:t> </w:t>
            </w:r>
            <w:r>
              <w:rPr>
                <w:rFonts w:ascii="宋体" w:hAnsi="宋体" w:cs="宋体" w:eastAsia="宋体" w:hint="default"/>
                <w:sz w:val="21"/>
                <w:szCs w:val="21"/>
              </w:rPr>
              <w:t>创新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245,900.00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245,900.00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82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4" w:right="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4</w:t>
            </w: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-1</w:t>
            </w:r>
            <w:r>
              <w:rPr>
                <w:rFonts w:ascii="宋体" w:hAnsi="宋体" w:cs="宋体" w:eastAsia="宋体" w:hint="default"/>
                <w:spacing w:val="-4"/>
                <w:sz w:val="21"/>
                <w:szCs w:val="21"/>
              </w:rPr>
              <w:t>、中小</w:t>
            </w:r>
          </w:p>
          <w:p>
            <w:pPr>
              <w:pStyle w:val="TableParagraph"/>
              <w:spacing w:line="272" w:lineRule="exact" w:before="19"/>
              <w:ind w:left="24" w:right="69"/>
              <w:jc w:val="left"/>
              <w:rPr>
                <w:rFonts w:ascii="宋体" w:hAnsi="宋体" w:cs="宋体" w:eastAsia="宋体" w:hint="default"/>
                <w:sz w:val="21"/>
                <w:szCs w:val="21"/>
              </w:rPr>
            </w:pPr>
            <w:r>
              <w:rPr>
                <w:rFonts w:ascii="宋体" w:hAnsi="宋体" w:cs="宋体" w:eastAsia="宋体" w:hint="default"/>
                <w:sz w:val="21"/>
                <w:szCs w:val="21"/>
              </w:rPr>
              <w:t>学教育游戏平</w:t>
            </w:r>
            <w:r>
              <w:rPr>
                <w:rFonts w:ascii="宋体" w:hAnsi="宋体" w:cs="宋体" w:eastAsia="宋体" w:hint="default"/>
                <w:w w:val="100"/>
                <w:sz w:val="21"/>
                <w:szCs w:val="21"/>
              </w:rPr>
              <w:t> </w:t>
            </w:r>
            <w:r>
              <w:rPr>
                <w:rFonts w:ascii="宋体" w:hAnsi="宋体" w:cs="宋体" w:eastAsia="宋体" w:hint="default"/>
                <w:sz w:val="21"/>
                <w:szCs w:val="21"/>
              </w:rPr>
              <w:t>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245,910.00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5,866.19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240,043.81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83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4" w:right="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4</w:t>
            </w: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-2</w:t>
            </w:r>
            <w:r>
              <w:rPr>
                <w:rFonts w:ascii="宋体" w:hAnsi="宋体" w:cs="宋体" w:eastAsia="宋体" w:hint="default"/>
                <w:spacing w:val="-4"/>
                <w:sz w:val="21"/>
                <w:szCs w:val="21"/>
              </w:rPr>
              <w:t>、中小</w:t>
            </w:r>
          </w:p>
          <w:p>
            <w:pPr>
              <w:pStyle w:val="TableParagraph"/>
              <w:spacing w:line="274" w:lineRule="exact" w:before="17"/>
              <w:ind w:left="24" w:right="69"/>
              <w:jc w:val="left"/>
              <w:rPr>
                <w:rFonts w:ascii="宋体" w:hAnsi="宋体" w:cs="宋体" w:eastAsia="宋体" w:hint="default"/>
                <w:sz w:val="21"/>
                <w:szCs w:val="21"/>
              </w:rPr>
            </w:pPr>
            <w:r>
              <w:rPr>
                <w:rFonts w:ascii="宋体" w:hAnsi="宋体" w:cs="宋体" w:eastAsia="宋体" w:hint="default"/>
                <w:sz w:val="21"/>
                <w:szCs w:val="21"/>
              </w:rPr>
              <w:t>学教育游戏平</w:t>
            </w:r>
            <w:r>
              <w:rPr>
                <w:rFonts w:ascii="宋体" w:hAnsi="宋体" w:cs="宋体" w:eastAsia="宋体" w:hint="default"/>
                <w:w w:val="100"/>
                <w:sz w:val="21"/>
                <w:szCs w:val="21"/>
              </w:rPr>
              <w:t> </w:t>
            </w:r>
            <w:r>
              <w:rPr>
                <w:rFonts w:ascii="宋体" w:hAnsi="宋体" w:cs="宋体" w:eastAsia="宋体" w:hint="default"/>
                <w:sz w:val="21"/>
                <w:szCs w:val="21"/>
              </w:rPr>
              <w:t>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487,660.17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414,417.02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73,243.15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11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4" w:right="0"/>
              <w:jc w:val="both"/>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5</w:t>
            </w: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-1</w:t>
            </w:r>
            <w:r>
              <w:rPr>
                <w:rFonts w:ascii="宋体" w:hAnsi="宋体" w:cs="宋体" w:eastAsia="宋体" w:hint="default"/>
                <w:spacing w:val="-4"/>
                <w:sz w:val="21"/>
                <w:szCs w:val="21"/>
              </w:rPr>
              <w:t>、基于</w:t>
            </w:r>
          </w:p>
          <w:p>
            <w:pPr>
              <w:pStyle w:val="TableParagraph"/>
              <w:spacing w:line="237" w:lineRule="auto"/>
              <w:ind w:left="24" w:right="69"/>
              <w:jc w:val="both"/>
              <w:rPr>
                <w:rFonts w:ascii="宋体" w:hAnsi="宋体" w:cs="宋体" w:eastAsia="宋体" w:hint="default"/>
                <w:sz w:val="21"/>
                <w:szCs w:val="21"/>
              </w:rPr>
            </w:pPr>
            <w:r>
              <w:rPr>
                <w:rFonts w:ascii="宋体" w:hAnsi="宋体" w:cs="宋体" w:eastAsia="宋体" w:hint="default"/>
                <w:sz w:val="21"/>
                <w:szCs w:val="21"/>
              </w:rPr>
              <w:t>移动平台的小</w:t>
            </w:r>
            <w:r>
              <w:rPr>
                <w:rFonts w:ascii="宋体" w:hAnsi="宋体" w:cs="宋体" w:eastAsia="宋体" w:hint="default"/>
                <w:w w:val="100"/>
                <w:sz w:val="21"/>
                <w:szCs w:val="21"/>
              </w:rPr>
              <w:t> </w:t>
            </w:r>
            <w:r>
              <w:rPr>
                <w:rFonts w:ascii="宋体" w:hAnsi="宋体" w:cs="宋体" w:eastAsia="宋体" w:hint="default"/>
                <w:sz w:val="21"/>
                <w:szCs w:val="21"/>
              </w:rPr>
              <w:t>学英语同步课</w:t>
            </w:r>
            <w:r>
              <w:rPr>
                <w:rFonts w:ascii="宋体" w:hAnsi="宋体" w:cs="宋体" w:eastAsia="宋体" w:hint="default"/>
                <w:w w:val="100"/>
                <w:sz w:val="21"/>
                <w:szCs w:val="21"/>
              </w:rPr>
              <w:t> </w:t>
            </w:r>
            <w:r>
              <w:rPr>
                <w:rFonts w:ascii="宋体" w:hAnsi="宋体" w:cs="宋体" w:eastAsia="宋体" w:hint="default"/>
                <w:sz w:val="21"/>
                <w:szCs w:val="21"/>
              </w:rPr>
              <w:t>程资源系统</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19"/>
              <w:jc w:val="right"/>
              <w:rPr>
                <w:rFonts w:ascii="Times New Roman" w:hAnsi="Times New Roman" w:cs="Times New Roman" w:eastAsia="Times New Roman" w:hint="default"/>
                <w:sz w:val="21"/>
                <w:szCs w:val="21"/>
              </w:rPr>
            </w:pPr>
            <w:r>
              <w:rPr>
                <w:rFonts w:ascii="Times New Roman"/>
                <w:spacing w:val="-1"/>
                <w:sz w:val="21"/>
              </w:rPr>
              <w:t>500,000.00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17"/>
              <w:jc w:val="right"/>
              <w:rPr>
                <w:rFonts w:ascii="Times New Roman" w:hAnsi="Times New Roman" w:cs="Times New Roman" w:eastAsia="Times New Roman" w:hint="default"/>
                <w:sz w:val="21"/>
                <w:szCs w:val="21"/>
              </w:rPr>
            </w:pPr>
            <w:r>
              <w:rPr>
                <w:rFonts w:ascii="Times New Roman"/>
                <w:spacing w:val="-1"/>
                <w:sz w:val="21"/>
              </w:rPr>
              <w:t>500,000.00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55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4" w:right="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5</w:t>
            </w: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-2</w:t>
            </w:r>
            <w:r>
              <w:rPr>
                <w:rFonts w:ascii="宋体" w:hAnsi="宋体" w:cs="宋体" w:eastAsia="宋体" w:hint="default"/>
                <w:spacing w:val="-4"/>
                <w:sz w:val="21"/>
                <w:szCs w:val="21"/>
              </w:rPr>
              <w:t>、基于</w:t>
            </w:r>
          </w:p>
          <w:p>
            <w:pPr>
              <w:pStyle w:val="TableParagraph"/>
              <w:spacing w:line="266" w:lineRule="exact"/>
              <w:ind w:left="24" w:right="0"/>
              <w:jc w:val="left"/>
              <w:rPr>
                <w:rFonts w:ascii="宋体" w:hAnsi="宋体" w:cs="宋体" w:eastAsia="宋体" w:hint="default"/>
                <w:sz w:val="21"/>
                <w:szCs w:val="21"/>
              </w:rPr>
            </w:pPr>
            <w:r>
              <w:rPr>
                <w:rFonts w:ascii="宋体" w:hAnsi="宋体" w:cs="宋体" w:eastAsia="宋体" w:hint="default"/>
                <w:sz w:val="21"/>
                <w:szCs w:val="21"/>
              </w:rPr>
              <w:t>移动平台的小</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500,000.00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500,000.00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bl>
    <w:p>
      <w:pPr>
        <w:spacing w:after="0" w:line="240" w:lineRule="auto"/>
        <w:jc w:val="left"/>
        <w:rPr>
          <w:rFonts w:ascii="宋体" w:hAnsi="宋体" w:cs="宋体" w:eastAsia="宋体" w:hint="default"/>
          <w:sz w:val="21"/>
          <w:szCs w:val="21"/>
        </w:rPr>
        <w:sectPr>
          <w:pgSz w:w="11910" w:h="16840"/>
          <w:pgMar w:header="880" w:footer="979" w:top="1060" w:bottom="1160" w:left="980" w:right="98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55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学英语同步课</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程资源系统</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6</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青</w:t>
            </w:r>
            <w:r>
              <w:rPr>
                <w:rFonts w:ascii="宋体" w:hAnsi="宋体" w:cs="宋体" w:eastAsia="宋体" w:hint="default"/>
                <w:spacing w:val="-3"/>
                <w:w w:val="100"/>
                <w:sz w:val="21"/>
                <w:szCs w:val="21"/>
              </w:rPr>
              <w:t>少年</w:t>
            </w:r>
            <w:r>
              <w:rPr>
                <w:rFonts w:ascii="宋体" w:hAnsi="宋体" w:cs="宋体" w:eastAsia="宋体" w:hint="default"/>
                <w:w w:val="100"/>
                <w:sz w:val="21"/>
                <w:szCs w:val="21"/>
              </w:rPr>
            </w:r>
          </w:p>
          <w:p>
            <w:pPr>
              <w:pStyle w:val="TableParagraph"/>
              <w:spacing w:line="272" w:lineRule="exact" w:before="19"/>
              <w:ind w:left="24" w:right="69"/>
              <w:jc w:val="left"/>
              <w:rPr>
                <w:rFonts w:ascii="宋体" w:hAnsi="宋体" w:cs="宋体" w:eastAsia="宋体" w:hint="default"/>
                <w:sz w:val="21"/>
                <w:szCs w:val="21"/>
              </w:rPr>
            </w:pPr>
            <w:r>
              <w:rPr>
                <w:rFonts w:ascii="宋体" w:hAnsi="宋体" w:cs="宋体" w:eastAsia="宋体" w:hint="default"/>
                <w:sz w:val="21"/>
                <w:szCs w:val="21"/>
              </w:rPr>
              <w:t>书法多媒体学</w:t>
            </w:r>
            <w:r>
              <w:rPr>
                <w:rFonts w:ascii="宋体" w:hAnsi="宋体" w:cs="宋体" w:eastAsia="宋体" w:hint="default"/>
                <w:w w:val="100"/>
                <w:sz w:val="21"/>
                <w:szCs w:val="21"/>
              </w:rPr>
              <w:t> </w:t>
            </w:r>
            <w:r>
              <w:rPr>
                <w:rFonts w:ascii="宋体" w:hAnsi="宋体" w:cs="宋体" w:eastAsia="宋体" w:hint="default"/>
                <w:sz w:val="21"/>
                <w:szCs w:val="21"/>
              </w:rPr>
              <w:t>习软件</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400,000.00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11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4" w:right="0"/>
              <w:jc w:val="both"/>
              <w:rPr>
                <w:rFonts w:ascii="宋体" w:hAnsi="宋体" w:cs="宋体" w:eastAsia="宋体" w:hint="default"/>
                <w:sz w:val="21"/>
                <w:szCs w:val="21"/>
              </w:rPr>
            </w:pP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7</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基于</w:t>
            </w:r>
          </w:p>
          <w:p>
            <w:pPr>
              <w:pStyle w:val="TableParagraph"/>
              <w:spacing w:line="230" w:lineRule="auto" w:before="1"/>
              <w:ind w:left="24" w:right="69"/>
              <w:jc w:val="both"/>
              <w:rPr>
                <w:rFonts w:ascii="宋体" w:hAnsi="宋体" w:cs="宋体" w:eastAsia="宋体" w:hint="default"/>
                <w:sz w:val="21"/>
                <w:szCs w:val="21"/>
              </w:rPr>
            </w:pPr>
            <w:r>
              <w:rPr>
                <w:rFonts w:ascii="Times New Roman" w:hAnsi="Times New Roman" w:cs="Times New Roman" w:eastAsia="Times New Roman" w:hint="default"/>
                <w:sz w:val="21"/>
                <w:szCs w:val="21"/>
              </w:rPr>
              <w:t>SAAS</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的云智</w:t>
            </w:r>
            <w:r>
              <w:rPr>
                <w:rFonts w:ascii="宋体" w:hAnsi="宋体" w:cs="宋体" w:eastAsia="宋体" w:hint="default"/>
                <w:spacing w:val="-3"/>
                <w:w w:val="100"/>
                <w:sz w:val="21"/>
                <w:szCs w:val="21"/>
              </w:rPr>
              <w:t> </w:t>
            </w:r>
            <w:r>
              <w:rPr>
                <w:rFonts w:ascii="宋体" w:hAnsi="宋体" w:cs="宋体" w:eastAsia="宋体" w:hint="default"/>
                <w:sz w:val="21"/>
                <w:szCs w:val="21"/>
              </w:rPr>
              <w:t>能个性化教育</w:t>
            </w:r>
            <w:r>
              <w:rPr>
                <w:rFonts w:ascii="宋体" w:hAnsi="宋体" w:cs="宋体" w:eastAsia="宋体" w:hint="default"/>
                <w:w w:val="100"/>
                <w:sz w:val="21"/>
                <w:szCs w:val="21"/>
              </w:rPr>
              <w:t> </w:t>
            </w:r>
            <w:r>
              <w:rPr>
                <w:rFonts w:ascii="宋体" w:hAnsi="宋体" w:cs="宋体" w:eastAsia="宋体" w:hint="default"/>
                <w:sz w:val="21"/>
                <w:szCs w:val="21"/>
              </w:rPr>
              <w:t>综合互动平台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17"/>
              <w:jc w:val="right"/>
              <w:rPr>
                <w:rFonts w:ascii="Times New Roman" w:hAnsi="Times New Roman" w:cs="Times New Roman" w:eastAsia="Times New Roman" w:hint="default"/>
                <w:sz w:val="21"/>
                <w:szCs w:val="21"/>
              </w:rPr>
            </w:pPr>
            <w:r>
              <w:rPr>
                <w:rFonts w:ascii="Times New Roman"/>
                <w:spacing w:val="-1"/>
                <w:sz w:val="21"/>
              </w:rPr>
              <w:t>2,900,000.00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17"/>
              <w:jc w:val="right"/>
              <w:rPr>
                <w:rFonts w:ascii="Times New Roman" w:hAnsi="Times New Roman" w:cs="Times New Roman" w:eastAsia="Times New Roman" w:hint="default"/>
                <w:sz w:val="21"/>
                <w:szCs w:val="21"/>
              </w:rPr>
            </w:pPr>
            <w:r>
              <w:rPr>
                <w:rFonts w:ascii="Times New Roman"/>
                <w:spacing w:val="-1"/>
                <w:sz w:val="21"/>
              </w:rPr>
              <w:t>2,900,000.00</w:t>
            </w:r>
          </w:p>
        </w:tc>
        <w:tc>
          <w:tcPr>
            <w:tcW w:w="1368" w:type="dxa"/>
            <w:tcBorders>
              <w:top w:val="single" w:sz="4" w:space="0" w:color="000000"/>
              <w:left w:val="single" w:sz="4" w:space="0" w:color="000000"/>
              <w:bottom w:val="single" w:sz="7" w:space="0" w:color="D4D4D4"/>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4,555,051.01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1,400,000.00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88" w:right="0"/>
              <w:jc w:val="left"/>
              <w:rPr>
                <w:rFonts w:ascii="Times New Roman" w:hAnsi="Times New Roman" w:cs="Times New Roman" w:eastAsia="Times New Roman" w:hint="default"/>
                <w:sz w:val="21"/>
                <w:szCs w:val="21"/>
              </w:rPr>
            </w:pPr>
            <w:r>
              <w:rPr>
                <w:rFonts w:ascii="Times New Roman"/>
                <w:sz w:val="21"/>
              </w:rPr>
              <w:t>770,617.65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5,184,433.36</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w:t>
            </w:r>
          </w:p>
        </w:tc>
      </w:tr>
    </w:tbl>
    <w:p>
      <w:pPr>
        <w:pStyle w:val="BodyText"/>
        <w:spacing w:line="262" w:lineRule="exact"/>
        <w:ind w:right="0"/>
        <w:jc w:val="left"/>
      </w:pPr>
      <w:r>
        <w:rPr/>
        <w:t>其他说明：</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bookmarkStart w:name="28、股本" w:id="235"/>
      <w:bookmarkEnd w:id="235"/>
      <w:r>
        <w:rPr>
          <w:b w:val="0"/>
          <w:bCs w:val="0"/>
        </w:rPr>
      </w:r>
      <w:r>
        <w:rPr>
          <w:rFonts w:ascii="Times New Roman" w:hAnsi="Times New Roman" w:cs="Times New Roman" w:eastAsia="Times New Roman" w:hint="default"/>
        </w:rPr>
        <w:t>28</w:t>
      </w:r>
      <w:r>
        <w:rPr/>
        <w:t>、股本</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150"/>
        <w:jc w:val="right"/>
      </w:pPr>
      <w:r>
        <w:rPr>
          <w:spacing w:val="-1"/>
        </w:rPr>
        <w:t>单位：元</w:t>
      </w:r>
    </w:p>
    <w:p>
      <w:pPr>
        <w:spacing w:line="240" w:lineRule="auto" w:before="10"/>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1195"/>
        <w:gridCol w:w="1198"/>
        <w:gridCol w:w="1195"/>
        <w:gridCol w:w="1195"/>
        <w:gridCol w:w="1198"/>
        <w:gridCol w:w="1195"/>
        <w:gridCol w:w="1195"/>
        <w:gridCol w:w="1198"/>
      </w:tblGrid>
      <w:tr>
        <w:trPr>
          <w:trHeight w:val="155" w:hRule="exact"/>
        </w:trPr>
        <w:tc>
          <w:tcPr>
            <w:tcW w:w="1195" w:type="dxa"/>
            <w:tcBorders>
              <w:top w:val="single" w:sz="4" w:space="0" w:color="000000"/>
              <w:left w:val="single" w:sz="4" w:space="0" w:color="000000"/>
              <w:bottom w:val="nil" w:sz="6" w:space="0" w:color="auto"/>
              <w:right w:val="single" w:sz="4" w:space="0" w:color="000000"/>
            </w:tcBorders>
            <w:shd w:val="clear" w:color="auto" w:fill="D4D4D4"/>
          </w:tcPr>
          <w:p>
            <w:pPr/>
          </w:p>
        </w:tc>
        <w:tc>
          <w:tcPr>
            <w:tcW w:w="1198" w:type="dxa"/>
            <w:tcBorders>
              <w:top w:val="single" w:sz="4" w:space="0" w:color="000000"/>
              <w:left w:val="single" w:sz="4" w:space="0" w:color="000000"/>
              <w:bottom w:val="nil" w:sz="6" w:space="0" w:color="auto"/>
              <w:right w:val="single" w:sz="4" w:space="0" w:color="000000"/>
            </w:tcBorders>
            <w:shd w:val="clear" w:color="auto" w:fill="D4D4D4"/>
          </w:tcPr>
          <w:p>
            <w:pPr/>
          </w:p>
        </w:tc>
        <w:tc>
          <w:tcPr>
            <w:tcW w:w="5978" w:type="dxa"/>
            <w:gridSpan w:val="5"/>
            <w:vMerge w:val="restart"/>
            <w:tcBorders>
              <w:top w:val="single" w:sz="4" w:space="0" w:color="000000"/>
              <w:left w:val="single" w:sz="4" w:space="0" w:color="000000"/>
              <w:right w:val="single" w:sz="4" w:space="0" w:color="000000"/>
            </w:tcBorders>
            <w:shd w:val="clear" w:color="auto" w:fill="D4D4D4"/>
          </w:tcPr>
          <w:p>
            <w:pPr>
              <w:pStyle w:val="TableParagraph"/>
              <w:spacing w:line="257" w:lineRule="exact"/>
              <w:ind w:left="1876"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98"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24" w:hRule="exact"/>
        </w:trPr>
        <w:tc>
          <w:tcPr>
            <w:tcW w:w="1195" w:type="dxa"/>
            <w:vMerge w:val="restart"/>
            <w:tcBorders>
              <w:top w:val="nil" w:sz="6" w:space="0" w:color="auto"/>
              <w:left w:val="single" w:sz="4" w:space="0" w:color="000000"/>
              <w:right w:val="single" w:sz="4" w:space="0" w:color="000000"/>
            </w:tcBorders>
            <w:shd w:val="clear" w:color="auto" w:fill="D4D4D4"/>
          </w:tcPr>
          <w:p>
            <w:pPr/>
          </w:p>
        </w:tc>
        <w:tc>
          <w:tcPr>
            <w:tcW w:w="1198" w:type="dxa"/>
            <w:vMerge w:val="restart"/>
            <w:tcBorders>
              <w:top w:val="nil" w:sz="6" w:space="0" w:color="auto"/>
              <w:left w:val="single" w:sz="4" w:space="0" w:color="000000"/>
              <w:right w:val="single" w:sz="4" w:space="0" w:color="000000"/>
            </w:tcBorders>
            <w:shd w:val="clear" w:color="auto" w:fill="D4D4D4"/>
          </w:tcPr>
          <w:p>
            <w:pPr>
              <w:pStyle w:val="TableParagraph"/>
              <w:spacing w:line="232" w:lineRule="exact"/>
              <w:ind w:left="17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5978" w:type="dxa"/>
            <w:gridSpan w:val="5"/>
            <w:vMerge/>
            <w:tcBorders>
              <w:left w:val="single" w:sz="4" w:space="0" w:color="000000"/>
              <w:bottom w:val="single" w:sz="4" w:space="0" w:color="000000"/>
              <w:right w:val="single" w:sz="4" w:space="0" w:color="000000"/>
            </w:tcBorders>
            <w:shd w:val="clear" w:color="auto" w:fill="D4D4D4"/>
          </w:tcPr>
          <w:p>
            <w:pPr/>
          </w:p>
        </w:tc>
        <w:tc>
          <w:tcPr>
            <w:tcW w:w="1198" w:type="dxa"/>
            <w:vMerge w:val="restart"/>
            <w:tcBorders>
              <w:top w:val="nil" w:sz="6" w:space="0" w:color="auto"/>
              <w:left w:val="single" w:sz="4" w:space="0" w:color="000000"/>
              <w:right w:val="single" w:sz="4" w:space="0" w:color="000000"/>
            </w:tcBorders>
            <w:shd w:val="clear" w:color="auto" w:fill="D4D4D4"/>
          </w:tcPr>
          <w:p>
            <w:pPr>
              <w:pStyle w:val="TableParagraph"/>
              <w:spacing w:line="232" w:lineRule="exact"/>
              <w:ind w:left="17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133" w:hRule="exact"/>
        </w:trPr>
        <w:tc>
          <w:tcPr>
            <w:tcW w:w="1195" w:type="dxa"/>
            <w:vMerge/>
            <w:tcBorders>
              <w:left w:val="single" w:sz="4" w:space="0" w:color="000000"/>
              <w:bottom w:val="nil" w:sz="6" w:space="0" w:color="auto"/>
              <w:right w:val="single" w:sz="4" w:space="0" w:color="000000"/>
            </w:tcBorders>
            <w:shd w:val="clear" w:color="auto" w:fill="D4D4D4"/>
          </w:tcPr>
          <w:p>
            <w:pPr/>
          </w:p>
        </w:tc>
        <w:tc>
          <w:tcPr>
            <w:tcW w:w="1198" w:type="dxa"/>
            <w:vMerge/>
            <w:tcBorders>
              <w:left w:val="single" w:sz="4" w:space="0" w:color="000000"/>
              <w:bottom w:val="nil" w:sz="6" w:space="0" w:color="auto"/>
              <w:right w:val="single" w:sz="4" w:space="0" w:color="000000"/>
            </w:tcBorders>
            <w:shd w:val="clear" w:color="auto" w:fill="D4D4D4"/>
          </w:tcPr>
          <w:p>
            <w:pPr/>
          </w:p>
        </w:tc>
        <w:tc>
          <w:tcPr>
            <w:tcW w:w="1195" w:type="dxa"/>
            <w:vMerge w:val="restart"/>
            <w:tcBorders>
              <w:top w:val="single" w:sz="4" w:space="0" w:color="000000"/>
              <w:left w:val="single" w:sz="4" w:space="0" w:color="000000"/>
              <w:right w:val="single" w:sz="4" w:space="0" w:color="000000"/>
            </w:tcBorders>
            <w:shd w:val="clear" w:color="auto" w:fill="D4D4D4"/>
          </w:tcPr>
          <w:p>
            <w:pPr>
              <w:pStyle w:val="TableParagraph"/>
              <w:spacing w:line="246" w:lineRule="exact"/>
              <w:ind w:left="172" w:right="0"/>
              <w:jc w:val="left"/>
              <w:rPr>
                <w:rFonts w:ascii="宋体" w:hAnsi="宋体" w:cs="宋体" w:eastAsia="宋体" w:hint="default"/>
                <w:sz w:val="21"/>
                <w:szCs w:val="21"/>
              </w:rPr>
            </w:pPr>
            <w:r>
              <w:rPr>
                <w:rFonts w:ascii="宋体" w:hAnsi="宋体" w:cs="宋体" w:eastAsia="宋体" w:hint="default"/>
                <w:sz w:val="21"/>
                <w:szCs w:val="21"/>
              </w:rPr>
              <w:t>发行新股</w:t>
            </w:r>
          </w:p>
        </w:tc>
        <w:tc>
          <w:tcPr>
            <w:tcW w:w="1195" w:type="dxa"/>
            <w:vMerge w:val="restart"/>
            <w:tcBorders>
              <w:top w:val="single" w:sz="4" w:space="0" w:color="000000"/>
              <w:left w:val="single" w:sz="4" w:space="0" w:color="000000"/>
              <w:right w:val="single" w:sz="4" w:space="0" w:color="000000"/>
            </w:tcBorders>
            <w:shd w:val="clear" w:color="auto" w:fill="D4D4D4"/>
          </w:tcPr>
          <w:p>
            <w:pPr>
              <w:pStyle w:val="TableParagraph"/>
              <w:spacing w:line="246" w:lineRule="exact"/>
              <w:ind w:left="383"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1198" w:type="dxa"/>
            <w:vMerge w:val="restart"/>
            <w:tcBorders>
              <w:top w:val="single" w:sz="4" w:space="0" w:color="000000"/>
              <w:left w:val="single" w:sz="4" w:space="0" w:color="000000"/>
              <w:right w:val="single" w:sz="4" w:space="0" w:color="000000"/>
            </w:tcBorders>
            <w:shd w:val="clear" w:color="auto" w:fill="D4D4D4"/>
          </w:tcPr>
          <w:p>
            <w:pPr>
              <w:pStyle w:val="TableParagraph"/>
              <w:spacing w:line="246" w:lineRule="exact"/>
              <w:ind w:left="67" w:right="0"/>
              <w:jc w:val="left"/>
              <w:rPr>
                <w:rFonts w:ascii="宋体" w:hAnsi="宋体" w:cs="宋体" w:eastAsia="宋体" w:hint="default"/>
                <w:sz w:val="21"/>
                <w:szCs w:val="21"/>
              </w:rPr>
            </w:pPr>
            <w:r>
              <w:rPr>
                <w:rFonts w:ascii="宋体" w:hAnsi="宋体" w:cs="宋体" w:eastAsia="宋体" w:hint="default"/>
                <w:sz w:val="21"/>
                <w:szCs w:val="21"/>
              </w:rPr>
              <w:t>公积金转股</w:t>
            </w:r>
          </w:p>
        </w:tc>
        <w:tc>
          <w:tcPr>
            <w:tcW w:w="1195" w:type="dxa"/>
            <w:vMerge w:val="restart"/>
            <w:tcBorders>
              <w:top w:val="single" w:sz="4" w:space="0" w:color="000000"/>
              <w:left w:val="single" w:sz="4" w:space="0" w:color="000000"/>
              <w:right w:val="single" w:sz="4" w:space="0" w:color="000000"/>
            </w:tcBorders>
            <w:shd w:val="clear" w:color="auto" w:fill="D4D4D4"/>
          </w:tcPr>
          <w:p>
            <w:pPr>
              <w:pStyle w:val="TableParagraph"/>
              <w:spacing w:line="246" w:lineRule="exact"/>
              <w:ind w:left="38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195" w:type="dxa"/>
            <w:vMerge w:val="restart"/>
            <w:tcBorders>
              <w:top w:val="single" w:sz="4" w:space="0" w:color="000000"/>
              <w:left w:val="single" w:sz="4" w:space="0" w:color="000000"/>
              <w:right w:val="single" w:sz="4" w:space="0" w:color="000000"/>
            </w:tcBorders>
            <w:shd w:val="clear" w:color="auto" w:fill="D4D4D4"/>
          </w:tcPr>
          <w:p>
            <w:pPr>
              <w:pStyle w:val="TableParagraph"/>
              <w:spacing w:line="246" w:lineRule="exact"/>
              <w:ind w:left="38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198" w:type="dxa"/>
            <w:vMerge/>
            <w:tcBorders>
              <w:left w:val="single" w:sz="4" w:space="0" w:color="000000"/>
              <w:bottom w:val="nil" w:sz="6" w:space="0" w:color="auto"/>
              <w:right w:val="single" w:sz="4" w:space="0" w:color="000000"/>
            </w:tcBorders>
            <w:shd w:val="clear" w:color="auto" w:fill="D4D4D4"/>
          </w:tcPr>
          <w:p>
            <w:pPr/>
          </w:p>
        </w:tc>
      </w:tr>
      <w:tr>
        <w:trPr>
          <w:trHeight w:val="155" w:hRule="exact"/>
        </w:trPr>
        <w:tc>
          <w:tcPr>
            <w:tcW w:w="1195" w:type="dxa"/>
            <w:tcBorders>
              <w:top w:val="nil" w:sz="6" w:space="0" w:color="auto"/>
              <w:left w:val="single" w:sz="4" w:space="0" w:color="000000"/>
              <w:bottom w:val="single" w:sz="4" w:space="0" w:color="000000"/>
              <w:right w:val="single" w:sz="4" w:space="0" w:color="000000"/>
            </w:tcBorders>
            <w:shd w:val="clear" w:color="auto" w:fill="D4D4D4"/>
          </w:tcPr>
          <w:p>
            <w:pPr/>
          </w:p>
        </w:tc>
        <w:tc>
          <w:tcPr>
            <w:tcW w:w="1198" w:type="dxa"/>
            <w:tcBorders>
              <w:top w:val="nil" w:sz="6" w:space="0" w:color="auto"/>
              <w:left w:val="single" w:sz="4" w:space="0" w:color="000000"/>
              <w:bottom w:val="single" w:sz="4" w:space="0" w:color="000000"/>
              <w:right w:val="single" w:sz="4" w:space="0" w:color="000000"/>
            </w:tcBorders>
            <w:shd w:val="clear" w:color="auto" w:fill="D4D4D4"/>
          </w:tcPr>
          <w:p>
            <w:pPr/>
          </w:p>
        </w:tc>
        <w:tc>
          <w:tcPr>
            <w:tcW w:w="1195" w:type="dxa"/>
            <w:vMerge/>
            <w:tcBorders>
              <w:left w:val="single" w:sz="4" w:space="0" w:color="000000"/>
              <w:bottom w:val="single" w:sz="4" w:space="0" w:color="000000"/>
              <w:right w:val="single" w:sz="4" w:space="0" w:color="000000"/>
            </w:tcBorders>
            <w:shd w:val="clear" w:color="auto" w:fill="D4D4D4"/>
          </w:tcPr>
          <w:p>
            <w:pPr/>
          </w:p>
        </w:tc>
        <w:tc>
          <w:tcPr>
            <w:tcW w:w="1195" w:type="dxa"/>
            <w:vMerge/>
            <w:tcBorders>
              <w:left w:val="single" w:sz="4" w:space="0" w:color="000000"/>
              <w:bottom w:val="single" w:sz="4" w:space="0" w:color="000000"/>
              <w:right w:val="single" w:sz="4" w:space="0" w:color="000000"/>
            </w:tcBorders>
            <w:shd w:val="clear" w:color="auto" w:fill="D4D4D4"/>
          </w:tcPr>
          <w:p>
            <w:pPr/>
          </w:p>
        </w:tc>
        <w:tc>
          <w:tcPr>
            <w:tcW w:w="1198" w:type="dxa"/>
            <w:vMerge/>
            <w:tcBorders>
              <w:left w:val="single" w:sz="4" w:space="0" w:color="000000"/>
              <w:bottom w:val="single" w:sz="4" w:space="0" w:color="000000"/>
              <w:right w:val="single" w:sz="4" w:space="0" w:color="000000"/>
            </w:tcBorders>
            <w:shd w:val="clear" w:color="auto" w:fill="D4D4D4"/>
          </w:tcPr>
          <w:p>
            <w:pPr/>
          </w:p>
        </w:tc>
        <w:tc>
          <w:tcPr>
            <w:tcW w:w="1195" w:type="dxa"/>
            <w:vMerge/>
            <w:tcBorders>
              <w:left w:val="single" w:sz="4" w:space="0" w:color="000000"/>
              <w:bottom w:val="single" w:sz="4" w:space="0" w:color="000000"/>
              <w:right w:val="single" w:sz="4" w:space="0" w:color="000000"/>
            </w:tcBorders>
            <w:shd w:val="clear" w:color="auto" w:fill="D4D4D4"/>
          </w:tcPr>
          <w:p>
            <w:pPr/>
          </w:p>
        </w:tc>
        <w:tc>
          <w:tcPr>
            <w:tcW w:w="1195" w:type="dxa"/>
            <w:vMerge/>
            <w:tcBorders>
              <w:left w:val="single" w:sz="4" w:space="0" w:color="000000"/>
              <w:bottom w:val="single" w:sz="4" w:space="0" w:color="000000"/>
              <w:right w:val="single" w:sz="4" w:space="0" w:color="000000"/>
            </w:tcBorders>
            <w:shd w:val="clear" w:color="auto" w:fill="D4D4D4"/>
          </w:tcPr>
          <w:p>
            <w:pPr/>
          </w:p>
        </w:tc>
        <w:tc>
          <w:tcPr>
            <w:tcW w:w="1198"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110" w:hRule="exact"/>
        </w:trPr>
        <w:tc>
          <w:tcPr>
            <w:tcW w:w="1195" w:type="dxa"/>
            <w:tcBorders>
              <w:top w:val="single" w:sz="4" w:space="0" w:color="000000"/>
              <w:left w:val="single" w:sz="4" w:space="0" w:color="000000"/>
              <w:bottom w:val="nil" w:sz="6" w:space="0" w:color="auto"/>
              <w:right w:val="single" w:sz="4" w:space="0" w:color="000000"/>
            </w:tcBorders>
            <w:shd w:val="clear" w:color="auto" w:fill="D4D4D4"/>
          </w:tcPr>
          <w:p>
            <w:pPr/>
          </w:p>
        </w:tc>
        <w:tc>
          <w:tcPr>
            <w:tcW w:w="1198" w:type="dxa"/>
            <w:vMerge w:val="restart"/>
            <w:tcBorders>
              <w:top w:val="single" w:sz="4" w:space="0" w:color="000000"/>
              <w:left w:val="single" w:sz="12" w:space="0" w:color="D4D4D4"/>
              <w:right w:val="single" w:sz="4" w:space="0" w:color="000000"/>
            </w:tcBorders>
          </w:tcPr>
          <w:p>
            <w:pPr>
              <w:pStyle w:val="TableParagraph"/>
              <w:spacing w:line="234" w:lineRule="exact"/>
              <w:ind w:right="19"/>
              <w:jc w:val="right"/>
              <w:rPr>
                <w:rFonts w:ascii="Times New Roman" w:hAnsi="Times New Roman" w:cs="Times New Roman" w:eastAsia="Times New Roman" w:hint="default"/>
                <w:sz w:val="21"/>
                <w:szCs w:val="21"/>
              </w:rPr>
            </w:pPr>
            <w:r>
              <w:rPr>
                <w:rFonts w:ascii="Times New Roman"/>
                <w:spacing w:val="-1"/>
                <w:sz w:val="21"/>
              </w:rPr>
              <w:t>88,000,000.0</w:t>
            </w:r>
          </w:p>
          <w:p>
            <w:pPr>
              <w:pStyle w:val="TableParagraph"/>
              <w:spacing w:line="241" w:lineRule="exact"/>
              <w:ind w:right="23"/>
              <w:jc w:val="right"/>
              <w:rPr>
                <w:rFonts w:ascii="Times New Roman" w:hAnsi="Times New Roman" w:cs="Times New Roman" w:eastAsia="Times New Roman" w:hint="default"/>
                <w:sz w:val="21"/>
                <w:szCs w:val="21"/>
              </w:rPr>
            </w:pPr>
            <w:r>
              <w:rPr>
                <w:rFonts w:ascii="Times New Roman"/>
                <w:w w:val="100"/>
                <w:sz w:val="21"/>
              </w:rPr>
              <w:t>0</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13"/>
              <w:ind w:right="17"/>
              <w:jc w:val="right"/>
              <w:rPr>
                <w:rFonts w:ascii="Times New Roman" w:hAnsi="Times New Roman" w:cs="Times New Roman" w:eastAsia="Times New Roman" w:hint="default"/>
                <w:sz w:val="21"/>
                <w:szCs w:val="21"/>
              </w:rPr>
            </w:pPr>
            <w:r>
              <w:rPr>
                <w:rFonts w:ascii="Times New Roman"/>
                <w:sz w:val="21"/>
              </w:rPr>
              <w:t>0.00</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13"/>
              <w:ind w:right="17"/>
              <w:jc w:val="right"/>
              <w:rPr>
                <w:rFonts w:ascii="Times New Roman" w:hAnsi="Times New Roman" w:cs="Times New Roman" w:eastAsia="Times New Roman" w:hint="default"/>
                <w:sz w:val="21"/>
                <w:szCs w:val="21"/>
              </w:rPr>
            </w:pPr>
            <w:r>
              <w:rPr>
                <w:rFonts w:ascii="Times New Roman"/>
                <w:sz w:val="21"/>
              </w:rPr>
              <w:t>0.00</w:t>
            </w:r>
          </w:p>
        </w:tc>
        <w:tc>
          <w:tcPr>
            <w:tcW w:w="1198" w:type="dxa"/>
            <w:vMerge w:val="restart"/>
            <w:tcBorders>
              <w:top w:val="single" w:sz="4" w:space="0" w:color="000000"/>
              <w:left w:val="single" w:sz="4" w:space="0" w:color="000000"/>
              <w:right w:val="single" w:sz="4" w:space="0" w:color="000000"/>
            </w:tcBorders>
          </w:tcPr>
          <w:p>
            <w:pPr>
              <w:pStyle w:val="TableParagraph"/>
              <w:spacing w:line="234" w:lineRule="exact"/>
              <w:ind w:right="19"/>
              <w:jc w:val="right"/>
              <w:rPr>
                <w:rFonts w:ascii="Times New Roman" w:hAnsi="Times New Roman" w:cs="Times New Roman" w:eastAsia="Times New Roman" w:hint="default"/>
                <w:sz w:val="21"/>
                <w:szCs w:val="21"/>
              </w:rPr>
            </w:pPr>
            <w:r>
              <w:rPr>
                <w:rFonts w:ascii="Times New Roman"/>
                <w:spacing w:val="-1"/>
                <w:sz w:val="21"/>
              </w:rPr>
              <w:t>70,400,000.0</w:t>
            </w:r>
          </w:p>
          <w:p>
            <w:pPr>
              <w:pStyle w:val="TableParagraph"/>
              <w:spacing w:line="241" w:lineRule="exact"/>
              <w:ind w:right="23"/>
              <w:jc w:val="right"/>
              <w:rPr>
                <w:rFonts w:ascii="Times New Roman" w:hAnsi="Times New Roman" w:cs="Times New Roman" w:eastAsia="Times New Roman" w:hint="default"/>
                <w:sz w:val="21"/>
                <w:szCs w:val="21"/>
              </w:rPr>
            </w:pPr>
            <w:r>
              <w:rPr>
                <w:rFonts w:ascii="Times New Roman"/>
                <w:w w:val="100"/>
                <w:sz w:val="21"/>
              </w:rPr>
              <w:t>0</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13"/>
              <w:ind w:right="17"/>
              <w:jc w:val="right"/>
              <w:rPr>
                <w:rFonts w:ascii="Times New Roman" w:hAnsi="Times New Roman" w:cs="Times New Roman" w:eastAsia="Times New Roman" w:hint="default"/>
                <w:sz w:val="21"/>
                <w:szCs w:val="21"/>
              </w:rPr>
            </w:pPr>
            <w:r>
              <w:rPr>
                <w:rFonts w:ascii="Times New Roman"/>
                <w:sz w:val="21"/>
              </w:rPr>
              <w:t>0.00</w:t>
            </w:r>
          </w:p>
        </w:tc>
        <w:tc>
          <w:tcPr>
            <w:tcW w:w="1195" w:type="dxa"/>
            <w:vMerge w:val="restart"/>
            <w:tcBorders>
              <w:top w:val="single" w:sz="4" w:space="0" w:color="000000"/>
              <w:left w:val="single" w:sz="4" w:space="0" w:color="000000"/>
              <w:right w:val="single" w:sz="4" w:space="0" w:color="000000"/>
            </w:tcBorders>
          </w:tcPr>
          <w:p>
            <w:pPr>
              <w:pStyle w:val="TableParagraph"/>
              <w:spacing w:line="234" w:lineRule="exact"/>
              <w:ind w:right="17"/>
              <w:jc w:val="right"/>
              <w:rPr>
                <w:rFonts w:ascii="Times New Roman" w:hAnsi="Times New Roman" w:cs="Times New Roman" w:eastAsia="Times New Roman" w:hint="default"/>
                <w:sz w:val="21"/>
                <w:szCs w:val="21"/>
              </w:rPr>
            </w:pPr>
            <w:r>
              <w:rPr>
                <w:rFonts w:ascii="Times New Roman"/>
                <w:spacing w:val="-1"/>
                <w:sz w:val="21"/>
              </w:rPr>
              <w:t>70,400,000.0</w:t>
            </w:r>
          </w:p>
          <w:p>
            <w:pPr>
              <w:pStyle w:val="TableParagraph"/>
              <w:spacing w:line="241" w:lineRule="exact"/>
              <w:ind w:right="19"/>
              <w:jc w:val="right"/>
              <w:rPr>
                <w:rFonts w:ascii="Times New Roman" w:hAnsi="Times New Roman" w:cs="Times New Roman" w:eastAsia="Times New Roman" w:hint="default"/>
                <w:sz w:val="21"/>
                <w:szCs w:val="21"/>
              </w:rPr>
            </w:pPr>
            <w:r>
              <w:rPr>
                <w:rFonts w:ascii="Times New Roman"/>
                <w:w w:val="100"/>
                <w:sz w:val="21"/>
              </w:rPr>
              <w:t>0</w:t>
            </w:r>
          </w:p>
        </w:tc>
        <w:tc>
          <w:tcPr>
            <w:tcW w:w="1198" w:type="dxa"/>
            <w:vMerge w:val="restart"/>
            <w:tcBorders>
              <w:top w:val="single" w:sz="4" w:space="0" w:color="000000"/>
              <w:left w:val="single" w:sz="4" w:space="0" w:color="000000"/>
              <w:right w:val="single" w:sz="4" w:space="0" w:color="000000"/>
            </w:tcBorders>
          </w:tcPr>
          <w:p>
            <w:pPr>
              <w:pStyle w:val="TableParagraph"/>
              <w:spacing w:line="234" w:lineRule="exact"/>
              <w:ind w:right="19"/>
              <w:jc w:val="right"/>
              <w:rPr>
                <w:rFonts w:ascii="Times New Roman" w:hAnsi="Times New Roman" w:cs="Times New Roman" w:eastAsia="Times New Roman" w:hint="default"/>
                <w:sz w:val="21"/>
                <w:szCs w:val="21"/>
              </w:rPr>
            </w:pPr>
            <w:r>
              <w:rPr>
                <w:rFonts w:ascii="Times New Roman"/>
                <w:spacing w:val="-1"/>
                <w:sz w:val="21"/>
              </w:rPr>
              <w:t>158,400,000.</w:t>
            </w:r>
          </w:p>
          <w:p>
            <w:pPr>
              <w:pStyle w:val="TableParagraph"/>
              <w:spacing w:line="241" w:lineRule="exact"/>
              <w:ind w:right="23"/>
              <w:jc w:val="right"/>
              <w:rPr>
                <w:rFonts w:ascii="Times New Roman" w:hAnsi="Times New Roman" w:cs="Times New Roman" w:eastAsia="Times New Roman" w:hint="default"/>
                <w:sz w:val="21"/>
                <w:szCs w:val="21"/>
              </w:rPr>
            </w:pPr>
            <w:r>
              <w:rPr>
                <w:rFonts w:ascii="Times New Roman"/>
                <w:sz w:val="21"/>
              </w:rPr>
              <w:t>00</w:t>
            </w:r>
          </w:p>
        </w:tc>
      </w:tr>
      <w:tr>
        <w:trPr>
          <w:trHeight w:val="382" w:hRule="exact"/>
        </w:trPr>
        <w:tc>
          <w:tcPr>
            <w:tcW w:w="1195" w:type="dxa"/>
            <w:tcBorders>
              <w:top w:val="nil" w:sz="6" w:space="0" w:color="auto"/>
              <w:left w:val="single" w:sz="4" w:space="0" w:color="000000"/>
              <w:bottom w:val="single" w:sz="4" w:space="0" w:color="000000"/>
              <w:right w:val="single" w:sz="4" w:space="0" w:color="000000"/>
            </w:tcBorders>
            <w:shd w:val="clear" w:color="auto" w:fill="D4D4D4"/>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股份总数</w:t>
            </w:r>
          </w:p>
        </w:tc>
        <w:tc>
          <w:tcPr>
            <w:tcW w:w="1198" w:type="dxa"/>
            <w:vMerge/>
            <w:tcBorders>
              <w:left w:val="single" w:sz="12" w:space="0" w:color="D4D4D4"/>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r>
    </w:tbl>
    <w:p>
      <w:pPr>
        <w:pStyle w:val="BodyText"/>
        <w:spacing w:line="262" w:lineRule="exact"/>
        <w:ind w:right="0"/>
        <w:jc w:val="left"/>
      </w:pPr>
      <w:r>
        <w:rPr/>
        <w:t>其他说明：</w:t>
      </w:r>
    </w:p>
    <w:p>
      <w:pPr>
        <w:pStyle w:val="BodyText"/>
        <w:spacing w:line="240" w:lineRule="auto" w:before="37"/>
        <w:ind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56"/>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日经</w:t>
      </w:r>
      <w:r>
        <w:rPr>
          <w:spacing w:val="-54"/>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年度股东大会决议，公司以资本公积转增股本，以总股本</w:t>
      </w:r>
      <w:r>
        <w:rPr>
          <w:spacing w:val="-55"/>
        </w:rPr>
        <w:t> </w:t>
      </w:r>
      <w:r>
        <w:rPr>
          <w:rFonts w:ascii="Times New Roman" w:hAnsi="Times New Roman" w:cs="Times New Roman" w:eastAsia="Times New Roman" w:hint="default"/>
        </w:rPr>
        <w:t>8,800</w:t>
      </w:r>
      <w:r>
        <w:rPr>
          <w:rFonts w:ascii="Times New Roman" w:hAnsi="Times New Roman" w:cs="Times New Roman" w:eastAsia="Times New Roman" w:hint="default"/>
          <w:spacing w:val="-4"/>
        </w:rPr>
        <w:t> </w:t>
      </w:r>
      <w:r>
        <w:rPr/>
        <w:t>万股为基数，</w:t>
      </w:r>
    </w:p>
    <w:p>
      <w:pPr>
        <w:pStyle w:val="BodyText"/>
        <w:spacing w:line="240" w:lineRule="auto" w:before="21"/>
        <w:ind w:left="153" w:right="0"/>
        <w:jc w:val="left"/>
      </w:pPr>
      <w:r>
        <w:rPr/>
        <w:t>向全体股东每</w:t>
      </w:r>
      <w:r>
        <w:rPr>
          <w:spacing w:val="-53"/>
        </w:rPr>
        <w:t> </w:t>
      </w:r>
      <w:r>
        <w:rPr>
          <w:rFonts w:ascii="Times New Roman" w:hAnsi="Times New Roman" w:cs="Times New Roman" w:eastAsia="Times New Roman" w:hint="default"/>
        </w:rPr>
        <w:t>10 </w:t>
      </w:r>
      <w:r>
        <w:rPr/>
        <w:t>股转增</w:t>
      </w:r>
      <w:r>
        <w:rPr>
          <w:spacing w:val="-55"/>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股，共转增</w:t>
      </w:r>
      <w:r>
        <w:rPr>
          <w:spacing w:val="-53"/>
        </w:rPr>
        <w:t> </w:t>
      </w:r>
      <w:r>
        <w:rPr>
          <w:rFonts w:ascii="Times New Roman" w:hAnsi="Times New Roman" w:cs="Times New Roman" w:eastAsia="Times New Roman" w:hint="default"/>
        </w:rPr>
        <w:t>7,040 </w:t>
      </w:r>
      <w:r>
        <w:rPr/>
        <w:t>万股。</w:t>
      </w:r>
    </w:p>
    <w:p>
      <w:pPr>
        <w:spacing w:line="240" w:lineRule="auto" w:before="7"/>
        <w:rPr>
          <w:rFonts w:ascii="宋体" w:hAnsi="宋体" w:cs="宋体" w:eastAsia="宋体" w:hint="default"/>
          <w:sz w:val="24"/>
          <w:szCs w:val="24"/>
        </w:rPr>
      </w:pPr>
    </w:p>
    <w:p>
      <w:pPr>
        <w:pStyle w:val="Heading5"/>
        <w:spacing w:line="240" w:lineRule="auto"/>
        <w:ind w:right="0"/>
        <w:jc w:val="left"/>
        <w:rPr>
          <w:b w:val="0"/>
          <w:bCs w:val="0"/>
        </w:rPr>
      </w:pPr>
      <w:bookmarkStart w:name="29、资本公积" w:id="236"/>
      <w:bookmarkEnd w:id="236"/>
      <w:r>
        <w:rPr>
          <w:b w:val="0"/>
          <w:bCs w:val="0"/>
        </w:rPr>
      </w:r>
      <w:r>
        <w:rPr>
          <w:rFonts w:ascii="Times New Roman" w:hAnsi="Times New Roman" w:cs="Times New Roman" w:eastAsia="Times New Roman" w:hint="default"/>
        </w:rPr>
        <w:t>29</w:t>
      </w:r>
      <w:r>
        <w:rPr/>
        <w:t>、资本公积</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left="0" w:right="150"/>
        <w:jc w:val="right"/>
      </w:pPr>
      <w:r>
        <w:rPr/>
        <w:t>单位：</w:t>
      </w:r>
      <w:r>
        <w:rPr>
          <w:spacing w:val="2"/>
        </w:rPr>
        <w:t> </w:t>
      </w:r>
      <w:r>
        <w:rPr/>
        <w:t>元</w:t>
      </w:r>
    </w:p>
    <w:p>
      <w:pPr>
        <w:spacing w:line="240" w:lineRule="auto" w:before="10"/>
        <w:rPr>
          <w:rFonts w:ascii="宋体" w:hAnsi="宋体" w:cs="宋体" w:eastAsia="宋体" w:hint="default"/>
          <w:sz w:val="3"/>
          <w:szCs w:val="3"/>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5"/>
        <w:gridCol w:w="1913"/>
        <w:gridCol w:w="1915"/>
      </w:tblGrid>
      <w:tr>
        <w:trPr>
          <w:trHeight w:val="28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54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53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53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53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9" w:lineRule="exact"/>
              <w:ind w:left="12" w:right="0"/>
              <w:jc w:val="left"/>
              <w:rPr>
                <w:rFonts w:ascii="宋体" w:hAnsi="宋体" w:cs="宋体" w:eastAsia="宋体" w:hint="default"/>
                <w:sz w:val="21"/>
                <w:szCs w:val="21"/>
              </w:rPr>
            </w:pPr>
            <w:r>
              <w:rPr>
                <w:rFonts w:ascii="宋体" w:hAnsi="宋体" w:cs="宋体" w:eastAsia="宋体" w:hint="default"/>
                <w:sz w:val="21"/>
                <w:szCs w:val="21"/>
              </w:rPr>
              <w:t>资本溢价（股本溢</w:t>
            </w:r>
          </w:p>
          <w:p>
            <w:pPr>
              <w:pStyle w:val="TableParagraph"/>
              <w:spacing w:line="273" w:lineRule="exact"/>
              <w:ind w:left="12" w:right="0"/>
              <w:jc w:val="left"/>
              <w:rPr>
                <w:rFonts w:ascii="宋体" w:hAnsi="宋体" w:cs="宋体" w:eastAsia="宋体" w:hint="default"/>
                <w:sz w:val="21"/>
                <w:szCs w:val="21"/>
              </w:rPr>
            </w:pPr>
            <w:r>
              <w:rPr>
                <w:rFonts w:ascii="宋体" w:hAnsi="宋体" w:cs="宋体" w:eastAsia="宋体" w:hint="default"/>
                <w:sz w:val="21"/>
                <w:szCs w:val="21"/>
              </w:rPr>
              <w:t>价）</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144"/>
              <w:ind w:left="571" w:right="0"/>
              <w:jc w:val="left"/>
              <w:rPr>
                <w:rFonts w:ascii="Times New Roman" w:hAnsi="Times New Roman" w:cs="Times New Roman" w:eastAsia="Times New Roman" w:hint="default"/>
                <w:sz w:val="21"/>
                <w:szCs w:val="21"/>
              </w:rPr>
            </w:pPr>
            <w:r>
              <w:rPr>
                <w:rFonts w:ascii="Times New Roman"/>
                <w:sz w:val="21"/>
              </w:rPr>
              <w:t>132,980,990.76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z w:val="21"/>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70,400,000.00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62,580,990.76</w:t>
            </w:r>
          </w:p>
        </w:tc>
      </w:tr>
      <w:tr>
        <w:trPr>
          <w:trHeight w:val="28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10"/>
              <w:ind w:left="571" w:right="0"/>
              <w:jc w:val="left"/>
              <w:rPr>
                <w:rFonts w:ascii="Times New Roman" w:hAnsi="Times New Roman" w:cs="Times New Roman" w:eastAsia="Times New Roman" w:hint="default"/>
                <w:sz w:val="21"/>
                <w:szCs w:val="21"/>
              </w:rPr>
            </w:pPr>
            <w:r>
              <w:rPr>
                <w:rFonts w:ascii="Times New Roman"/>
                <w:sz w:val="21"/>
              </w:rPr>
              <w:t>132,980,990.76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z w:val="21"/>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70,400,000.00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62,580,990.76</w:t>
            </w:r>
          </w:p>
        </w:tc>
      </w:tr>
    </w:tbl>
    <w:p>
      <w:pPr>
        <w:pStyle w:val="BodyText"/>
        <w:spacing w:line="262" w:lineRule="exact"/>
        <w:ind w:right="0"/>
        <w:jc w:val="left"/>
      </w:pPr>
      <w:r>
        <w:rPr/>
        <w:t>其他说明，包括本期增减变动情况、变动原因说明：</w:t>
      </w:r>
    </w:p>
    <w:p>
      <w:pPr>
        <w:pStyle w:val="BodyText"/>
        <w:spacing w:line="240" w:lineRule="auto" w:before="37"/>
        <w:ind w:right="0"/>
        <w:jc w:val="left"/>
      </w:pPr>
      <w:r>
        <w:rPr>
          <w:rFonts w:ascii="Times New Roman" w:hAnsi="Times New Roman" w:cs="Times New Roman" w:eastAsia="Times New Roman" w:hint="default"/>
        </w:rPr>
        <w:t>1</w:t>
      </w:r>
      <w:r>
        <w:rPr/>
        <w:t>、资本公积本期减少的原因是</w:t>
      </w:r>
      <w:r>
        <w:rPr>
          <w:spacing w:val="-5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日经</w:t>
      </w:r>
      <w:r>
        <w:rPr>
          <w:spacing w:val="-56"/>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年度股东大会决议，公司以资本公积转增股本，</w:t>
      </w:r>
    </w:p>
    <w:p>
      <w:pPr>
        <w:pStyle w:val="BodyText"/>
        <w:spacing w:line="240" w:lineRule="auto" w:before="21"/>
        <w:ind w:left="153" w:right="0"/>
        <w:jc w:val="left"/>
      </w:pPr>
      <w:r>
        <w:rPr/>
        <w:t>减少资本公积</w:t>
      </w:r>
      <w:r>
        <w:rPr>
          <w:spacing w:val="-53"/>
        </w:rPr>
        <w:t> </w:t>
      </w:r>
      <w:r>
        <w:rPr>
          <w:rFonts w:ascii="Times New Roman" w:hAnsi="Times New Roman" w:cs="Times New Roman" w:eastAsia="Times New Roman" w:hint="default"/>
        </w:rPr>
        <w:t>7,040.00 </w:t>
      </w:r>
      <w:r>
        <w:rPr/>
        <w:t>万元。</w:t>
      </w:r>
    </w:p>
    <w:p>
      <w:pPr>
        <w:spacing w:line="240" w:lineRule="auto" w:before="7"/>
        <w:rPr>
          <w:rFonts w:ascii="宋体" w:hAnsi="宋体" w:cs="宋体" w:eastAsia="宋体" w:hint="default"/>
          <w:sz w:val="24"/>
          <w:szCs w:val="24"/>
        </w:rPr>
      </w:pPr>
    </w:p>
    <w:p>
      <w:pPr>
        <w:pStyle w:val="Heading5"/>
        <w:spacing w:line="240" w:lineRule="auto"/>
        <w:ind w:right="0"/>
        <w:jc w:val="left"/>
        <w:rPr>
          <w:b w:val="0"/>
          <w:bCs w:val="0"/>
        </w:rPr>
      </w:pPr>
      <w:bookmarkStart w:name="30、盈余公积" w:id="237"/>
      <w:bookmarkEnd w:id="237"/>
      <w:r>
        <w:rPr>
          <w:b w:val="0"/>
          <w:bCs w:val="0"/>
        </w:rPr>
      </w:r>
      <w:r>
        <w:rPr>
          <w:rFonts w:ascii="Times New Roman" w:hAnsi="Times New Roman" w:cs="Times New Roman" w:eastAsia="Times New Roman" w:hint="default"/>
        </w:rPr>
        <w:t>30</w:t>
      </w:r>
      <w:r>
        <w:rPr/>
        <w:t>、盈余公积</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left="0" w:right="150"/>
        <w:jc w:val="right"/>
      </w:pPr>
      <w:r>
        <w:rPr/>
        <w:t>单位：</w:t>
      </w:r>
      <w:r>
        <w:rPr>
          <w:spacing w:val="2"/>
        </w:rPr>
        <w:t> </w:t>
      </w:r>
      <w:r>
        <w:rPr/>
        <w:t>元</w:t>
      </w:r>
    </w:p>
    <w:p>
      <w:pPr>
        <w:spacing w:line="240" w:lineRule="auto" w:before="10"/>
        <w:rPr>
          <w:rFonts w:ascii="宋体" w:hAnsi="宋体" w:cs="宋体" w:eastAsia="宋体" w:hint="default"/>
          <w:sz w:val="3"/>
          <w:szCs w:val="3"/>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5"/>
        <w:gridCol w:w="1913"/>
        <w:gridCol w:w="1915"/>
      </w:tblGrid>
      <w:tr>
        <w:trPr>
          <w:trHeight w:val="28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54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53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53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53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2"/>
                <w:sz w:val="21"/>
              </w:rPr>
              <w:t>11,736,079.47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2,290,759.50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z w:val="21"/>
              </w:rPr>
              <w:t>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14,026,838.97</w:t>
            </w:r>
          </w:p>
        </w:tc>
      </w:tr>
      <w:tr>
        <w:trPr>
          <w:trHeight w:val="28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2"/>
                <w:sz w:val="21"/>
              </w:rPr>
              <w:t>11,736,079.47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2,290,759.50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z w:val="21"/>
              </w:rPr>
              <w:t>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14,026,838.97</w:t>
            </w:r>
          </w:p>
        </w:tc>
      </w:tr>
    </w:tbl>
    <w:p>
      <w:pPr>
        <w:pStyle w:val="BodyText"/>
        <w:spacing w:line="262" w:lineRule="exact"/>
        <w:ind w:right="0"/>
        <w:jc w:val="left"/>
      </w:pPr>
      <w:r>
        <w:rPr/>
        <w:t>盈余公积说明，包括本期增减变动情况、变动原因说明：</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bookmarkStart w:name="31、未分配利润" w:id="238"/>
      <w:bookmarkEnd w:id="238"/>
      <w:r>
        <w:rPr>
          <w:b w:val="0"/>
          <w:bCs w:val="0"/>
        </w:rPr>
      </w:r>
      <w:r>
        <w:rPr>
          <w:rFonts w:ascii="Times New Roman" w:hAnsi="Times New Roman" w:cs="Times New Roman" w:eastAsia="Times New Roman" w:hint="default"/>
        </w:rPr>
        <w:t>31</w:t>
      </w:r>
      <w:r>
        <w:rPr/>
        <w:t>、未分配利润</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36"/>
        <w:ind w:left="0" w:right="150"/>
        <w:jc w:val="right"/>
      </w:pPr>
      <w:r>
        <w:rPr/>
        <w:t>单位：</w:t>
      </w:r>
      <w:r>
        <w:rPr>
          <w:spacing w:val="2"/>
        </w:rPr>
        <w:t> </w:t>
      </w:r>
      <w:r>
        <w:rPr/>
        <w:t>元</w:t>
      </w:r>
    </w:p>
    <w:p>
      <w:pPr>
        <w:spacing w:line="240" w:lineRule="auto" w:before="10"/>
        <w:rPr>
          <w:rFonts w:ascii="宋体" w:hAnsi="宋体" w:cs="宋体" w:eastAsia="宋体" w:hint="default"/>
          <w:sz w:val="3"/>
          <w:szCs w:val="3"/>
        </w:rPr>
      </w:pPr>
    </w:p>
    <w:tbl>
      <w:tblPr>
        <w:tblW w:w="0" w:type="auto"/>
        <w:jc w:val="left"/>
        <w:tblInd w:w="160" w:type="dxa"/>
        <w:tblLayout w:type="fixed"/>
        <w:tblCellMar>
          <w:top w:w="0" w:type="dxa"/>
          <w:left w:w="0" w:type="dxa"/>
          <w:bottom w:w="0" w:type="dxa"/>
          <w:right w:w="0" w:type="dxa"/>
        </w:tblCellMar>
        <w:tblLook w:val="01E0"/>
      </w:tblPr>
      <w:tblGrid>
        <w:gridCol w:w="3702"/>
        <w:gridCol w:w="2934"/>
        <w:gridCol w:w="2918"/>
      </w:tblGrid>
      <w:tr>
        <w:trPr>
          <w:trHeight w:val="283" w:hRule="exact"/>
        </w:trPr>
        <w:tc>
          <w:tcPr>
            <w:tcW w:w="3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5" w:right="0"/>
              <w:jc w:val="center"/>
              <w:rPr>
                <w:rFonts w:ascii="宋体" w:hAnsi="宋体" w:cs="宋体" w:eastAsia="宋体" w:hint="default"/>
                <w:sz w:val="21"/>
                <w:szCs w:val="21"/>
              </w:rPr>
            </w:pPr>
            <w:r>
              <w:rPr>
                <w:rFonts w:ascii="宋体" w:hAnsi="宋体" w:cs="宋体" w:eastAsia="宋体" w:hint="default"/>
                <w:sz w:val="21"/>
                <w:szCs w:val="21"/>
              </w:rPr>
              <w:t>本期</w:t>
            </w:r>
          </w:p>
        </w:tc>
        <w:tc>
          <w:tcPr>
            <w:tcW w:w="29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9" w:right="0"/>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283" w:hRule="exact"/>
        </w:trPr>
        <w:tc>
          <w:tcPr>
            <w:tcW w:w="3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p>
        </w:tc>
        <w:tc>
          <w:tcPr>
            <w:tcW w:w="293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0"/>
              <w:ind w:left="1689" w:right="0"/>
              <w:jc w:val="left"/>
              <w:rPr>
                <w:rFonts w:ascii="Times New Roman" w:hAnsi="Times New Roman" w:cs="Times New Roman" w:eastAsia="Times New Roman" w:hint="default"/>
                <w:sz w:val="21"/>
                <w:szCs w:val="21"/>
              </w:rPr>
            </w:pPr>
            <w:r>
              <w:rPr>
                <w:rFonts w:ascii="Times New Roman"/>
                <w:sz w:val="21"/>
              </w:rPr>
              <w:t>86,282,907.86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682" w:right="0"/>
              <w:jc w:val="left"/>
              <w:rPr>
                <w:rFonts w:ascii="Times New Roman" w:hAnsi="Times New Roman" w:cs="Times New Roman" w:eastAsia="Times New Roman" w:hint="default"/>
                <w:sz w:val="21"/>
                <w:szCs w:val="21"/>
              </w:rPr>
            </w:pPr>
            <w:r>
              <w:rPr>
                <w:rFonts w:ascii="Times New Roman"/>
                <w:sz w:val="21"/>
              </w:rPr>
              <w:t>65,208,605.62</w:t>
            </w:r>
          </w:p>
        </w:tc>
      </w:tr>
    </w:tbl>
    <w:p>
      <w:pPr>
        <w:spacing w:after="0" w:line="240" w:lineRule="auto"/>
        <w:jc w:val="left"/>
        <w:rPr>
          <w:rFonts w:ascii="Times New Roman" w:hAnsi="Times New Roman" w:cs="Times New Roman" w:eastAsia="Times New Roman" w:hint="default"/>
          <w:sz w:val="21"/>
          <w:szCs w:val="21"/>
        </w:rPr>
        <w:sectPr>
          <w:pgSz w:w="11910" w:h="16840"/>
          <w:pgMar w:header="880" w:footer="979" w:top="1060" w:bottom="1160" w:left="980" w:right="98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724"/>
        <w:gridCol w:w="2923"/>
        <w:gridCol w:w="2918"/>
      </w:tblGrid>
      <w:tr>
        <w:trPr>
          <w:trHeight w:val="283" w:hRule="exact"/>
        </w:trPr>
        <w:tc>
          <w:tcPr>
            <w:tcW w:w="37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86,282,907.86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4"/>
              <w:jc w:val="right"/>
              <w:rPr>
                <w:rFonts w:ascii="Times New Roman" w:hAnsi="Times New Roman" w:cs="Times New Roman" w:eastAsia="Times New Roman" w:hint="default"/>
                <w:sz w:val="21"/>
                <w:szCs w:val="21"/>
              </w:rPr>
            </w:pPr>
            <w:r>
              <w:rPr>
                <w:rFonts w:ascii="Times New Roman"/>
                <w:spacing w:val="-1"/>
                <w:sz w:val="21"/>
              </w:rPr>
              <w:t>65,208,605.62</w:t>
            </w:r>
          </w:p>
        </w:tc>
      </w:tr>
      <w:tr>
        <w:trPr>
          <w:trHeight w:val="283" w:hRule="exact"/>
        </w:trPr>
        <w:tc>
          <w:tcPr>
            <w:tcW w:w="37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加：本期归属于母公司所有者的净利润</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22,523,905.35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4"/>
              <w:jc w:val="right"/>
              <w:rPr>
                <w:rFonts w:ascii="Times New Roman" w:hAnsi="Times New Roman" w:cs="Times New Roman" w:eastAsia="Times New Roman" w:hint="default"/>
                <w:sz w:val="21"/>
                <w:szCs w:val="21"/>
              </w:rPr>
            </w:pPr>
            <w:r>
              <w:rPr>
                <w:rFonts w:ascii="Times New Roman"/>
                <w:spacing w:val="-1"/>
                <w:sz w:val="21"/>
              </w:rPr>
              <w:t>23,311,990.32</w:t>
            </w:r>
          </w:p>
        </w:tc>
      </w:tr>
      <w:tr>
        <w:trPr>
          <w:trHeight w:val="283" w:hRule="exact"/>
        </w:trPr>
        <w:tc>
          <w:tcPr>
            <w:tcW w:w="37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2,290,759.50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4"/>
              <w:jc w:val="right"/>
              <w:rPr>
                <w:rFonts w:ascii="Times New Roman" w:hAnsi="Times New Roman" w:cs="Times New Roman" w:eastAsia="Times New Roman" w:hint="default"/>
                <w:sz w:val="21"/>
                <w:szCs w:val="21"/>
              </w:rPr>
            </w:pPr>
            <w:r>
              <w:rPr>
                <w:rFonts w:ascii="Times New Roman"/>
                <w:spacing w:val="-1"/>
                <w:sz w:val="21"/>
              </w:rPr>
              <w:t>2,237,688.08</w:t>
            </w:r>
          </w:p>
        </w:tc>
      </w:tr>
      <w:tr>
        <w:trPr>
          <w:trHeight w:val="283" w:hRule="exact"/>
        </w:trPr>
        <w:tc>
          <w:tcPr>
            <w:tcW w:w="37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45"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5,280,000.00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101,236,053.71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4"/>
              <w:jc w:val="right"/>
              <w:rPr>
                <w:rFonts w:ascii="Times New Roman" w:hAnsi="Times New Roman" w:cs="Times New Roman" w:eastAsia="Times New Roman" w:hint="default"/>
                <w:sz w:val="21"/>
                <w:szCs w:val="21"/>
              </w:rPr>
            </w:pPr>
            <w:r>
              <w:rPr>
                <w:rFonts w:ascii="Times New Roman"/>
                <w:spacing w:val="-1"/>
                <w:sz w:val="21"/>
              </w:rPr>
              <w:t>86,282,907.86</w:t>
            </w:r>
          </w:p>
        </w:tc>
      </w:tr>
    </w:tbl>
    <w:p>
      <w:pPr>
        <w:pStyle w:val="BodyText"/>
        <w:spacing w:line="262" w:lineRule="exact"/>
        <w:ind w:right="0"/>
        <w:jc w:val="left"/>
      </w:pPr>
      <w:r>
        <w:rPr/>
        <w:t>调整期初未分配利润明细：</w:t>
      </w:r>
    </w:p>
    <w:p>
      <w:pPr>
        <w:pStyle w:val="BodyText"/>
        <w:spacing w:line="240" w:lineRule="auto" w:before="37"/>
        <w:ind w:right="0"/>
        <w:jc w:val="left"/>
      </w:pPr>
      <w:r>
        <w:rPr>
          <w:rFonts w:ascii="Times New Roman" w:hAnsi="Times New Roman" w:cs="Times New Roman" w:eastAsia="Times New Roman" w:hint="default"/>
        </w:rPr>
        <w:t>1)</w:t>
      </w:r>
      <w:r>
        <w:rPr/>
        <w:t>、由于《企业会计准则》及其相关新规定进行追溯调整，影响期初未分配利润</w:t>
      </w:r>
      <w:r>
        <w:rPr>
          <w:spacing w:val="-5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4"/>
        </w:rPr>
        <w:t> </w:t>
      </w:r>
      <w:r>
        <w:rPr/>
        <w:t>元。</w:t>
      </w:r>
    </w:p>
    <w:p>
      <w:pPr>
        <w:pStyle w:val="BodyText"/>
        <w:spacing w:line="240" w:lineRule="auto" w:before="21"/>
        <w:ind w:left="153" w:right="0"/>
        <w:jc w:val="left"/>
      </w:pPr>
      <w:r>
        <w:rPr>
          <w:rFonts w:ascii="Times New Roman" w:hAnsi="Times New Roman" w:cs="Times New Roman" w:eastAsia="Times New Roman" w:hint="default"/>
        </w:rPr>
        <w:t>2)</w:t>
      </w:r>
      <w:r>
        <w:rPr/>
        <w:t>、由于会计政策变更，影响期初未分配利润</w:t>
      </w:r>
      <w:r>
        <w:rPr>
          <w:spacing w:val="-5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4"/>
        </w:rPr>
        <w:t> </w:t>
      </w:r>
      <w:r>
        <w:rPr/>
        <w:t>元。</w:t>
      </w:r>
    </w:p>
    <w:p>
      <w:pPr>
        <w:pStyle w:val="BodyText"/>
        <w:spacing w:line="240" w:lineRule="auto" w:before="21"/>
        <w:ind w:left="153" w:right="0"/>
        <w:jc w:val="left"/>
      </w:pPr>
      <w:r>
        <w:rPr>
          <w:rFonts w:ascii="Times New Roman" w:hAnsi="Times New Roman" w:cs="Times New Roman" w:eastAsia="Times New Roman" w:hint="default"/>
        </w:rPr>
        <w:t>3)</w:t>
      </w:r>
      <w:r>
        <w:rPr/>
        <w:t>、由于重大会计差错更正，影响期初未分配利润</w:t>
      </w:r>
      <w:r>
        <w:rPr>
          <w:spacing w:val="-5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3"/>
        </w:rPr>
        <w:t> </w:t>
      </w:r>
      <w:r>
        <w:rPr/>
        <w:t>元。</w:t>
      </w:r>
    </w:p>
    <w:p>
      <w:pPr>
        <w:pStyle w:val="BodyText"/>
        <w:spacing w:line="240" w:lineRule="auto" w:before="21"/>
        <w:ind w:left="153" w:right="0"/>
        <w:jc w:val="left"/>
      </w:pPr>
      <w:r>
        <w:rPr>
          <w:rFonts w:ascii="Times New Roman" w:hAnsi="Times New Roman" w:cs="Times New Roman" w:eastAsia="Times New Roman" w:hint="default"/>
        </w:rPr>
        <w:t>4)</w:t>
      </w:r>
      <w:r>
        <w:rPr/>
        <w:t>、由于同一控制导致的合并范围变更，影响期初未分配利润</w:t>
      </w:r>
      <w:r>
        <w:rPr>
          <w:spacing w:val="-5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2"/>
        </w:rPr>
        <w:t> </w:t>
      </w:r>
      <w:r>
        <w:rPr>
          <w:spacing w:val="-3"/>
        </w:rPr>
        <w:t>元。</w:t>
      </w:r>
      <w:r>
        <w:rPr/>
      </w:r>
    </w:p>
    <w:p>
      <w:pPr>
        <w:pStyle w:val="BodyText"/>
        <w:spacing w:line="240" w:lineRule="auto" w:before="21"/>
        <w:ind w:left="153" w:right="0"/>
        <w:jc w:val="left"/>
      </w:pPr>
      <w:r>
        <w:rPr>
          <w:rFonts w:ascii="Times New Roman" w:hAnsi="Times New Roman" w:cs="Times New Roman" w:eastAsia="Times New Roman" w:hint="default"/>
        </w:rPr>
        <w:t>5)</w:t>
      </w:r>
      <w:r>
        <w:rPr/>
        <w:t>、其他调整合计影响期初未分配利润</w:t>
      </w:r>
      <w:r>
        <w:rPr>
          <w:spacing w:val="-5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3"/>
        </w:rPr>
        <w:t> </w:t>
      </w:r>
      <w:r>
        <w:rPr/>
        <w:t>元。</w:t>
      </w:r>
    </w:p>
    <w:p>
      <w:pPr>
        <w:spacing w:line="240" w:lineRule="auto" w:before="8"/>
        <w:rPr>
          <w:rFonts w:ascii="宋体" w:hAnsi="宋体" w:cs="宋体" w:eastAsia="宋体" w:hint="default"/>
          <w:sz w:val="24"/>
          <w:szCs w:val="24"/>
        </w:rPr>
      </w:pPr>
    </w:p>
    <w:p>
      <w:pPr>
        <w:pStyle w:val="Heading5"/>
        <w:spacing w:line="240" w:lineRule="auto"/>
        <w:ind w:right="0"/>
        <w:jc w:val="left"/>
        <w:rPr>
          <w:b w:val="0"/>
          <w:bCs w:val="0"/>
        </w:rPr>
      </w:pPr>
      <w:bookmarkStart w:name="32、营业收入和营业成本" w:id="239"/>
      <w:bookmarkEnd w:id="239"/>
      <w:r>
        <w:rPr>
          <w:b w:val="0"/>
          <w:bCs w:val="0"/>
        </w:rPr>
      </w:r>
      <w:r>
        <w:rPr>
          <w:rFonts w:ascii="Times New Roman" w:hAnsi="Times New Roman" w:cs="Times New Roman" w:eastAsia="Times New Roman" w:hint="default"/>
        </w:rPr>
        <w:t>32</w:t>
      </w:r>
      <w:r>
        <w:rPr/>
        <w:t>、营业收入和营业成本</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36"/>
        <w:ind w:left="0" w:right="150"/>
        <w:jc w:val="right"/>
      </w:pPr>
      <w:r>
        <w:rPr/>
        <w:t>单位：</w:t>
      </w:r>
      <w:r>
        <w:rPr>
          <w:spacing w:val="2"/>
        </w:rPr>
        <w:t> </w:t>
      </w:r>
      <w:r>
        <w:rPr/>
        <w:t>元</w:t>
      </w:r>
    </w:p>
    <w:p>
      <w:pPr>
        <w:spacing w:line="240" w:lineRule="auto" w:before="10"/>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146" w:hRule="exact"/>
        </w:trPr>
        <w:tc>
          <w:tcPr>
            <w:tcW w:w="1913" w:type="dxa"/>
            <w:tcBorders>
              <w:top w:val="single" w:sz="4" w:space="0" w:color="000000"/>
              <w:left w:val="single" w:sz="4" w:space="0" w:color="000000"/>
              <w:bottom w:val="nil" w:sz="6" w:space="0" w:color="auto"/>
              <w:right w:val="single" w:sz="4" w:space="0" w:color="000000"/>
            </w:tcBorders>
            <w:shd w:val="clear" w:color="auto" w:fill="D4D4D4"/>
          </w:tcPr>
          <w:p>
            <w:pPr/>
          </w:p>
        </w:tc>
        <w:tc>
          <w:tcPr>
            <w:tcW w:w="3830"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132" w:hRule="exact"/>
        </w:trPr>
        <w:tc>
          <w:tcPr>
            <w:tcW w:w="1913" w:type="dxa"/>
            <w:vMerge w:val="restart"/>
            <w:tcBorders>
              <w:top w:val="nil" w:sz="6" w:space="0" w:color="auto"/>
              <w:left w:val="single" w:sz="4" w:space="0" w:color="000000"/>
              <w:right w:val="single" w:sz="4" w:space="0" w:color="000000"/>
            </w:tcBorders>
            <w:shd w:val="clear" w:color="auto" w:fill="D4D4D4"/>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830" w:type="dxa"/>
            <w:gridSpan w:val="2"/>
            <w:vMerge/>
            <w:tcBorders>
              <w:left w:val="single" w:sz="4" w:space="0" w:color="000000"/>
              <w:bottom w:val="single" w:sz="4" w:space="0" w:color="000000"/>
              <w:right w:val="single" w:sz="4" w:space="0" w:color="000000"/>
            </w:tcBorders>
            <w:shd w:val="clear" w:color="auto" w:fill="D4D4D4"/>
          </w:tcPr>
          <w:p>
            <w:pPr/>
          </w:p>
        </w:tc>
        <w:tc>
          <w:tcPr>
            <w:tcW w:w="3828" w:type="dxa"/>
            <w:gridSpan w:val="2"/>
            <w:vMerge/>
            <w:tcBorders>
              <w:left w:val="single" w:sz="4" w:space="0" w:color="000000"/>
              <w:bottom w:val="single" w:sz="4" w:space="0" w:color="000000"/>
              <w:right w:val="single" w:sz="4" w:space="0" w:color="000000"/>
            </w:tcBorders>
            <w:shd w:val="clear" w:color="auto" w:fill="D4D4D4"/>
          </w:tcPr>
          <w:p>
            <w:pPr/>
          </w:p>
        </w:tc>
      </w:tr>
      <w:tr>
        <w:trPr>
          <w:trHeight w:val="142" w:hRule="exact"/>
        </w:trPr>
        <w:tc>
          <w:tcPr>
            <w:tcW w:w="1913" w:type="dxa"/>
            <w:vMerge/>
            <w:tcBorders>
              <w:left w:val="single" w:sz="4" w:space="0" w:color="000000"/>
              <w:bottom w:val="nil" w:sz="6" w:space="0" w:color="auto"/>
              <w:right w:val="single" w:sz="4" w:space="0" w:color="000000"/>
            </w:tcBorders>
            <w:shd w:val="clear" w:color="auto" w:fill="D4D4D4"/>
          </w:tcPr>
          <w:p>
            <w:pP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6" w:lineRule="exact"/>
              <w:ind w:left="4"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6" w:lineRule="exact"/>
              <w:ind w:left="2"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146" w:hRule="exact"/>
        </w:trPr>
        <w:tc>
          <w:tcPr>
            <w:tcW w:w="1913" w:type="dxa"/>
            <w:tcBorders>
              <w:top w:val="nil" w:sz="6" w:space="0" w:color="auto"/>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c>
          <w:tcPr>
            <w:tcW w:w="1913" w:type="dxa"/>
            <w:vMerge/>
            <w:tcBorders>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r>
      <w:tr>
        <w:trPr>
          <w:trHeight w:val="28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91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82,827,812.22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21,566,659.94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75,089,058.91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21,047,545.62</w:t>
            </w:r>
          </w:p>
        </w:tc>
      </w:tr>
      <w:tr>
        <w:trPr>
          <w:trHeight w:val="28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191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z w:val="21"/>
              </w:rPr>
              <w:t>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z w:val="21"/>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z w:val="21"/>
              </w:rPr>
              <w:t>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z w:val="21"/>
              </w:rPr>
              <w:t>0.00</w:t>
            </w:r>
          </w:p>
        </w:tc>
      </w:tr>
      <w:tr>
        <w:trPr>
          <w:trHeight w:val="28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1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82,827,812.22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21,566,659.94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75,089,058.91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21,047,545.62</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bookmarkStart w:name="33、营业税金及附加" w:id="240"/>
      <w:bookmarkEnd w:id="240"/>
      <w:r>
        <w:rPr>
          <w:b w:val="0"/>
          <w:bCs w:val="0"/>
        </w:rPr>
      </w:r>
      <w:r>
        <w:rPr>
          <w:rFonts w:ascii="Times New Roman" w:hAnsi="Times New Roman" w:cs="Times New Roman" w:eastAsia="Times New Roman" w:hint="default"/>
        </w:rPr>
        <w:t>33</w:t>
      </w:r>
      <w:r>
        <w:rPr/>
        <w:t>、营业税金及附加</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150"/>
        <w:jc w:val="right"/>
      </w:pPr>
      <w:r>
        <w:rPr/>
        <w:t>单位：</w:t>
      </w:r>
      <w:r>
        <w:rPr>
          <w:spacing w:val="2"/>
        </w:rPr>
        <w:t> </w:t>
      </w:r>
      <w:r>
        <w:rPr/>
        <w:t>元</w:t>
      </w:r>
    </w:p>
    <w:p>
      <w:pPr>
        <w:spacing w:line="240" w:lineRule="auto" w:before="10"/>
        <w:rPr>
          <w:rFonts w:ascii="宋体" w:hAnsi="宋体" w:cs="宋体" w:eastAsia="宋体" w:hint="default"/>
          <w:sz w:val="3"/>
          <w:szCs w:val="3"/>
        </w:rPr>
      </w:pPr>
    </w:p>
    <w:tbl>
      <w:tblPr>
        <w:tblW w:w="0" w:type="auto"/>
        <w:jc w:val="left"/>
        <w:tblInd w:w="160" w:type="dxa"/>
        <w:tblLayout w:type="fixed"/>
        <w:tblCellMar>
          <w:top w:w="0" w:type="dxa"/>
          <w:left w:w="0" w:type="dxa"/>
          <w:bottom w:w="0" w:type="dxa"/>
          <w:right w:w="0" w:type="dxa"/>
        </w:tblCellMar>
        <w:tblLook w:val="01E0"/>
      </w:tblPr>
      <w:tblGrid>
        <w:gridCol w:w="3164"/>
        <w:gridCol w:w="3203"/>
        <w:gridCol w:w="3190"/>
      </w:tblGrid>
      <w:tr>
        <w:trPr>
          <w:trHeight w:val="28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07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3" w:lineRule="exact"/>
              <w:ind w:left="1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40,307.79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4,610.70</w:t>
            </w:r>
          </w:p>
        </w:tc>
      </w:tr>
      <w:tr>
        <w:trPr>
          <w:trHeight w:val="28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3" w:lineRule="exact"/>
              <w:ind w:left="1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503,877.19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426,569.68</w:t>
            </w:r>
          </w:p>
        </w:tc>
      </w:tr>
      <w:tr>
        <w:trPr>
          <w:trHeight w:val="28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359,912.27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304,692.66</w:t>
            </w:r>
          </w:p>
        </w:tc>
      </w:tr>
      <w:tr>
        <w:trPr>
          <w:trHeight w:val="283"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其它</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3,791.23</w:t>
            </w:r>
            <w:r>
              <w:rPr>
                <w:rFonts w:ascii="Times New Roman"/>
                <w:sz w:val="21"/>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7,193.29</w:t>
            </w:r>
          </w:p>
        </w:tc>
      </w:tr>
      <w:tr>
        <w:trPr>
          <w:trHeight w:val="28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907,888.48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743,066.33</w:t>
            </w:r>
          </w:p>
        </w:tc>
      </w:tr>
    </w:tbl>
    <w:p>
      <w:pPr>
        <w:pStyle w:val="BodyText"/>
        <w:spacing w:line="262" w:lineRule="exact"/>
        <w:ind w:right="0"/>
        <w:jc w:val="left"/>
      </w:pPr>
      <w:r>
        <w:rPr/>
        <w:t>其他说明：</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bookmarkStart w:name="34、销售费用" w:id="241"/>
      <w:bookmarkEnd w:id="241"/>
      <w:r>
        <w:rPr>
          <w:b w:val="0"/>
          <w:bCs w:val="0"/>
        </w:rPr>
      </w:r>
      <w:r>
        <w:rPr>
          <w:rFonts w:ascii="Times New Roman" w:hAnsi="Times New Roman" w:cs="Times New Roman" w:eastAsia="Times New Roman" w:hint="default"/>
        </w:rPr>
        <w:t>34</w:t>
      </w:r>
      <w:r>
        <w:rPr/>
        <w:t>、销售费用</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150"/>
        <w:jc w:val="right"/>
      </w:pPr>
      <w:r>
        <w:rPr/>
        <w:t>单位：</w:t>
      </w:r>
      <w:r>
        <w:rPr>
          <w:spacing w:val="2"/>
        </w:rPr>
        <w:t> </w:t>
      </w:r>
      <w:r>
        <w:rPr/>
        <w:t>元</w:t>
      </w:r>
    </w:p>
    <w:p>
      <w:pPr>
        <w:spacing w:line="240" w:lineRule="auto" w:before="10"/>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28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工资、社保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9,632,627.61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7,263,986.92</w:t>
            </w:r>
          </w:p>
        </w:tc>
      </w:tr>
      <w:tr>
        <w:trPr>
          <w:trHeight w:val="28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1,323,355.43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1,144,655.24</w:t>
            </w:r>
          </w:p>
        </w:tc>
      </w:tr>
      <w:tr>
        <w:trPr>
          <w:trHeight w:val="28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业务宣传费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3,621,310.05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3,446,601.98</w:t>
            </w:r>
          </w:p>
        </w:tc>
      </w:tr>
      <w:tr>
        <w:trPr>
          <w:trHeight w:val="28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办公费用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323,822.86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239,506.41</w:t>
            </w:r>
          </w:p>
        </w:tc>
      </w:tr>
      <w:tr>
        <w:trPr>
          <w:trHeight w:val="28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租赁及物管费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1,127,934.21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1,099,449.41</w:t>
            </w:r>
          </w:p>
        </w:tc>
      </w:tr>
      <w:tr>
        <w:trPr>
          <w:trHeight w:val="28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运输费用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671,262.69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702,333.37</w:t>
            </w:r>
          </w:p>
        </w:tc>
      </w:tr>
      <w:tr>
        <w:trPr>
          <w:trHeight w:val="28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1,660,105.62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1,299,822.62</w:t>
            </w:r>
          </w:p>
        </w:tc>
      </w:tr>
      <w:tr>
        <w:trPr>
          <w:trHeight w:val="28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618,972.01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131,963.44</w:t>
            </w:r>
          </w:p>
        </w:tc>
      </w:tr>
      <w:tr>
        <w:trPr>
          <w:trHeight w:val="28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会务费及培训费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674,781.84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244,192.60</w:t>
            </w:r>
          </w:p>
        </w:tc>
      </w:tr>
      <w:tr>
        <w:trPr>
          <w:trHeight w:val="28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通讯费及网络费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136,805.78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138,098.69</w:t>
            </w:r>
          </w:p>
        </w:tc>
      </w:tr>
      <w:tr>
        <w:trPr>
          <w:trHeight w:val="28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51,398.48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5,130.36</w:t>
            </w:r>
          </w:p>
        </w:tc>
      </w:tr>
    </w:tbl>
    <w:p>
      <w:pPr>
        <w:spacing w:after="0" w:line="240" w:lineRule="auto"/>
        <w:jc w:val="right"/>
        <w:rPr>
          <w:rFonts w:ascii="Times New Roman" w:hAnsi="Times New Roman" w:cs="Times New Roman" w:eastAsia="Times New Roman" w:hint="default"/>
          <w:sz w:val="21"/>
          <w:szCs w:val="21"/>
        </w:rPr>
        <w:sectPr>
          <w:pgSz w:w="11910" w:h="16840"/>
          <w:pgMar w:header="880" w:footer="979" w:top="1060" w:bottom="1160" w:left="980" w:right="98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0"/>
      </w:tblGrid>
      <w:tr>
        <w:trPr>
          <w:trHeight w:val="283"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951" w:right="0"/>
              <w:jc w:val="left"/>
              <w:rPr>
                <w:rFonts w:ascii="Times New Roman" w:hAnsi="Times New Roman" w:cs="Times New Roman" w:eastAsia="Times New Roman" w:hint="default"/>
                <w:sz w:val="21"/>
                <w:szCs w:val="21"/>
              </w:rPr>
            </w:pPr>
            <w:r>
              <w:rPr>
                <w:rFonts w:ascii="Times New Roman"/>
                <w:sz w:val="21"/>
              </w:rPr>
              <w:t>19,842,376.58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951" w:right="0"/>
              <w:jc w:val="left"/>
              <w:rPr>
                <w:rFonts w:ascii="Times New Roman" w:hAnsi="Times New Roman" w:cs="Times New Roman" w:eastAsia="Times New Roman" w:hint="default"/>
                <w:sz w:val="21"/>
                <w:szCs w:val="21"/>
              </w:rPr>
            </w:pPr>
            <w:r>
              <w:rPr>
                <w:rFonts w:ascii="Times New Roman"/>
                <w:sz w:val="21"/>
              </w:rPr>
              <w:t>15,715,741.04</w:t>
            </w:r>
          </w:p>
        </w:tc>
      </w:tr>
    </w:tbl>
    <w:p>
      <w:pPr>
        <w:pStyle w:val="BodyText"/>
        <w:spacing w:line="262" w:lineRule="exact"/>
        <w:ind w:right="0"/>
        <w:jc w:val="left"/>
      </w:pPr>
      <w:r>
        <w:rPr/>
        <w:t>其他说明：</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bookmarkStart w:name="35、管理费用" w:id="242"/>
      <w:bookmarkEnd w:id="242"/>
      <w:r>
        <w:rPr>
          <w:b w:val="0"/>
          <w:bCs w:val="0"/>
        </w:rPr>
      </w:r>
      <w:r>
        <w:rPr>
          <w:rFonts w:ascii="Times New Roman" w:hAnsi="Times New Roman" w:cs="Times New Roman" w:eastAsia="Times New Roman" w:hint="default"/>
        </w:rPr>
        <w:t>35</w:t>
      </w:r>
      <w:r>
        <w:rPr/>
        <w:t>、管理费用</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150"/>
        <w:jc w:val="right"/>
      </w:pPr>
      <w:r>
        <w:rPr/>
        <w:t>单位：</w:t>
      </w:r>
      <w:r>
        <w:rPr>
          <w:spacing w:val="2"/>
        </w:rPr>
        <w:t> </w:t>
      </w:r>
      <w:r>
        <w:rPr/>
        <w:t>元</w:t>
      </w:r>
    </w:p>
    <w:p>
      <w:pPr>
        <w:spacing w:line="240" w:lineRule="auto" w:before="10"/>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28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17,256,623.60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2"/>
                <w:sz w:val="21"/>
              </w:rPr>
              <w:t>14,111,773.97</w:t>
            </w:r>
          </w:p>
        </w:tc>
      </w:tr>
      <w:tr>
        <w:trPr>
          <w:trHeight w:val="28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工资、社保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5,775,313.10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5,719,681.61</w:t>
            </w:r>
          </w:p>
        </w:tc>
      </w:tr>
      <w:tr>
        <w:trPr>
          <w:trHeight w:val="28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办公费用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268,701.31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374,925.91</w:t>
            </w:r>
          </w:p>
        </w:tc>
      </w:tr>
      <w:tr>
        <w:trPr>
          <w:trHeight w:val="28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406,284.88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419,738.77</w:t>
            </w:r>
          </w:p>
        </w:tc>
      </w:tr>
      <w:tr>
        <w:trPr>
          <w:trHeight w:val="28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租赁及物管费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86,532.89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324,942.24</w:t>
            </w:r>
          </w:p>
        </w:tc>
      </w:tr>
      <w:tr>
        <w:trPr>
          <w:trHeight w:val="28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643,147.10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692,812.98</w:t>
            </w:r>
          </w:p>
        </w:tc>
      </w:tr>
      <w:tr>
        <w:trPr>
          <w:trHeight w:val="28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培训费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151,414.97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525,004.18</w:t>
            </w:r>
          </w:p>
        </w:tc>
      </w:tr>
      <w:tr>
        <w:trPr>
          <w:trHeight w:val="28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580,990.96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631,754.42</w:t>
            </w:r>
          </w:p>
        </w:tc>
      </w:tr>
      <w:tr>
        <w:trPr>
          <w:trHeight w:val="28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税费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77,601.90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31,317.20</w:t>
            </w:r>
          </w:p>
        </w:tc>
      </w:tr>
      <w:tr>
        <w:trPr>
          <w:trHeight w:val="28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会费及年审费、中介机构费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1,490,292.80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1,794,581.44</w:t>
            </w:r>
            <w:r>
              <w:rPr>
                <w:rFonts w:ascii="Times New Roman"/>
                <w:sz w:val="21"/>
              </w:rPr>
            </w:r>
          </w:p>
        </w:tc>
      </w:tr>
      <w:tr>
        <w:trPr>
          <w:trHeight w:val="28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通讯费及网络费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223,443.72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184,116.43</w:t>
            </w:r>
          </w:p>
        </w:tc>
      </w:tr>
      <w:tr>
        <w:trPr>
          <w:trHeight w:val="28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493,919.70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1,029,868.05</w:t>
            </w:r>
          </w:p>
        </w:tc>
      </w:tr>
      <w:tr>
        <w:trPr>
          <w:trHeight w:val="28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27,454,266.93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25,840,517.20</w:t>
            </w:r>
          </w:p>
        </w:tc>
      </w:tr>
    </w:tbl>
    <w:p>
      <w:pPr>
        <w:pStyle w:val="BodyText"/>
        <w:spacing w:line="262" w:lineRule="exact"/>
        <w:ind w:right="0"/>
        <w:jc w:val="left"/>
      </w:pPr>
      <w:r>
        <w:rPr/>
        <w:t>其他说明：</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bookmarkStart w:name="36、财务费用" w:id="243"/>
      <w:bookmarkEnd w:id="243"/>
      <w:r>
        <w:rPr>
          <w:b w:val="0"/>
          <w:bCs w:val="0"/>
        </w:rPr>
      </w:r>
      <w:r>
        <w:rPr>
          <w:rFonts w:ascii="Times New Roman" w:hAnsi="Times New Roman" w:cs="Times New Roman" w:eastAsia="Times New Roman" w:hint="default"/>
        </w:rPr>
        <w:t>36</w:t>
      </w:r>
      <w:r>
        <w:rPr/>
        <w:t>、财务费用</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36"/>
        <w:ind w:left="0" w:right="150"/>
        <w:jc w:val="right"/>
      </w:pPr>
      <w:r>
        <w:rPr/>
        <w:t>单位：</w:t>
      </w:r>
      <w:r>
        <w:rPr>
          <w:spacing w:val="2"/>
        </w:rPr>
        <w:t> </w:t>
      </w:r>
      <w:r>
        <w:rPr/>
        <w:t>元</w:t>
      </w:r>
    </w:p>
    <w:p>
      <w:pPr>
        <w:spacing w:line="240" w:lineRule="auto" w:before="10"/>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28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3,004,769.69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2"/>
                <w:sz w:val="21"/>
              </w:rPr>
              <w:t>3,511,676.13</w:t>
            </w:r>
          </w:p>
        </w:tc>
      </w:tr>
      <w:tr>
        <w:trPr>
          <w:trHeight w:val="28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-30,857.31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-89,386.25</w:t>
            </w:r>
          </w:p>
        </w:tc>
      </w:tr>
      <w:tr>
        <w:trPr>
          <w:trHeight w:val="28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现金折扣及贴息</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其他杂费</w:t>
            </w:r>
            <w:r>
              <w:rPr>
                <w:rFonts w:ascii="Times New Roman" w:hAnsi="Times New Roman" w:cs="Times New Roman" w:eastAsia="Times New Roman" w:hint="default"/>
                <w:sz w:val="21"/>
                <w:szCs w:val="21"/>
              </w:rPr>
              <w:t>(</w:t>
            </w:r>
            <w:r>
              <w:rPr>
                <w:rFonts w:ascii="宋体" w:hAnsi="宋体" w:cs="宋体" w:eastAsia="宋体" w:hint="default"/>
                <w:sz w:val="21"/>
                <w:szCs w:val="21"/>
              </w:rPr>
              <w:t>手续费</w:t>
            </w:r>
            <w:r>
              <w:rPr>
                <w:rFonts w:ascii="Times New Roman" w:hAnsi="Times New Roman" w:cs="Times New Roman" w:eastAsia="Times New Roman" w:hint="default"/>
                <w:sz w:val="21"/>
                <w:szCs w:val="21"/>
              </w:rPr>
              <w:t>)</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22,494.36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62,799.05</w:t>
            </w:r>
          </w:p>
        </w:tc>
      </w:tr>
      <w:tr>
        <w:trPr>
          <w:trHeight w:val="28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-3,013,132.64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-3,538,263.33</w:t>
            </w:r>
          </w:p>
        </w:tc>
      </w:tr>
    </w:tbl>
    <w:p>
      <w:pPr>
        <w:pStyle w:val="BodyText"/>
        <w:spacing w:line="262" w:lineRule="exact"/>
        <w:ind w:right="0"/>
        <w:jc w:val="left"/>
      </w:pPr>
      <w:r>
        <w:rPr/>
        <w:t>其他说明：</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bookmarkStart w:name="37、资产减值损失" w:id="244"/>
      <w:bookmarkEnd w:id="244"/>
      <w:r>
        <w:rPr>
          <w:b w:val="0"/>
          <w:bCs w:val="0"/>
        </w:rPr>
      </w:r>
      <w:r>
        <w:rPr>
          <w:rFonts w:ascii="Times New Roman" w:hAnsi="Times New Roman" w:cs="Times New Roman" w:eastAsia="Times New Roman" w:hint="default"/>
        </w:rPr>
        <w:t>37</w:t>
      </w:r>
      <w:r>
        <w:rPr/>
        <w:t>、资产减值损失</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36"/>
        <w:ind w:left="0" w:right="150"/>
        <w:jc w:val="right"/>
      </w:pPr>
      <w:r>
        <w:rPr/>
        <w:t>单位：</w:t>
      </w:r>
      <w:r>
        <w:rPr>
          <w:spacing w:val="2"/>
        </w:rPr>
        <w:t> </w:t>
      </w:r>
      <w:r>
        <w:rPr/>
        <w:t>元</w:t>
      </w:r>
    </w:p>
    <w:p>
      <w:pPr>
        <w:spacing w:line="240" w:lineRule="auto" w:before="10"/>
        <w:rPr>
          <w:rFonts w:ascii="宋体" w:hAnsi="宋体" w:cs="宋体" w:eastAsia="宋体" w:hint="default"/>
          <w:sz w:val="3"/>
          <w:szCs w:val="3"/>
        </w:rPr>
      </w:pPr>
    </w:p>
    <w:tbl>
      <w:tblPr>
        <w:tblW w:w="0" w:type="auto"/>
        <w:jc w:val="left"/>
        <w:tblInd w:w="160" w:type="dxa"/>
        <w:tblLayout w:type="fixed"/>
        <w:tblCellMar>
          <w:top w:w="0" w:type="dxa"/>
          <w:left w:w="0" w:type="dxa"/>
          <w:bottom w:w="0" w:type="dxa"/>
          <w:right w:w="0" w:type="dxa"/>
        </w:tblCellMar>
        <w:tblLook w:val="01E0"/>
      </w:tblPr>
      <w:tblGrid>
        <w:gridCol w:w="3164"/>
        <w:gridCol w:w="3203"/>
        <w:gridCol w:w="3190"/>
      </w:tblGrid>
      <w:tr>
        <w:trPr>
          <w:trHeight w:val="28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07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410,698.33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166,491.66</w:t>
            </w:r>
          </w:p>
        </w:tc>
      </w:tr>
      <w:tr>
        <w:trPr>
          <w:trHeight w:val="28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1,552,732.21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369,555.96</w:t>
            </w:r>
          </w:p>
        </w:tc>
      </w:tr>
      <w:tr>
        <w:trPr>
          <w:trHeight w:val="28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1,963,430.54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536,047.62</w:t>
            </w:r>
          </w:p>
        </w:tc>
      </w:tr>
    </w:tbl>
    <w:p>
      <w:pPr>
        <w:pStyle w:val="BodyText"/>
        <w:spacing w:line="262" w:lineRule="exact"/>
        <w:ind w:right="0"/>
        <w:jc w:val="left"/>
      </w:pPr>
      <w:r>
        <w:rPr/>
        <w:t>其他说明：</w:t>
      </w:r>
    </w:p>
    <w:p>
      <w:pPr>
        <w:pStyle w:val="Heading5"/>
        <w:spacing w:line="256" w:lineRule="auto" w:before="157"/>
        <w:ind w:right="0" w:firstLine="422"/>
        <w:jc w:val="left"/>
        <w:rPr>
          <w:b w:val="0"/>
          <w:bCs w:val="0"/>
        </w:rPr>
      </w:pPr>
      <w:r>
        <w:rPr>
          <w:spacing w:val="-2"/>
        </w:rPr>
        <w:t>资产减值损失本期发生额较上期发生额增加</w:t>
      </w:r>
      <w:r>
        <w:rPr>
          <w:rFonts w:ascii="Times New Roman" w:hAnsi="Times New Roman" w:cs="Times New Roman" w:eastAsia="Times New Roman" w:hint="default"/>
          <w:spacing w:val="-2"/>
        </w:rPr>
        <w:t>1,427,382.92</w:t>
      </w:r>
      <w:r>
        <w:rPr>
          <w:spacing w:val="-2"/>
        </w:rPr>
        <w:t>元，增幅为</w:t>
      </w:r>
      <w:r>
        <w:rPr>
          <w:rFonts w:ascii="Times New Roman" w:hAnsi="Times New Roman" w:cs="Times New Roman" w:eastAsia="Times New Roman" w:hint="default"/>
          <w:spacing w:val="-2"/>
        </w:rPr>
        <w:t>266.28%</w:t>
      </w:r>
      <w:r>
        <w:rPr>
          <w:spacing w:val="-2"/>
        </w:rPr>
        <w:t>，原因主要是受期末应收</w:t>
      </w:r>
      <w:r>
        <w:rPr>
          <w:w w:val="100"/>
        </w:rPr>
        <w:t> </w:t>
      </w:r>
      <w:r>
        <w:rPr/>
        <w:t>账款及其他应收款余额及账龄的影响，计提的坏账准备相应增加；存货跌价准备的增加。</w:t>
      </w:r>
      <w:r>
        <w:rPr>
          <w:b w:val="0"/>
          <w:bCs w:val="0"/>
        </w:rPr>
      </w:r>
    </w:p>
    <w:p>
      <w:pPr>
        <w:spacing w:after="0" w:line="256" w:lineRule="auto"/>
        <w:jc w:val="left"/>
        <w:sectPr>
          <w:pgSz w:w="11910" w:h="16840"/>
          <w:pgMar w:header="880" w:footer="979" w:top="1060" w:bottom="1160" w:left="980" w:right="980"/>
        </w:sectPr>
      </w:pPr>
    </w:p>
    <w:p>
      <w:pPr>
        <w:spacing w:line="240" w:lineRule="auto" w:before="8"/>
        <w:rPr>
          <w:rFonts w:ascii="宋体" w:hAnsi="宋体" w:cs="宋体" w:eastAsia="宋体" w:hint="default"/>
          <w:b/>
          <w:bCs/>
          <w:sz w:val="24"/>
          <w:szCs w:val="24"/>
        </w:rPr>
      </w:pPr>
    </w:p>
    <w:p>
      <w:pPr>
        <w:pStyle w:val="Heading5"/>
        <w:spacing w:line="240" w:lineRule="auto" w:before="36"/>
        <w:ind w:right="106"/>
        <w:jc w:val="left"/>
        <w:rPr>
          <w:b w:val="0"/>
          <w:bCs w:val="0"/>
        </w:rPr>
      </w:pPr>
      <w:r>
        <w:rPr>
          <w:rFonts w:ascii="Times New Roman" w:hAnsi="Times New Roman" w:cs="Times New Roman" w:eastAsia="Times New Roman" w:hint="default"/>
        </w:rPr>
        <w:t>38</w:t>
      </w:r>
      <w:r>
        <w:rPr/>
        <w:t>、投资收益</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210"/>
        <w:jc w:val="right"/>
      </w:pPr>
      <w:bookmarkStart w:name="38、投资收益" w:id="245"/>
      <w:bookmarkEnd w:id="245"/>
      <w:r>
        <w:rPr/>
      </w:r>
      <w:r>
        <w:rPr/>
        <w:t>单位：</w:t>
      </w:r>
      <w:r>
        <w:rPr>
          <w:spacing w:val="2"/>
        </w:rPr>
        <w:t> </w:t>
      </w:r>
      <w:r>
        <w:rPr/>
        <w:t>元</w:t>
      </w:r>
    </w:p>
    <w:p>
      <w:pPr>
        <w:spacing w:line="240" w:lineRule="auto" w:before="10"/>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3461"/>
        <w:gridCol w:w="3190"/>
        <w:gridCol w:w="2918"/>
      </w:tblGrid>
      <w:tr>
        <w:trPr>
          <w:trHeight w:val="281" w:hRule="exact"/>
        </w:trPr>
        <w:tc>
          <w:tcPr>
            <w:tcW w:w="34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92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银行理财产品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4,424,106.13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2,776,904.09</w:t>
            </w:r>
          </w:p>
        </w:tc>
      </w:tr>
      <w:tr>
        <w:trPr>
          <w:trHeight w:val="283" w:hRule="exact"/>
        </w:trPr>
        <w:tc>
          <w:tcPr>
            <w:tcW w:w="34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4,424,106.13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2,776,904.09</w:t>
            </w:r>
          </w:p>
        </w:tc>
      </w:tr>
    </w:tbl>
    <w:p>
      <w:pPr>
        <w:pStyle w:val="BodyText"/>
        <w:spacing w:line="262" w:lineRule="exact"/>
        <w:ind w:right="106"/>
        <w:jc w:val="left"/>
      </w:pPr>
      <w:r>
        <w:rPr/>
        <w:t>其他说明：</w:t>
      </w:r>
    </w:p>
    <w:p>
      <w:pPr>
        <w:pStyle w:val="Heading5"/>
        <w:spacing w:line="256" w:lineRule="auto" w:before="157"/>
        <w:ind w:right="106" w:firstLine="427"/>
        <w:jc w:val="left"/>
        <w:rPr>
          <w:b w:val="0"/>
          <w:bCs w:val="0"/>
        </w:rPr>
      </w:pPr>
      <w:r>
        <w:rPr>
          <w:spacing w:val="-1"/>
        </w:rPr>
        <w:t>投资收益本期发生额较上期发生额增加</w:t>
      </w:r>
      <w:r>
        <w:rPr>
          <w:rFonts w:ascii="Times New Roman" w:hAnsi="Times New Roman" w:cs="Times New Roman" w:eastAsia="Times New Roman" w:hint="default"/>
          <w:spacing w:val="-1"/>
        </w:rPr>
        <w:t>1,647,202.04</w:t>
      </w:r>
      <w:r>
        <w:rPr>
          <w:spacing w:val="-1"/>
        </w:rPr>
        <w:t>元，增幅为</w:t>
      </w:r>
      <w:r>
        <w:rPr>
          <w:rFonts w:ascii="Times New Roman" w:hAnsi="Times New Roman" w:cs="Times New Roman" w:eastAsia="Times New Roman" w:hint="default"/>
          <w:spacing w:val="-1"/>
        </w:rPr>
        <w:t>59.32%</w:t>
      </w:r>
      <w:r>
        <w:rPr>
          <w:spacing w:val="-1"/>
        </w:rPr>
        <w:t>，原因主要系理财产品产生的</w:t>
      </w:r>
      <w:r>
        <w:rPr>
          <w:w w:val="100"/>
        </w:rPr>
        <w:t> </w:t>
      </w:r>
      <w:r>
        <w:rPr/>
        <w:t>投资收益增加所致。</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06"/>
        <w:jc w:val="left"/>
        <w:rPr>
          <w:b w:val="0"/>
          <w:bCs w:val="0"/>
        </w:rPr>
      </w:pPr>
      <w:bookmarkStart w:name="39、营业外收入" w:id="246"/>
      <w:bookmarkEnd w:id="246"/>
      <w:r>
        <w:rPr>
          <w:b w:val="0"/>
          <w:bCs w:val="0"/>
        </w:rPr>
      </w:r>
      <w:r>
        <w:rPr>
          <w:rFonts w:ascii="Times New Roman" w:hAnsi="Times New Roman" w:cs="Times New Roman" w:eastAsia="Times New Roman" w:hint="default"/>
        </w:rPr>
        <w:t>39</w:t>
      </w:r>
      <w:r>
        <w:rPr/>
        <w:t>、营业外收入</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left="0" w:right="210"/>
        <w:jc w:val="right"/>
      </w:pPr>
      <w:r>
        <w:rPr/>
        <w:t>单位：</w:t>
      </w:r>
      <w:r>
        <w:rPr>
          <w:spacing w:val="2"/>
        </w:rPr>
        <w:t> </w:t>
      </w:r>
      <w:r>
        <w:rPr/>
        <w:t>元</w:t>
      </w:r>
    </w:p>
    <w:p>
      <w:pPr>
        <w:spacing w:line="240" w:lineRule="auto" w:before="10"/>
        <w:rPr>
          <w:rFonts w:ascii="宋体" w:hAnsi="宋体" w:cs="宋体" w:eastAsia="宋体" w:hint="default"/>
          <w:sz w:val="3"/>
          <w:szCs w:val="3"/>
        </w:rPr>
      </w:pPr>
    </w:p>
    <w:tbl>
      <w:tblPr>
        <w:tblW w:w="0" w:type="auto"/>
        <w:jc w:val="left"/>
        <w:tblInd w:w="160" w:type="dxa"/>
        <w:tblLayout w:type="fixed"/>
        <w:tblCellMar>
          <w:top w:w="0" w:type="dxa"/>
          <w:left w:w="0" w:type="dxa"/>
          <w:bottom w:w="0" w:type="dxa"/>
          <w:right w:w="0" w:type="dxa"/>
        </w:tblCellMar>
        <w:tblLook w:val="01E0"/>
      </w:tblPr>
      <w:tblGrid>
        <w:gridCol w:w="2365"/>
        <w:gridCol w:w="2406"/>
        <w:gridCol w:w="2393"/>
        <w:gridCol w:w="2393"/>
      </w:tblGrid>
      <w:tr>
        <w:trPr>
          <w:trHeight w:val="142" w:hRule="exact"/>
        </w:trPr>
        <w:tc>
          <w:tcPr>
            <w:tcW w:w="2365" w:type="dxa"/>
            <w:tcBorders>
              <w:top w:val="single" w:sz="4" w:space="0" w:color="000000"/>
              <w:left w:val="single" w:sz="4" w:space="0" w:color="000000"/>
              <w:bottom w:val="nil" w:sz="6" w:space="0" w:color="auto"/>
              <w:right w:val="single" w:sz="4" w:space="0" w:color="000000"/>
            </w:tcBorders>
            <w:shd w:val="clear" w:color="auto" w:fill="D4D4D4"/>
          </w:tcPr>
          <w:p>
            <w:pPr/>
          </w:p>
        </w:tc>
        <w:tc>
          <w:tcPr>
            <w:tcW w:w="2406" w:type="dxa"/>
            <w:tcBorders>
              <w:top w:val="single" w:sz="4" w:space="0" w:color="000000"/>
              <w:left w:val="single" w:sz="4" w:space="0" w:color="000000"/>
              <w:bottom w:val="nil" w:sz="6" w:space="0" w:color="auto"/>
              <w:right w:val="single" w:sz="4" w:space="0" w:color="000000"/>
            </w:tcBorders>
            <w:shd w:val="clear" w:color="auto" w:fill="D4D4D4"/>
          </w:tcPr>
          <w:p>
            <w:pPr/>
          </w:p>
        </w:tc>
        <w:tc>
          <w:tcPr>
            <w:tcW w:w="2393" w:type="dxa"/>
            <w:tcBorders>
              <w:top w:val="single" w:sz="4" w:space="0" w:color="000000"/>
              <w:left w:val="single" w:sz="4" w:space="0" w:color="000000"/>
              <w:bottom w:val="nil" w:sz="6" w:space="0" w:color="auto"/>
              <w:right w:val="single" w:sz="4" w:space="0" w:color="000000"/>
            </w:tcBorders>
            <w:shd w:val="clear" w:color="auto" w:fill="D4D4D4"/>
          </w:tcPr>
          <w:p>
            <w:pPr/>
          </w:p>
        </w:tc>
        <w:tc>
          <w:tcPr>
            <w:tcW w:w="239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计入当期非经常性损益的</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74" w:hRule="exact"/>
        </w:trPr>
        <w:tc>
          <w:tcPr>
            <w:tcW w:w="236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0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1" w:lineRule="exact"/>
              <w:ind w:left="68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1" w:lineRule="exact"/>
              <w:ind w:left="664"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93" w:type="dxa"/>
            <w:vMerge/>
            <w:tcBorders>
              <w:left w:val="single" w:sz="4" w:space="0" w:color="000000"/>
              <w:right w:val="single" w:sz="4" w:space="0" w:color="000000"/>
            </w:tcBorders>
            <w:shd w:val="clear" w:color="auto" w:fill="D4D4D4"/>
          </w:tcPr>
          <w:p>
            <w:pPr/>
          </w:p>
        </w:tc>
      </w:tr>
      <w:tr>
        <w:trPr>
          <w:trHeight w:val="142" w:hRule="exact"/>
        </w:trPr>
        <w:tc>
          <w:tcPr>
            <w:tcW w:w="2365" w:type="dxa"/>
            <w:tcBorders>
              <w:top w:val="nil" w:sz="6" w:space="0" w:color="auto"/>
              <w:left w:val="single" w:sz="4" w:space="0" w:color="000000"/>
              <w:bottom w:val="single" w:sz="4" w:space="0" w:color="000000"/>
              <w:right w:val="single" w:sz="4" w:space="0" w:color="000000"/>
            </w:tcBorders>
            <w:shd w:val="clear" w:color="auto" w:fill="D4D4D4"/>
          </w:tcPr>
          <w:p>
            <w:pPr/>
          </w:p>
        </w:tc>
        <w:tc>
          <w:tcPr>
            <w:tcW w:w="2406" w:type="dxa"/>
            <w:tcBorders>
              <w:top w:val="nil" w:sz="6" w:space="0" w:color="auto"/>
              <w:left w:val="single" w:sz="4" w:space="0" w:color="000000"/>
              <w:bottom w:val="single" w:sz="4" w:space="0" w:color="000000"/>
              <w:right w:val="single" w:sz="4" w:space="0" w:color="000000"/>
            </w:tcBorders>
            <w:shd w:val="clear" w:color="auto" w:fill="D4D4D4"/>
          </w:tcPr>
          <w:p>
            <w:pPr/>
          </w:p>
        </w:tc>
        <w:tc>
          <w:tcPr>
            <w:tcW w:w="2393" w:type="dxa"/>
            <w:tcBorders>
              <w:top w:val="nil" w:sz="6" w:space="0" w:color="auto"/>
              <w:left w:val="single" w:sz="4" w:space="0" w:color="000000"/>
              <w:bottom w:val="single" w:sz="4" w:space="0" w:color="000000"/>
              <w:right w:val="single" w:sz="4" w:space="0" w:color="000000"/>
            </w:tcBorders>
            <w:shd w:val="clear" w:color="auto" w:fill="D4D4D4"/>
          </w:tcPr>
          <w:p>
            <w:pPr/>
          </w:p>
        </w:tc>
        <w:tc>
          <w:tcPr>
            <w:tcW w:w="2393" w:type="dxa"/>
            <w:vMerge/>
            <w:tcBorders>
              <w:left w:val="single" w:sz="4" w:space="0" w:color="000000"/>
              <w:bottom w:val="single" w:sz="4" w:space="0" w:color="000000"/>
              <w:right w:val="single" w:sz="4" w:space="0" w:color="000000"/>
            </w:tcBorders>
            <w:shd w:val="clear" w:color="auto" w:fill="D4D4D4"/>
          </w:tcPr>
          <w:p>
            <w:pPr/>
          </w:p>
        </w:tc>
      </w:tr>
      <w:tr>
        <w:trPr>
          <w:trHeight w:val="283" w:hRule="exact"/>
        </w:trPr>
        <w:tc>
          <w:tcPr>
            <w:tcW w:w="23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非流动资产处置利得合计</w:t>
            </w:r>
          </w:p>
        </w:tc>
        <w:tc>
          <w:tcPr>
            <w:tcW w:w="240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
              <w:ind w:right="14"/>
              <w:jc w:val="right"/>
              <w:rPr>
                <w:rFonts w:ascii="Times New Roman" w:hAnsi="Times New Roman" w:cs="Times New Roman" w:eastAsia="Times New Roman" w:hint="default"/>
                <w:sz w:val="21"/>
                <w:szCs w:val="21"/>
              </w:rPr>
            </w:pPr>
            <w:r>
              <w:rPr>
                <w:rFonts w:ascii="Times New Roman"/>
                <w:spacing w:val="-1"/>
                <w:sz w:val="21"/>
              </w:rPr>
              <w:t>234,476.00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234,476.00</w:t>
            </w:r>
          </w:p>
        </w:tc>
      </w:tr>
      <w:tr>
        <w:trPr>
          <w:trHeight w:val="281" w:hRule="exact"/>
        </w:trPr>
        <w:tc>
          <w:tcPr>
            <w:tcW w:w="23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p>
        </w:tc>
        <w:tc>
          <w:tcPr>
            <w:tcW w:w="240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
              <w:ind w:right="14"/>
              <w:jc w:val="right"/>
              <w:rPr>
                <w:rFonts w:ascii="Times New Roman" w:hAnsi="Times New Roman" w:cs="Times New Roman" w:eastAsia="Times New Roman" w:hint="default"/>
                <w:sz w:val="21"/>
                <w:szCs w:val="21"/>
              </w:rPr>
            </w:pPr>
            <w:r>
              <w:rPr>
                <w:rFonts w:ascii="Times New Roman"/>
                <w:spacing w:val="-1"/>
                <w:sz w:val="21"/>
              </w:rPr>
              <w:t>234,476.00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3" w:lineRule="exact"/>
              <w:ind w:left="12"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40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
              <w:ind w:right="14"/>
              <w:jc w:val="right"/>
              <w:rPr>
                <w:rFonts w:ascii="Times New Roman" w:hAnsi="Times New Roman" w:cs="Times New Roman" w:eastAsia="Times New Roman" w:hint="default"/>
                <w:sz w:val="21"/>
                <w:szCs w:val="21"/>
              </w:rPr>
            </w:pPr>
            <w:r>
              <w:rPr>
                <w:rFonts w:ascii="Times New Roman"/>
                <w:spacing w:val="-1"/>
                <w:sz w:val="21"/>
              </w:rPr>
              <w:t>7,152,194.98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9,795,438.46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3,587,217.65</w:t>
            </w:r>
          </w:p>
        </w:tc>
      </w:tr>
      <w:tr>
        <w:trPr>
          <w:trHeight w:val="283" w:hRule="exact"/>
        </w:trPr>
        <w:tc>
          <w:tcPr>
            <w:tcW w:w="23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3" w:lineRule="exact"/>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40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
              <w:ind w:right="14"/>
              <w:jc w:val="right"/>
              <w:rPr>
                <w:rFonts w:ascii="Times New Roman" w:hAnsi="Times New Roman" w:cs="Times New Roman" w:eastAsia="Times New Roman" w:hint="default"/>
                <w:sz w:val="21"/>
                <w:szCs w:val="21"/>
              </w:rPr>
            </w:pPr>
            <w:r>
              <w:rPr>
                <w:rFonts w:ascii="Times New Roman"/>
                <w:spacing w:val="-1"/>
                <w:sz w:val="21"/>
              </w:rPr>
              <w:t>7,386,670.98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9,795,438.46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3,821,693.65</w:t>
            </w:r>
          </w:p>
        </w:tc>
      </w:tr>
    </w:tbl>
    <w:p>
      <w:pPr>
        <w:pStyle w:val="BodyText"/>
        <w:spacing w:line="262" w:lineRule="exact"/>
        <w:ind w:right="106"/>
        <w:jc w:val="left"/>
      </w:pPr>
      <w:r>
        <w:rPr/>
        <w:t>计入当期损益的政府补助：</w:t>
      </w:r>
    </w:p>
    <w:p>
      <w:pPr>
        <w:pStyle w:val="BodyText"/>
        <w:spacing w:line="240" w:lineRule="auto" w:before="37"/>
        <w:ind w:left="0" w:right="210"/>
        <w:jc w:val="right"/>
      </w:pPr>
      <w:r>
        <w:rPr/>
        <w:t>单位：</w:t>
      </w:r>
      <w:r>
        <w:rPr>
          <w:spacing w:val="2"/>
        </w:rPr>
        <w:t> </w:t>
      </w:r>
      <w:r>
        <w:rPr/>
        <w:t>元</w:t>
      </w:r>
    </w:p>
    <w:p>
      <w:pPr>
        <w:spacing w:line="240" w:lineRule="auto" w:before="12"/>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2388"/>
        <w:gridCol w:w="2395"/>
        <w:gridCol w:w="2393"/>
        <w:gridCol w:w="2393"/>
      </w:tblGrid>
      <w:tr>
        <w:trPr>
          <w:trHeight w:val="282" w:hRule="exact"/>
        </w:trPr>
        <w:tc>
          <w:tcPr>
            <w:tcW w:w="23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2" w:lineRule="exact"/>
              <w:ind w:left="770" w:right="0"/>
              <w:jc w:val="left"/>
              <w:rPr>
                <w:rFonts w:ascii="宋体" w:hAnsi="宋体" w:cs="宋体" w:eastAsia="宋体" w:hint="default"/>
                <w:sz w:val="21"/>
                <w:szCs w:val="21"/>
              </w:rPr>
            </w:pPr>
            <w:r>
              <w:rPr>
                <w:rFonts w:ascii="宋体" w:hAnsi="宋体" w:cs="宋体" w:eastAsia="宋体" w:hint="default"/>
                <w:sz w:val="21"/>
                <w:szCs w:val="21"/>
              </w:rPr>
              <w:t>补助项目</w:t>
            </w:r>
          </w:p>
        </w:tc>
        <w:tc>
          <w:tcPr>
            <w:tcW w:w="23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2" w:lineRule="exact"/>
              <w:ind w:left="566" w:right="0"/>
              <w:jc w:val="left"/>
              <w:rPr>
                <w:rFonts w:ascii="宋体" w:hAnsi="宋体" w:cs="宋体" w:eastAsia="宋体" w:hint="default"/>
                <w:sz w:val="21"/>
                <w:szCs w:val="21"/>
              </w:rPr>
            </w:pPr>
            <w:r>
              <w:rPr>
                <w:rFonts w:ascii="宋体" w:hAnsi="宋体" w:cs="宋体" w:eastAsia="宋体" w:hint="default"/>
                <w:sz w:val="21"/>
                <w:szCs w:val="21"/>
              </w:rPr>
              <w:t>本期发生金额</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2" w:lineRule="exact"/>
              <w:ind w:left="561" w:right="0"/>
              <w:jc w:val="left"/>
              <w:rPr>
                <w:rFonts w:ascii="宋体" w:hAnsi="宋体" w:cs="宋体" w:eastAsia="宋体" w:hint="default"/>
                <w:sz w:val="21"/>
                <w:szCs w:val="21"/>
              </w:rPr>
            </w:pPr>
            <w:r>
              <w:rPr>
                <w:rFonts w:ascii="宋体" w:hAnsi="宋体" w:cs="宋体" w:eastAsia="宋体" w:hint="default"/>
                <w:sz w:val="21"/>
                <w:szCs w:val="21"/>
              </w:rPr>
              <w:t>上期发生金额</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58" w:lineRule="exact"/>
              <w:ind w:left="112" w:right="0"/>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Times New Roman" w:hAnsi="Times New Roman" w:cs="Times New Roman" w:eastAsia="Times New Roman" w:hint="default"/>
                <w:sz w:val="21"/>
                <w:szCs w:val="21"/>
              </w:rPr>
              <w:t>/</w:t>
            </w:r>
            <w:r>
              <w:rPr>
                <w:rFonts w:ascii="宋体" w:hAnsi="宋体" w:cs="宋体" w:eastAsia="宋体" w:hint="default"/>
                <w:sz w:val="21"/>
                <w:szCs w:val="21"/>
              </w:rPr>
              <w:t>与收益相关</w:t>
            </w:r>
          </w:p>
        </w:tc>
      </w:tr>
      <w:tr>
        <w:trPr>
          <w:trHeight w:val="28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税收返还</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4"/>
              <w:jc w:val="right"/>
              <w:rPr>
                <w:rFonts w:ascii="Times New Roman" w:hAnsi="Times New Roman" w:cs="Times New Roman" w:eastAsia="Times New Roman" w:hint="default"/>
                <w:sz w:val="21"/>
                <w:szCs w:val="21"/>
              </w:rPr>
            </w:pPr>
            <w:r>
              <w:rPr>
                <w:rFonts w:ascii="Times New Roman"/>
                <w:spacing w:val="-1"/>
                <w:sz w:val="21"/>
              </w:rPr>
              <w:t>3,564,977.33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3,758,773.21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其他政府补助</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4"/>
              <w:jc w:val="right"/>
              <w:rPr>
                <w:rFonts w:ascii="Times New Roman" w:hAnsi="Times New Roman" w:cs="Times New Roman" w:eastAsia="Times New Roman" w:hint="default"/>
                <w:sz w:val="21"/>
                <w:szCs w:val="21"/>
              </w:rPr>
            </w:pPr>
            <w:r>
              <w:rPr>
                <w:rFonts w:ascii="Times New Roman"/>
                <w:spacing w:val="-1"/>
                <w:sz w:val="21"/>
              </w:rPr>
              <w:t>3,496,917.02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5,992,263.49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其他政府补助</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4"/>
              <w:jc w:val="right"/>
              <w:rPr>
                <w:rFonts w:ascii="Times New Roman" w:hAnsi="Times New Roman" w:cs="Times New Roman" w:eastAsia="Times New Roman" w:hint="default"/>
                <w:sz w:val="21"/>
                <w:szCs w:val="21"/>
              </w:rPr>
            </w:pPr>
            <w:r>
              <w:rPr>
                <w:rFonts w:ascii="Times New Roman"/>
                <w:spacing w:val="-1"/>
                <w:sz w:val="21"/>
              </w:rPr>
              <w:t>90,300.63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44,401.76</w:t>
            </w:r>
          </w:p>
        </w:tc>
        <w:tc>
          <w:tcPr>
            <w:tcW w:w="2393" w:type="dxa"/>
            <w:tcBorders>
              <w:top w:val="single" w:sz="4" w:space="0" w:color="000000"/>
              <w:left w:val="single" w:sz="4" w:space="0" w:color="000000"/>
              <w:bottom w:val="single" w:sz="11" w:space="0" w:color="D4D4D4"/>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3" w:hRule="exact"/>
        </w:trPr>
        <w:tc>
          <w:tcPr>
            <w:tcW w:w="23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4"/>
              <w:jc w:val="right"/>
              <w:rPr>
                <w:rFonts w:ascii="Times New Roman" w:hAnsi="Times New Roman" w:cs="Times New Roman" w:eastAsia="Times New Roman" w:hint="default"/>
                <w:sz w:val="21"/>
                <w:szCs w:val="21"/>
              </w:rPr>
            </w:pPr>
            <w:r>
              <w:rPr>
                <w:rFonts w:ascii="Times New Roman"/>
                <w:spacing w:val="-1"/>
                <w:sz w:val="21"/>
              </w:rPr>
              <w:t>7,152,194.98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9,795,438.46</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w:t>
            </w:r>
          </w:p>
        </w:tc>
      </w:tr>
    </w:tbl>
    <w:p>
      <w:pPr>
        <w:pStyle w:val="BodyText"/>
        <w:spacing w:line="262" w:lineRule="exact"/>
        <w:ind w:right="106"/>
        <w:jc w:val="left"/>
      </w:pPr>
      <w:r>
        <w:rPr/>
        <w:t>其他说明：</w:t>
      </w:r>
    </w:p>
    <w:p>
      <w:pPr>
        <w:spacing w:line="240" w:lineRule="auto" w:before="0"/>
        <w:rPr>
          <w:rFonts w:ascii="宋体" w:hAnsi="宋体" w:cs="宋体" w:eastAsia="宋体" w:hint="default"/>
          <w:sz w:val="23"/>
          <w:szCs w:val="23"/>
        </w:rPr>
      </w:pPr>
    </w:p>
    <w:p>
      <w:pPr>
        <w:pStyle w:val="BodyText"/>
        <w:spacing w:line="240" w:lineRule="auto"/>
        <w:ind w:left="572" w:right="106"/>
        <w:jc w:val="left"/>
      </w:pPr>
      <w:r>
        <w:rPr>
          <w:rFonts w:ascii="宋体" w:hAnsi="宋体" w:cs="宋体" w:eastAsia="宋体" w:hint="default"/>
        </w:rPr>
        <w:t>1.</w:t>
      </w:r>
      <w:r>
        <w:rPr/>
        <w:t>税收返还为本公司收到的按增值税实际税负超过</w:t>
      </w:r>
      <w:r>
        <w:rPr>
          <w:rFonts w:ascii="宋体" w:hAnsi="宋体" w:cs="宋体" w:eastAsia="宋体" w:hint="default"/>
        </w:rPr>
        <w:t>3</w:t>
      </w:r>
      <w:r>
        <w:rPr/>
        <w:t>％的部分即征即退的增值税。</w:t>
      </w:r>
    </w:p>
    <w:p>
      <w:pPr>
        <w:spacing w:line="240" w:lineRule="auto" w:before="11"/>
        <w:rPr>
          <w:rFonts w:ascii="宋体" w:hAnsi="宋体" w:cs="宋体" w:eastAsia="宋体" w:hint="default"/>
          <w:sz w:val="24"/>
          <w:szCs w:val="24"/>
        </w:rPr>
      </w:pPr>
    </w:p>
    <w:p>
      <w:pPr>
        <w:pStyle w:val="BodyText"/>
        <w:spacing w:line="240" w:lineRule="auto"/>
        <w:ind w:left="572" w:right="106"/>
        <w:jc w:val="left"/>
      </w:pPr>
      <w:r>
        <w:rPr>
          <w:rFonts w:ascii="宋体" w:hAnsi="宋体" w:cs="宋体" w:eastAsia="宋体" w:hint="default"/>
        </w:rPr>
        <w:t>2</w:t>
      </w:r>
      <w:r>
        <w:rPr/>
        <w:t>．其他政府补助主要系：</w:t>
      </w:r>
    </w:p>
    <w:p>
      <w:pPr>
        <w:spacing w:line="240" w:lineRule="auto" w:before="9"/>
        <w:rPr>
          <w:rFonts w:ascii="宋体" w:hAnsi="宋体" w:cs="宋体" w:eastAsia="宋体" w:hint="default"/>
          <w:sz w:val="24"/>
          <w:szCs w:val="24"/>
        </w:rPr>
      </w:pPr>
    </w:p>
    <w:p>
      <w:pPr>
        <w:pStyle w:val="BodyText"/>
        <w:spacing w:line="314" w:lineRule="auto"/>
        <w:ind w:right="210" w:firstLine="420"/>
        <w:jc w:val="both"/>
      </w:pPr>
      <w:r>
        <w:rPr/>
        <w:t>（</w:t>
      </w:r>
      <w:r>
        <w:rPr>
          <w:rFonts w:ascii="宋体" w:hAnsi="宋体" w:cs="宋体" w:eastAsia="宋体" w:hint="default"/>
        </w:rPr>
        <w:t>1</w:t>
      </w:r>
      <w:r>
        <w:rPr/>
        <w:t>）本公司收到深圳市科技工贸和信息化委员会的深圳市生物、互联网、新能源产业发展专项基金</w:t>
      </w:r>
      <w:r>
        <w:rPr>
          <w:w w:val="100"/>
        </w:rPr>
        <w:t> </w:t>
      </w:r>
      <w:r>
        <w:rPr/>
        <w:t>项目基于互联网的中小学英语在线智能记忆平台无偿资助</w:t>
      </w:r>
      <w:r>
        <w:rPr>
          <w:rFonts w:ascii="宋体" w:hAnsi="宋体" w:cs="宋体" w:eastAsia="宋体" w:hint="default"/>
        </w:rPr>
        <w:t>80</w:t>
      </w:r>
      <w:r>
        <w:rPr/>
        <w:t>万元。本期计入营业外收入</w:t>
      </w:r>
      <w:r>
        <w:rPr>
          <w:rFonts w:ascii="宋体" w:hAnsi="宋体" w:cs="宋体" w:eastAsia="宋体" w:hint="default"/>
        </w:rPr>
        <w:t>19,996.56</w:t>
      </w:r>
      <w:r>
        <w:rPr/>
        <w:t>元，详</w:t>
      </w:r>
      <w:r>
        <w:rPr>
          <w:spacing w:val="-27"/>
        </w:rPr>
        <w:t> </w:t>
      </w:r>
      <w:r>
        <w:rPr/>
        <w:t>见六、（注释二十二）</w:t>
      </w:r>
      <w:r>
        <w:rPr>
          <w:rFonts w:ascii="宋体" w:hAnsi="宋体" w:cs="宋体" w:eastAsia="宋体" w:hint="default"/>
        </w:rPr>
        <w:t>2</w:t>
      </w:r>
      <w:r>
        <w:rPr/>
        <w:t>。</w:t>
      </w:r>
    </w:p>
    <w:p>
      <w:pPr>
        <w:spacing w:line="240" w:lineRule="auto" w:before="11"/>
        <w:rPr>
          <w:rFonts w:ascii="宋体" w:hAnsi="宋体" w:cs="宋体" w:eastAsia="宋体" w:hint="default"/>
          <w:sz w:val="19"/>
          <w:szCs w:val="19"/>
        </w:rPr>
      </w:pPr>
    </w:p>
    <w:p>
      <w:pPr>
        <w:pStyle w:val="BodyText"/>
        <w:spacing w:line="312" w:lineRule="auto"/>
        <w:ind w:right="106" w:firstLine="420"/>
        <w:jc w:val="left"/>
      </w:pPr>
      <w:r>
        <w:rPr/>
        <w:t>（</w:t>
      </w:r>
      <w:r>
        <w:rPr>
          <w:rFonts w:ascii="宋体" w:hAnsi="宋体" w:cs="宋体" w:eastAsia="宋体" w:hint="default"/>
        </w:rPr>
        <w:t>2</w:t>
      </w:r>
      <w:r>
        <w:rPr/>
        <w:t>）本公司收到深圳市科技创新委员会的深圳市战略性新兴产业发展专项资金项目基于云计算的教</w:t>
      </w:r>
      <w:r>
        <w:rPr>
          <w:w w:val="100"/>
        </w:rPr>
        <w:t> </w:t>
      </w:r>
      <w:r>
        <w:rPr>
          <w:spacing w:val="-2"/>
        </w:rPr>
        <w:t>育质量监测与评价系统无偿资助</w:t>
      </w:r>
      <w:r>
        <w:rPr>
          <w:rFonts w:ascii="宋体" w:hAnsi="宋体" w:cs="宋体" w:eastAsia="宋体" w:hint="default"/>
          <w:spacing w:val="-2"/>
        </w:rPr>
        <w:t>200</w:t>
      </w:r>
      <w:r>
        <w:rPr>
          <w:spacing w:val="-2"/>
        </w:rPr>
        <w:t>万元。本期计入营业外收入</w:t>
      </w:r>
      <w:r>
        <w:rPr>
          <w:rFonts w:ascii="宋体" w:hAnsi="宋体" w:cs="宋体" w:eastAsia="宋体" w:hint="default"/>
          <w:spacing w:val="-2"/>
        </w:rPr>
        <w:t>82,299.16</w:t>
      </w:r>
      <w:r>
        <w:rPr>
          <w:spacing w:val="-2"/>
        </w:rPr>
        <w:t>元，详见六、（注释二十二）</w:t>
      </w:r>
      <w:r>
        <w:rPr>
          <w:rFonts w:ascii="宋体" w:hAnsi="宋体" w:cs="宋体" w:eastAsia="宋体" w:hint="default"/>
          <w:spacing w:val="-2"/>
        </w:rPr>
        <w:t>2</w:t>
      </w:r>
      <w:r>
        <w:rPr>
          <w:spacing w:val="-2"/>
        </w:rPr>
        <w:t>。</w:t>
      </w:r>
    </w:p>
    <w:p>
      <w:pPr>
        <w:spacing w:line="240" w:lineRule="auto" w:before="0"/>
        <w:rPr>
          <w:rFonts w:ascii="宋体" w:hAnsi="宋体" w:cs="宋体" w:eastAsia="宋体" w:hint="default"/>
          <w:sz w:val="20"/>
          <w:szCs w:val="20"/>
        </w:rPr>
      </w:pPr>
    </w:p>
    <w:p>
      <w:pPr>
        <w:pStyle w:val="BodyText"/>
        <w:spacing w:line="312" w:lineRule="auto"/>
        <w:ind w:right="206" w:firstLine="420"/>
        <w:jc w:val="both"/>
      </w:pPr>
      <w:r>
        <w:rPr>
          <w:spacing w:val="-2"/>
        </w:rPr>
        <w:t>（</w:t>
      </w:r>
      <w:r>
        <w:rPr>
          <w:rFonts w:ascii="宋体" w:hAnsi="宋体" w:cs="宋体" w:eastAsia="宋体" w:hint="default"/>
          <w:spacing w:val="-2"/>
        </w:rPr>
        <w:t>3</w:t>
      </w:r>
      <w:r>
        <w:rPr>
          <w:spacing w:val="-2"/>
        </w:rPr>
        <w:t>）根据深发改</w:t>
      </w:r>
      <w:r>
        <w:rPr>
          <w:rFonts w:ascii="宋体" w:hAnsi="宋体" w:cs="宋体" w:eastAsia="宋体" w:hint="default"/>
          <w:spacing w:val="-2"/>
        </w:rPr>
        <w:t>[2013]535</w:t>
      </w:r>
      <w:r>
        <w:rPr>
          <w:spacing w:val="-2"/>
        </w:rPr>
        <w:t>号文件相关规定，本公司获得深圳市经济贸易和信息化委员会的外语互动</w:t>
      </w:r>
      <w:r>
        <w:rPr>
          <w:w w:val="100"/>
        </w:rPr>
        <w:t> </w:t>
      </w:r>
      <w:r>
        <w:rPr/>
        <w:t>学习平台创新项目无偿资助</w:t>
      </w:r>
      <w:r>
        <w:rPr>
          <w:rFonts w:ascii="宋体" w:hAnsi="宋体" w:cs="宋体" w:eastAsia="宋体" w:hint="default"/>
        </w:rPr>
        <w:t>80</w:t>
      </w:r>
      <w:r>
        <w:rPr/>
        <w:t>万元。本期计入营业外收入</w:t>
      </w:r>
      <w:r>
        <w:rPr>
          <w:rFonts w:ascii="宋体" w:hAnsi="宋体" w:cs="宋体" w:eastAsia="宋体" w:hint="default"/>
        </w:rPr>
        <w:t>248,038.72</w:t>
      </w:r>
      <w:r>
        <w:rPr/>
        <w:t>元，详见六、（注释二十二）</w:t>
      </w:r>
      <w:r>
        <w:rPr>
          <w:rFonts w:ascii="宋体" w:hAnsi="宋体" w:cs="宋体" w:eastAsia="宋体" w:hint="default"/>
        </w:rPr>
        <w:t>2</w:t>
      </w:r>
      <w:r>
        <w:rPr/>
        <w:t>。</w:t>
      </w:r>
    </w:p>
    <w:p>
      <w:pPr>
        <w:spacing w:line="240" w:lineRule="auto" w:before="0"/>
        <w:rPr>
          <w:rFonts w:ascii="宋体" w:hAnsi="宋体" w:cs="宋体" w:eastAsia="宋体" w:hint="default"/>
          <w:sz w:val="20"/>
          <w:szCs w:val="20"/>
        </w:rPr>
      </w:pPr>
    </w:p>
    <w:p>
      <w:pPr>
        <w:pStyle w:val="BodyText"/>
        <w:spacing w:line="314" w:lineRule="auto"/>
        <w:ind w:right="213" w:firstLine="420"/>
        <w:jc w:val="both"/>
      </w:pPr>
      <w:r>
        <w:rPr/>
        <w:t>（</w:t>
      </w:r>
      <w:r>
        <w:rPr>
          <w:rFonts w:ascii="宋体" w:hAnsi="宋体" w:cs="宋体" w:eastAsia="宋体" w:hint="default"/>
        </w:rPr>
        <w:t>4</w:t>
      </w:r>
      <w:r>
        <w:rPr/>
        <w:t>）为落实《深圳市文化创意产业发展专项资金管理办法》所规定的优惠政策，本公司获得深圳市</w:t>
      </w:r>
      <w:r>
        <w:rPr>
          <w:w w:val="100"/>
        </w:rPr>
        <w:t> </w:t>
      </w:r>
      <w:r>
        <w:rPr>
          <w:spacing w:val="-6"/>
        </w:rPr>
        <w:t>文体旅游局的中小学教育游戏平台项目无偿资助</w:t>
      </w:r>
      <w:r>
        <w:rPr>
          <w:rFonts w:ascii="宋体" w:hAnsi="宋体" w:cs="宋体" w:eastAsia="宋体" w:hint="default"/>
          <w:spacing w:val="-6"/>
        </w:rPr>
        <w:t>91</w:t>
      </w:r>
      <w:r>
        <w:rPr>
          <w:spacing w:val="-6"/>
        </w:rPr>
        <w:t>万元。本期计入营业外收入</w:t>
      </w:r>
      <w:r>
        <w:rPr>
          <w:rFonts w:ascii="宋体" w:hAnsi="宋体" w:cs="宋体" w:eastAsia="宋体" w:hint="default"/>
          <w:spacing w:val="-6"/>
        </w:rPr>
        <w:t>420,283.21</w:t>
      </w:r>
      <w:r>
        <w:rPr>
          <w:spacing w:val="-6"/>
        </w:rPr>
        <w:t>元，详见六、（注</w:t>
      </w:r>
      <w:r>
        <w:rPr>
          <w:spacing w:val="-35"/>
        </w:rPr>
        <w:t> </w:t>
      </w:r>
      <w:r>
        <w:rPr>
          <w:spacing w:val="-35"/>
        </w:rPr>
      </w:r>
      <w:r>
        <w:rPr/>
        <w:t>释二十二）</w:t>
      </w:r>
      <w:r>
        <w:rPr>
          <w:rFonts w:ascii="宋体" w:hAnsi="宋体" w:cs="宋体" w:eastAsia="宋体" w:hint="default"/>
        </w:rPr>
        <w:t>2</w:t>
      </w:r>
      <w:r>
        <w:rPr/>
        <w:t>。</w:t>
      </w:r>
    </w:p>
    <w:p>
      <w:pPr>
        <w:spacing w:after="0" w:line="314" w:lineRule="auto"/>
        <w:jc w:val="both"/>
        <w:sectPr>
          <w:pgSz w:w="11910" w:h="16840"/>
          <w:pgMar w:header="880" w:footer="979" w:top="1060" w:bottom="1160" w:left="980" w:right="920"/>
        </w:sectPr>
      </w:pPr>
    </w:p>
    <w:p>
      <w:pPr>
        <w:spacing w:line="240" w:lineRule="auto" w:before="6"/>
        <w:rPr>
          <w:rFonts w:ascii="宋体" w:hAnsi="宋体" w:cs="宋体" w:eastAsia="宋体" w:hint="default"/>
          <w:sz w:val="26"/>
          <w:szCs w:val="26"/>
        </w:rPr>
      </w:pPr>
    </w:p>
    <w:p>
      <w:pPr>
        <w:pStyle w:val="BodyText"/>
        <w:spacing w:line="314" w:lineRule="auto" w:before="36"/>
        <w:ind w:right="152" w:firstLine="420"/>
        <w:jc w:val="both"/>
      </w:pPr>
      <w:r>
        <w:rPr>
          <w:spacing w:val="-2"/>
        </w:rPr>
        <w:t>（</w:t>
      </w:r>
      <w:r>
        <w:rPr>
          <w:rFonts w:ascii="宋体" w:hAnsi="宋体" w:cs="宋体" w:eastAsia="宋体" w:hint="default"/>
          <w:spacing w:val="-2"/>
        </w:rPr>
        <w:t>5</w:t>
      </w:r>
      <w:r>
        <w:rPr>
          <w:spacing w:val="-2"/>
        </w:rPr>
        <w:t>）根据深圳市南山区经济促进局、深圳市南山区财政局深南经</w:t>
      </w:r>
      <w:r>
        <w:rPr>
          <w:rFonts w:ascii="宋体" w:hAnsi="宋体" w:cs="宋体" w:eastAsia="宋体" w:hint="default"/>
          <w:spacing w:val="-2"/>
        </w:rPr>
        <w:t>[2013]5</w:t>
      </w:r>
      <w:r>
        <w:rPr>
          <w:spacing w:val="-2"/>
        </w:rPr>
        <w:t>号文件的相关规定，本公司</w:t>
      </w:r>
      <w:r>
        <w:rPr>
          <w:spacing w:val="-3"/>
          <w:w w:val="100"/>
        </w:rPr>
        <w:t> </w:t>
      </w:r>
      <w:r>
        <w:rPr/>
        <w:t>获得深圳市南山区财政局的南山区财政局关于重点企业和创新机构扶持专项资金</w:t>
      </w:r>
      <w:r>
        <w:rPr>
          <w:rFonts w:ascii="宋体" w:hAnsi="宋体" w:cs="宋体" w:eastAsia="宋体" w:hint="default"/>
        </w:rPr>
        <w:t>16.65</w:t>
      </w:r>
      <w:r>
        <w:rPr/>
        <w:t>万元。本期全部计</w:t>
      </w:r>
      <w:r>
        <w:rPr>
          <w:spacing w:val="-29"/>
        </w:rPr>
        <w:t> </w:t>
      </w:r>
      <w:r>
        <w:rPr>
          <w:spacing w:val="-29"/>
        </w:rPr>
      </w:r>
      <w:r>
        <w:rPr/>
        <w:t>入营业外收入。</w:t>
      </w:r>
    </w:p>
    <w:p>
      <w:pPr>
        <w:spacing w:line="240" w:lineRule="auto" w:before="9"/>
        <w:rPr>
          <w:rFonts w:ascii="宋体" w:hAnsi="宋体" w:cs="宋体" w:eastAsia="宋体" w:hint="default"/>
          <w:sz w:val="19"/>
          <w:szCs w:val="19"/>
        </w:rPr>
      </w:pPr>
    </w:p>
    <w:p>
      <w:pPr>
        <w:pStyle w:val="BodyText"/>
        <w:spacing w:line="314" w:lineRule="auto"/>
        <w:ind w:right="152" w:firstLine="420"/>
        <w:jc w:val="both"/>
      </w:pPr>
      <w:r>
        <w:rPr>
          <w:spacing w:val="-2"/>
        </w:rPr>
        <w:t>（</w:t>
      </w:r>
      <w:r>
        <w:rPr>
          <w:rFonts w:ascii="宋体" w:hAnsi="宋体" w:cs="宋体" w:eastAsia="宋体" w:hint="default"/>
          <w:spacing w:val="-2"/>
        </w:rPr>
        <w:t>6</w:t>
      </w:r>
      <w:r>
        <w:rPr>
          <w:spacing w:val="-2"/>
        </w:rPr>
        <w:t>）本公司获得深圳市南山区财政局的南山区自主创新产业发展专项资金</w:t>
      </w:r>
      <w:r>
        <w:rPr>
          <w:rFonts w:ascii="宋体" w:hAnsi="宋体" w:cs="宋体" w:eastAsia="宋体" w:hint="default"/>
          <w:spacing w:val="-2"/>
        </w:rPr>
        <w:t>45.50</w:t>
      </w:r>
      <w:r>
        <w:rPr>
          <w:spacing w:val="-2"/>
        </w:rPr>
        <w:t>万元。本期全部计入</w:t>
      </w:r>
      <w:r>
        <w:rPr>
          <w:spacing w:val="-3"/>
          <w:w w:val="100"/>
        </w:rPr>
        <w:t> </w:t>
      </w:r>
      <w:r>
        <w:rPr/>
        <w:t>营业外收入。</w:t>
      </w:r>
    </w:p>
    <w:p>
      <w:pPr>
        <w:spacing w:line="240" w:lineRule="auto" w:before="9"/>
        <w:rPr>
          <w:rFonts w:ascii="宋体" w:hAnsi="宋体" w:cs="宋体" w:eastAsia="宋体" w:hint="default"/>
          <w:sz w:val="19"/>
          <w:szCs w:val="19"/>
        </w:rPr>
      </w:pPr>
    </w:p>
    <w:p>
      <w:pPr>
        <w:pStyle w:val="BodyText"/>
        <w:spacing w:line="314" w:lineRule="auto"/>
        <w:ind w:right="151" w:firstLine="420"/>
        <w:jc w:val="both"/>
      </w:pPr>
      <w:r>
        <w:rPr/>
        <w:t>（</w:t>
      </w:r>
      <w:r>
        <w:rPr>
          <w:rFonts w:ascii="宋体" w:hAnsi="宋体" w:cs="宋体" w:eastAsia="宋体" w:hint="default"/>
        </w:rPr>
        <w:t>7</w:t>
      </w:r>
      <w:r>
        <w:rPr/>
        <w:t>）本公司获得深圳市南山区财政局的方直金太阳品牌培育项目资助款资金</w:t>
      </w:r>
      <w:r>
        <w:rPr>
          <w:rFonts w:ascii="宋体" w:hAnsi="宋体" w:cs="宋体" w:eastAsia="宋体" w:hint="default"/>
        </w:rPr>
        <w:t>72</w:t>
      </w:r>
      <w:r>
        <w:rPr/>
        <w:t>万元。本期全部计入</w:t>
      </w:r>
      <w:r>
        <w:rPr>
          <w:w w:val="100"/>
        </w:rPr>
        <w:t> </w:t>
      </w:r>
      <w:r>
        <w:rPr/>
        <w:t>营业外收入。</w:t>
      </w:r>
    </w:p>
    <w:p>
      <w:pPr>
        <w:spacing w:line="240" w:lineRule="auto" w:before="9"/>
        <w:rPr>
          <w:rFonts w:ascii="宋体" w:hAnsi="宋体" w:cs="宋体" w:eastAsia="宋体" w:hint="default"/>
          <w:sz w:val="19"/>
          <w:szCs w:val="19"/>
        </w:rPr>
      </w:pPr>
    </w:p>
    <w:p>
      <w:pPr>
        <w:pStyle w:val="BodyText"/>
        <w:spacing w:line="314" w:lineRule="auto"/>
        <w:ind w:right="151" w:firstLine="420"/>
        <w:jc w:val="both"/>
      </w:pPr>
      <w:r>
        <w:rPr/>
        <w:t>（</w:t>
      </w:r>
      <w:r>
        <w:rPr>
          <w:rFonts w:ascii="宋体" w:hAnsi="宋体" w:cs="宋体" w:eastAsia="宋体" w:hint="default"/>
        </w:rPr>
        <w:t>8</w:t>
      </w:r>
      <w:r>
        <w:rPr/>
        <w:t>）本公司获得深圳市市场监督管理局的计算机著作登记补贴资金</w:t>
      </w:r>
      <w:r>
        <w:rPr>
          <w:rFonts w:ascii="宋体" w:hAnsi="宋体" w:cs="宋体" w:eastAsia="宋体" w:hint="default"/>
        </w:rPr>
        <w:t>0.12</w:t>
      </w:r>
      <w:r>
        <w:rPr/>
        <w:t>万元。本期全部计入营业外</w:t>
      </w:r>
      <w:r>
        <w:rPr>
          <w:w w:val="100"/>
        </w:rPr>
        <w:t> </w:t>
      </w:r>
      <w:r>
        <w:rPr/>
        <w:t>收入。</w:t>
      </w:r>
    </w:p>
    <w:p>
      <w:pPr>
        <w:spacing w:line="240" w:lineRule="auto" w:before="9"/>
        <w:rPr>
          <w:rFonts w:ascii="宋体" w:hAnsi="宋体" w:cs="宋体" w:eastAsia="宋体" w:hint="default"/>
          <w:sz w:val="19"/>
          <w:szCs w:val="19"/>
        </w:rPr>
      </w:pPr>
    </w:p>
    <w:p>
      <w:pPr>
        <w:pStyle w:val="BodyText"/>
        <w:spacing w:line="314" w:lineRule="auto"/>
        <w:ind w:right="154" w:firstLine="420"/>
        <w:jc w:val="both"/>
      </w:pPr>
      <w:r>
        <w:rPr/>
        <w:t>（</w:t>
      </w:r>
      <w:r>
        <w:rPr>
          <w:rFonts w:ascii="宋体" w:hAnsi="宋体" w:cs="宋体" w:eastAsia="宋体" w:hint="default"/>
        </w:rPr>
        <w:t>9</w:t>
      </w:r>
      <w:r>
        <w:rPr/>
        <w:t>）本公司获得深圳市财政委员会和深圳市经济贸易和信息化委员会的中小企业发展专项资金企业</w:t>
      </w:r>
      <w:r>
        <w:rPr>
          <w:w w:val="100"/>
        </w:rPr>
        <w:t> </w:t>
      </w:r>
      <w:r>
        <w:rPr/>
        <w:t>信息化建设项目资助资金</w:t>
      </w:r>
      <w:r>
        <w:rPr>
          <w:rFonts w:ascii="宋体" w:hAnsi="宋体" w:cs="宋体" w:eastAsia="宋体" w:hint="default"/>
        </w:rPr>
        <w:t>20.00</w:t>
      </w:r>
      <w:r>
        <w:rPr/>
        <w:t>万元。本期全部计入营业外收入。</w:t>
      </w:r>
    </w:p>
    <w:p>
      <w:pPr>
        <w:spacing w:line="240" w:lineRule="auto" w:before="9"/>
        <w:rPr>
          <w:rFonts w:ascii="宋体" w:hAnsi="宋体" w:cs="宋体" w:eastAsia="宋体" w:hint="default"/>
          <w:sz w:val="19"/>
          <w:szCs w:val="19"/>
        </w:rPr>
      </w:pPr>
    </w:p>
    <w:p>
      <w:pPr>
        <w:pStyle w:val="BodyText"/>
        <w:spacing w:line="314" w:lineRule="auto"/>
        <w:ind w:right="151" w:firstLine="420"/>
        <w:jc w:val="both"/>
      </w:pPr>
      <w:r>
        <w:rPr>
          <w:spacing w:val="-2"/>
        </w:rPr>
        <w:t>（</w:t>
      </w:r>
      <w:r>
        <w:rPr>
          <w:rFonts w:ascii="宋体" w:hAnsi="宋体" w:cs="宋体" w:eastAsia="宋体" w:hint="default"/>
          <w:spacing w:val="-2"/>
        </w:rPr>
        <w:t>10</w:t>
      </w:r>
      <w:r>
        <w:rPr>
          <w:spacing w:val="-2"/>
        </w:rPr>
        <w:t>）本公司获得深圳市财政委员会的深圳市高新技术产业专项补助资金</w:t>
      </w:r>
      <w:r>
        <w:rPr>
          <w:rFonts w:ascii="宋体" w:hAnsi="宋体" w:cs="宋体" w:eastAsia="宋体" w:hint="default"/>
          <w:spacing w:val="-2"/>
        </w:rPr>
        <w:t>127.09</w:t>
      </w:r>
      <w:r>
        <w:rPr>
          <w:spacing w:val="-2"/>
        </w:rPr>
        <w:t>万元。本期全部计入</w:t>
      </w:r>
      <w:r>
        <w:rPr>
          <w:spacing w:val="-3"/>
          <w:w w:val="100"/>
        </w:rPr>
        <w:t> </w:t>
      </w:r>
      <w:r>
        <w:rPr/>
        <w:t>营业外收入。</w:t>
      </w:r>
    </w:p>
    <w:p>
      <w:pPr>
        <w:spacing w:line="240" w:lineRule="auto" w:before="9"/>
        <w:rPr>
          <w:rFonts w:ascii="宋体" w:hAnsi="宋体" w:cs="宋体" w:eastAsia="宋体" w:hint="default"/>
          <w:sz w:val="19"/>
          <w:szCs w:val="19"/>
        </w:rPr>
      </w:pPr>
    </w:p>
    <w:p>
      <w:pPr>
        <w:pStyle w:val="BodyText"/>
        <w:spacing w:line="240" w:lineRule="auto"/>
        <w:ind w:left="572" w:right="0"/>
        <w:jc w:val="left"/>
      </w:pPr>
      <w:r>
        <w:rPr/>
        <w:t>（</w:t>
      </w:r>
      <w:r>
        <w:rPr>
          <w:rFonts w:ascii="宋体" w:hAnsi="宋体" w:cs="宋体" w:eastAsia="宋体" w:hint="default"/>
        </w:rPr>
        <w:t>11</w:t>
      </w:r>
      <w:r>
        <w:rPr/>
        <w:t>）本公司获得深圳市软件行业协会的软博会补贴补助资金</w:t>
      </w:r>
      <w:r>
        <w:rPr>
          <w:rFonts w:ascii="宋体" w:hAnsi="宋体" w:cs="宋体" w:eastAsia="宋体" w:hint="default"/>
        </w:rPr>
        <w:t>0.30</w:t>
      </w:r>
      <w:r>
        <w:rPr/>
        <w:t>万元。本期全部计入营业外收入。</w:t>
      </w:r>
    </w:p>
    <w:p>
      <w:pPr>
        <w:spacing w:line="240" w:lineRule="auto" w:before="7"/>
        <w:rPr>
          <w:rFonts w:ascii="宋体" w:hAnsi="宋体" w:cs="宋体" w:eastAsia="宋体" w:hint="default"/>
          <w:sz w:val="27"/>
          <w:szCs w:val="27"/>
        </w:rPr>
      </w:pPr>
    </w:p>
    <w:p>
      <w:pPr>
        <w:pStyle w:val="Heading5"/>
        <w:spacing w:line="240" w:lineRule="auto"/>
        <w:ind w:right="0"/>
        <w:jc w:val="left"/>
        <w:rPr>
          <w:b w:val="0"/>
          <w:bCs w:val="0"/>
        </w:rPr>
      </w:pPr>
      <w:bookmarkStart w:name="40、营业外支出" w:id="247"/>
      <w:bookmarkEnd w:id="247"/>
      <w:r>
        <w:rPr>
          <w:b w:val="0"/>
          <w:bCs w:val="0"/>
        </w:rPr>
      </w:r>
      <w:r>
        <w:rPr>
          <w:rFonts w:ascii="Times New Roman" w:hAnsi="Times New Roman" w:cs="Times New Roman" w:eastAsia="Times New Roman" w:hint="default"/>
        </w:rPr>
        <w:t>40</w:t>
      </w:r>
      <w:r>
        <w:rPr/>
        <w:t>、营业外支出</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left="0" w:right="150"/>
        <w:jc w:val="right"/>
      </w:pPr>
      <w:r>
        <w:rPr/>
        <w:t>单位：</w:t>
      </w:r>
      <w:r>
        <w:rPr>
          <w:spacing w:val="2"/>
        </w:rPr>
        <w:t> </w:t>
      </w:r>
      <w:r>
        <w:rPr/>
        <w:t>元</w:t>
      </w:r>
    </w:p>
    <w:p>
      <w:pPr>
        <w:spacing w:line="240" w:lineRule="auto" w:before="10"/>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2388"/>
        <w:gridCol w:w="2395"/>
        <w:gridCol w:w="2393"/>
        <w:gridCol w:w="2393"/>
      </w:tblGrid>
      <w:tr>
        <w:trPr>
          <w:trHeight w:val="142" w:hRule="exact"/>
        </w:trPr>
        <w:tc>
          <w:tcPr>
            <w:tcW w:w="2388" w:type="dxa"/>
            <w:tcBorders>
              <w:top w:val="single" w:sz="4" w:space="0" w:color="000000"/>
              <w:left w:val="single" w:sz="4" w:space="0" w:color="000000"/>
              <w:bottom w:val="nil" w:sz="6" w:space="0" w:color="auto"/>
              <w:right w:val="single" w:sz="4" w:space="0" w:color="000000"/>
            </w:tcBorders>
            <w:shd w:val="clear" w:color="auto" w:fill="D4D4D4"/>
          </w:tcPr>
          <w:p>
            <w:pPr/>
          </w:p>
        </w:tc>
        <w:tc>
          <w:tcPr>
            <w:tcW w:w="2395" w:type="dxa"/>
            <w:tcBorders>
              <w:top w:val="single" w:sz="4" w:space="0" w:color="000000"/>
              <w:left w:val="single" w:sz="4" w:space="0" w:color="000000"/>
              <w:bottom w:val="nil" w:sz="6" w:space="0" w:color="auto"/>
              <w:right w:val="single" w:sz="4" w:space="0" w:color="000000"/>
            </w:tcBorders>
            <w:shd w:val="clear" w:color="auto" w:fill="D4D4D4"/>
          </w:tcPr>
          <w:p>
            <w:pPr/>
          </w:p>
        </w:tc>
        <w:tc>
          <w:tcPr>
            <w:tcW w:w="2393" w:type="dxa"/>
            <w:tcBorders>
              <w:top w:val="single" w:sz="4" w:space="0" w:color="000000"/>
              <w:left w:val="single" w:sz="4" w:space="0" w:color="000000"/>
              <w:bottom w:val="nil" w:sz="6" w:space="0" w:color="auto"/>
              <w:right w:val="single" w:sz="4" w:space="0" w:color="000000"/>
            </w:tcBorders>
            <w:shd w:val="clear" w:color="auto" w:fill="D4D4D4"/>
          </w:tcPr>
          <w:p>
            <w:pPr/>
          </w:p>
        </w:tc>
        <w:tc>
          <w:tcPr>
            <w:tcW w:w="2393" w:type="dxa"/>
            <w:vMerge w:val="restart"/>
            <w:tcBorders>
              <w:top w:val="single" w:sz="4" w:space="0" w:color="000000"/>
              <w:left w:val="single" w:sz="4" w:space="0" w:color="000000"/>
              <w:right w:val="single" w:sz="4" w:space="0" w:color="000000"/>
            </w:tcBorders>
            <w:shd w:val="clear" w:color="auto" w:fill="D4D4D4"/>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计入当期非经常性损益的</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71" w:hRule="exact"/>
        </w:trPr>
        <w:tc>
          <w:tcPr>
            <w:tcW w:w="238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9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1" w:lineRule="exact"/>
              <w:ind w:left="66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1" w:lineRule="exact"/>
              <w:ind w:left="664"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93" w:type="dxa"/>
            <w:vMerge/>
            <w:tcBorders>
              <w:left w:val="single" w:sz="4" w:space="0" w:color="000000"/>
              <w:right w:val="single" w:sz="4" w:space="0" w:color="000000"/>
            </w:tcBorders>
            <w:shd w:val="clear" w:color="auto" w:fill="D4D4D4"/>
          </w:tcPr>
          <w:p>
            <w:pPr/>
          </w:p>
        </w:tc>
      </w:tr>
      <w:tr>
        <w:trPr>
          <w:trHeight w:val="142" w:hRule="exact"/>
        </w:trPr>
        <w:tc>
          <w:tcPr>
            <w:tcW w:w="2388" w:type="dxa"/>
            <w:tcBorders>
              <w:top w:val="nil" w:sz="6" w:space="0" w:color="auto"/>
              <w:left w:val="single" w:sz="4" w:space="0" w:color="000000"/>
              <w:bottom w:val="single" w:sz="4" w:space="0" w:color="000000"/>
              <w:right w:val="single" w:sz="4" w:space="0" w:color="000000"/>
            </w:tcBorders>
            <w:shd w:val="clear" w:color="auto" w:fill="D4D4D4"/>
          </w:tcPr>
          <w:p>
            <w:pPr/>
          </w:p>
        </w:tc>
        <w:tc>
          <w:tcPr>
            <w:tcW w:w="2395" w:type="dxa"/>
            <w:tcBorders>
              <w:top w:val="nil" w:sz="6" w:space="0" w:color="auto"/>
              <w:left w:val="single" w:sz="4" w:space="0" w:color="000000"/>
              <w:bottom w:val="single" w:sz="4" w:space="0" w:color="000000"/>
              <w:right w:val="single" w:sz="4" w:space="0" w:color="000000"/>
            </w:tcBorders>
            <w:shd w:val="clear" w:color="auto" w:fill="D4D4D4"/>
          </w:tcPr>
          <w:p>
            <w:pPr/>
          </w:p>
        </w:tc>
        <w:tc>
          <w:tcPr>
            <w:tcW w:w="2393" w:type="dxa"/>
            <w:tcBorders>
              <w:top w:val="nil" w:sz="6" w:space="0" w:color="auto"/>
              <w:left w:val="single" w:sz="4" w:space="0" w:color="000000"/>
              <w:bottom w:val="single" w:sz="4" w:space="0" w:color="000000"/>
              <w:right w:val="single" w:sz="4" w:space="0" w:color="000000"/>
            </w:tcBorders>
            <w:shd w:val="clear" w:color="auto" w:fill="D4D4D4"/>
          </w:tcPr>
          <w:p>
            <w:pPr/>
          </w:p>
        </w:tc>
        <w:tc>
          <w:tcPr>
            <w:tcW w:w="2393" w:type="dxa"/>
            <w:vMerge/>
            <w:tcBorders>
              <w:left w:val="single" w:sz="4" w:space="0" w:color="000000"/>
              <w:bottom w:val="single" w:sz="4" w:space="0" w:color="000000"/>
              <w:right w:val="single" w:sz="4" w:space="0" w:color="000000"/>
            </w:tcBorders>
            <w:shd w:val="clear" w:color="auto" w:fill="D4D4D4"/>
          </w:tcPr>
          <w:p>
            <w:pPr/>
          </w:p>
        </w:tc>
      </w:tr>
      <w:tr>
        <w:trPr>
          <w:trHeight w:val="283" w:hRule="exact"/>
        </w:trPr>
        <w:tc>
          <w:tcPr>
            <w:tcW w:w="23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p>
        </w:tc>
        <w:tc>
          <w:tcPr>
            <w:tcW w:w="239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
              <w:ind w:right="14"/>
              <w:jc w:val="right"/>
              <w:rPr>
                <w:rFonts w:ascii="Times New Roman" w:hAnsi="Times New Roman" w:cs="Times New Roman" w:eastAsia="Times New Roman" w:hint="default"/>
                <w:sz w:val="21"/>
                <w:szCs w:val="21"/>
              </w:rPr>
            </w:pPr>
            <w:r>
              <w:rPr>
                <w:rFonts w:ascii="Times New Roman"/>
                <w:spacing w:val="-1"/>
                <w:sz w:val="21"/>
              </w:rPr>
              <w:t>7,770.68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3,571.51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7,770.68</w:t>
            </w:r>
          </w:p>
        </w:tc>
      </w:tr>
      <w:tr>
        <w:trPr>
          <w:trHeight w:val="283" w:hRule="exact"/>
        </w:trPr>
        <w:tc>
          <w:tcPr>
            <w:tcW w:w="23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239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
              <w:ind w:right="14"/>
              <w:jc w:val="right"/>
              <w:rPr>
                <w:rFonts w:ascii="Times New Roman" w:hAnsi="Times New Roman" w:cs="Times New Roman" w:eastAsia="Times New Roman" w:hint="default"/>
                <w:sz w:val="21"/>
                <w:szCs w:val="21"/>
              </w:rPr>
            </w:pPr>
            <w:r>
              <w:rPr>
                <w:rFonts w:ascii="Times New Roman"/>
                <w:spacing w:val="-1"/>
                <w:sz w:val="21"/>
              </w:rPr>
              <w:t>7,770.68</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7,770.68</w:t>
            </w:r>
          </w:p>
        </w:tc>
      </w:tr>
      <w:tr>
        <w:trPr>
          <w:trHeight w:val="28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罚款支出</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z w:val="21"/>
              </w:rPr>
              <w:t>150.00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著作权权属侵权纠纷损失</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220,000.00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其他支出</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z w:val="21"/>
              </w:rPr>
              <w:t>430.14</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4"/>
              <w:jc w:val="right"/>
              <w:rPr>
                <w:rFonts w:ascii="Times New Roman" w:hAnsi="Times New Roman" w:cs="Times New Roman" w:eastAsia="Times New Roman" w:hint="default"/>
                <w:sz w:val="21"/>
                <w:szCs w:val="21"/>
              </w:rPr>
            </w:pPr>
            <w:r>
              <w:rPr>
                <w:rFonts w:ascii="Times New Roman"/>
                <w:spacing w:val="-1"/>
                <w:sz w:val="21"/>
              </w:rPr>
              <w:t>7,770.68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224,151.65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7,770.68</w:t>
            </w:r>
          </w:p>
        </w:tc>
      </w:tr>
    </w:tbl>
    <w:p>
      <w:pPr>
        <w:pStyle w:val="BodyText"/>
        <w:spacing w:line="262" w:lineRule="exact"/>
        <w:ind w:right="0"/>
        <w:jc w:val="left"/>
      </w:pPr>
      <w:r>
        <w:rPr/>
        <w:t>其他说明：</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bookmarkStart w:name="41、所得税费用" w:id="248"/>
      <w:bookmarkEnd w:id="248"/>
      <w:r>
        <w:rPr>
          <w:b w:val="0"/>
          <w:bCs w:val="0"/>
        </w:rPr>
      </w:r>
      <w:r>
        <w:rPr>
          <w:rFonts w:ascii="Times New Roman" w:hAnsi="Times New Roman" w:cs="Times New Roman" w:eastAsia="Times New Roman" w:hint="default"/>
        </w:rPr>
        <w:t>41</w:t>
      </w:r>
      <w:r>
        <w:rPr/>
        <w:t>、所得税费用</w:t>
      </w:r>
      <w:r>
        <w:rPr>
          <w:b w:val="0"/>
          <w:bCs w:val="0"/>
        </w:rPr>
      </w:r>
    </w:p>
    <w:p>
      <w:pPr>
        <w:spacing w:line="240" w:lineRule="auto" w:before="0"/>
        <w:rPr>
          <w:rFonts w:ascii="宋体" w:hAnsi="宋体" w:cs="宋体" w:eastAsia="宋体" w:hint="default"/>
          <w:b/>
          <w:bCs/>
          <w:sz w:val="22"/>
          <w:szCs w:val="22"/>
        </w:rPr>
      </w:pPr>
    </w:p>
    <w:p>
      <w:pPr>
        <w:spacing w:line="240" w:lineRule="auto" w:before="6"/>
        <w:rPr>
          <w:rFonts w:ascii="宋体" w:hAnsi="宋体" w:cs="宋体" w:eastAsia="宋体" w:hint="default"/>
          <w:b/>
          <w:bCs/>
          <w:sz w:val="25"/>
          <w:szCs w:val="25"/>
        </w:rPr>
      </w:pPr>
    </w:p>
    <w:p>
      <w:pPr>
        <w:pStyle w:val="Heading5"/>
        <w:spacing w:line="240" w:lineRule="auto"/>
        <w:ind w:right="0"/>
        <w:jc w:val="left"/>
        <w:rPr>
          <w:b w:val="0"/>
          <w:bCs w:val="0"/>
        </w:rPr>
      </w:pPr>
      <w:bookmarkStart w:name="（1）所得税费用表" w:id="249"/>
      <w:bookmarkEnd w:id="249"/>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150"/>
        <w:jc w:val="right"/>
      </w:pPr>
      <w:r>
        <w:rPr/>
        <w:t>单位：</w:t>
      </w:r>
      <w:r>
        <w:rPr>
          <w:spacing w:val="2"/>
        </w:rPr>
        <w:t> </w:t>
      </w:r>
      <w:r>
        <w:rPr/>
        <w:t>元</w:t>
      </w:r>
    </w:p>
    <w:p>
      <w:pPr>
        <w:spacing w:line="240" w:lineRule="auto" w:before="10"/>
        <w:rPr>
          <w:rFonts w:ascii="宋体" w:hAnsi="宋体" w:cs="宋体" w:eastAsia="宋体" w:hint="default"/>
          <w:sz w:val="3"/>
          <w:szCs w:val="3"/>
        </w:rPr>
      </w:pPr>
    </w:p>
    <w:tbl>
      <w:tblPr>
        <w:tblW w:w="0" w:type="auto"/>
        <w:jc w:val="left"/>
        <w:tblInd w:w="160" w:type="dxa"/>
        <w:tblLayout w:type="fixed"/>
        <w:tblCellMar>
          <w:top w:w="0" w:type="dxa"/>
          <w:left w:w="0" w:type="dxa"/>
          <w:bottom w:w="0" w:type="dxa"/>
          <w:right w:w="0" w:type="dxa"/>
        </w:tblCellMar>
        <w:tblLook w:val="01E0"/>
      </w:tblPr>
      <w:tblGrid>
        <w:gridCol w:w="3164"/>
        <w:gridCol w:w="3203"/>
        <w:gridCol w:w="3190"/>
      </w:tblGrid>
      <w:tr>
        <w:trPr>
          <w:trHeight w:val="28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07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当期所得税费用</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3,304,664.78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3,597,219.49</w:t>
            </w:r>
          </w:p>
        </w:tc>
      </w:tr>
      <w:tr>
        <w:trPr>
          <w:trHeight w:val="28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80,758.69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183,385.52</w:t>
            </w:r>
          </w:p>
        </w:tc>
      </w:tr>
      <w:tr>
        <w:trPr>
          <w:trHeight w:val="28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3,385,423.47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3,780,605.01</w:t>
            </w:r>
          </w:p>
        </w:tc>
      </w:tr>
    </w:tbl>
    <w:p>
      <w:pPr>
        <w:spacing w:after="0" w:line="240" w:lineRule="auto"/>
        <w:jc w:val="right"/>
        <w:rPr>
          <w:rFonts w:ascii="Times New Roman" w:hAnsi="Times New Roman" w:cs="Times New Roman" w:eastAsia="Times New Roman" w:hint="default"/>
          <w:sz w:val="21"/>
          <w:szCs w:val="21"/>
        </w:rPr>
        <w:sectPr>
          <w:pgSz w:w="11910" w:h="16840"/>
          <w:pgMar w:header="880" w:footer="979" w:top="1060" w:bottom="1160" w:left="980" w:right="980"/>
        </w:sectPr>
      </w:pPr>
    </w:p>
    <w:p>
      <w:pPr>
        <w:spacing w:line="240" w:lineRule="auto" w:before="8"/>
        <w:rPr>
          <w:rFonts w:ascii="宋体" w:hAnsi="宋体" w:cs="宋体" w:eastAsia="宋体" w:hint="default"/>
          <w:sz w:val="24"/>
          <w:szCs w:val="24"/>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150"/>
        <w:jc w:val="right"/>
      </w:pPr>
      <w:bookmarkStart w:name="（2）会计利润与所得税费用调整过程" w:id="250"/>
      <w:bookmarkEnd w:id="250"/>
      <w:r>
        <w:rPr/>
      </w:r>
      <w:r>
        <w:rPr/>
        <w:t>单位：</w:t>
      </w:r>
      <w:r>
        <w:rPr>
          <w:spacing w:val="2"/>
        </w:rPr>
        <w:t> </w:t>
      </w:r>
      <w:r>
        <w:rPr/>
        <w:t>元</w:t>
      </w:r>
    </w:p>
    <w:p>
      <w:pPr>
        <w:spacing w:line="240" w:lineRule="auto" w:before="10"/>
        <w:rPr>
          <w:rFonts w:ascii="宋体" w:hAnsi="宋体" w:cs="宋体" w:eastAsia="宋体" w:hint="default"/>
          <w:sz w:val="3"/>
          <w:szCs w:val="3"/>
        </w:rPr>
      </w:pPr>
    </w:p>
    <w:tbl>
      <w:tblPr>
        <w:tblW w:w="0" w:type="auto"/>
        <w:jc w:val="left"/>
        <w:tblInd w:w="160" w:type="dxa"/>
        <w:tblLayout w:type="fixed"/>
        <w:tblCellMar>
          <w:top w:w="0" w:type="dxa"/>
          <w:left w:w="0" w:type="dxa"/>
          <w:bottom w:w="0" w:type="dxa"/>
          <w:right w:w="0" w:type="dxa"/>
        </w:tblCellMar>
        <w:tblLook w:val="01E0"/>
      </w:tblPr>
      <w:tblGrid>
        <w:gridCol w:w="4756"/>
        <w:gridCol w:w="4801"/>
      </w:tblGrid>
      <w:tr>
        <w:trPr>
          <w:trHeight w:val="282" w:hRule="exact"/>
        </w:trPr>
        <w:tc>
          <w:tcPr>
            <w:tcW w:w="47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8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3" w:right="0"/>
              <w:jc w:val="center"/>
              <w:rPr>
                <w:rFonts w:ascii="宋体" w:hAnsi="宋体" w:cs="宋体" w:eastAsia="宋体" w:hint="default"/>
                <w:sz w:val="21"/>
                <w:szCs w:val="21"/>
              </w:rPr>
            </w:pPr>
            <w:r>
              <w:rPr>
                <w:rFonts w:ascii="宋体" w:hAnsi="宋体" w:cs="宋体" w:eastAsia="宋体" w:hint="default"/>
                <w:sz w:val="21"/>
                <w:szCs w:val="21"/>
              </w:rPr>
              <w:t>本期发生额</w:t>
            </w:r>
          </w:p>
        </w:tc>
      </w:tr>
      <w:tr>
        <w:trPr>
          <w:trHeight w:val="283" w:hRule="exact"/>
        </w:trPr>
        <w:tc>
          <w:tcPr>
            <w:tcW w:w="47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2" w:lineRule="exact"/>
              <w:ind w:left="12"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480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21"/>
                <w:szCs w:val="21"/>
              </w:rPr>
            </w:pPr>
            <w:r>
              <w:rPr>
                <w:rFonts w:ascii="Times New Roman"/>
                <w:spacing w:val="-1"/>
                <w:sz w:val="21"/>
              </w:rPr>
              <w:t>25,909,328.82</w:t>
            </w:r>
          </w:p>
        </w:tc>
      </w:tr>
      <w:tr>
        <w:trPr>
          <w:trHeight w:val="282" w:hRule="exact"/>
        </w:trPr>
        <w:tc>
          <w:tcPr>
            <w:tcW w:w="47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58" w:lineRule="exact"/>
              <w:ind w:left="12" w:right="0"/>
              <w:jc w:val="left"/>
              <w:rPr>
                <w:rFonts w:ascii="宋体" w:hAnsi="宋体" w:cs="宋体" w:eastAsia="宋体" w:hint="default"/>
                <w:sz w:val="21"/>
                <w:szCs w:val="21"/>
              </w:rPr>
            </w:pPr>
            <w:r>
              <w:rPr>
                <w:rFonts w:ascii="宋体" w:hAnsi="宋体" w:cs="宋体" w:eastAsia="宋体" w:hint="default"/>
                <w:sz w:val="21"/>
                <w:szCs w:val="21"/>
              </w:rPr>
              <w:t>按法定</w:t>
            </w:r>
            <w:r>
              <w:rPr>
                <w:rFonts w:ascii="Times New Roman" w:hAnsi="Times New Roman" w:cs="Times New Roman" w:eastAsia="Times New Roman" w:hint="default"/>
                <w:sz w:val="21"/>
                <w:szCs w:val="21"/>
              </w:rPr>
              <w:t>/</w:t>
            </w:r>
            <w:r>
              <w:rPr>
                <w:rFonts w:ascii="宋体" w:hAnsi="宋体" w:cs="宋体" w:eastAsia="宋体" w:hint="default"/>
                <w:sz w:val="21"/>
                <w:szCs w:val="21"/>
              </w:rPr>
              <w:t>适用税率计算的所得税费用</w:t>
            </w:r>
          </w:p>
        </w:tc>
        <w:tc>
          <w:tcPr>
            <w:tcW w:w="480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
              <w:ind w:right="19"/>
              <w:jc w:val="right"/>
              <w:rPr>
                <w:rFonts w:ascii="Times New Roman" w:hAnsi="Times New Roman" w:cs="Times New Roman" w:eastAsia="Times New Roman" w:hint="default"/>
                <w:sz w:val="21"/>
                <w:szCs w:val="21"/>
              </w:rPr>
            </w:pPr>
            <w:r>
              <w:rPr>
                <w:rFonts w:ascii="Times New Roman"/>
                <w:spacing w:val="-1"/>
                <w:sz w:val="21"/>
              </w:rPr>
              <w:t>6,477,332.20</w:t>
            </w:r>
          </w:p>
        </w:tc>
      </w:tr>
      <w:tr>
        <w:trPr>
          <w:trHeight w:val="283" w:hRule="exact"/>
        </w:trPr>
        <w:tc>
          <w:tcPr>
            <w:tcW w:w="47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调整以前期间所得税的影响</w:t>
            </w:r>
          </w:p>
        </w:tc>
        <w:tc>
          <w:tcPr>
            <w:tcW w:w="480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8,360.92</w:t>
            </w:r>
          </w:p>
        </w:tc>
      </w:tr>
      <w:tr>
        <w:trPr>
          <w:trHeight w:val="283" w:hRule="exact"/>
        </w:trPr>
        <w:tc>
          <w:tcPr>
            <w:tcW w:w="47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p>
        </w:tc>
        <w:tc>
          <w:tcPr>
            <w:tcW w:w="480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-529,007.14</w:t>
            </w:r>
          </w:p>
        </w:tc>
      </w:tr>
      <w:tr>
        <w:trPr>
          <w:trHeight w:val="557" w:hRule="exact"/>
        </w:trPr>
        <w:tc>
          <w:tcPr>
            <w:tcW w:w="47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exact"/>
              <w:ind w:left="12" w:right="0"/>
              <w:jc w:val="left"/>
              <w:rPr>
                <w:rFonts w:ascii="宋体" w:hAnsi="宋体" w:cs="宋体" w:eastAsia="宋体" w:hint="default"/>
                <w:sz w:val="21"/>
                <w:szCs w:val="21"/>
              </w:rPr>
            </w:pPr>
            <w:r>
              <w:rPr>
                <w:rFonts w:ascii="宋体" w:hAnsi="宋体" w:cs="宋体" w:eastAsia="宋体" w:hint="default"/>
                <w:sz w:val="21"/>
                <w:szCs w:val="21"/>
              </w:rPr>
              <w:t>本期未确认递延所得税资产的可抵扣暂时性差异或</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可抵扣亏损的影响</w:t>
            </w:r>
          </w:p>
        </w:tc>
        <w:tc>
          <w:tcPr>
            <w:tcW w:w="480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61,782.62</w:t>
            </w:r>
          </w:p>
        </w:tc>
      </w:tr>
      <w:tr>
        <w:trPr>
          <w:trHeight w:val="283" w:hRule="exact"/>
        </w:trPr>
        <w:tc>
          <w:tcPr>
            <w:tcW w:w="4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母公司减免所得税额影响</w:t>
            </w:r>
          </w:p>
        </w:tc>
        <w:tc>
          <w:tcPr>
            <w:tcW w:w="4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-2,633,045.13</w:t>
            </w:r>
          </w:p>
        </w:tc>
      </w:tr>
      <w:tr>
        <w:trPr>
          <w:trHeight w:val="283" w:hRule="exact"/>
        </w:trPr>
        <w:tc>
          <w:tcPr>
            <w:tcW w:w="47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4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3,385,423.47</w:t>
            </w:r>
          </w:p>
        </w:tc>
      </w:tr>
    </w:tbl>
    <w:p>
      <w:pPr>
        <w:spacing w:line="525" w:lineRule="auto" w:before="0"/>
        <w:ind w:left="152" w:right="7887" w:firstLine="0"/>
        <w:jc w:val="left"/>
        <w:rPr>
          <w:rFonts w:ascii="宋体" w:hAnsi="宋体" w:cs="宋体" w:eastAsia="宋体" w:hint="default"/>
          <w:sz w:val="21"/>
          <w:szCs w:val="21"/>
        </w:rPr>
      </w:pPr>
      <w:r>
        <w:rPr>
          <w:rFonts w:ascii="宋体" w:hAnsi="宋体" w:cs="宋体" w:eastAsia="宋体" w:hint="default"/>
          <w:sz w:val="21"/>
          <w:szCs w:val="21"/>
        </w:rPr>
        <w:t>其他说明</w:t>
      </w:r>
      <w:r>
        <w:rPr>
          <w:rFonts w:ascii="宋体" w:hAnsi="宋体" w:cs="宋体" w:eastAsia="宋体" w:hint="default"/>
          <w:w w:val="100"/>
          <w:sz w:val="21"/>
          <w:szCs w:val="21"/>
        </w:rPr>
        <w:t> </w:t>
      </w:r>
      <w:bookmarkStart w:name="42、其他综合收益" w:id="251"/>
      <w:bookmarkEnd w:id="251"/>
      <w:r>
        <w:rPr>
          <w:rFonts w:ascii="宋体" w:hAnsi="宋体" w:cs="宋体" w:eastAsia="宋体" w:hint="default"/>
          <w:w w:val="100"/>
          <w:sz w:val="21"/>
          <w:szCs w:val="21"/>
        </w:rPr>
      </w:r>
      <w:r>
        <w:rPr>
          <w:rFonts w:ascii="Times New Roman" w:hAnsi="Times New Roman" w:cs="Times New Roman" w:eastAsia="Times New Roman" w:hint="default"/>
          <w:b/>
          <w:bCs/>
          <w:sz w:val="21"/>
          <w:szCs w:val="21"/>
        </w:rPr>
        <w:t>42</w:t>
      </w:r>
      <w:r>
        <w:rPr>
          <w:rFonts w:ascii="宋体" w:hAnsi="宋体" w:cs="宋体" w:eastAsia="宋体" w:hint="default"/>
          <w:b/>
          <w:bCs/>
          <w:sz w:val="21"/>
          <w:szCs w:val="21"/>
        </w:rPr>
        <w:t>、其他综合收益</w:t>
      </w:r>
      <w:r>
        <w:rPr>
          <w:rFonts w:ascii="宋体" w:hAnsi="宋体" w:cs="宋体" w:eastAsia="宋体" w:hint="default"/>
          <w:b/>
          <w:bCs/>
          <w:w w:val="100"/>
          <w:sz w:val="21"/>
          <w:szCs w:val="21"/>
        </w:rPr>
        <w:t> </w:t>
      </w:r>
      <w:r>
        <w:rPr>
          <w:rFonts w:ascii="宋体" w:hAnsi="宋体" w:cs="宋体" w:eastAsia="宋体" w:hint="default"/>
          <w:sz w:val="21"/>
          <w:szCs w:val="21"/>
        </w:rPr>
        <w:t>详见附注。</w:t>
      </w:r>
      <w:r>
        <w:rPr>
          <w:rFonts w:ascii="宋体" w:hAnsi="宋体" w:cs="宋体" w:eastAsia="宋体" w:hint="default"/>
          <w:spacing w:val="-102"/>
          <w:sz w:val="21"/>
          <w:szCs w:val="21"/>
        </w:rPr>
        <w:t> </w:t>
      </w:r>
      <w:r>
        <w:rPr>
          <w:rFonts w:ascii="宋体" w:hAnsi="宋体" w:cs="宋体" w:eastAsia="宋体" w:hint="default"/>
          <w:spacing w:val="-102"/>
          <w:sz w:val="21"/>
          <w:szCs w:val="21"/>
        </w:rPr>
      </w:r>
      <w:bookmarkStart w:name="43、现金流量表项目" w:id="252"/>
      <w:bookmarkEnd w:id="252"/>
      <w:r>
        <w:rPr>
          <w:rFonts w:ascii="宋体" w:hAnsi="宋体" w:cs="宋体" w:eastAsia="宋体" w:hint="default"/>
          <w:spacing w:val="-102"/>
          <w:sz w:val="21"/>
          <w:szCs w:val="21"/>
        </w:rPr>
      </w:r>
      <w:r>
        <w:rPr>
          <w:rFonts w:ascii="Times New Roman" w:hAnsi="Times New Roman" w:cs="Times New Roman" w:eastAsia="Times New Roman" w:hint="default"/>
          <w:b/>
          <w:bCs/>
          <w:spacing w:val="-1"/>
          <w:sz w:val="21"/>
          <w:szCs w:val="21"/>
        </w:rPr>
        <w:t>43</w:t>
      </w:r>
      <w:r>
        <w:rPr>
          <w:rFonts w:ascii="宋体" w:hAnsi="宋体" w:cs="宋体" w:eastAsia="宋体" w:hint="default"/>
          <w:b/>
          <w:bCs/>
          <w:spacing w:val="-1"/>
          <w:sz w:val="21"/>
          <w:szCs w:val="21"/>
        </w:rPr>
        <w:t>、现金流量表项目</w:t>
      </w:r>
      <w:r>
        <w:rPr>
          <w:rFonts w:ascii="宋体" w:hAnsi="宋体" w:cs="宋体" w:eastAsia="宋体" w:hint="default"/>
          <w:spacing w:val="-1"/>
          <w:sz w:val="21"/>
          <w:szCs w:val="21"/>
        </w:rPr>
      </w:r>
    </w:p>
    <w:p>
      <w:pPr>
        <w:spacing w:line="240" w:lineRule="auto" w:before="7"/>
        <w:rPr>
          <w:rFonts w:ascii="宋体" w:hAnsi="宋体" w:cs="宋体" w:eastAsia="宋体" w:hint="default"/>
          <w:b/>
          <w:bCs/>
          <w:sz w:val="26"/>
          <w:szCs w:val="26"/>
        </w:rPr>
      </w:pPr>
    </w:p>
    <w:p>
      <w:pPr>
        <w:pStyle w:val="Heading5"/>
        <w:spacing w:line="240" w:lineRule="auto"/>
        <w:ind w:right="0"/>
        <w:jc w:val="left"/>
        <w:rPr>
          <w:b w:val="0"/>
          <w:bCs w:val="0"/>
        </w:rPr>
      </w:pPr>
      <w:bookmarkStart w:name="（1）收到的其他与经营活动有关的现金" w:id="253"/>
      <w:bookmarkEnd w:id="253"/>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36"/>
        <w:ind w:left="0" w:right="150"/>
        <w:jc w:val="right"/>
      </w:pPr>
      <w:r>
        <w:rPr/>
        <w:t>单位：</w:t>
      </w:r>
      <w:r>
        <w:rPr>
          <w:spacing w:val="2"/>
        </w:rPr>
        <w:t> </w:t>
      </w:r>
      <w:r>
        <w:rPr/>
        <w:t>元</w:t>
      </w:r>
    </w:p>
    <w:p>
      <w:pPr>
        <w:spacing w:line="240" w:lineRule="auto" w:before="12"/>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282"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2"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1,156,802.10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664,023.86</w:t>
            </w:r>
          </w:p>
        </w:tc>
      </w:tr>
      <w:tr>
        <w:trPr>
          <w:trHeight w:val="28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4,216,600.00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8,073,100.00</w:t>
            </w:r>
          </w:p>
        </w:tc>
      </w:tr>
      <w:tr>
        <w:trPr>
          <w:trHeight w:val="28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往来款及其他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76,901.15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41,637.32</w:t>
            </w:r>
          </w:p>
        </w:tc>
      </w:tr>
      <w:tr>
        <w:trPr>
          <w:trHeight w:val="28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5,450,303.25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8,778,761.18</w:t>
            </w:r>
          </w:p>
        </w:tc>
      </w:tr>
    </w:tbl>
    <w:p>
      <w:pPr>
        <w:pStyle w:val="BodyText"/>
        <w:spacing w:line="262" w:lineRule="exact"/>
        <w:ind w:right="0"/>
        <w:jc w:val="left"/>
      </w:pPr>
      <w:r>
        <w:rPr/>
        <w:t>收到的其他与经营活动有关的现金说明：</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bookmarkStart w:name="（2）支付的其他与经营活动有关的现金" w:id="254"/>
      <w:bookmarkEnd w:id="254"/>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150"/>
        <w:jc w:val="right"/>
      </w:pPr>
      <w:r>
        <w:rPr/>
        <w:t>单位：</w:t>
      </w:r>
      <w:r>
        <w:rPr>
          <w:spacing w:val="2"/>
        </w:rPr>
        <w:t> </w:t>
      </w:r>
      <w:r>
        <w:rPr/>
        <w:t>元</w:t>
      </w:r>
    </w:p>
    <w:p>
      <w:pPr>
        <w:spacing w:line="240" w:lineRule="auto" w:before="10"/>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28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2"/>
                <w:sz w:val="21"/>
              </w:rPr>
              <w:t>19,151,117.84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17,320,741.29</w:t>
            </w:r>
          </w:p>
        </w:tc>
      </w:tr>
      <w:tr>
        <w:trPr>
          <w:trHeight w:val="28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往来款及其他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27,541.46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319,000.00</w:t>
            </w:r>
          </w:p>
        </w:tc>
      </w:tr>
      <w:tr>
        <w:trPr>
          <w:trHeight w:val="286"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19,178,659.30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17,639,741.29</w:t>
            </w:r>
          </w:p>
        </w:tc>
      </w:tr>
    </w:tbl>
    <w:p>
      <w:pPr>
        <w:pStyle w:val="BodyText"/>
        <w:spacing w:line="262" w:lineRule="exact"/>
        <w:ind w:right="0"/>
        <w:jc w:val="left"/>
      </w:pPr>
      <w:r>
        <w:rPr/>
        <w:t>支付的其他与经营活动有关的现金说明：</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bookmarkStart w:name="（3）收到的其他与筹资活动有关的现金" w:id="255"/>
      <w:bookmarkEnd w:id="255"/>
      <w:r>
        <w:rPr>
          <w:b w:val="0"/>
          <w:bCs w:val="0"/>
        </w:rPr>
      </w:r>
      <w:r>
        <w:rPr/>
        <w:t>（</w:t>
      </w:r>
      <w:r>
        <w:rPr>
          <w:rFonts w:ascii="Times New Roman" w:hAnsi="Times New Roman" w:cs="Times New Roman" w:eastAsia="Times New Roman" w:hint="default"/>
        </w:rPr>
        <w:t>3</w:t>
      </w:r>
      <w:r>
        <w:rPr/>
        <w:t>）收到的其他与筹资活动有关的现金</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36"/>
        <w:ind w:left="0" w:right="150"/>
        <w:jc w:val="right"/>
      </w:pPr>
      <w:r>
        <w:rPr/>
        <w:t>单位：</w:t>
      </w:r>
      <w:r>
        <w:rPr>
          <w:spacing w:val="2"/>
        </w:rPr>
        <w:t> </w:t>
      </w:r>
      <w:r>
        <w:rPr/>
        <w:t>元</w:t>
      </w:r>
    </w:p>
    <w:p>
      <w:pPr>
        <w:spacing w:line="240" w:lineRule="auto" w:before="10"/>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28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募集资金利息收入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1,560,939.09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2,847,652.27</w:t>
            </w:r>
          </w:p>
        </w:tc>
      </w:tr>
      <w:tr>
        <w:trPr>
          <w:trHeight w:val="28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1,560,939.09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2,847,652.27</w:t>
            </w:r>
          </w:p>
        </w:tc>
      </w:tr>
    </w:tbl>
    <w:p>
      <w:pPr>
        <w:pStyle w:val="BodyText"/>
        <w:spacing w:line="262" w:lineRule="exact"/>
        <w:ind w:right="0"/>
        <w:jc w:val="left"/>
      </w:pPr>
      <w:r>
        <w:rPr/>
        <w:t>收到的其他与筹资活动有关的现金说明：</w:t>
      </w:r>
    </w:p>
    <w:p>
      <w:pPr>
        <w:spacing w:after="0" w:line="262" w:lineRule="exact"/>
        <w:jc w:val="left"/>
        <w:sectPr>
          <w:pgSz w:w="11910" w:h="16840"/>
          <w:pgMar w:header="880" w:footer="979" w:top="1060" w:bottom="1160" w:left="980" w:right="980"/>
        </w:sectPr>
      </w:pPr>
    </w:p>
    <w:p>
      <w:pPr>
        <w:spacing w:line="240" w:lineRule="auto" w:before="8"/>
        <w:rPr>
          <w:rFonts w:ascii="宋体" w:hAnsi="宋体" w:cs="宋体" w:eastAsia="宋体" w:hint="default"/>
          <w:sz w:val="24"/>
          <w:szCs w:val="24"/>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4</w:t>
      </w:r>
      <w:r>
        <w:rPr/>
        <w:t>）支付的其他与筹资活动有关的现金</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150"/>
        <w:jc w:val="right"/>
      </w:pPr>
      <w:bookmarkStart w:name="（4）支付的其他与筹资活动有关的现金" w:id="256"/>
      <w:bookmarkEnd w:id="256"/>
      <w:r>
        <w:rPr/>
      </w:r>
      <w:r>
        <w:rPr/>
        <w:t>单位：</w:t>
      </w:r>
      <w:r>
        <w:rPr>
          <w:spacing w:val="2"/>
        </w:rPr>
        <w:t> </w:t>
      </w:r>
      <w:r>
        <w:rPr/>
        <w:t>元</w:t>
      </w:r>
    </w:p>
    <w:p>
      <w:pPr>
        <w:spacing w:line="240" w:lineRule="auto" w:before="10"/>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28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手续费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1,205.06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3"/>
                <w:sz w:val="21"/>
              </w:rPr>
              <w:t>1,111.40</w:t>
            </w:r>
          </w:p>
        </w:tc>
      </w:tr>
      <w:tr>
        <w:trPr>
          <w:trHeight w:val="28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1,205.06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3"/>
                <w:sz w:val="21"/>
              </w:rPr>
              <w:t>1,111.40</w:t>
            </w:r>
          </w:p>
        </w:tc>
      </w:tr>
    </w:tbl>
    <w:p>
      <w:pPr>
        <w:pStyle w:val="BodyText"/>
        <w:spacing w:line="262" w:lineRule="exact"/>
        <w:ind w:right="0"/>
        <w:jc w:val="left"/>
      </w:pPr>
      <w:r>
        <w:rPr/>
        <w:t>支付的其他与筹资活动有关的现金说明：</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bookmarkStart w:name="44、现金流量表补充资料" w:id="257"/>
      <w:bookmarkEnd w:id="257"/>
      <w:r>
        <w:rPr>
          <w:b w:val="0"/>
          <w:bCs w:val="0"/>
        </w:rPr>
      </w:r>
      <w:r>
        <w:rPr>
          <w:rFonts w:ascii="Times New Roman" w:hAnsi="Times New Roman" w:cs="Times New Roman" w:eastAsia="Times New Roman" w:hint="default"/>
        </w:rPr>
        <w:t>44</w:t>
      </w:r>
      <w:r>
        <w:rPr/>
        <w:t>、现金流量表补充资料</w:t>
      </w:r>
      <w:r>
        <w:rPr>
          <w:b w:val="0"/>
          <w:bCs w:val="0"/>
        </w:rPr>
      </w:r>
    </w:p>
    <w:p>
      <w:pPr>
        <w:spacing w:line="240" w:lineRule="auto" w:before="0"/>
        <w:rPr>
          <w:rFonts w:ascii="宋体" w:hAnsi="宋体" w:cs="宋体" w:eastAsia="宋体" w:hint="default"/>
          <w:b/>
          <w:bCs/>
          <w:sz w:val="22"/>
          <w:szCs w:val="22"/>
        </w:rPr>
      </w:pPr>
    </w:p>
    <w:p>
      <w:pPr>
        <w:spacing w:line="240" w:lineRule="auto" w:before="9"/>
        <w:rPr>
          <w:rFonts w:ascii="宋体" w:hAnsi="宋体" w:cs="宋体" w:eastAsia="宋体" w:hint="default"/>
          <w:b/>
          <w:bCs/>
          <w:sz w:val="25"/>
          <w:szCs w:val="25"/>
        </w:rPr>
      </w:pPr>
    </w:p>
    <w:p>
      <w:pPr>
        <w:pStyle w:val="Heading5"/>
        <w:spacing w:line="240" w:lineRule="auto"/>
        <w:ind w:right="0"/>
        <w:jc w:val="left"/>
        <w:rPr>
          <w:b w:val="0"/>
          <w:bCs w:val="0"/>
        </w:rPr>
      </w:pPr>
      <w:bookmarkStart w:name="（1）现金流量表补充资料" w:id="258"/>
      <w:bookmarkEnd w:id="258"/>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150"/>
        <w:jc w:val="right"/>
      </w:pPr>
      <w:r>
        <w:rPr/>
        <w:t>单位：</w:t>
      </w:r>
      <w:r>
        <w:rPr>
          <w:spacing w:val="2"/>
        </w:rPr>
        <w:t> </w:t>
      </w:r>
      <w:r>
        <w:rPr/>
        <w:t>元</w:t>
      </w:r>
    </w:p>
    <w:p>
      <w:pPr>
        <w:spacing w:line="240" w:lineRule="auto" w:before="10"/>
        <w:rPr>
          <w:rFonts w:ascii="宋体" w:hAnsi="宋体" w:cs="宋体" w:eastAsia="宋体" w:hint="default"/>
          <w:sz w:val="3"/>
          <w:szCs w:val="3"/>
        </w:rPr>
      </w:pPr>
    </w:p>
    <w:tbl>
      <w:tblPr>
        <w:tblW w:w="0" w:type="auto"/>
        <w:jc w:val="left"/>
        <w:tblInd w:w="160" w:type="dxa"/>
        <w:tblLayout w:type="fixed"/>
        <w:tblCellMar>
          <w:top w:w="0" w:type="dxa"/>
          <w:left w:w="0" w:type="dxa"/>
          <w:bottom w:w="0" w:type="dxa"/>
          <w:right w:w="0" w:type="dxa"/>
        </w:tblCellMar>
        <w:tblLook w:val="01E0"/>
      </w:tblPr>
      <w:tblGrid>
        <w:gridCol w:w="3304"/>
        <w:gridCol w:w="3068"/>
        <w:gridCol w:w="3185"/>
      </w:tblGrid>
      <w:tr>
        <w:trPr>
          <w:trHeight w:val="282"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30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3"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157" w:hRule="exact"/>
        </w:trPr>
        <w:tc>
          <w:tcPr>
            <w:tcW w:w="3304" w:type="dxa"/>
            <w:vMerge w:val="restart"/>
            <w:tcBorders>
              <w:top w:val="single" w:sz="4" w:space="0" w:color="000000"/>
              <w:left w:val="single" w:sz="4" w:space="0" w:color="000000"/>
              <w:right w:val="single" w:sz="4" w:space="0" w:color="000000"/>
            </w:tcBorders>
            <w:shd w:val="clear" w:color="auto" w:fill="D4D4D4"/>
          </w:tcPr>
          <w:p>
            <w:pPr>
              <w:pStyle w:val="TableParagraph"/>
              <w:spacing w:line="248" w:lineRule="exact"/>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．将净利润调节为经营活动现金流</w:t>
            </w:r>
          </w:p>
          <w:p>
            <w:pPr>
              <w:pStyle w:val="TableParagraph"/>
              <w:spacing w:line="265" w:lineRule="exact"/>
              <w:ind w:left="12" w:right="0"/>
              <w:jc w:val="left"/>
              <w:rPr>
                <w:rFonts w:ascii="宋体" w:hAnsi="宋体" w:cs="宋体" w:eastAsia="宋体" w:hint="default"/>
                <w:sz w:val="21"/>
                <w:szCs w:val="21"/>
              </w:rPr>
            </w:pPr>
            <w:r>
              <w:rPr>
                <w:rFonts w:ascii="宋体" w:hAnsi="宋体" w:cs="宋体" w:eastAsia="宋体" w:hint="default"/>
                <w:sz w:val="21"/>
                <w:szCs w:val="21"/>
              </w:rPr>
              <w:t>量：</w:t>
            </w:r>
          </w:p>
        </w:tc>
        <w:tc>
          <w:tcPr>
            <w:tcW w:w="3068" w:type="dxa"/>
            <w:tcBorders>
              <w:top w:val="single" w:sz="4" w:space="0" w:color="000000"/>
              <w:left w:val="single" w:sz="4" w:space="0" w:color="000000"/>
              <w:bottom w:val="nil" w:sz="6" w:space="0" w:color="auto"/>
              <w:right w:val="single" w:sz="4" w:space="0" w:color="000000"/>
            </w:tcBorders>
            <w:shd w:val="clear" w:color="auto" w:fill="D4D4D4"/>
          </w:tcPr>
          <w:p>
            <w:pPr/>
          </w:p>
        </w:tc>
        <w:tc>
          <w:tcPr>
            <w:tcW w:w="3185"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242" w:hRule="exact"/>
        </w:trPr>
        <w:tc>
          <w:tcPr>
            <w:tcW w:w="3304" w:type="dxa"/>
            <w:vMerge/>
            <w:tcBorders>
              <w:left w:val="single" w:sz="4" w:space="0" w:color="000000"/>
              <w:right w:val="single" w:sz="4" w:space="0" w:color="000000"/>
            </w:tcBorders>
            <w:shd w:val="clear" w:color="auto" w:fill="D4D4D4"/>
          </w:tcPr>
          <w:p>
            <w:pPr/>
          </w:p>
        </w:tc>
        <w:tc>
          <w:tcPr>
            <w:tcW w:w="306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35" w:lineRule="exact"/>
              <w:ind w:left="10" w:right="0"/>
              <w:jc w:val="center"/>
              <w:rPr>
                <w:rFonts w:ascii="Times New Roman" w:hAnsi="Times New Roman" w:cs="Times New Roman" w:eastAsia="Times New Roman" w:hint="default"/>
                <w:sz w:val="21"/>
                <w:szCs w:val="21"/>
              </w:rPr>
            </w:pPr>
            <w:r>
              <w:rPr>
                <w:rFonts w:ascii="Times New Roman"/>
                <w:sz w:val="21"/>
              </w:rPr>
              <w:t>--</w:t>
            </w:r>
          </w:p>
        </w:tc>
        <w:tc>
          <w:tcPr>
            <w:tcW w:w="318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w:t>
            </w:r>
          </w:p>
        </w:tc>
      </w:tr>
      <w:tr>
        <w:trPr>
          <w:trHeight w:val="156" w:hRule="exact"/>
        </w:trPr>
        <w:tc>
          <w:tcPr>
            <w:tcW w:w="3304" w:type="dxa"/>
            <w:vMerge/>
            <w:tcBorders>
              <w:left w:val="single" w:sz="4" w:space="0" w:color="000000"/>
              <w:bottom w:val="single" w:sz="4" w:space="0" w:color="000000"/>
              <w:right w:val="single" w:sz="4" w:space="0" w:color="000000"/>
            </w:tcBorders>
            <w:shd w:val="clear" w:color="auto" w:fill="D4D4D4"/>
          </w:tcPr>
          <w:p>
            <w:pPr/>
          </w:p>
        </w:tc>
        <w:tc>
          <w:tcPr>
            <w:tcW w:w="3068" w:type="dxa"/>
            <w:tcBorders>
              <w:top w:val="nil" w:sz="6" w:space="0" w:color="auto"/>
              <w:left w:val="single" w:sz="4" w:space="0" w:color="000000"/>
              <w:bottom w:val="single" w:sz="4" w:space="0" w:color="000000"/>
              <w:right w:val="single" w:sz="4" w:space="0" w:color="000000"/>
            </w:tcBorders>
            <w:shd w:val="clear" w:color="auto" w:fill="D4D4D4"/>
          </w:tcPr>
          <w:p>
            <w:pPr/>
          </w:p>
        </w:tc>
        <w:tc>
          <w:tcPr>
            <w:tcW w:w="3185"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283"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306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22,523,905.35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23,311,990.32</w:t>
            </w:r>
          </w:p>
        </w:tc>
      </w:tr>
      <w:tr>
        <w:trPr>
          <w:trHeight w:val="283"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306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1,963,430.54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536,047.62</w:t>
            </w:r>
          </w:p>
        </w:tc>
      </w:tr>
      <w:tr>
        <w:trPr>
          <w:trHeight w:val="557"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exact"/>
              <w:ind w:left="12" w:right="0"/>
              <w:jc w:val="left"/>
              <w:rPr>
                <w:rFonts w:ascii="宋体" w:hAnsi="宋体" w:cs="宋体" w:eastAsia="宋体" w:hint="default"/>
                <w:sz w:val="21"/>
                <w:szCs w:val="21"/>
              </w:rPr>
            </w:pPr>
            <w:r>
              <w:rPr>
                <w:rFonts w:ascii="宋体" w:hAnsi="宋体" w:cs="宋体" w:eastAsia="宋体" w:hint="default"/>
                <w:spacing w:val="-7"/>
                <w:sz w:val="21"/>
                <w:szCs w:val="21"/>
              </w:rPr>
              <w:t>固定资产折旧、油气资产折耗、生产</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性生物资产折旧</w:t>
            </w:r>
          </w:p>
        </w:tc>
        <w:tc>
          <w:tcPr>
            <w:tcW w:w="306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1,541,561.55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995,225.46</w:t>
            </w:r>
          </w:p>
        </w:tc>
      </w:tr>
      <w:tr>
        <w:trPr>
          <w:trHeight w:val="283"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306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1,644,633.74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1,640,180.40</w:t>
            </w:r>
          </w:p>
        </w:tc>
      </w:tr>
      <w:tr>
        <w:trPr>
          <w:trHeight w:val="281"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306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2"/>
                <w:sz w:val="21"/>
              </w:rPr>
              <w:t>67,411.98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3"/>
                <w:sz w:val="21"/>
              </w:rPr>
              <w:t>111,667.28</w:t>
            </w:r>
          </w:p>
        </w:tc>
      </w:tr>
      <w:tr>
        <w:trPr>
          <w:trHeight w:val="557"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w w:val="100"/>
                <w:sz w:val="21"/>
                <w:szCs w:val="21"/>
              </w:rPr>
              <w:t>处置</w:t>
            </w:r>
            <w:r>
              <w:rPr>
                <w:rFonts w:ascii="宋体" w:hAnsi="宋体" w:cs="宋体" w:eastAsia="宋体" w:hint="default"/>
                <w:spacing w:val="-3"/>
                <w:w w:val="100"/>
                <w:sz w:val="21"/>
                <w:szCs w:val="21"/>
              </w:rPr>
              <w:t>固</w:t>
            </w:r>
            <w:r>
              <w:rPr>
                <w:rFonts w:ascii="宋体" w:hAnsi="宋体" w:cs="宋体" w:eastAsia="宋体" w:hint="default"/>
                <w:w w:val="100"/>
                <w:sz w:val="21"/>
                <w:szCs w:val="21"/>
              </w:rPr>
              <w:t>定</w:t>
            </w:r>
            <w:r>
              <w:rPr>
                <w:rFonts w:ascii="宋体" w:hAnsi="宋体" w:cs="宋体" w:eastAsia="宋体" w:hint="default"/>
                <w:spacing w:val="-3"/>
                <w:w w:val="100"/>
                <w:sz w:val="21"/>
                <w:szCs w:val="21"/>
              </w:rPr>
              <w:t>资产</w:t>
            </w:r>
            <w:r>
              <w:rPr>
                <w:rFonts w:ascii="宋体" w:hAnsi="宋体" w:cs="宋体" w:eastAsia="宋体" w:hint="default"/>
                <w:spacing w:val="-89"/>
                <w:w w:val="100"/>
                <w:sz w:val="21"/>
                <w:szCs w:val="21"/>
              </w:rPr>
              <w:t>、</w:t>
            </w:r>
            <w:r>
              <w:rPr>
                <w:rFonts w:ascii="宋体" w:hAnsi="宋体" w:cs="宋体" w:eastAsia="宋体" w:hint="default"/>
                <w:spacing w:val="-3"/>
                <w:w w:val="100"/>
                <w:sz w:val="21"/>
                <w:szCs w:val="21"/>
              </w:rPr>
              <w:t>无</w:t>
            </w:r>
            <w:r>
              <w:rPr>
                <w:rFonts w:ascii="宋体" w:hAnsi="宋体" w:cs="宋体" w:eastAsia="宋体" w:hint="default"/>
                <w:w w:val="100"/>
                <w:sz w:val="21"/>
                <w:szCs w:val="21"/>
              </w:rPr>
              <w:t>形</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3"/>
                <w:w w:val="100"/>
                <w:sz w:val="21"/>
                <w:szCs w:val="21"/>
              </w:rPr>
              <w:t>和</w:t>
            </w:r>
            <w:r>
              <w:rPr>
                <w:rFonts w:ascii="宋体" w:hAnsi="宋体" w:cs="宋体" w:eastAsia="宋体" w:hint="default"/>
                <w:w w:val="100"/>
                <w:sz w:val="21"/>
                <w:szCs w:val="21"/>
              </w:rPr>
              <w:t>其他</w:t>
            </w:r>
            <w:r>
              <w:rPr>
                <w:rFonts w:ascii="宋体" w:hAnsi="宋体" w:cs="宋体" w:eastAsia="宋体" w:hint="default"/>
                <w:spacing w:val="-3"/>
                <w:w w:val="100"/>
                <w:sz w:val="21"/>
                <w:szCs w:val="21"/>
              </w:rPr>
              <w:t>长期</w:t>
            </w:r>
            <w:r>
              <w:rPr>
                <w:rFonts w:ascii="宋体" w:hAnsi="宋体" w:cs="宋体" w:eastAsia="宋体" w:hint="default"/>
                <w:w w:val="100"/>
                <w:sz w:val="21"/>
                <w:szCs w:val="21"/>
              </w:rPr>
            </w:r>
          </w:p>
          <w:p>
            <w:pPr>
              <w:pStyle w:val="TableParagraph"/>
              <w:spacing w:line="289" w:lineRule="exact"/>
              <w:ind w:left="12" w:right="0"/>
              <w:jc w:val="left"/>
              <w:rPr>
                <w:rFonts w:ascii="宋体" w:hAnsi="宋体" w:cs="宋体" w:eastAsia="宋体" w:hint="default"/>
                <w:sz w:val="21"/>
                <w:szCs w:val="21"/>
              </w:rPr>
            </w:pPr>
            <w:r>
              <w:rPr>
                <w:rFonts w:ascii="宋体" w:hAnsi="宋体" w:cs="宋体" w:eastAsia="宋体" w:hint="default"/>
                <w:sz w:val="21"/>
                <w:szCs w:val="21"/>
              </w:rPr>
              <w:t>资产的损失（收益以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306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-226,705.32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3,571.51</w:t>
            </w:r>
          </w:p>
        </w:tc>
      </w:tr>
      <w:tr>
        <w:trPr>
          <w:trHeight w:val="283"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57" w:lineRule="exact"/>
              <w:ind w:left="12" w:right="0"/>
              <w:jc w:val="left"/>
              <w:rPr>
                <w:rFonts w:ascii="宋体" w:hAnsi="宋体" w:cs="宋体" w:eastAsia="宋体" w:hint="default"/>
                <w:sz w:val="21"/>
                <w:szCs w:val="21"/>
              </w:rPr>
            </w:pPr>
            <w:r>
              <w:rPr>
                <w:rFonts w:ascii="宋体" w:hAnsi="宋体" w:cs="宋体" w:eastAsia="宋体" w:hint="default"/>
                <w:sz w:val="21"/>
                <w:szCs w:val="21"/>
              </w:rPr>
              <w:t>财务费用（收益以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306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-1,733,271.70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-2,846,540.87</w:t>
            </w:r>
          </w:p>
        </w:tc>
      </w:tr>
      <w:tr>
        <w:trPr>
          <w:trHeight w:val="283"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57" w:lineRule="exact"/>
              <w:ind w:left="12" w:right="0"/>
              <w:jc w:val="left"/>
              <w:rPr>
                <w:rFonts w:ascii="宋体" w:hAnsi="宋体" w:cs="宋体" w:eastAsia="宋体" w:hint="default"/>
                <w:sz w:val="21"/>
                <w:szCs w:val="21"/>
              </w:rPr>
            </w:pPr>
            <w:r>
              <w:rPr>
                <w:rFonts w:ascii="宋体" w:hAnsi="宋体" w:cs="宋体" w:eastAsia="宋体" w:hint="default"/>
                <w:sz w:val="21"/>
                <w:szCs w:val="21"/>
              </w:rPr>
              <w:t>投资损失（收益以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306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-4,424,106.13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-2,776,904.09</w:t>
            </w:r>
          </w:p>
        </w:tc>
      </w:tr>
      <w:tr>
        <w:trPr>
          <w:trHeight w:val="557"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8" w:lineRule="exact"/>
              <w:ind w:left="1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递延所得税资产减少（增加以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p>
          <w:p>
            <w:pPr>
              <w:pStyle w:val="TableParagraph"/>
              <w:spacing w:line="266" w:lineRule="exact"/>
              <w:ind w:left="12"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306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2"/>
                <w:sz w:val="21"/>
              </w:rPr>
              <w:t>-115,475.73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183,385.52</w:t>
            </w:r>
          </w:p>
        </w:tc>
      </w:tr>
      <w:tr>
        <w:trPr>
          <w:trHeight w:val="554"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8" w:lineRule="exact"/>
              <w:ind w:left="1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递延所得税负债增加（减少以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p>
          <w:p>
            <w:pPr>
              <w:pStyle w:val="TableParagraph"/>
              <w:spacing w:line="266" w:lineRule="exact"/>
              <w:ind w:left="12"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306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196,234.42</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57" w:lineRule="exact"/>
              <w:ind w:left="12" w:right="0"/>
              <w:jc w:val="left"/>
              <w:rPr>
                <w:rFonts w:ascii="宋体" w:hAnsi="宋体" w:cs="宋体" w:eastAsia="宋体" w:hint="default"/>
                <w:sz w:val="21"/>
                <w:szCs w:val="21"/>
              </w:rPr>
            </w:pPr>
            <w:r>
              <w:rPr>
                <w:rFonts w:ascii="宋体" w:hAnsi="宋体" w:cs="宋体" w:eastAsia="宋体" w:hint="default"/>
                <w:sz w:val="21"/>
                <w:szCs w:val="21"/>
              </w:rPr>
              <w:t>存货的减少（增加以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306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342,036.99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-340,795.79</w:t>
            </w:r>
          </w:p>
        </w:tc>
      </w:tr>
      <w:tr>
        <w:trPr>
          <w:trHeight w:val="557"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8" w:lineRule="exact"/>
              <w:ind w:left="12" w:right="0"/>
              <w:jc w:val="left"/>
              <w:rPr>
                <w:rFonts w:ascii="Times New Roman" w:hAnsi="Times New Roman" w:cs="Times New Roman" w:eastAsia="Times New Roman" w:hint="default"/>
                <w:sz w:val="21"/>
                <w:szCs w:val="21"/>
              </w:rPr>
            </w:pPr>
            <w:r>
              <w:rPr>
                <w:rFonts w:ascii="宋体" w:hAnsi="宋体" w:cs="宋体" w:eastAsia="宋体" w:hint="default"/>
                <w:spacing w:val="-6"/>
                <w:sz w:val="21"/>
                <w:szCs w:val="21"/>
              </w:rPr>
              <w:t>经营性应收项目的减少（增加以</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w:t>
            </w:r>
          </w:p>
          <w:p>
            <w:pPr>
              <w:pStyle w:val="TableParagraph"/>
              <w:spacing w:line="266" w:lineRule="exact"/>
              <w:ind w:left="12"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306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-671,406.41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-7,022,072.45</w:t>
            </w:r>
          </w:p>
        </w:tc>
      </w:tr>
      <w:tr>
        <w:trPr>
          <w:trHeight w:val="557"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8" w:lineRule="exact"/>
              <w:ind w:left="12" w:right="0"/>
              <w:jc w:val="left"/>
              <w:rPr>
                <w:rFonts w:ascii="Times New Roman" w:hAnsi="Times New Roman" w:cs="Times New Roman" w:eastAsia="Times New Roman" w:hint="default"/>
                <w:sz w:val="21"/>
                <w:szCs w:val="21"/>
              </w:rPr>
            </w:pPr>
            <w:r>
              <w:rPr>
                <w:rFonts w:ascii="宋体" w:hAnsi="宋体" w:cs="宋体" w:eastAsia="宋体" w:hint="default"/>
                <w:spacing w:val="-6"/>
                <w:sz w:val="21"/>
                <w:szCs w:val="21"/>
              </w:rPr>
              <w:t>经营性应付项目的增加（减少以</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w:t>
            </w:r>
          </w:p>
          <w:p>
            <w:pPr>
              <w:pStyle w:val="TableParagraph"/>
              <w:spacing w:line="266" w:lineRule="exact"/>
              <w:ind w:left="12"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306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-470,403.53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4,001,550.54</w:t>
            </w:r>
          </w:p>
        </w:tc>
      </w:tr>
      <w:tr>
        <w:trPr>
          <w:trHeight w:val="282"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306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20,637,845.75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17,797,305.45</w:t>
            </w:r>
          </w:p>
        </w:tc>
      </w:tr>
      <w:tr>
        <w:trPr>
          <w:trHeight w:val="157" w:hRule="exact"/>
        </w:trPr>
        <w:tc>
          <w:tcPr>
            <w:tcW w:w="3304" w:type="dxa"/>
            <w:vMerge w:val="restart"/>
            <w:tcBorders>
              <w:top w:val="single" w:sz="4" w:space="0" w:color="000000"/>
              <w:left w:val="single" w:sz="4" w:space="0" w:color="000000"/>
              <w:right w:val="single" w:sz="4" w:space="0" w:color="000000"/>
            </w:tcBorders>
            <w:shd w:val="clear" w:color="auto" w:fill="D4D4D4"/>
          </w:tcPr>
          <w:p>
            <w:pPr>
              <w:pStyle w:val="TableParagraph"/>
              <w:spacing w:line="248" w:lineRule="exact"/>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．不涉及现金收支的重大投资和筹</w:t>
            </w:r>
          </w:p>
          <w:p>
            <w:pPr>
              <w:pStyle w:val="TableParagraph"/>
              <w:spacing w:line="265" w:lineRule="exact"/>
              <w:ind w:left="12" w:right="0"/>
              <w:jc w:val="left"/>
              <w:rPr>
                <w:rFonts w:ascii="宋体" w:hAnsi="宋体" w:cs="宋体" w:eastAsia="宋体" w:hint="default"/>
                <w:sz w:val="21"/>
                <w:szCs w:val="21"/>
              </w:rPr>
            </w:pPr>
            <w:r>
              <w:rPr>
                <w:rFonts w:ascii="宋体" w:hAnsi="宋体" w:cs="宋体" w:eastAsia="宋体" w:hint="default"/>
                <w:sz w:val="21"/>
                <w:szCs w:val="21"/>
              </w:rPr>
              <w:t>资活动：</w:t>
            </w:r>
          </w:p>
        </w:tc>
        <w:tc>
          <w:tcPr>
            <w:tcW w:w="3068" w:type="dxa"/>
            <w:tcBorders>
              <w:top w:val="single" w:sz="4" w:space="0" w:color="000000"/>
              <w:left w:val="single" w:sz="4" w:space="0" w:color="000000"/>
              <w:bottom w:val="nil" w:sz="6" w:space="0" w:color="auto"/>
              <w:right w:val="single" w:sz="4" w:space="0" w:color="000000"/>
            </w:tcBorders>
            <w:shd w:val="clear" w:color="auto" w:fill="D4D4D4"/>
          </w:tcPr>
          <w:p>
            <w:pPr/>
          </w:p>
        </w:tc>
        <w:tc>
          <w:tcPr>
            <w:tcW w:w="3185"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242" w:hRule="exact"/>
        </w:trPr>
        <w:tc>
          <w:tcPr>
            <w:tcW w:w="3304" w:type="dxa"/>
            <w:vMerge/>
            <w:tcBorders>
              <w:left w:val="single" w:sz="4" w:space="0" w:color="000000"/>
              <w:right w:val="single" w:sz="4" w:space="0" w:color="000000"/>
            </w:tcBorders>
            <w:shd w:val="clear" w:color="auto" w:fill="D4D4D4"/>
          </w:tcPr>
          <w:p>
            <w:pPr/>
          </w:p>
        </w:tc>
        <w:tc>
          <w:tcPr>
            <w:tcW w:w="306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35" w:lineRule="exact"/>
              <w:ind w:left="10" w:right="0"/>
              <w:jc w:val="center"/>
              <w:rPr>
                <w:rFonts w:ascii="Times New Roman" w:hAnsi="Times New Roman" w:cs="Times New Roman" w:eastAsia="Times New Roman" w:hint="default"/>
                <w:sz w:val="21"/>
                <w:szCs w:val="21"/>
              </w:rPr>
            </w:pPr>
            <w:r>
              <w:rPr>
                <w:rFonts w:ascii="Times New Roman"/>
                <w:sz w:val="21"/>
              </w:rPr>
              <w:t>--</w:t>
            </w:r>
          </w:p>
        </w:tc>
        <w:tc>
          <w:tcPr>
            <w:tcW w:w="318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w:t>
            </w:r>
          </w:p>
        </w:tc>
      </w:tr>
      <w:tr>
        <w:trPr>
          <w:trHeight w:val="156" w:hRule="exact"/>
        </w:trPr>
        <w:tc>
          <w:tcPr>
            <w:tcW w:w="3304" w:type="dxa"/>
            <w:vMerge/>
            <w:tcBorders>
              <w:left w:val="single" w:sz="4" w:space="0" w:color="000000"/>
              <w:bottom w:val="single" w:sz="4" w:space="0" w:color="000000"/>
              <w:right w:val="single" w:sz="4" w:space="0" w:color="000000"/>
            </w:tcBorders>
            <w:shd w:val="clear" w:color="auto" w:fill="D4D4D4"/>
          </w:tcPr>
          <w:p>
            <w:pPr/>
          </w:p>
        </w:tc>
        <w:tc>
          <w:tcPr>
            <w:tcW w:w="3068" w:type="dxa"/>
            <w:tcBorders>
              <w:top w:val="nil" w:sz="6" w:space="0" w:color="auto"/>
              <w:left w:val="single" w:sz="4" w:space="0" w:color="000000"/>
              <w:bottom w:val="single" w:sz="4" w:space="0" w:color="000000"/>
              <w:right w:val="single" w:sz="4" w:space="0" w:color="000000"/>
            </w:tcBorders>
            <w:shd w:val="clear" w:color="auto" w:fill="D4D4D4"/>
          </w:tcPr>
          <w:p>
            <w:pPr/>
          </w:p>
        </w:tc>
        <w:tc>
          <w:tcPr>
            <w:tcW w:w="3185"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283"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57" w:lineRule="exact"/>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．现金及现金等价物净变动情况：</w:t>
            </w:r>
          </w:p>
        </w:tc>
        <w:tc>
          <w:tcPr>
            <w:tcW w:w="30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left="10" w:right="0"/>
              <w:jc w:val="center"/>
              <w:rPr>
                <w:rFonts w:ascii="Times New Roman" w:hAnsi="Times New Roman" w:cs="Times New Roman" w:eastAsia="Times New Roman" w:hint="default"/>
                <w:sz w:val="21"/>
                <w:szCs w:val="21"/>
              </w:rPr>
            </w:pPr>
            <w:r>
              <w:rPr>
                <w:rFonts w:ascii="Times New Roman"/>
                <w:sz w:val="21"/>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w:t>
            </w:r>
          </w:p>
        </w:tc>
      </w:tr>
      <w:tr>
        <w:trPr>
          <w:trHeight w:val="283"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3068" w:type="dxa"/>
            <w:tcBorders>
              <w:top w:val="single" w:sz="7" w:space="0" w:color="D4D4D4"/>
              <w:left w:val="single" w:sz="10" w:space="0" w:color="D4D4D4"/>
              <w:bottom w:val="single" w:sz="4" w:space="0" w:color="000000"/>
              <w:right w:val="single" w:sz="4" w:space="0" w:color="000000"/>
            </w:tcBorders>
          </w:tcPr>
          <w:p>
            <w:pPr>
              <w:pStyle w:val="TableParagraph"/>
              <w:spacing w:line="240" w:lineRule="auto" w:before="6"/>
              <w:ind w:right="19"/>
              <w:jc w:val="right"/>
              <w:rPr>
                <w:rFonts w:ascii="Times New Roman" w:hAnsi="Times New Roman" w:cs="Times New Roman" w:eastAsia="Times New Roman" w:hint="default"/>
                <w:sz w:val="21"/>
                <w:szCs w:val="21"/>
              </w:rPr>
            </w:pPr>
            <w:r>
              <w:rPr>
                <w:rFonts w:ascii="Times New Roman"/>
                <w:spacing w:val="-1"/>
                <w:sz w:val="21"/>
              </w:rPr>
              <w:t>121,299,781.90</w:t>
            </w:r>
          </w:p>
        </w:tc>
        <w:tc>
          <w:tcPr>
            <w:tcW w:w="3185" w:type="dxa"/>
            <w:tcBorders>
              <w:top w:val="single" w:sz="7" w:space="0" w:color="D4D4D4"/>
              <w:left w:val="single" w:sz="4" w:space="0" w:color="000000"/>
              <w:bottom w:val="single" w:sz="4" w:space="0" w:color="000000"/>
              <w:right w:val="single" w:sz="4" w:space="0" w:color="000000"/>
            </w:tcBorders>
          </w:tcPr>
          <w:p>
            <w:pPr>
              <w:pStyle w:val="TableParagraph"/>
              <w:spacing w:line="240" w:lineRule="auto" w:before="6"/>
              <w:ind w:right="19"/>
              <w:jc w:val="right"/>
              <w:rPr>
                <w:rFonts w:ascii="Times New Roman" w:hAnsi="Times New Roman" w:cs="Times New Roman" w:eastAsia="Times New Roman" w:hint="default"/>
                <w:sz w:val="21"/>
                <w:szCs w:val="21"/>
              </w:rPr>
            </w:pPr>
            <w:r>
              <w:rPr>
                <w:rFonts w:ascii="Times New Roman"/>
                <w:spacing w:val="-1"/>
                <w:sz w:val="21"/>
              </w:rPr>
              <w:t>126,386,318.45</w:t>
            </w:r>
          </w:p>
        </w:tc>
      </w:tr>
      <w:tr>
        <w:trPr>
          <w:trHeight w:val="283"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306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126,386,318.45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218,711,272.56</w:t>
            </w:r>
          </w:p>
        </w:tc>
      </w:tr>
      <w:tr>
        <w:trPr>
          <w:trHeight w:val="283"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306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-5,086,536.55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2"/>
                <w:sz w:val="21"/>
              </w:rPr>
              <w:t>-92,324,954.11</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bookmarkStart w:name="（2）现金和现金等价物的构成" w:id="259"/>
      <w:bookmarkEnd w:id="259"/>
      <w:r>
        <w:rPr>
          <w:b w:val="0"/>
          <w:bCs w:val="0"/>
        </w:rPr>
      </w:r>
      <w:r>
        <w:rPr/>
        <w:t>（</w:t>
      </w:r>
      <w:r>
        <w:rPr>
          <w:rFonts w:ascii="Times New Roman" w:hAnsi="Times New Roman" w:cs="Times New Roman" w:eastAsia="Times New Roman" w:hint="default"/>
        </w:rPr>
        <w:t>2</w:t>
      </w:r>
      <w:r>
        <w:rPr/>
        <w:t>）现金和现金等价物的构成</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36"/>
        <w:ind w:left="0" w:right="150"/>
        <w:jc w:val="right"/>
      </w:pPr>
      <w:r>
        <w:rPr/>
        <w:t>单位：</w:t>
      </w:r>
      <w:r>
        <w:rPr>
          <w:spacing w:val="2"/>
        </w:rPr>
        <w:t> </w:t>
      </w:r>
      <w:r>
        <w:rPr/>
        <w:t>元</w:t>
      </w:r>
    </w:p>
    <w:p>
      <w:pPr>
        <w:spacing w:line="240" w:lineRule="auto" w:before="12"/>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3325"/>
        <w:gridCol w:w="3058"/>
        <w:gridCol w:w="3185"/>
      </w:tblGrid>
      <w:tr>
        <w:trPr>
          <w:trHeight w:val="283" w:hRule="exact"/>
        </w:trPr>
        <w:tc>
          <w:tcPr>
            <w:tcW w:w="33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2" w:lineRule="exact"/>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bl>
    <w:p>
      <w:pPr>
        <w:spacing w:after="0" w:line="242" w:lineRule="exact"/>
        <w:jc w:val="center"/>
        <w:rPr>
          <w:rFonts w:ascii="宋体" w:hAnsi="宋体" w:cs="宋体" w:eastAsia="宋体" w:hint="default"/>
          <w:sz w:val="21"/>
          <w:szCs w:val="21"/>
        </w:rPr>
        <w:sectPr>
          <w:pgSz w:w="11910" w:h="16840"/>
          <w:pgMar w:header="880" w:footer="979" w:top="1060" w:bottom="1160" w:left="980" w:right="98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5"/>
        <w:gridCol w:w="3058"/>
        <w:gridCol w:w="3185"/>
      </w:tblGrid>
      <w:tr>
        <w:trPr>
          <w:trHeight w:val="283" w:hRule="exact"/>
        </w:trPr>
        <w:tc>
          <w:tcPr>
            <w:tcW w:w="33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121,299,781.90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126,386,318.45</w:t>
            </w:r>
          </w:p>
        </w:tc>
      </w:tr>
      <w:tr>
        <w:trPr>
          <w:trHeight w:val="283" w:hRule="exact"/>
        </w:trPr>
        <w:tc>
          <w:tcPr>
            <w:tcW w:w="33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131,510.57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212,253.71</w:t>
            </w:r>
          </w:p>
        </w:tc>
      </w:tr>
      <w:tr>
        <w:trPr>
          <w:trHeight w:val="283" w:hRule="exact"/>
        </w:trPr>
        <w:tc>
          <w:tcPr>
            <w:tcW w:w="33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654"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121,168,271.33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126,174,064.74</w:t>
            </w:r>
          </w:p>
        </w:tc>
      </w:tr>
      <w:tr>
        <w:trPr>
          <w:trHeight w:val="283" w:hRule="exact"/>
        </w:trPr>
        <w:tc>
          <w:tcPr>
            <w:tcW w:w="33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121,299,781.90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126,386,318.45</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Heading4"/>
        <w:spacing w:line="240" w:lineRule="auto" w:before="26"/>
        <w:ind w:right="0"/>
        <w:jc w:val="left"/>
        <w:rPr>
          <w:b w:val="0"/>
          <w:bCs w:val="0"/>
        </w:rPr>
      </w:pPr>
      <w:bookmarkStart w:name="八、合并范围的变更" w:id="260"/>
      <w:bookmarkEnd w:id="260"/>
      <w:r>
        <w:rPr>
          <w:b w:val="0"/>
          <w:bCs w:val="0"/>
        </w:rPr>
      </w:r>
      <w:r>
        <w:rPr/>
        <w:t>八、合并范围的变更</w:t>
      </w:r>
      <w:r>
        <w:rPr>
          <w:b w:val="0"/>
          <w:bCs w:val="0"/>
        </w:rPr>
      </w:r>
    </w:p>
    <w:p>
      <w:pPr>
        <w:spacing w:line="240" w:lineRule="auto" w:before="0"/>
        <w:rPr>
          <w:rFonts w:ascii="宋体" w:hAnsi="宋体" w:cs="宋体" w:eastAsia="宋体" w:hint="default"/>
          <w:b/>
          <w:bCs/>
          <w:sz w:val="24"/>
          <w:szCs w:val="24"/>
        </w:rPr>
      </w:pPr>
    </w:p>
    <w:p>
      <w:pPr>
        <w:spacing w:line="240" w:lineRule="auto" w:before="8"/>
        <w:rPr>
          <w:rFonts w:ascii="宋体" w:hAnsi="宋体" w:cs="宋体" w:eastAsia="宋体" w:hint="default"/>
          <w:b/>
          <w:bCs/>
          <w:sz w:val="23"/>
          <w:szCs w:val="23"/>
        </w:rPr>
      </w:pPr>
    </w:p>
    <w:p>
      <w:pPr>
        <w:pStyle w:val="Heading5"/>
        <w:spacing w:line="240" w:lineRule="auto"/>
        <w:ind w:right="0"/>
        <w:jc w:val="left"/>
        <w:rPr>
          <w:b w:val="0"/>
          <w:bCs w:val="0"/>
        </w:rPr>
      </w:pPr>
      <w:bookmarkStart w:name="1、非同一控制下企业合并" w:id="261"/>
      <w:bookmarkEnd w:id="261"/>
      <w:r>
        <w:rPr>
          <w:b w:val="0"/>
          <w:bCs w:val="0"/>
        </w:rPr>
      </w:r>
      <w:r>
        <w:rPr>
          <w:rFonts w:ascii="Times New Roman" w:hAnsi="Times New Roman" w:cs="Times New Roman" w:eastAsia="Times New Roman" w:hint="default"/>
        </w:rPr>
        <w:t>1</w:t>
      </w:r>
      <w:r>
        <w:rPr/>
        <w:t>、非同一控制下企业合并</w:t>
      </w:r>
      <w:r>
        <w:rPr>
          <w:b w:val="0"/>
          <w:bCs w:val="0"/>
        </w:rPr>
      </w:r>
    </w:p>
    <w:p>
      <w:pPr>
        <w:spacing w:line="240" w:lineRule="auto" w:before="10"/>
        <w:rPr>
          <w:rFonts w:ascii="宋体" w:hAnsi="宋体" w:cs="宋体" w:eastAsia="宋体" w:hint="default"/>
          <w:b/>
          <w:bCs/>
          <w:sz w:val="24"/>
          <w:szCs w:val="24"/>
        </w:rPr>
      </w:pPr>
    </w:p>
    <w:p>
      <w:pPr>
        <w:spacing w:line="590" w:lineRule="atLeast" w:before="0"/>
        <w:ind w:left="152" w:right="0" w:firstLine="0"/>
        <w:jc w:val="left"/>
        <w:rPr>
          <w:rFonts w:ascii="宋体" w:hAnsi="宋体" w:cs="宋体" w:eastAsia="宋体" w:hint="default"/>
          <w:sz w:val="21"/>
          <w:szCs w:val="21"/>
        </w:rPr>
      </w:pPr>
      <w:bookmarkStart w:name="（1）购买日之前持有的股权按照公允价值重新计量产生的利得或损失" w:id="262"/>
      <w:bookmarkEnd w:id="26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）购买日之前持有的股权按照公允价值重新计量产生的利得或损失</w:t>
      </w:r>
      <w:r>
        <w:rPr>
          <w:rFonts w:ascii="宋体" w:hAnsi="宋体" w:cs="宋体" w:eastAsia="宋体" w:hint="default"/>
          <w:b/>
          <w:bCs/>
          <w:w w:val="100"/>
          <w:sz w:val="21"/>
          <w:szCs w:val="21"/>
        </w:rPr>
        <w:t> </w:t>
      </w:r>
      <w:r>
        <w:rPr>
          <w:rFonts w:ascii="宋体" w:hAnsi="宋体" w:cs="宋体" w:eastAsia="宋体" w:hint="default"/>
          <w:spacing w:val="-2"/>
          <w:sz w:val="21"/>
          <w:szCs w:val="21"/>
        </w:rPr>
        <w:t>是否存在通过多次交易分步实现企业合并且在报告期内取得控制权的交易</w:t>
      </w:r>
    </w:p>
    <w:p>
      <w:pPr>
        <w:pStyle w:val="BodyText"/>
        <w:spacing w:line="240" w:lineRule="auto" w:before="3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600" w:lineRule="atLeast" w:before="12"/>
        <w:ind w:left="152" w:right="3800" w:firstLine="0"/>
        <w:jc w:val="left"/>
        <w:rPr>
          <w:rFonts w:ascii="宋体" w:hAnsi="宋体" w:cs="宋体" w:eastAsia="宋体" w:hint="default"/>
          <w:sz w:val="21"/>
          <w:szCs w:val="21"/>
        </w:rPr>
      </w:pPr>
      <w:bookmarkStart w:name="2、处置子公司" w:id="263"/>
      <w:bookmarkEnd w:id="263"/>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、处置子公司</w:t>
      </w:r>
      <w:r>
        <w:rPr>
          <w:rFonts w:ascii="宋体" w:hAnsi="宋体" w:cs="宋体" w:eastAsia="宋体" w:hint="default"/>
          <w:b/>
          <w:bCs/>
          <w:w w:val="100"/>
          <w:sz w:val="21"/>
          <w:szCs w:val="21"/>
        </w:rPr>
        <w:t> </w:t>
      </w:r>
      <w:r>
        <w:rPr>
          <w:rFonts w:ascii="宋体" w:hAnsi="宋体" w:cs="宋体" w:eastAsia="宋体" w:hint="default"/>
          <w:spacing w:val="-2"/>
          <w:sz w:val="21"/>
          <w:szCs w:val="21"/>
        </w:rPr>
        <w:t>是否存在单次处置对子公司投资即丧失控制权的情形</w:t>
      </w:r>
    </w:p>
    <w:p>
      <w:pPr>
        <w:pStyle w:val="BodyText"/>
        <w:spacing w:line="256" w:lineRule="auto" w:before="37"/>
        <w:ind w:right="3068"/>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否</w:t>
      </w:r>
      <w:r>
        <w:rPr>
          <w:spacing w:val="-102"/>
        </w:rPr>
        <w:t> </w:t>
      </w:r>
      <w:r>
        <w:rPr>
          <w:spacing w:val="-2"/>
        </w:rPr>
        <w:t>是否存在通过多次交易分步处置对子公司投资且在本期丧失控制权的情形</w:t>
      </w:r>
    </w:p>
    <w:p>
      <w:pPr>
        <w:pStyle w:val="BodyText"/>
        <w:spacing w:line="240" w:lineRule="auto" w:before="22"/>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8"/>
        <w:rPr>
          <w:rFonts w:ascii="宋体" w:hAnsi="宋体" w:cs="宋体" w:eastAsia="宋体" w:hint="default"/>
          <w:sz w:val="22"/>
          <w:szCs w:val="22"/>
        </w:rPr>
      </w:pPr>
    </w:p>
    <w:p>
      <w:pPr>
        <w:pStyle w:val="Heading4"/>
        <w:spacing w:line="240" w:lineRule="auto"/>
        <w:ind w:right="0"/>
        <w:jc w:val="left"/>
        <w:rPr>
          <w:b w:val="0"/>
          <w:bCs w:val="0"/>
        </w:rPr>
      </w:pPr>
      <w:bookmarkStart w:name="九、在其他主体中的权益" w:id="264"/>
      <w:bookmarkEnd w:id="264"/>
      <w:r>
        <w:rPr>
          <w:b w:val="0"/>
          <w:bCs w:val="0"/>
        </w:rPr>
      </w:r>
      <w:r>
        <w:rPr/>
        <w:t>九、在其他主体中的权益</w:t>
      </w:r>
      <w:r>
        <w:rPr>
          <w:b w:val="0"/>
          <w:bCs w:val="0"/>
        </w:rPr>
      </w:r>
    </w:p>
    <w:p>
      <w:pPr>
        <w:spacing w:line="240" w:lineRule="auto" w:before="0"/>
        <w:rPr>
          <w:rFonts w:ascii="宋体" w:hAnsi="宋体" w:cs="宋体" w:eastAsia="宋体" w:hint="default"/>
          <w:b/>
          <w:bCs/>
          <w:sz w:val="24"/>
          <w:szCs w:val="24"/>
        </w:rPr>
      </w:pPr>
    </w:p>
    <w:p>
      <w:pPr>
        <w:spacing w:line="240" w:lineRule="auto" w:before="11"/>
        <w:rPr>
          <w:rFonts w:ascii="宋体" w:hAnsi="宋体" w:cs="宋体" w:eastAsia="宋体" w:hint="default"/>
          <w:b/>
          <w:bCs/>
          <w:sz w:val="23"/>
          <w:szCs w:val="23"/>
        </w:rPr>
      </w:pPr>
    </w:p>
    <w:p>
      <w:pPr>
        <w:pStyle w:val="Heading5"/>
        <w:spacing w:line="240" w:lineRule="auto"/>
        <w:ind w:right="0"/>
        <w:jc w:val="left"/>
        <w:rPr>
          <w:b w:val="0"/>
          <w:bCs w:val="0"/>
        </w:rPr>
      </w:pPr>
      <w:bookmarkStart w:name="1、在子公司中的权益" w:id="265"/>
      <w:bookmarkEnd w:id="265"/>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0"/>
        <w:rPr>
          <w:rFonts w:ascii="宋体" w:hAnsi="宋体" w:cs="宋体" w:eastAsia="宋体" w:hint="default"/>
          <w:b/>
          <w:bCs/>
          <w:sz w:val="22"/>
          <w:szCs w:val="22"/>
        </w:rPr>
      </w:pPr>
    </w:p>
    <w:p>
      <w:pPr>
        <w:spacing w:line="240" w:lineRule="auto" w:before="6"/>
        <w:rPr>
          <w:rFonts w:ascii="宋体" w:hAnsi="宋体" w:cs="宋体" w:eastAsia="宋体" w:hint="default"/>
          <w:b/>
          <w:bCs/>
          <w:sz w:val="25"/>
          <w:szCs w:val="25"/>
        </w:rPr>
      </w:pPr>
    </w:p>
    <w:p>
      <w:pPr>
        <w:pStyle w:val="Heading5"/>
        <w:spacing w:line="240" w:lineRule="auto"/>
        <w:ind w:right="0"/>
        <w:jc w:val="left"/>
        <w:rPr>
          <w:b w:val="0"/>
          <w:bCs w:val="0"/>
        </w:rPr>
      </w:pPr>
      <w:bookmarkStart w:name="（1）企业集团的构成" w:id="266"/>
      <w:bookmarkEnd w:id="266"/>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0"/>
        <w:gridCol w:w="1368"/>
        <w:gridCol w:w="1366"/>
        <w:gridCol w:w="1368"/>
        <w:gridCol w:w="1368"/>
        <w:gridCol w:w="1366"/>
        <w:gridCol w:w="1366"/>
      </w:tblGrid>
      <w:tr>
        <w:trPr>
          <w:trHeight w:val="283" w:hRule="exact"/>
        </w:trPr>
        <w:tc>
          <w:tcPr>
            <w:tcW w:w="137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07"/>
              <w:ind w:left="156"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07"/>
              <w:ind w:left="153"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07"/>
              <w:ind w:left="362"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07"/>
              <w:ind w:left="261"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持股比例</w:t>
            </w: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07"/>
              <w:ind w:left="259" w:right="0"/>
              <w:jc w:val="left"/>
              <w:rPr>
                <w:rFonts w:ascii="宋体" w:hAnsi="宋体" w:cs="宋体" w:eastAsia="宋体" w:hint="default"/>
                <w:sz w:val="21"/>
                <w:szCs w:val="21"/>
              </w:rPr>
            </w:pPr>
            <w:r>
              <w:rPr>
                <w:rFonts w:ascii="宋体" w:hAnsi="宋体" w:cs="宋体" w:eastAsia="宋体" w:hint="default"/>
                <w:sz w:val="21"/>
                <w:szCs w:val="21"/>
              </w:rPr>
              <w:t>取得方式</w:t>
            </w:r>
          </w:p>
        </w:tc>
      </w:tr>
      <w:tr>
        <w:trPr>
          <w:trHeight w:val="281" w:hRule="exact"/>
        </w:trPr>
        <w:tc>
          <w:tcPr>
            <w:tcW w:w="1370"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6"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间接</w:t>
            </w:r>
          </w:p>
        </w:tc>
        <w:tc>
          <w:tcPr>
            <w:tcW w:w="1366" w:type="dxa"/>
            <w:vMerge/>
            <w:tcBorders>
              <w:left w:val="single" w:sz="4" w:space="0" w:color="000000"/>
              <w:bottom w:val="single" w:sz="4" w:space="0" w:color="000000"/>
              <w:right w:val="single" w:sz="4" w:space="0" w:color="000000"/>
            </w:tcBorders>
            <w:shd w:val="clear" w:color="auto" w:fill="D4D4D4"/>
          </w:tcPr>
          <w:p>
            <w:pPr/>
          </w:p>
        </w:tc>
      </w:tr>
      <w:tr>
        <w:trPr>
          <w:trHeight w:val="830"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深圳市连邦信</w:t>
            </w:r>
          </w:p>
          <w:p>
            <w:pPr>
              <w:pStyle w:val="TableParagraph"/>
              <w:spacing w:line="240" w:lineRule="auto"/>
              <w:ind w:left="24" w:right="72"/>
              <w:jc w:val="left"/>
              <w:rPr>
                <w:rFonts w:ascii="宋体" w:hAnsi="宋体" w:cs="宋体" w:eastAsia="宋体" w:hint="default"/>
                <w:sz w:val="21"/>
                <w:szCs w:val="21"/>
              </w:rPr>
            </w:pPr>
            <w:r>
              <w:rPr>
                <w:rFonts w:ascii="宋体" w:hAnsi="宋体" w:cs="宋体" w:eastAsia="宋体" w:hint="default"/>
                <w:sz w:val="21"/>
                <w:szCs w:val="21"/>
              </w:rPr>
              <w:t>息技术有限公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贸易服务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580" w:right="0"/>
              <w:jc w:val="left"/>
              <w:rPr>
                <w:rFonts w:ascii="Times New Roman" w:hAnsi="Times New Roman" w:cs="Times New Roman" w:eastAsia="Times New Roman" w:hint="default"/>
                <w:sz w:val="21"/>
                <w:szCs w:val="21"/>
              </w:rPr>
            </w:pPr>
            <w:r>
              <w:rPr>
                <w:rFonts w:ascii="Times New Roman"/>
                <w:sz w:val="21"/>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设立、收购</w:t>
            </w:r>
          </w:p>
        </w:tc>
      </w:tr>
    </w:tbl>
    <w:p>
      <w:pPr>
        <w:spacing w:line="240" w:lineRule="auto" w:before="1"/>
        <w:rPr>
          <w:rFonts w:ascii="宋体" w:hAnsi="宋体" w:cs="宋体" w:eastAsia="宋体" w:hint="default"/>
          <w:b/>
          <w:bCs/>
          <w:sz w:val="18"/>
          <w:szCs w:val="18"/>
        </w:rPr>
      </w:pPr>
    </w:p>
    <w:p>
      <w:pPr>
        <w:pStyle w:val="Heading4"/>
        <w:spacing w:line="240" w:lineRule="auto" w:before="26"/>
        <w:ind w:right="0"/>
        <w:jc w:val="left"/>
        <w:rPr>
          <w:b w:val="0"/>
          <w:bCs w:val="0"/>
        </w:rPr>
      </w:pPr>
      <w:bookmarkStart w:name="十、与金融工具相关的风险" w:id="267"/>
      <w:bookmarkEnd w:id="267"/>
      <w:r>
        <w:rPr>
          <w:b w:val="0"/>
          <w:bCs w:val="0"/>
        </w:rPr>
      </w:r>
      <w:r>
        <w:rPr/>
        <w:t>十、与金融工具相关的风险</w:t>
      </w:r>
      <w:r>
        <w:rPr>
          <w:b w:val="0"/>
          <w:bCs w:val="0"/>
        </w:rPr>
      </w:r>
    </w:p>
    <w:p>
      <w:pPr>
        <w:spacing w:line="240" w:lineRule="auto" w:before="10"/>
        <w:rPr>
          <w:rFonts w:ascii="宋体" w:hAnsi="宋体" w:cs="宋体" w:eastAsia="宋体" w:hint="default"/>
          <w:b/>
          <w:bCs/>
          <w:sz w:val="26"/>
          <w:szCs w:val="26"/>
        </w:rPr>
      </w:pPr>
    </w:p>
    <w:p>
      <w:pPr>
        <w:pStyle w:val="BodyText"/>
        <w:spacing w:line="312" w:lineRule="auto"/>
        <w:ind w:right="0" w:firstLine="420"/>
        <w:jc w:val="left"/>
      </w:pPr>
      <w:r>
        <w:rPr>
          <w:spacing w:val="-2"/>
        </w:rPr>
        <w:t>本公司的经营活动会面临各种金融风险：信用风险、流动风险和市场风险。本公司整体的风险管理计</w:t>
      </w:r>
      <w:r>
        <w:rPr>
          <w:w w:val="100"/>
        </w:rPr>
        <w:t> </w:t>
      </w:r>
      <w:r>
        <w:rPr/>
        <w:t>划针对金融市场的不可预见性，力求减少对本公司财务业绩的潜在不利影响。</w:t>
      </w:r>
    </w:p>
    <w:p>
      <w:pPr>
        <w:pStyle w:val="BodyText"/>
        <w:spacing w:line="312" w:lineRule="auto" w:before="142"/>
        <w:ind w:left="572" w:right="0"/>
        <w:jc w:val="left"/>
      </w:pPr>
      <w:r>
        <w:rPr>
          <w:rFonts w:ascii="宋体" w:hAnsi="宋体" w:cs="宋体" w:eastAsia="宋体" w:hint="default"/>
          <w:b/>
          <w:bCs/>
        </w:rPr>
        <w:t>（一）信用风险</w:t>
      </w:r>
      <w:r>
        <w:rPr>
          <w:rFonts w:ascii="宋体" w:hAnsi="宋体" w:cs="宋体" w:eastAsia="宋体" w:hint="default"/>
          <w:b/>
          <w:bCs/>
          <w:w w:val="100"/>
        </w:rPr>
        <w:t> </w:t>
      </w:r>
      <w:r>
        <w:rPr>
          <w:spacing w:val="-2"/>
        </w:rPr>
        <w:t>本公司的信用风险主要来自货币资金、应收票据、应收账款、其他应收款和可供出售金融资产等。管</w:t>
      </w:r>
    </w:p>
    <w:p>
      <w:pPr>
        <w:pStyle w:val="BodyText"/>
        <w:spacing w:line="240" w:lineRule="auto" w:before="22"/>
        <w:ind w:right="0"/>
        <w:jc w:val="left"/>
      </w:pPr>
      <w:r>
        <w:rPr/>
        <w:t>理层已制定适当的信用政策，并且不断监察这些信用风险的敞口。</w:t>
      </w:r>
    </w:p>
    <w:p>
      <w:pPr>
        <w:spacing w:after="0" w:line="240" w:lineRule="auto"/>
        <w:jc w:val="left"/>
        <w:sectPr>
          <w:footerReference w:type="default" r:id="rId89"/>
          <w:pgSz w:w="11910" w:h="16840"/>
          <w:pgMar w:footer="979" w:header="880" w:top="1060" w:bottom="1160" w:left="980" w:right="980"/>
          <w:pgNumType w:start="178"/>
        </w:sectPr>
      </w:pPr>
    </w:p>
    <w:p>
      <w:pPr>
        <w:spacing w:line="240" w:lineRule="auto" w:before="6"/>
        <w:rPr>
          <w:rFonts w:ascii="宋体" w:hAnsi="宋体" w:cs="宋体" w:eastAsia="宋体" w:hint="default"/>
          <w:sz w:val="26"/>
          <w:szCs w:val="26"/>
        </w:rPr>
      </w:pPr>
    </w:p>
    <w:p>
      <w:pPr>
        <w:pStyle w:val="BodyText"/>
        <w:spacing w:line="312" w:lineRule="auto" w:before="36"/>
        <w:ind w:right="147" w:firstLine="420"/>
        <w:jc w:val="both"/>
      </w:pPr>
      <w:r>
        <w:rPr>
          <w:spacing w:val="-2"/>
        </w:rPr>
        <w:t>本公司持有的货币资金，主要存放于商业银行等金融机构，管理层认为这些商业银行具备较高信誉和</w:t>
      </w:r>
      <w:r>
        <w:rPr>
          <w:w w:val="100"/>
        </w:rPr>
        <w:t> </w:t>
      </w:r>
      <w:r>
        <w:rPr/>
        <w:t>资产状况，存在较低的信用风险。本公司采取限额政策以规避对任何金融机构的信贷风险。</w:t>
      </w:r>
    </w:p>
    <w:p>
      <w:pPr>
        <w:pStyle w:val="BodyText"/>
        <w:spacing w:line="312" w:lineRule="auto" w:before="22"/>
        <w:ind w:right="147" w:firstLine="420"/>
        <w:jc w:val="both"/>
      </w:pPr>
      <w:r>
        <w:rPr>
          <w:spacing w:val="-2"/>
        </w:rPr>
        <w:t>对于应收账款、其他应收款和应收票据，本公司设定相关政策以控制信用风险敞口。本公司基于对客</w:t>
      </w:r>
      <w:r>
        <w:rPr>
          <w:w w:val="100"/>
        </w:rPr>
        <w:t> </w:t>
      </w:r>
      <w:r>
        <w:rPr>
          <w:spacing w:val="-2"/>
        </w:rPr>
        <w:t>户的财务状况、从第三方获取担保的可能性、信用记录及其它因素诸如目前市场状况等评估客户的信用资</w:t>
      </w:r>
      <w:r>
        <w:rPr>
          <w:spacing w:val="-42"/>
        </w:rPr>
        <w:t> </w:t>
      </w:r>
      <w:r>
        <w:rPr>
          <w:spacing w:val="-42"/>
        </w:rPr>
      </w:r>
      <w:r>
        <w:rPr>
          <w:spacing w:val="-2"/>
        </w:rPr>
        <w:t>质并设置相应信用期。本公司会定期对客户信用记录进行监控，对于信用记录不良的客户，本公司会采用</w:t>
      </w:r>
      <w:r>
        <w:rPr>
          <w:spacing w:val="-48"/>
        </w:rPr>
        <w:t> </w:t>
      </w:r>
      <w:r>
        <w:rPr>
          <w:spacing w:val="-48"/>
        </w:rPr>
      </w:r>
      <w:r>
        <w:rPr/>
        <w:t>书面催款、缩短信用期或取消信用期等方式，以确保本公司的整体信用风险在可控的范围内。</w:t>
      </w:r>
    </w:p>
    <w:p>
      <w:pPr>
        <w:pStyle w:val="BodyText"/>
        <w:spacing w:line="312" w:lineRule="auto" w:before="22"/>
        <w:ind w:right="540" w:firstLine="419"/>
        <w:jc w:val="left"/>
      </w:pPr>
      <w:r>
        <w:rPr/>
        <w:t>截止</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日，本公司的前五大客户的应收账款占本公司应收账款总额</w:t>
      </w:r>
      <w:r>
        <w:rPr>
          <w:rFonts w:ascii="宋体" w:hAnsi="宋体" w:cs="宋体" w:eastAsia="宋体" w:hint="default"/>
        </w:rPr>
        <w:t>70.25%</w:t>
      </w:r>
      <w:r>
        <w:rPr>
          <w:rFonts w:ascii="宋体" w:hAnsi="宋体" w:cs="宋体" w:eastAsia="宋体" w:hint="default"/>
          <w:spacing w:val="-5"/>
        </w:rPr>
        <w:t> </w:t>
      </w:r>
      <w:r>
        <w:rPr>
          <w:rFonts w:ascii="宋体" w:hAnsi="宋体" w:cs="宋体" w:eastAsia="宋体" w:hint="default"/>
        </w:rPr>
        <w:t>(2013</w:t>
      </w:r>
      <w:r>
        <w:rPr/>
        <w:t>年：</w:t>
      </w:r>
      <w:r>
        <w:rPr>
          <w:w w:val="100"/>
        </w:rPr>
        <w:t> </w:t>
      </w:r>
      <w:r>
        <w:rPr>
          <w:rFonts w:ascii="宋体" w:hAnsi="宋体" w:cs="宋体" w:eastAsia="宋体" w:hint="default"/>
        </w:rPr>
        <w:t>61.05%)</w:t>
      </w:r>
      <w:r>
        <w:rPr>
          <w:rFonts w:ascii="宋体" w:hAnsi="宋体" w:cs="宋体" w:eastAsia="宋体" w:hint="default"/>
          <w:spacing w:val="2"/>
        </w:rPr>
        <w:t> </w:t>
      </w:r>
      <w:r>
        <w:rPr/>
        <w:t>。</w:t>
      </w:r>
    </w:p>
    <w:p>
      <w:pPr>
        <w:pStyle w:val="BodyText"/>
        <w:spacing w:line="312" w:lineRule="auto" w:before="22"/>
        <w:ind w:right="234" w:firstLine="419"/>
        <w:jc w:val="both"/>
      </w:pPr>
      <w:r>
        <w:rPr/>
        <w:t>本公司所承受的最大信用风险敞口为资产负债表中每项金融资产</w:t>
      </w:r>
      <w:r>
        <w:rPr>
          <w:rFonts w:ascii="宋体" w:hAnsi="宋体" w:cs="宋体" w:eastAsia="宋体" w:hint="default"/>
        </w:rPr>
        <w:t>(</w:t>
      </w:r>
      <w:r>
        <w:rPr/>
        <w:t>包括衍生金融工具</w:t>
      </w:r>
      <w:r>
        <w:rPr>
          <w:rFonts w:ascii="宋体" w:hAnsi="宋体" w:cs="宋体" w:eastAsia="宋体" w:hint="default"/>
        </w:rPr>
        <w:t>)</w:t>
      </w:r>
      <w:r>
        <w:rPr>
          <w:rFonts w:ascii="宋体" w:hAnsi="宋体" w:cs="宋体" w:eastAsia="宋体" w:hint="default"/>
          <w:spacing w:val="-11"/>
        </w:rPr>
        <w:t> </w:t>
      </w:r>
      <w:r>
        <w:rPr/>
        <w:t>的账面金额。</w:t>
      </w:r>
      <w:r>
        <w:rPr>
          <w:spacing w:val="-3"/>
          <w:w w:val="100"/>
        </w:rPr>
        <w:t> </w:t>
      </w:r>
      <w:r>
        <w:rPr/>
        <w:t>本公司没有提供任何其他可能令本公司承受信用风险的担保。</w:t>
      </w:r>
    </w:p>
    <w:p>
      <w:pPr>
        <w:pStyle w:val="BodyText"/>
        <w:spacing w:line="312" w:lineRule="auto" w:before="142"/>
        <w:ind w:left="572" w:right="0"/>
        <w:jc w:val="left"/>
      </w:pPr>
      <w:r>
        <w:rPr>
          <w:rFonts w:ascii="宋体" w:hAnsi="宋体" w:cs="宋体" w:eastAsia="宋体" w:hint="default"/>
          <w:b/>
          <w:bCs/>
        </w:rPr>
        <w:t>（二）流动性风险</w:t>
      </w:r>
      <w:r>
        <w:rPr>
          <w:rFonts w:ascii="宋体" w:hAnsi="宋体" w:cs="宋体" w:eastAsia="宋体" w:hint="default"/>
          <w:b/>
          <w:bCs/>
          <w:w w:val="100"/>
        </w:rPr>
        <w:t> </w:t>
      </w:r>
      <w:r>
        <w:rPr>
          <w:spacing w:val="-2"/>
        </w:rPr>
        <w:t>流动性风险是指本公司无法及时获得充足资金</w:t>
      </w:r>
      <w:r>
        <w:rPr>
          <w:rFonts w:ascii="宋体" w:hAnsi="宋体" w:cs="宋体" w:eastAsia="宋体" w:hint="default"/>
          <w:spacing w:val="-2"/>
        </w:rPr>
        <w:t>,</w:t>
      </w:r>
      <w:r>
        <w:rPr>
          <w:spacing w:val="-2"/>
        </w:rPr>
        <w:t>满足业务发展需要或偿付到期债务以及其他支付义务</w:t>
      </w:r>
      <w:r>
        <w:rPr/>
      </w:r>
    </w:p>
    <w:p>
      <w:pPr>
        <w:pStyle w:val="BodyText"/>
        <w:spacing w:line="240" w:lineRule="auto" w:before="22"/>
        <w:ind w:right="0"/>
        <w:jc w:val="left"/>
      </w:pPr>
      <w:r>
        <w:rPr/>
        <w:t>的风险。</w:t>
      </w:r>
    </w:p>
    <w:p>
      <w:pPr>
        <w:pStyle w:val="BodyText"/>
        <w:spacing w:line="314" w:lineRule="auto" w:before="82"/>
        <w:ind w:right="147" w:firstLine="420"/>
        <w:jc w:val="both"/>
      </w:pPr>
      <w:r>
        <w:rPr>
          <w:spacing w:val="-2"/>
        </w:rPr>
        <w:t>本公司财务部门持续监控公司短期和长期的资金需求，以确保维持充裕的现金储备；同时持续监控是</w:t>
      </w:r>
      <w:r>
        <w:rPr>
          <w:w w:val="100"/>
        </w:rPr>
        <w:t> </w:t>
      </w:r>
      <w:r>
        <w:rPr/>
        <w:t>否符合借款协议的规定，现阶段主要依靠自有资金满足资金需求。</w:t>
      </w:r>
    </w:p>
    <w:p>
      <w:pPr>
        <w:pStyle w:val="Heading5"/>
        <w:spacing w:line="240" w:lineRule="auto" w:before="17"/>
        <w:ind w:left="572" w:right="0"/>
        <w:jc w:val="left"/>
        <w:rPr>
          <w:b w:val="0"/>
          <w:bCs w:val="0"/>
        </w:rPr>
      </w:pPr>
      <w:r>
        <w:rPr/>
        <w:t>（三）市场风险</w:t>
      </w:r>
      <w:r>
        <w:rPr>
          <w:b w:val="0"/>
          <w:bCs w:val="0"/>
        </w:rPr>
      </w:r>
    </w:p>
    <w:p>
      <w:pPr>
        <w:pStyle w:val="BodyText"/>
        <w:spacing w:line="312" w:lineRule="auto" w:before="85"/>
        <w:ind w:left="575" w:right="0" w:hanging="3"/>
        <w:jc w:val="left"/>
      </w:pPr>
      <w:r>
        <w:rPr>
          <w:rFonts w:ascii="宋体" w:hAnsi="宋体" w:cs="宋体" w:eastAsia="宋体" w:hint="default"/>
          <w:b/>
          <w:bCs/>
        </w:rPr>
        <w:t>1.</w:t>
      </w:r>
      <w:r>
        <w:rPr>
          <w:rFonts w:ascii="宋体" w:hAnsi="宋体" w:cs="宋体" w:eastAsia="宋体" w:hint="default"/>
          <w:b/>
          <w:bCs/>
        </w:rPr>
        <w:t>外汇风险</w:t>
      </w:r>
      <w:r>
        <w:rPr>
          <w:rFonts w:ascii="宋体" w:hAnsi="宋体" w:cs="宋体" w:eastAsia="宋体" w:hint="default"/>
          <w:b/>
          <w:bCs/>
          <w:w w:val="100"/>
        </w:rPr>
        <w:t> </w:t>
      </w:r>
      <w:r>
        <w:rPr>
          <w:spacing w:val="-2"/>
        </w:rPr>
        <w:t>本公司产品全部内销，并且没有持有外币性金融资产和金融负债，因此汇率变动对本公司的经营业绩</w:t>
      </w:r>
    </w:p>
    <w:p>
      <w:pPr>
        <w:pStyle w:val="BodyText"/>
        <w:spacing w:line="240" w:lineRule="auto" w:before="22"/>
        <w:ind w:right="0"/>
        <w:jc w:val="left"/>
      </w:pPr>
      <w:r>
        <w:rPr/>
        <w:t>产生的影响较小。</w:t>
      </w:r>
    </w:p>
    <w:p>
      <w:pPr>
        <w:pStyle w:val="BodyText"/>
        <w:spacing w:line="314" w:lineRule="auto" w:before="82"/>
        <w:ind w:left="575" w:right="0" w:hanging="3"/>
        <w:jc w:val="left"/>
      </w:pPr>
      <w:r>
        <w:rPr>
          <w:rFonts w:ascii="宋体" w:hAnsi="宋体" w:cs="宋体" w:eastAsia="宋体" w:hint="default"/>
          <w:b/>
          <w:bCs/>
        </w:rPr>
        <w:t>2.</w:t>
      </w:r>
      <w:r>
        <w:rPr>
          <w:rFonts w:ascii="宋体" w:hAnsi="宋体" w:cs="宋体" w:eastAsia="宋体" w:hint="default"/>
          <w:b/>
          <w:bCs/>
        </w:rPr>
        <w:t>利率风险</w:t>
      </w:r>
      <w:r>
        <w:rPr>
          <w:rFonts w:ascii="宋体" w:hAnsi="宋体" w:cs="宋体" w:eastAsia="宋体" w:hint="default"/>
          <w:b/>
          <w:bCs/>
          <w:w w:val="100"/>
        </w:rPr>
        <w:t> </w:t>
      </w:r>
      <w:r>
        <w:rPr>
          <w:spacing w:val="-2"/>
        </w:rPr>
        <w:t>本公司的主要依靠自用资金满足生产经营的需要，近期未向银行借款，因此利率变动对本公司的经营</w:t>
      </w:r>
    </w:p>
    <w:p>
      <w:pPr>
        <w:pStyle w:val="BodyText"/>
        <w:spacing w:line="240" w:lineRule="auto" w:before="17"/>
        <w:ind w:right="0"/>
        <w:jc w:val="left"/>
      </w:pPr>
      <w:r>
        <w:rPr/>
        <w:t>业绩产生的影响较小。</w:t>
      </w:r>
    </w:p>
    <w:p>
      <w:pPr>
        <w:pStyle w:val="BodyText"/>
        <w:spacing w:line="312" w:lineRule="auto" w:before="85"/>
        <w:ind w:left="572" w:right="0"/>
        <w:jc w:val="left"/>
      </w:pPr>
      <w:r>
        <w:rPr>
          <w:rFonts w:ascii="宋体" w:hAnsi="宋体" w:cs="宋体" w:eastAsia="宋体" w:hint="default"/>
          <w:b/>
          <w:bCs/>
        </w:rPr>
        <w:t>3.</w:t>
      </w:r>
      <w:r>
        <w:rPr>
          <w:rFonts w:ascii="宋体" w:hAnsi="宋体" w:cs="宋体" w:eastAsia="宋体" w:hint="default"/>
          <w:b/>
          <w:bCs/>
        </w:rPr>
        <w:t>价格风险</w:t>
      </w:r>
      <w:r>
        <w:rPr>
          <w:rFonts w:ascii="宋体" w:hAnsi="宋体" w:cs="宋体" w:eastAsia="宋体" w:hint="default"/>
          <w:b/>
          <w:bCs/>
          <w:w w:val="100"/>
        </w:rPr>
        <w:t> </w:t>
      </w:r>
      <w:r>
        <w:rPr>
          <w:spacing w:val="-2"/>
        </w:rPr>
        <w:t>本公司以市场价格销售方直金太阳教育软件及其他产品并提供技术开发服务，因此受到此等产品价格</w:t>
      </w:r>
    </w:p>
    <w:p>
      <w:pPr>
        <w:pStyle w:val="BodyText"/>
        <w:spacing w:line="240" w:lineRule="auto" w:before="22"/>
        <w:ind w:right="0"/>
        <w:jc w:val="left"/>
      </w:pPr>
      <w:r>
        <w:rPr/>
        <w:t>波动的影响。</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pStyle w:val="Heading4"/>
        <w:spacing w:line="240" w:lineRule="auto"/>
        <w:ind w:right="0"/>
        <w:jc w:val="left"/>
        <w:rPr>
          <w:b w:val="0"/>
          <w:bCs w:val="0"/>
        </w:rPr>
      </w:pPr>
      <w:bookmarkStart w:name="十一、关联方及关联交易" w:id="268"/>
      <w:bookmarkEnd w:id="268"/>
      <w:r>
        <w:rPr>
          <w:b w:val="0"/>
          <w:bCs w:val="0"/>
        </w:rPr>
      </w:r>
      <w:r>
        <w:rPr/>
        <w:t>十一、关联方及关联交易</w:t>
      </w:r>
      <w:r>
        <w:rPr>
          <w:b w:val="0"/>
          <w:bCs w:val="0"/>
        </w:rPr>
      </w:r>
    </w:p>
    <w:p>
      <w:pPr>
        <w:spacing w:line="240" w:lineRule="auto" w:before="0"/>
        <w:rPr>
          <w:rFonts w:ascii="宋体" w:hAnsi="宋体" w:cs="宋体" w:eastAsia="宋体" w:hint="default"/>
          <w:b/>
          <w:bCs/>
          <w:sz w:val="24"/>
          <w:szCs w:val="24"/>
        </w:rPr>
      </w:pPr>
    </w:p>
    <w:p>
      <w:pPr>
        <w:spacing w:line="240" w:lineRule="auto" w:before="11"/>
        <w:rPr>
          <w:rFonts w:ascii="宋体" w:hAnsi="宋体" w:cs="宋体" w:eastAsia="宋体" w:hint="default"/>
          <w:b/>
          <w:bCs/>
          <w:sz w:val="23"/>
          <w:szCs w:val="23"/>
        </w:rPr>
      </w:pPr>
    </w:p>
    <w:p>
      <w:pPr>
        <w:pStyle w:val="Heading5"/>
        <w:spacing w:line="240" w:lineRule="auto"/>
        <w:ind w:right="0"/>
        <w:jc w:val="left"/>
        <w:rPr>
          <w:b w:val="0"/>
          <w:bCs w:val="0"/>
        </w:rPr>
      </w:pPr>
      <w:bookmarkStart w:name="1、本企业的母公司情况" w:id="269"/>
      <w:bookmarkEnd w:id="269"/>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6310"/>
        <w:jc w:val="left"/>
      </w:pPr>
      <w:r>
        <w:rPr/>
        <w:t>本企业的母公司情况的说明</w:t>
      </w:r>
      <w:r>
        <w:rPr>
          <w:w w:val="100"/>
        </w:rPr>
        <w:t> </w:t>
      </w:r>
      <w:r>
        <w:rPr>
          <w:spacing w:val="-2"/>
        </w:rPr>
        <w:t>本企业最终控制方是黄元忠。</w:t>
      </w:r>
      <w:r>
        <w:rPr>
          <w:spacing w:val="-79"/>
        </w:rPr>
        <w:t> </w:t>
      </w:r>
      <w:r>
        <w:rPr>
          <w:spacing w:val="-79"/>
        </w:rPr>
      </w:r>
      <w:r>
        <w:rPr/>
        <w:t>其他说明：</w:t>
      </w:r>
    </w:p>
    <w:tbl>
      <w:tblPr>
        <w:tblW w:w="0" w:type="auto"/>
        <w:jc w:val="left"/>
        <w:tblInd w:w="145" w:type="dxa"/>
        <w:tblLayout w:type="fixed"/>
        <w:tblCellMar>
          <w:top w:w="0" w:type="dxa"/>
          <w:left w:w="0" w:type="dxa"/>
          <w:bottom w:w="0" w:type="dxa"/>
          <w:right w:w="0" w:type="dxa"/>
        </w:tblCellMar>
        <w:tblLook w:val="01E0"/>
      </w:tblPr>
      <w:tblGrid>
        <w:gridCol w:w="1502"/>
        <w:gridCol w:w="2412"/>
        <w:gridCol w:w="2251"/>
        <w:gridCol w:w="2203"/>
      </w:tblGrid>
      <w:tr>
        <w:trPr>
          <w:trHeight w:val="314" w:hRule="exact"/>
        </w:trPr>
        <w:tc>
          <w:tcPr>
            <w:tcW w:w="1502"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left="220" w:right="0"/>
              <w:jc w:val="left"/>
              <w:rPr>
                <w:rFonts w:ascii="宋体" w:hAnsi="宋体" w:cs="宋体" w:eastAsia="宋体" w:hint="default"/>
                <w:sz w:val="21"/>
                <w:szCs w:val="21"/>
              </w:rPr>
            </w:pPr>
            <w:r>
              <w:rPr>
                <w:rFonts w:ascii="宋体" w:hAnsi="宋体" w:cs="宋体" w:eastAsia="宋体" w:hint="default"/>
                <w:sz w:val="21"/>
                <w:szCs w:val="21"/>
              </w:rPr>
              <w:t>关联方名称</w:t>
            </w:r>
          </w:p>
        </w:tc>
        <w:tc>
          <w:tcPr>
            <w:tcW w:w="2412"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left="4" w:right="0"/>
              <w:jc w:val="center"/>
              <w:rPr>
                <w:rFonts w:ascii="宋体" w:hAnsi="宋体" w:cs="宋体" w:eastAsia="宋体" w:hint="default"/>
                <w:sz w:val="21"/>
                <w:szCs w:val="21"/>
              </w:rPr>
            </w:pPr>
            <w:r>
              <w:rPr>
                <w:rFonts w:ascii="宋体" w:hAnsi="宋体" w:cs="宋体" w:eastAsia="宋体" w:hint="default"/>
                <w:sz w:val="21"/>
                <w:szCs w:val="21"/>
              </w:rPr>
              <w:t>关联关系</w:t>
            </w:r>
          </w:p>
        </w:tc>
        <w:tc>
          <w:tcPr>
            <w:tcW w:w="2251"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left="700" w:right="0"/>
              <w:jc w:val="left"/>
              <w:rPr>
                <w:rFonts w:ascii="宋体" w:hAnsi="宋体" w:cs="宋体" w:eastAsia="宋体" w:hint="default"/>
                <w:sz w:val="21"/>
                <w:szCs w:val="21"/>
              </w:rPr>
            </w:pPr>
            <w:r>
              <w:rPr>
                <w:rFonts w:ascii="宋体" w:hAnsi="宋体" w:cs="宋体" w:eastAsia="宋体" w:hint="default"/>
                <w:sz w:val="21"/>
                <w:szCs w:val="21"/>
              </w:rPr>
              <w:t>持股比例</w:t>
            </w:r>
          </w:p>
        </w:tc>
        <w:tc>
          <w:tcPr>
            <w:tcW w:w="2203" w:type="dxa"/>
            <w:tcBorders>
              <w:top w:val="single" w:sz="6" w:space="0" w:color="000000"/>
              <w:left w:val="single" w:sz="6" w:space="0" w:color="000000"/>
              <w:bottom w:val="single" w:sz="12" w:space="0" w:color="000000"/>
              <w:right w:val="nil" w:sz="6" w:space="0" w:color="auto"/>
            </w:tcBorders>
          </w:tcPr>
          <w:p>
            <w:pPr>
              <w:pStyle w:val="TableParagraph"/>
              <w:spacing w:line="250" w:lineRule="exact"/>
              <w:ind w:right="2"/>
              <w:jc w:val="center"/>
              <w:rPr>
                <w:rFonts w:ascii="宋体" w:hAnsi="宋体" w:cs="宋体" w:eastAsia="宋体" w:hint="default"/>
                <w:sz w:val="21"/>
                <w:szCs w:val="21"/>
              </w:rPr>
            </w:pPr>
            <w:r>
              <w:rPr>
                <w:rFonts w:ascii="宋体" w:hAnsi="宋体" w:cs="宋体" w:eastAsia="宋体" w:hint="default"/>
                <w:sz w:val="21"/>
                <w:szCs w:val="21"/>
              </w:rPr>
              <w:t>本公司最终控制方</w:t>
            </w:r>
          </w:p>
        </w:tc>
      </w:tr>
      <w:tr>
        <w:trPr>
          <w:trHeight w:val="314" w:hRule="exact"/>
        </w:trPr>
        <w:tc>
          <w:tcPr>
            <w:tcW w:w="1502"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4" w:right="0"/>
              <w:jc w:val="left"/>
              <w:rPr>
                <w:rFonts w:ascii="宋体" w:hAnsi="宋体" w:cs="宋体" w:eastAsia="宋体" w:hint="default"/>
                <w:sz w:val="21"/>
                <w:szCs w:val="21"/>
              </w:rPr>
            </w:pPr>
            <w:r>
              <w:rPr>
                <w:rFonts w:ascii="宋体" w:hAnsi="宋体" w:cs="宋体" w:eastAsia="宋体" w:hint="default"/>
                <w:sz w:val="21"/>
                <w:szCs w:val="21"/>
              </w:rPr>
              <w:t>黄元忠</w:t>
            </w:r>
          </w:p>
        </w:tc>
        <w:tc>
          <w:tcPr>
            <w:tcW w:w="2412"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本公司实际控制人</w:t>
            </w:r>
          </w:p>
        </w:tc>
        <w:tc>
          <w:tcPr>
            <w:tcW w:w="2251"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4"/>
              <w:jc w:val="right"/>
              <w:rPr>
                <w:rFonts w:ascii="Times New Roman" w:hAnsi="Times New Roman" w:cs="Times New Roman" w:eastAsia="Times New Roman" w:hint="default"/>
                <w:sz w:val="21"/>
                <w:szCs w:val="21"/>
              </w:rPr>
            </w:pPr>
            <w:r>
              <w:rPr>
                <w:rFonts w:ascii="Times New Roman"/>
                <w:sz w:val="21"/>
              </w:rPr>
              <w:t>22.65%</w:t>
            </w:r>
          </w:p>
        </w:tc>
        <w:tc>
          <w:tcPr>
            <w:tcW w:w="2203" w:type="dxa"/>
            <w:tcBorders>
              <w:top w:val="single" w:sz="12" w:space="0" w:color="000000"/>
              <w:left w:val="single" w:sz="6" w:space="0" w:color="000000"/>
              <w:bottom w:val="single" w:sz="12" w:space="0" w:color="000000"/>
              <w:right w:val="nil" w:sz="6" w:space="0" w:color="auto"/>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是</w:t>
            </w:r>
          </w:p>
        </w:tc>
      </w:tr>
    </w:tbl>
    <w:p>
      <w:pPr>
        <w:spacing w:after="0" w:line="241" w:lineRule="exact"/>
        <w:jc w:val="center"/>
        <w:rPr>
          <w:rFonts w:ascii="宋体" w:hAnsi="宋体" w:cs="宋体" w:eastAsia="宋体" w:hint="default"/>
          <w:sz w:val="21"/>
          <w:szCs w:val="21"/>
        </w:rPr>
        <w:sectPr>
          <w:pgSz w:w="11910" w:h="16840"/>
          <w:pgMar w:header="880" w:footer="979" w:top="1060" w:bottom="1160" w:left="980" w:right="980"/>
        </w:sectPr>
      </w:pPr>
    </w:p>
    <w:p>
      <w:pPr>
        <w:spacing w:line="240" w:lineRule="auto" w:before="8"/>
        <w:rPr>
          <w:rFonts w:ascii="宋体" w:hAnsi="宋体" w:cs="宋体" w:eastAsia="宋体" w:hint="default"/>
          <w:sz w:val="24"/>
          <w:szCs w:val="24"/>
        </w:rPr>
      </w:pPr>
    </w:p>
    <w:p>
      <w:pPr>
        <w:pStyle w:val="Heading5"/>
        <w:spacing w:line="240" w:lineRule="auto" w:before="36"/>
        <w:ind w:right="0"/>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10"/>
        <w:rPr>
          <w:rFonts w:ascii="宋体" w:hAnsi="宋体" w:cs="宋体" w:eastAsia="宋体" w:hint="default"/>
          <w:b/>
          <w:bCs/>
          <w:sz w:val="24"/>
          <w:szCs w:val="24"/>
        </w:rPr>
      </w:pPr>
    </w:p>
    <w:p>
      <w:pPr>
        <w:pStyle w:val="BodyText"/>
        <w:spacing w:line="256" w:lineRule="auto"/>
        <w:ind w:right="4736"/>
        <w:jc w:val="left"/>
      </w:pPr>
      <w:bookmarkStart w:name="2、本企业的子公司情况" w:id="270"/>
      <w:bookmarkEnd w:id="270"/>
      <w:r>
        <w:rPr/>
      </w:r>
      <w:r>
        <w:rPr/>
        <w:t>本企业子公司的情况详见附注九</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在子公司中的权益。</w:t>
      </w:r>
      <w:r>
        <w:rPr>
          <w:w w:val="100"/>
        </w:rPr>
        <w:t> </w:t>
      </w:r>
      <w:r>
        <w:rPr/>
        <w:t>其他说明</w:t>
      </w:r>
    </w:p>
    <w:p>
      <w:pPr>
        <w:spacing w:line="240" w:lineRule="auto" w:before="8"/>
        <w:rPr>
          <w:rFonts w:ascii="宋体" w:hAnsi="宋体" w:cs="宋体" w:eastAsia="宋体" w:hint="default"/>
          <w:sz w:val="24"/>
          <w:szCs w:val="24"/>
        </w:rPr>
      </w:pPr>
    </w:p>
    <w:p>
      <w:pPr>
        <w:pStyle w:val="Heading5"/>
        <w:spacing w:line="240" w:lineRule="auto"/>
        <w:ind w:right="0"/>
        <w:jc w:val="left"/>
        <w:rPr>
          <w:b w:val="0"/>
          <w:bCs w:val="0"/>
        </w:rPr>
      </w:pPr>
      <w:bookmarkStart w:name="3、其他关联方情况" w:id="271"/>
      <w:bookmarkEnd w:id="271"/>
      <w:r>
        <w:rPr>
          <w:b w:val="0"/>
          <w:bCs w:val="0"/>
        </w:rPr>
      </w:r>
      <w:r>
        <w:rPr>
          <w:rFonts w:ascii="Times New Roman" w:hAnsi="Times New Roman" w:cs="Times New Roman" w:eastAsia="Times New Roman" w:hint="default"/>
        </w:rPr>
        <w:t>3</w:t>
      </w:r>
      <w:r>
        <w:rPr/>
        <w:t>、其他关联方情况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3"/>
        <w:gridCol w:w="4786"/>
      </w:tblGrid>
      <w:tr>
        <w:trPr>
          <w:trHeight w:val="283"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233" w:right="0"/>
              <w:jc w:val="left"/>
              <w:rPr>
                <w:rFonts w:ascii="宋体" w:hAnsi="宋体" w:cs="宋体" w:eastAsia="宋体" w:hint="default"/>
                <w:sz w:val="21"/>
                <w:szCs w:val="21"/>
              </w:rPr>
            </w:pPr>
            <w:r>
              <w:rPr>
                <w:rFonts w:ascii="宋体" w:hAnsi="宋体" w:cs="宋体" w:eastAsia="宋体" w:hint="default"/>
                <w:sz w:val="21"/>
                <w:szCs w:val="21"/>
              </w:rPr>
              <w:t>其他关联方与本企业关系</w:t>
            </w:r>
          </w:p>
        </w:tc>
      </w:tr>
      <w:tr>
        <w:trPr>
          <w:trHeight w:val="28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杨颖</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本公司股东</w:t>
            </w:r>
          </w:p>
        </w:tc>
      </w:tr>
      <w:tr>
        <w:trPr>
          <w:trHeight w:val="28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孙晓玲</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本公司股东</w:t>
            </w:r>
          </w:p>
        </w:tc>
      </w:tr>
      <w:tr>
        <w:trPr>
          <w:trHeight w:val="28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黄晓峰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本公司股东</w:t>
            </w:r>
          </w:p>
        </w:tc>
      </w:tr>
      <w:tr>
        <w:trPr>
          <w:trHeight w:val="28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陈克让</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本公司股东</w:t>
            </w:r>
          </w:p>
        </w:tc>
      </w:tr>
    </w:tbl>
    <w:p>
      <w:pPr>
        <w:pStyle w:val="BodyText"/>
        <w:spacing w:line="262" w:lineRule="exact"/>
        <w:ind w:right="0"/>
        <w:jc w:val="left"/>
      </w:pPr>
      <w:r>
        <w:rPr/>
        <w:t>其他说明</w:t>
      </w:r>
    </w:p>
    <w:p>
      <w:pPr>
        <w:spacing w:line="240" w:lineRule="auto" w:before="11"/>
        <w:rPr>
          <w:rFonts w:ascii="宋体" w:hAnsi="宋体" w:cs="宋体" w:eastAsia="宋体" w:hint="default"/>
          <w:sz w:val="23"/>
          <w:szCs w:val="23"/>
        </w:rPr>
      </w:pPr>
    </w:p>
    <w:p>
      <w:pPr>
        <w:pStyle w:val="Heading4"/>
        <w:spacing w:line="240" w:lineRule="auto"/>
        <w:ind w:right="0"/>
        <w:jc w:val="left"/>
        <w:rPr>
          <w:b w:val="0"/>
          <w:bCs w:val="0"/>
        </w:rPr>
      </w:pPr>
      <w:bookmarkStart w:name="十二、股份支付" w:id="272"/>
      <w:bookmarkEnd w:id="272"/>
      <w:r>
        <w:rPr>
          <w:b w:val="0"/>
          <w:bCs w:val="0"/>
        </w:rPr>
      </w:r>
      <w:r>
        <w:rPr/>
        <w:t>十二、股份支付</w:t>
      </w:r>
      <w:r>
        <w:rPr>
          <w:b w:val="0"/>
          <w:bCs w:val="0"/>
        </w:rPr>
      </w:r>
    </w:p>
    <w:p>
      <w:pPr>
        <w:spacing w:line="240" w:lineRule="auto" w:before="0"/>
        <w:rPr>
          <w:rFonts w:ascii="宋体" w:hAnsi="宋体" w:cs="宋体" w:eastAsia="宋体" w:hint="default"/>
          <w:b/>
          <w:bCs/>
          <w:sz w:val="24"/>
          <w:szCs w:val="24"/>
        </w:rPr>
      </w:pPr>
    </w:p>
    <w:p>
      <w:pPr>
        <w:spacing w:line="240" w:lineRule="auto" w:before="8"/>
        <w:rPr>
          <w:rFonts w:ascii="宋体" w:hAnsi="宋体" w:cs="宋体" w:eastAsia="宋体" w:hint="default"/>
          <w:b/>
          <w:bCs/>
          <w:sz w:val="23"/>
          <w:szCs w:val="23"/>
        </w:rPr>
      </w:pPr>
    </w:p>
    <w:p>
      <w:pPr>
        <w:pStyle w:val="Heading5"/>
        <w:spacing w:line="240" w:lineRule="auto"/>
        <w:ind w:right="0"/>
        <w:jc w:val="left"/>
        <w:rPr>
          <w:b w:val="0"/>
          <w:bCs w:val="0"/>
        </w:rPr>
      </w:pPr>
      <w:bookmarkStart w:name="1、股份支付总体情况" w:id="273"/>
      <w:bookmarkEnd w:id="273"/>
      <w:r>
        <w:rPr>
          <w:b w:val="0"/>
          <w:bCs w:val="0"/>
        </w:rPr>
      </w:r>
      <w:r>
        <w:rPr>
          <w:rFonts w:ascii="Times New Roman" w:hAnsi="Times New Roman" w:cs="Times New Roman" w:eastAsia="Times New Roman" w:hint="default"/>
        </w:rPr>
        <w:t>1</w:t>
      </w:r>
      <w:r>
        <w:rPr/>
        <w:t>、股份支付总体情况</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7"/>
        <w:rPr>
          <w:rFonts w:ascii="宋体" w:hAnsi="宋体" w:cs="宋体" w:eastAsia="宋体" w:hint="default"/>
          <w:sz w:val="24"/>
          <w:szCs w:val="24"/>
        </w:rPr>
      </w:pPr>
    </w:p>
    <w:p>
      <w:pPr>
        <w:pStyle w:val="Heading5"/>
        <w:spacing w:line="240" w:lineRule="auto"/>
        <w:ind w:right="0"/>
        <w:jc w:val="left"/>
        <w:rPr>
          <w:b w:val="0"/>
          <w:bCs w:val="0"/>
        </w:rPr>
      </w:pPr>
      <w:bookmarkStart w:name="2、以权益结算的股份支付情况" w:id="274"/>
      <w:bookmarkEnd w:id="274"/>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7"/>
        <w:rPr>
          <w:rFonts w:ascii="宋体" w:hAnsi="宋体" w:cs="宋体" w:eastAsia="宋体" w:hint="default"/>
          <w:sz w:val="24"/>
          <w:szCs w:val="24"/>
        </w:rPr>
      </w:pPr>
    </w:p>
    <w:p>
      <w:pPr>
        <w:pStyle w:val="Heading5"/>
        <w:spacing w:line="240" w:lineRule="auto"/>
        <w:ind w:right="0"/>
        <w:jc w:val="left"/>
        <w:rPr>
          <w:b w:val="0"/>
          <w:bCs w:val="0"/>
        </w:rPr>
      </w:pPr>
      <w:bookmarkStart w:name="3、以现金结算的股份支付情况" w:id="275"/>
      <w:bookmarkEnd w:id="275"/>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8"/>
        <w:rPr>
          <w:rFonts w:ascii="宋体" w:hAnsi="宋体" w:cs="宋体" w:eastAsia="宋体" w:hint="default"/>
          <w:sz w:val="22"/>
          <w:szCs w:val="22"/>
        </w:rPr>
      </w:pPr>
    </w:p>
    <w:p>
      <w:pPr>
        <w:pStyle w:val="Heading4"/>
        <w:spacing w:line="240" w:lineRule="auto"/>
        <w:ind w:right="0"/>
        <w:jc w:val="left"/>
        <w:rPr>
          <w:b w:val="0"/>
          <w:bCs w:val="0"/>
        </w:rPr>
      </w:pPr>
      <w:bookmarkStart w:name="十三、资产负债表日后事项" w:id="276"/>
      <w:bookmarkEnd w:id="276"/>
      <w:r>
        <w:rPr>
          <w:b w:val="0"/>
          <w:bCs w:val="0"/>
        </w:rPr>
      </w:r>
      <w:r>
        <w:rPr/>
        <w:t>十三、资产负债表日后事项</w:t>
      </w:r>
      <w:r>
        <w:rPr>
          <w:b w:val="0"/>
          <w:bCs w:val="0"/>
        </w:rPr>
      </w:r>
    </w:p>
    <w:p>
      <w:pPr>
        <w:spacing w:line="240" w:lineRule="auto" w:before="0"/>
        <w:rPr>
          <w:rFonts w:ascii="宋体" w:hAnsi="宋体" w:cs="宋体" w:eastAsia="宋体" w:hint="default"/>
          <w:b/>
          <w:bCs/>
          <w:sz w:val="24"/>
          <w:szCs w:val="24"/>
        </w:rPr>
      </w:pPr>
    </w:p>
    <w:p>
      <w:pPr>
        <w:spacing w:line="240" w:lineRule="auto" w:before="11"/>
        <w:rPr>
          <w:rFonts w:ascii="宋体" w:hAnsi="宋体" w:cs="宋体" w:eastAsia="宋体" w:hint="default"/>
          <w:b/>
          <w:bCs/>
          <w:sz w:val="23"/>
          <w:szCs w:val="23"/>
        </w:rPr>
      </w:pPr>
    </w:p>
    <w:p>
      <w:pPr>
        <w:pStyle w:val="Heading5"/>
        <w:spacing w:line="240" w:lineRule="auto"/>
        <w:ind w:right="0"/>
        <w:jc w:val="left"/>
        <w:rPr>
          <w:b w:val="0"/>
          <w:bCs w:val="0"/>
        </w:rPr>
      </w:pPr>
      <w:bookmarkStart w:name="1、利润分配情况" w:id="277"/>
      <w:bookmarkEnd w:id="277"/>
      <w:r>
        <w:rPr>
          <w:b w:val="0"/>
          <w:bCs w:val="0"/>
        </w:rPr>
      </w:r>
      <w:r>
        <w:rPr>
          <w:rFonts w:ascii="Times New Roman" w:hAnsi="Times New Roman" w:cs="Times New Roman" w:eastAsia="Times New Roman" w:hint="default"/>
        </w:rPr>
        <w:t>1</w:t>
      </w:r>
      <w:r>
        <w:rPr/>
        <w:t>、利润分配情况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36"/>
        <w:ind w:left="0" w:right="150"/>
        <w:jc w:val="right"/>
      </w:pPr>
      <w:r>
        <w:rPr/>
        <w:t>单位：</w:t>
      </w:r>
      <w:r>
        <w:rPr>
          <w:spacing w:val="2"/>
        </w:rPr>
        <w:t> </w:t>
      </w:r>
      <w:r>
        <w:rPr/>
        <w:t>元</w:t>
      </w:r>
    </w:p>
    <w:p>
      <w:pPr>
        <w:spacing w:line="240" w:lineRule="auto" w:before="10"/>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4981"/>
        <w:gridCol w:w="4586"/>
      </w:tblGrid>
      <w:tr>
        <w:trPr>
          <w:trHeight w:val="283" w:hRule="exact"/>
        </w:trPr>
        <w:tc>
          <w:tcPr>
            <w:tcW w:w="49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拟分配的利润或股利</w:t>
            </w:r>
          </w:p>
        </w:tc>
        <w:tc>
          <w:tcPr>
            <w:tcW w:w="4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15,840,000.00</w:t>
            </w:r>
          </w:p>
        </w:tc>
      </w:tr>
      <w:tr>
        <w:trPr>
          <w:trHeight w:val="283" w:hRule="exact"/>
        </w:trPr>
        <w:tc>
          <w:tcPr>
            <w:tcW w:w="49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经审议批准宣告发放的利润或股利</w:t>
            </w:r>
          </w:p>
        </w:tc>
        <w:tc>
          <w:tcPr>
            <w:tcW w:w="4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z w:val="21"/>
              </w:rPr>
              <w:t>0.00</w:t>
            </w:r>
          </w:p>
        </w:tc>
      </w:tr>
    </w:tbl>
    <w:p>
      <w:pPr>
        <w:spacing w:after="0" w:line="240" w:lineRule="auto"/>
        <w:jc w:val="right"/>
        <w:rPr>
          <w:rFonts w:ascii="Times New Roman" w:hAnsi="Times New Roman" w:cs="Times New Roman" w:eastAsia="Times New Roman" w:hint="default"/>
          <w:sz w:val="21"/>
          <w:szCs w:val="21"/>
        </w:rPr>
        <w:sectPr>
          <w:pgSz w:w="11910" w:h="16840"/>
          <w:pgMar w:header="880" w:footer="979" w:top="1060" w:bottom="1160" w:left="980" w:right="980"/>
        </w:sectPr>
      </w:pPr>
    </w:p>
    <w:p>
      <w:pPr>
        <w:spacing w:line="240" w:lineRule="auto" w:before="6"/>
        <w:rPr>
          <w:rFonts w:ascii="宋体" w:hAnsi="宋体" w:cs="宋体" w:eastAsia="宋体" w:hint="default"/>
          <w:sz w:val="23"/>
          <w:szCs w:val="23"/>
        </w:rPr>
      </w:pPr>
    </w:p>
    <w:p>
      <w:pPr>
        <w:pStyle w:val="Heading4"/>
        <w:spacing w:line="240" w:lineRule="auto" w:before="26"/>
        <w:ind w:right="0"/>
        <w:jc w:val="left"/>
        <w:rPr>
          <w:b w:val="0"/>
          <w:bCs w:val="0"/>
        </w:rPr>
      </w:pPr>
      <w:r>
        <w:rPr/>
        <w:t>十四、母公司财务报表主要项目注释</w:t>
      </w:r>
      <w:r>
        <w:rPr>
          <w:b w:val="0"/>
          <w:bCs w:val="0"/>
        </w:rPr>
      </w:r>
    </w:p>
    <w:p>
      <w:pPr>
        <w:spacing w:line="240" w:lineRule="auto" w:before="0"/>
        <w:rPr>
          <w:rFonts w:ascii="宋体" w:hAnsi="宋体" w:cs="宋体" w:eastAsia="宋体" w:hint="default"/>
          <w:b/>
          <w:bCs/>
          <w:sz w:val="24"/>
          <w:szCs w:val="24"/>
        </w:rPr>
      </w:pPr>
    </w:p>
    <w:p>
      <w:pPr>
        <w:spacing w:line="240" w:lineRule="auto" w:before="11"/>
        <w:rPr>
          <w:rFonts w:ascii="宋体" w:hAnsi="宋体" w:cs="宋体" w:eastAsia="宋体" w:hint="default"/>
          <w:b/>
          <w:bCs/>
          <w:sz w:val="23"/>
          <w:szCs w:val="23"/>
        </w:rPr>
      </w:pPr>
    </w:p>
    <w:p>
      <w:pPr>
        <w:pStyle w:val="Heading5"/>
        <w:spacing w:line="240" w:lineRule="auto"/>
        <w:ind w:right="0"/>
        <w:jc w:val="left"/>
        <w:rPr>
          <w:b w:val="0"/>
          <w:bCs w:val="0"/>
        </w:rPr>
      </w:pPr>
      <w:bookmarkStart w:name="十四、母公司财务报表主要项目注释" w:id="278"/>
      <w:bookmarkEnd w:id="278"/>
      <w:r>
        <w:rPr>
          <w:b w:val="0"/>
          <w:bCs w:val="0"/>
        </w:rPr>
      </w:r>
      <w:bookmarkStart w:name="1、应收账款" w:id="279"/>
      <w:bookmarkEnd w:id="279"/>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0"/>
        <w:rPr>
          <w:rFonts w:ascii="宋体" w:hAnsi="宋体" w:cs="宋体" w:eastAsia="宋体" w:hint="default"/>
          <w:b/>
          <w:bCs/>
          <w:sz w:val="22"/>
          <w:szCs w:val="22"/>
        </w:rPr>
      </w:pPr>
    </w:p>
    <w:p>
      <w:pPr>
        <w:spacing w:line="240" w:lineRule="auto" w:before="6"/>
        <w:rPr>
          <w:rFonts w:ascii="宋体" w:hAnsi="宋体" w:cs="宋体" w:eastAsia="宋体" w:hint="default"/>
          <w:b/>
          <w:bCs/>
          <w:sz w:val="25"/>
          <w:szCs w:val="25"/>
        </w:rPr>
      </w:pPr>
    </w:p>
    <w:p>
      <w:pPr>
        <w:pStyle w:val="Heading5"/>
        <w:spacing w:line="240" w:lineRule="auto"/>
        <w:ind w:right="0"/>
        <w:jc w:val="left"/>
        <w:rPr>
          <w:b w:val="0"/>
          <w:bCs w:val="0"/>
        </w:rPr>
      </w:pPr>
      <w:bookmarkStart w:name="（1）应收账款分类披露" w:id="280"/>
      <w:bookmarkEnd w:id="280"/>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150"/>
        <w:jc w:val="right"/>
      </w:pPr>
      <w:r>
        <w:rPr/>
        <w:t>单位：</w:t>
      </w:r>
      <w:r>
        <w:rPr>
          <w:spacing w:val="2"/>
        </w:rPr>
        <w:t> </w:t>
      </w:r>
      <w:r>
        <w:rPr/>
        <w:t>元</w:t>
      </w:r>
    </w:p>
    <w:p>
      <w:pPr>
        <w:spacing w:line="240" w:lineRule="auto" w:before="10"/>
        <w:rPr>
          <w:rFonts w:ascii="宋体" w:hAnsi="宋体" w:cs="宋体" w:eastAsia="宋体" w:hint="default"/>
          <w:sz w:val="3"/>
          <w:szCs w:val="3"/>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7"/>
        <w:gridCol w:w="655"/>
        <w:gridCol w:w="761"/>
        <w:gridCol w:w="814"/>
        <w:gridCol w:w="934"/>
        <w:gridCol w:w="931"/>
      </w:tblGrid>
      <w:tr>
        <w:trPr>
          <w:trHeight w:val="278" w:hRule="exact"/>
        </w:trPr>
        <w:tc>
          <w:tcPr>
            <w:tcW w:w="1612" w:type="dxa"/>
            <w:vMerge w:val="restart"/>
            <w:tcBorders>
              <w:top w:val="single" w:sz="4" w:space="0" w:color="000000"/>
              <w:left w:val="single" w:sz="4" w:space="0" w:color="000000"/>
              <w:right w:val="single" w:sz="4" w:space="0" w:color="000000"/>
            </w:tcBorders>
            <w:shd w:val="clear" w:color="auto" w:fill="D4D4D4"/>
          </w:tcPr>
          <w:p>
            <w:pPr/>
          </w:p>
        </w:tc>
        <w:tc>
          <w:tcPr>
            <w:tcW w:w="3848"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5"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49" w:hRule="exact"/>
        </w:trPr>
        <w:tc>
          <w:tcPr>
            <w:tcW w:w="1612" w:type="dxa"/>
            <w:vMerge/>
            <w:tcBorders>
              <w:left w:val="single" w:sz="4" w:space="0" w:color="000000"/>
              <w:bottom w:val="nil" w:sz="6" w:space="0" w:color="auto"/>
              <w:right w:val="single" w:sz="4" w:space="0" w:color="000000"/>
            </w:tcBorders>
            <w:shd w:val="clear" w:color="auto" w:fill="D4D4D4"/>
          </w:tcPr>
          <w:p>
            <w:pPr/>
          </w:p>
        </w:tc>
        <w:tc>
          <w:tcPr>
            <w:tcW w:w="1535"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6" w:lineRule="exact"/>
              <w:ind w:left="34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6" w:lineRule="exact"/>
              <w:ind w:left="33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787" w:type="dxa"/>
            <w:tcBorders>
              <w:top w:val="single" w:sz="4" w:space="0" w:color="000000"/>
              <w:left w:val="single" w:sz="4" w:space="0" w:color="000000"/>
              <w:bottom w:val="nil" w:sz="6" w:space="0" w:color="auto"/>
              <w:right w:val="single" w:sz="4" w:space="0" w:color="000000"/>
            </w:tcBorders>
            <w:shd w:val="clear" w:color="auto" w:fill="D4D4D4"/>
          </w:tcPr>
          <w:p>
            <w:pPr/>
          </w:p>
        </w:tc>
        <w:tc>
          <w:tcPr>
            <w:tcW w:w="141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6" w:lineRule="exact"/>
              <w:ind w:left="28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47"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6" w:lineRule="exact"/>
              <w:ind w:left="45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931" w:type="dxa"/>
            <w:vMerge w:val="restart"/>
            <w:tcBorders>
              <w:top w:val="single" w:sz="4" w:space="0" w:color="000000"/>
              <w:left w:val="single" w:sz="4" w:space="0" w:color="000000"/>
              <w:right w:val="single" w:sz="4" w:space="0" w:color="000000"/>
            </w:tcBorders>
            <w:shd w:val="clear" w:color="auto" w:fill="D4D4D4"/>
          </w:tcPr>
          <w:p>
            <w:pPr/>
          </w:p>
        </w:tc>
      </w:tr>
      <w:tr>
        <w:trPr>
          <w:trHeight w:val="205" w:hRule="exact"/>
        </w:trPr>
        <w:tc>
          <w:tcPr>
            <w:tcW w:w="1612"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38" w:lineRule="exact"/>
              <w:ind w:left="1"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535" w:type="dxa"/>
            <w:gridSpan w:val="2"/>
            <w:vMerge/>
            <w:tcBorders>
              <w:left w:val="single" w:sz="4" w:space="0" w:color="000000"/>
              <w:bottom w:val="single" w:sz="4" w:space="0" w:color="000000"/>
              <w:right w:val="single" w:sz="4" w:space="0" w:color="000000"/>
            </w:tcBorders>
            <w:shd w:val="clear" w:color="auto" w:fill="D4D4D4"/>
          </w:tcPr>
          <w:p>
            <w:pPr/>
          </w:p>
        </w:tc>
        <w:tc>
          <w:tcPr>
            <w:tcW w:w="1526" w:type="dxa"/>
            <w:gridSpan w:val="2"/>
            <w:vMerge/>
            <w:tcBorders>
              <w:left w:val="single" w:sz="4" w:space="0" w:color="000000"/>
              <w:bottom w:val="single" w:sz="4" w:space="0" w:color="000000"/>
              <w:right w:val="single" w:sz="4" w:space="0" w:color="000000"/>
            </w:tcBorders>
            <w:shd w:val="clear" w:color="auto" w:fill="D4D4D4"/>
          </w:tcPr>
          <w:p>
            <w:pPr/>
          </w:p>
        </w:tc>
        <w:tc>
          <w:tcPr>
            <w:tcW w:w="787" w:type="dxa"/>
            <w:vMerge w:val="restart"/>
            <w:tcBorders>
              <w:top w:val="nil" w:sz="6" w:space="0" w:color="auto"/>
              <w:left w:val="single" w:sz="4" w:space="0" w:color="000000"/>
              <w:right w:val="single" w:sz="4" w:space="0" w:color="000000"/>
            </w:tcBorders>
            <w:shd w:val="clear" w:color="auto" w:fill="D4D4D4"/>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账面价</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值</w:t>
            </w:r>
          </w:p>
        </w:tc>
        <w:tc>
          <w:tcPr>
            <w:tcW w:w="1416" w:type="dxa"/>
            <w:gridSpan w:val="2"/>
            <w:vMerge/>
            <w:tcBorders>
              <w:left w:val="single" w:sz="4" w:space="0" w:color="000000"/>
              <w:bottom w:val="single" w:sz="4" w:space="0" w:color="000000"/>
              <w:right w:val="single" w:sz="4" w:space="0" w:color="000000"/>
            </w:tcBorders>
            <w:shd w:val="clear" w:color="auto" w:fill="D4D4D4"/>
          </w:tcPr>
          <w:p>
            <w:pPr/>
          </w:p>
        </w:tc>
        <w:tc>
          <w:tcPr>
            <w:tcW w:w="1747" w:type="dxa"/>
            <w:gridSpan w:val="2"/>
            <w:vMerge/>
            <w:tcBorders>
              <w:left w:val="single" w:sz="4" w:space="0" w:color="000000"/>
              <w:bottom w:val="single" w:sz="4" w:space="0" w:color="000000"/>
              <w:right w:val="single" w:sz="4" w:space="0" w:color="000000"/>
            </w:tcBorders>
            <w:shd w:val="clear" w:color="auto" w:fill="D4D4D4"/>
          </w:tcPr>
          <w:p>
            <w:pPr/>
          </w:p>
        </w:tc>
        <w:tc>
          <w:tcPr>
            <w:tcW w:w="931" w:type="dxa"/>
            <w:vMerge/>
            <w:tcBorders>
              <w:left w:val="single" w:sz="4" w:space="0" w:color="000000"/>
              <w:bottom w:val="nil" w:sz="6" w:space="0" w:color="auto"/>
              <w:right w:val="single" w:sz="4" w:space="0" w:color="000000"/>
            </w:tcBorders>
            <w:shd w:val="clear" w:color="auto" w:fill="D4D4D4"/>
          </w:tcPr>
          <w:p>
            <w:pPr/>
          </w:p>
        </w:tc>
      </w:tr>
      <w:tr>
        <w:trPr>
          <w:trHeight w:val="205" w:hRule="exact"/>
        </w:trPr>
        <w:tc>
          <w:tcPr>
            <w:tcW w:w="1612" w:type="dxa"/>
            <w:vMerge w:val="restart"/>
            <w:tcBorders>
              <w:top w:val="nil" w:sz="6" w:space="0" w:color="auto"/>
              <w:left w:val="single" w:sz="4" w:space="0" w:color="000000"/>
              <w:right w:val="single" w:sz="4" w:space="0" w:color="000000"/>
            </w:tcBorders>
            <w:shd w:val="clear" w:color="auto" w:fill="D4D4D4"/>
          </w:tcPr>
          <w:p>
            <w:pPr/>
          </w:p>
        </w:tc>
        <w:tc>
          <w:tcPr>
            <w:tcW w:w="77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34"/>
              <w:ind w:left="17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6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34"/>
              <w:ind w:left="165"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76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34"/>
              <w:ind w:left="16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63" w:type="dxa"/>
            <w:vMerge w:val="restart"/>
            <w:tcBorders>
              <w:top w:val="single" w:sz="4" w:space="0" w:color="000000"/>
              <w:left w:val="single" w:sz="4" w:space="0" w:color="000000"/>
              <w:right w:val="single" w:sz="4" w:space="0" w:color="000000"/>
            </w:tcBorders>
            <w:shd w:val="clear" w:color="auto" w:fill="D4D4D4"/>
          </w:tcPr>
          <w:p>
            <w:pPr>
              <w:pStyle w:val="TableParagraph"/>
              <w:spacing w:line="173" w:lineRule="exact"/>
              <w:ind w:left="4" w:right="0"/>
              <w:jc w:val="center"/>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例</w:t>
            </w:r>
          </w:p>
        </w:tc>
        <w:tc>
          <w:tcPr>
            <w:tcW w:w="787" w:type="dxa"/>
            <w:vMerge/>
            <w:tcBorders>
              <w:left w:val="single" w:sz="4" w:space="0" w:color="000000"/>
              <w:right w:val="single" w:sz="4" w:space="0" w:color="000000"/>
            </w:tcBorders>
            <w:shd w:val="clear" w:color="auto" w:fill="D4D4D4"/>
          </w:tcPr>
          <w:p>
            <w:pPr/>
          </w:p>
        </w:tc>
        <w:tc>
          <w:tcPr>
            <w:tcW w:w="65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34"/>
              <w:ind w:left="11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6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34"/>
              <w:ind w:left="165"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81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34"/>
              <w:ind w:left="194"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93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34"/>
              <w:ind w:left="40" w:right="0"/>
              <w:jc w:val="left"/>
              <w:rPr>
                <w:rFonts w:ascii="宋体" w:hAnsi="宋体" w:cs="宋体" w:eastAsia="宋体" w:hint="default"/>
                <w:sz w:val="21"/>
                <w:szCs w:val="21"/>
              </w:rPr>
            </w:pPr>
            <w:r>
              <w:rPr>
                <w:rFonts w:ascii="宋体" w:hAnsi="宋体" w:cs="宋体" w:eastAsia="宋体" w:hint="default"/>
                <w:sz w:val="21"/>
                <w:szCs w:val="21"/>
              </w:rPr>
              <w:t>计提比例</w:t>
            </w:r>
          </w:p>
        </w:tc>
        <w:tc>
          <w:tcPr>
            <w:tcW w:w="931" w:type="dxa"/>
            <w:tcBorders>
              <w:top w:val="nil" w:sz="6" w:space="0" w:color="auto"/>
              <w:left w:val="single" w:sz="23" w:space="0" w:color="D4D4D4"/>
              <w:bottom w:val="nil" w:sz="6" w:space="0" w:color="auto"/>
              <w:right w:val="single" w:sz="12" w:space="0" w:color="D4D4D4"/>
            </w:tcBorders>
          </w:tcPr>
          <w:p>
            <w:pPr>
              <w:pStyle w:val="TableParagraph"/>
              <w:spacing w:line="175" w:lineRule="exact"/>
              <w:ind w:right="25"/>
              <w:jc w:val="righ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pacing w:val="-1"/>
                <w:sz w:val="21"/>
                <w:szCs w:val="21"/>
                <w:shd w:fill="D4D4D4" w:color="auto" w:val="clear"/>
              </w:rPr>
              <w:t>账面价值</w:t>
            </w:r>
            <w:r>
              <w:rPr>
                <w:rFonts w:ascii="宋体" w:hAnsi="宋体" w:cs="宋体" w:eastAsia="宋体" w:hint="default"/>
                <w:spacing w:val="-1"/>
                <w:sz w:val="21"/>
                <w:szCs w:val="21"/>
              </w:rPr>
            </w:r>
          </w:p>
        </w:tc>
      </w:tr>
      <w:tr>
        <w:trPr>
          <w:trHeight w:val="139" w:hRule="exact"/>
        </w:trPr>
        <w:tc>
          <w:tcPr>
            <w:tcW w:w="1612" w:type="dxa"/>
            <w:vMerge/>
            <w:tcBorders>
              <w:left w:val="single" w:sz="4" w:space="0" w:color="000000"/>
              <w:right w:val="single" w:sz="4" w:space="0" w:color="000000"/>
            </w:tcBorders>
            <w:shd w:val="clear" w:color="auto" w:fill="D4D4D4"/>
          </w:tcPr>
          <w:p>
            <w:pPr/>
          </w:p>
        </w:tc>
        <w:tc>
          <w:tcPr>
            <w:tcW w:w="774" w:type="dxa"/>
            <w:vMerge/>
            <w:tcBorders>
              <w:left w:val="single" w:sz="4" w:space="0" w:color="000000"/>
              <w:bottom w:val="nil" w:sz="6" w:space="0" w:color="auto"/>
              <w:right w:val="single" w:sz="4" w:space="0" w:color="000000"/>
            </w:tcBorders>
            <w:shd w:val="clear" w:color="auto" w:fill="D4D4D4"/>
          </w:tcPr>
          <w:p>
            <w:pPr/>
          </w:p>
        </w:tc>
        <w:tc>
          <w:tcPr>
            <w:tcW w:w="761" w:type="dxa"/>
            <w:vMerge/>
            <w:tcBorders>
              <w:left w:val="single" w:sz="4" w:space="0" w:color="000000"/>
              <w:bottom w:val="nil" w:sz="6" w:space="0" w:color="auto"/>
              <w:right w:val="single" w:sz="4" w:space="0" w:color="000000"/>
            </w:tcBorders>
            <w:shd w:val="clear" w:color="auto" w:fill="D4D4D4"/>
          </w:tcPr>
          <w:p>
            <w:pPr/>
          </w:p>
        </w:tc>
        <w:tc>
          <w:tcPr>
            <w:tcW w:w="763" w:type="dxa"/>
            <w:vMerge/>
            <w:tcBorders>
              <w:left w:val="single" w:sz="4" w:space="0" w:color="000000"/>
              <w:bottom w:val="nil" w:sz="6" w:space="0" w:color="auto"/>
              <w:right w:val="single" w:sz="4" w:space="0" w:color="000000"/>
            </w:tcBorders>
            <w:shd w:val="clear" w:color="auto" w:fill="D4D4D4"/>
          </w:tcPr>
          <w:p>
            <w:pPr/>
          </w:p>
        </w:tc>
        <w:tc>
          <w:tcPr>
            <w:tcW w:w="763" w:type="dxa"/>
            <w:vMerge/>
            <w:tcBorders>
              <w:left w:val="single" w:sz="4" w:space="0" w:color="000000"/>
              <w:right w:val="single" w:sz="4" w:space="0" w:color="000000"/>
            </w:tcBorders>
            <w:shd w:val="clear" w:color="auto" w:fill="D4D4D4"/>
          </w:tcPr>
          <w:p>
            <w:pPr/>
          </w:p>
        </w:tc>
        <w:tc>
          <w:tcPr>
            <w:tcW w:w="787" w:type="dxa"/>
            <w:vMerge/>
            <w:tcBorders>
              <w:left w:val="single" w:sz="4" w:space="0" w:color="000000"/>
              <w:bottom w:val="nil" w:sz="6" w:space="0" w:color="auto"/>
              <w:right w:val="single" w:sz="4" w:space="0" w:color="000000"/>
            </w:tcBorders>
            <w:shd w:val="clear" w:color="auto" w:fill="D4D4D4"/>
          </w:tcPr>
          <w:p>
            <w:pPr/>
          </w:p>
        </w:tc>
        <w:tc>
          <w:tcPr>
            <w:tcW w:w="655" w:type="dxa"/>
            <w:vMerge/>
            <w:tcBorders>
              <w:left w:val="single" w:sz="4" w:space="0" w:color="000000"/>
              <w:bottom w:val="nil" w:sz="6" w:space="0" w:color="auto"/>
              <w:right w:val="single" w:sz="4" w:space="0" w:color="000000"/>
            </w:tcBorders>
            <w:shd w:val="clear" w:color="auto" w:fill="D4D4D4"/>
          </w:tcPr>
          <w:p>
            <w:pPr/>
          </w:p>
        </w:tc>
        <w:tc>
          <w:tcPr>
            <w:tcW w:w="761" w:type="dxa"/>
            <w:vMerge/>
            <w:tcBorders>
              <w:left w:val="single" w:sz="4" w:space="0" w:color="000000"/>
              <w:bottom w:val="nil" w:sz="6" w:space="0" w:color="auto"/>
              <w:right w:val="single" w:sz="4" w:space="0" w:color="000000"/>
            </w:tcBorders>
            <w:shd w:val="clear" w:color="auto" w:fill="D4D4D4"/>
          </w:tcPr>
          <w:p>
            <w:pPr/>
          </w:p>
        </w:tc>
        <w:tc>
          <w:tcPr>
            <w:tcW w:w="814" w:type="dxa"/>
            <w:vMerge/>
            <w:tcBorders>
              <w:left w:val="single" w:sz="4" w:space="0" w:color="000000"/>
              <w:bottom w:val="nil" w:sz="6" w:space="0" w:color="auto"/>
              <w:right w:val="single" w:sz="4" w:space="0" w:color="000000"/>
            </w:tcBorders>
            <w:shd w:val="clear" w:color="auto" w:fill="D4D4D4"/>
          </w:tcPr>
          <w:p>
            <w:pPr/>
          </w:p>
        </w:tc>
        <w:tc>
          <w:tcPr>
            <w:tcW w:w="934" w:type="dxa"/>
            <w:vMerge/>
            <w:tcBorders>
              <w:left w:val="single" w:sz="4" w:space="0" w:color="000000"/>
              <w:bottom w:val="nil" w:sz="6" w:space="0" w:color="auto"/>
              <w:right w:val="single" w:sz="4" w:space="0" w:color="000000"/>
            </w:tcBorders>
            <w:shd w:val="clear" w:color="auto" w:fill="D4D4D4"/>
          </w:tcPr>
          <w:p>
            <w:pPr/>
          </w:p>
        </w:tc>
        <w:tc>
          <w:tcPr>
            <w:tcW w:w="931" w:type="dxa"/>
            <w:vMerge w:val="restart"/>
            <w:tcBorders>
              <w:top w:val="nil" w:sz="6" w:space="0" w:color="auto"/>
              <w:left w:val="single" w:sz="4" w:space="0" w:color="000000"/>
              <w:right w:val="single" w:sz="4" w:space="0" w:color="000000"/>
            </w:tcBorders>
            <w:shd w:val="clear" w:color="auto" w:fill="D4D4D4"/>
          </w:tcPr>
          <w:p>
            <w:pPr/>
          </w:p>
        </w:tc>
      </w:tr>
      <w:tr>
        <w:trPr>
          <w:trHeight w:val="144" w:hRule="exact"/>
        </w:trPr>
        <w:tc>
          <w:tcPr>
            <w:tcW w:w="1612" w:type="dxa"/>
            <w:vMerge/>
            <w:tcBorders>
              <w:left w:val="single" w:sz="4" w:space="0" w:color="000000"/>
              <w:bottom w:val="single" w:sz="4" w:space="0" w:color="000000"/>
              <w:right w:val="single" w:sz="4" w:space="0" w:color="000000"/>
            </w:tcBorders>
            <w:shd w:val="clear" w:color="auto" w:fill="D4D4D4"/>
          </w:tcPr>
          <w:p>
            <w:pPr/>
          </w:p>
        </w:tc>
        <w:tc>
          <w:tcPr>
            <w:tcW w:w="774" w:type="dxa"/>
            <w:tcBorders>
              <w:top w:val="nil" w:sz="6" w:space="0" w:color="auto"/>
              <w:left w:val="single" w:sz="4" w:space="0" w:color="000000"/>
              <w:bottom w:val="single" w:sz="4" w:space="0" w:color="000000"/>
              <w:right w:val="single" w:sz="4" w:space="0" w:color="000000"/>
            </w:tcBorders>
            <w:shd w:val="clear" w:color="auto" w:fill="D4D4D4"/>
          </w:tcPr>
          <w:p>
            <w:pPr/>
          </w:p>
        </w:tc>
        <w:tc>
          <w:tcPr>
            <w:tcW w:w="761" w:type="dxa"/>
            <w:tcBorders>
              <w:top w:val="nil" w:sz="6" w:space="0" w:color="auto"/>
              <w:left w:val="single" w:sz="4" w:space="0" w:color="000000"/>
              <w:bottom w:val="single" w:sz="4" w:space="0" w:color="000000"/>
              <w:right w:val="single" w:sz="4" w:space="0" w:color="000000"/>
            </w:tcBorders>
            <w:shd w:val="clear" w:color="auto" w:fill="D4D4D4"/>
          </w:tcPr>
          <w:p>
            <w:pPr/>
          </w:p>
        </w:tc>
        <w:tc>
          <w:tcPr>
            <w:tcW w:w="763" w:type="dxa"/>
            <w:tcBorders>
              <w:top w:val="nil" w:sz="6" w:space="0" w:color="auto"/>
              <w:left w:val="single" w:sz="4" w:space="0" w:color="000000"/>
              <w:bottom w:val="single" w:sz="4" w:space="0" w:color="000000"/>
              <w:right w:val="single" w:sz="4" w:space="0" w:color="000000"/>
            </w:tcBorders>
            <w:shd w:val="clear" w:color="auto" w:fill="D4D4D4"/>
          </w:tcPr>
          <w:p>
            <w:pPr/>
          </w:p>
        </w:tc>
        <w:tc>
          <w:tcPr>
            <w:tcW w:w="763" w:type="dxa"/>
            <w:vMerge/>
            <w:tcBorders>
              <w:left w:val="single" w:sz="4" w:space="0" w:color="000000"/>
              <w:bottom w:val="single" w:sz="4" w:space="0" w:color="000000"/>
              <w:right w:val="single" w:sz="4" w:space="0" w:color="000000"/>
            </w:tcBorders>
            <w:shd w:val="clear" w:color="auto" w:fill="D4D4D4"/>
          </w:tcPr>
          <w:p>
            <w:pPr/>
          </w:p>
        </w:tc>
        <w:tc>
          <w:tcPr>
            <w:tcW w:w="787" w:type="dxa"/>
            <w:tcBorders>
              <w:top w:val="nil" w:sz="6" w:space="0" w:color="auto"/>
              <w:left w:val="single" w:sz="4" w:space="0" w:color="000000"/>
              <w:bottom w:val="single" w:sz="4" w:space="0" w:color="000000"/>
              <w:right w:val="single" w:sz="4" w:space="0" w:color="000000"/>
            </w:tcBorders>
            <w:shd w:val="clear" w:color="auto" w:fill="D4D4D4"/>
          </w:tcPr>
          <w:p>
            <w:pPr/>
          </w:p>
        </w:tc>
        <w:tc>
          <w:tcPr>
            <w:tcW w:w="655" w:type="dxa"/>
            <w:tcBorders>
              <w:top w:val="nil" w:sz="6" w:space="0" w:color="auto"/>
              <w:left w:val="single" w:sz="4" w:space="0" w:color="000000"/>
              <w:bottom w:val="single" w:sz="4" w:space="0" w:color="000000"/>
              <w:right w:val="single" w:sz="4" w:space="0" w:color="000000"/>
            </w:tcBorders>
            <w:shd w:val="clear" w:color="auto" w:fill="D4D4D4"/>
          </w:tcPr>
          <w:p>
            <w:pPr/>
          </w:p>
        </w:tc>
        <w:tc>
          <w:tcPr>
            <w:tcW w:w="761" w:type="dxa"/>
            <w:tcBorders>
              <w:top w:val="nil" w:sz="6" w:space="0" w:color="auto"/>
              <w:left w:val="single" w:sz="4" w:space="0" w:color="000000"/>
              <w:bottom w:val="single" w:sz="4" w:space="0" w:color="000000"/>
              <w:right w:val="single" w:sz="4" w:space="0" w:color="000000"/>
            </w:tcBorders>
            <w:shd w:val="clear" w:color="auto" w:fill="D4D4D4"/>
          </w:tcPr>
          <w:p>
            <w:pPr/>
          </w:p>
        </w:tc>
        <w:tc>
          <w:tcPr>
            <w:tcW w:w="814" w:type="dxa"/>
            <w:tcBorders>
              <w:top w:val="nil" w:sz="6" w:space="0" w:color="auto"/>
              <w:left w:val="single" w:sz="4" w:space="0" w:color="000000"/>
              <w:bottom w:val="single" w:sz="4" w:space="0" w:color="000000"/>
              <w:right w:val="single" w:sz="4" w:space="0" w:color="000000"/>
            </w:tcBorders>
            <w:shd w:val="clear" w:color="auto" w:fill="D4D4D4"/>
          </w:tcPr>
          <w:p>
            <w:pPr/>
          </w:p>
        </w:tc>
        <w:tc>
          <w:tcPr>
            <w:tcW w:w="934" w:type="dxa"/>
            <w:tcBorders>
              <w:top w:val="nil" w:sz="6" w:space="0" w:color="auto"/>
              <w:left w:val="single" w:sz="4" w:space="0" w:color="000000"/>
              <w:bottom w:val="single" w:sz="4" w:space="0" w:color="000000"/>
              <w:right w:val="single" w:sz="4" w:space="0" w:color="000000"/>
            </w:tcBorders>
            <w:shd w:val="clear" w:color="auto" w:fill="D4D4D4"/>
          </w:tcPr>
          <w:p>
            <w:pPr/>
          </w:p>
        </w:tc>
        <w:tc>
          <w:tcPr>
            <w:tcW w:w="931" w:type="dxa"/>
            <w:vMerge/>
            <w:tcBorders>
              <w:left w:val="single" w:sz="4" w:space="0" w:color="000000"/>
              <w:bottom w:val="single" w:sz="4" w:space="0" w:color="000000"/>
              <w:right w:val="single" w:sz="4" w:space="0" w:color="000000"/>
            </w:tcBorders>
            <w:shd w:val="clear" w:color="auto" w:fill="D4D4D4"/>
          </w:tcPr>
          <w:p>
            <w:pPr/>
          </w:p>
        </w:tc>
      </w:tr>
      <w:tr>
        <w:trPr>
          <w:trHeight w:val="830" w:hRule="exact"/>
        </w:trPr>
        <w:tc>
          <w:tcPr>
            <w:tcW w:w="16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exact"/>
              <w:ind w:left="12" w:right="0"/>
              <w:jc w:val="left"/>
              <w:rPr>
                <w:rFonts w:ascii="宋体" w:hAnsi="宋体" w:cs="宋体" w:eastAsia="宋体" w:hint="default"/>
                <w:sz w:val="21"/>
                <w:szCs w:val="21"/>
              </w:rPr>
            </w:pPr>
            <w:r>
              <w:rPr>
                <w:rFonts w:ascii="宋体" w:hAnsi="宋体" w:cs="宋体" w:eastAsia="宋体" w:hint="default"/>
                <w:sz w:val="21"/>
                <w:szCs w:val="21"/>
              </w:rPr>
              <w:t>单项金额重大并</w:t>
            </w:r>
          </w:p>
          <w:p>
            <w:pPr>
              <w:pStyle w:val="TableParagraph"/>
              <w:spacing w:line="240" w:lineRule="auto"/>
              <w:ind w:left="12" w:right="114"/>
              <w:jc w:val="left"/>
              <w:rPr>
                <w:rFonts w:ascii="宋体" w:hAnsi="宋体" w:cs="宋体" w:eastAsia="宋体" w:hint="default"/>
                <w:sz w:val="21"/>
                <w:szCs w:val="21"/>
              </w:rPr>
            </w:pPr>
            <w:r>
              <w:rPr>
                <w:rFonts w:ascii="宋体" w:hAnsi="宋体" w:cs="宋体" w:eastAsia="宋体" w:hint="default"/>
                <w:sz w:val="21"/>
                <w:szCs w:val="21"/>
              </w:rPr>
              <w:t>单独计提坏账准</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备的应收账款</w:t>
            </w:r>
          </w:p>
        </w:tc>
        <w:tc>
          <w:tcPr>
            <w:tcW w:w="77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64" w:right="0"/>
              <w:jc w:val="left"/>
              <w:rPr>
                <w:rFonts w:ascii="Times New Roman" w:hAnsi="Times New Roman" w:cs="Times New Roman" w:eastAsia="Times New Roman" w:hint="default"/>
                <w:sz w:val="21"/>
                <w:szCs w:val="21"/>
              </w:rPr>
            </w:pPr>
            <w:r>
              <w:rPr>
                <w:rFonts w:ascii="Times New Roman"/>
                <w:sz w:val="21"/>
              </w:rPr>
              <w:t>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68" w:right="0"/>
              <w:jc w:val="center"/>
              <w:rPr>
                <w:rFonts w:ascii="Times New Roman" w:hAnsi="Times New Roman" w:cs="Times New Roman" w:eastAsia="Times New Roman" w:hint="default"/>
                <w:sz w:val="21"/>
                <w:szCs w:val="21"/>
              </w:rPr>
            </w:pPr>
            <w:r>
              <w:rPr>
                <w:rFonts w:ascii="Times New Roman"/>
                <w:sz w:val="21"/>
              </w:rPr>
              <w:t>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62" w:right="0"/>
              <w:jc w:val="left"/>
              <w:rPr>
                <w:rFonts w:ascii="Times New Roman" w:hAnsi="Times New Roman" w:cs="Times New Roman" w:eastAsia="Times New Roman" w:hint="default"/>
                <w:sz w:val="21"/>
                <w:szCs w:val="21"/>
              </w:rPr>
            </w:pPr>
            <w:r>
              <w:rPr>
                <w:rFonts w:ascii="Times New Roman"/>
                <w:sz w:val="21"/>
              </w:rPr>
              <w:t>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0.00%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0.00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0.00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0.00</w:t>
            </w:r>
          </w:p>
        </w:tc>
      </w:tr>
      <w:tr>
        <w:trPr>
          <w:trHeight w:val="828" w:hRule="exact"/>
        </w:trPr>
        <w:tc>
          <w:tcPr>
            <w:tcW w:w="16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9" w:lineRule="exact"/>
              <w:ind w:left="12" w:right="0"/>
              <w:jc w:val="left"/>
              <w:rPr>
                <w:rFonts w:ascii="宋体" w:hAnsi="宋体" w:cs="宋体" w:eastAsia="宋体" w:hint="default"/>
                <w:sz w:val="21"/>
                <w:szCs w:val="21"/>
              </w:rPr>
            </w:pPr>
            <w:r>
              <w:rPr>
                <w:rFonts w:ascii="宋体" w:hAnsi="宋体" w:cs="宋体" w:eastAsia="宋体" w:hint="default"/>
                <w:sz w:val="21"/>
                <w:szCs w:val="21"/>
              </w:rPr>
              <w:t>按信用风险特征</w:t>
            </w:r>
          </w:p>
          <w:p>
            <w:pPr>
              <w:pStyle w:val="TableParagraph"/>
              <w:spacing w:line="240" w:lineRule="auto"/>
              <w:ind w:left="12" w:right="114"/>
              <w:jc w:val="left"/>
              <w:rPr>
                <w:rFonts w:ascii="宋体" w:hAnsi="宋体" w:cs="宋体" w:eastAsia="宋体" w:hint="default"/>
                <w:sz w:val="21"/>
                <w:szCs w:val="21"/>
              </w:rPr>
            </w:pPr>
            <w:r>
              <w:rPr>
                <w:rFonts w:ascii="宋体" w:hAnsi="宋体" w:cs="宋体" w:eastAsia="宋体" w:hint="default"/>
                <w:sz w:val="21"/>
                <w:szCs w:val="21"/>
              </w:rPr>
              <w:t>组合计提坏账准</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备的应收账款</w:t>
            </w:r>
          </w:p>
        </w:tc>
        <w:tc>
          <w:tcPr>
            <w:tcW w:w="774" w:type="dxa"/>
            <w:tcBorders>
              <w:top w:val="single" w:sz="4" w:space="0" w:color="000000"/>
              <w:left w:val="single" w:sz="12" w:space="0" w:color="D4D4D4"/>
              <w:bottom w:val="single" w:sz="4" w:space="0" w:color="000000"/>
              <w:right w:val="single" w:sz="4" w:space="0" w:color="000000"/>
            </w:tcBorders>
          </w:tcPr>
          <w:p>
            <w:pPr>
              <w:pStyle w:val="TableParagraph"/>
              <w:spacing w:line="241" w:lineRule="exact" w:before="161"/>
              <w:ind w:left="100" w:right="0"/>
              <w:jc w:val="left"/>
              <w:rPr>
                <w:rFonts w:ascii="Times New Roman" w:hAnsi="Times New Roman" w:cs="Times New Roman" w:eastAsia="Times New Roman" w:hint="default"/>
                <w:sz w:val="21"/>
                <w:szCs w:val="21"/>
              </w:rPr>
            </w:pPr>
            <w:r>
              <w:rPr>
                <w:rFonts w:ascii="Times New Roman"/>
                <w:sz w:val="21"/>
              </w:rPr>
              <w:t>16,645,</w:t>
            </w:r>
          </w:p>
          <w:p>
            <w:pPr>
              <w:pStyle w:val="TableParagraph"/>
              <w:spacing w:line="241" w:lineRule="exact"/>
              <w:ind w:left="153" w:right="0"/>
              <w:jc w:val="left"/>
              <w:rPr>
                <w:rFonts w:ascii="Times New Roman" w:hAnsi="Times New Roman" w:cs="Times New Roman" w:eastAsia="Times New Roman" w:hint="default"/>
                <w:sz w:val="21"/>
                <w:szCs w:val="21"/>
              </w:rPr>
            </w:pPr>
            <w:r>
              <w:rPr>
                <w:rFonts w:ascii="Times New Roman"/>
                <w:sz w:val="21"/>
              </w:rPr>
              <w:t>064.28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3" w:right="0"/>
              <w:jc w:val="center"/>
              <w:rPr>
                <w:rFonts w:ascii="Times New Roman" w:hAnsi="Times New Roman" w:cs="Times New Roman" w:eastAsia="Times New Roman" w:hint="default"/>
                <w:sz w:val="21"/>
                <w:szCs w:val="21"/>
              </w:rPr>
            </w:pPr>
            <w:r>
              <w:rPr>
                <w:rFonts w:ascii="Times New Roman"/>
                <w:sz w:val="21"/>
              </w:rPr>
              <w:t>99.92%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61"/>
              <w:ind w:left="47" w:right="0"/>
              <w:jc w:val="left"/>
              <w:rPr>
                <w:rFonts w:ascii="Times New Roman" w:hAnsi="Times New Roman" w:cs="Times New Roman" w:eastAsia="Times New Roman" w:hint="default"/>
                <w:sz w:val="21"/>
                <w:szCs w:val="21"/>
              </w:rPr>
            </w:pPr>
            <w:r>
              <w:rPr>
                <w:rFonts w:ascii="Times New Roman"/>
                <w:sz w:val="21"/>
              </w:rPr>
              <w:t>248,474</w:t>
            </w:r>
          </w:p>
          <w:p>
            <w:pPr>
              <w:pStyle w:val="TableParagraph"/>
              <w:spacing w:line="241" w:lineRule="exact"/>
              <w:ind w:left="467" w:right="0"/>
              <w:jc w:val="left"/>
              <w:rPr>
                <w:rFonts w:ascii="Times New Roman" w:hAnsi="Times New Roman" w:cs="Times New Roman" w:eastAsia="Times New Roman" w:hint="default"/>
                <w:sz w:val="21"/>
                <w:szCs w:val="21"/>
              </w:rPr>
            </w:pPr>
            <w:r>
              <w:rPr>
                <w:rFonts w:ascii="Times New Roman"/>
                <w:sz w:val="21"/>
              </w:rPr>
              <w:t>.31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1.49%</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61"/>
              <w:ind w:left="124" w:right="0"/>
              <w:jc w:val="left"/>
              <w:rPr>
                <w:rFonts w:ascii="Times New Roman" w:hAnsi="Times New Roman" w:cs="Times New Roman" w:eastAsia="Times New Roman" w:hint="default"/>
                <w:sz w:val="21"/>
                <w:szCs w:val="21"/>
              </w:rPr>
            </w:pPr>
            <w:r>
              <w:rPr>
                <w:rFonts w:ascii="Times New Roman"/>
                <w:sz w:val="21"/>
              </w:rPr>
              <w:t>16,396,</w:t>
            </w:r>
          </w:p>
          <w:p>
            <w:pPr>
              <w:pStyle w:val="TableParagraph"/>
              <w:spacing w:line="241" w:lineRule="exact"/>
              <w:ind w:left="177" w:right="0"/>
              <w:jc w:val="left"/>
              <w:rPr>
                <w:rFonts w:ascii="Times New Roman" w:hAnsi="Times New Roman" w:cs="Times New Roman" w:eastAsia="Times New Roman" w:hint="default"/>
                <w:sz w:val="21"/>
                <w:szCs w:val="21"/>
              </w:rPr>
            </w:pPr>
            <w:r>
              <w:rPr>
                <w:rFonts w:ascii="Times New Roman"/>
                <w:sz w:val="21"/>
              </w:rPr>
              <w:t>589.97</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41"/>
              <w:ind w:right="17"/>
              <w:jc w:val="right"/>
              <w:rPr>
                <w:rFonts w:ascii="Times New Roman" w:hAnsi="Times New Roman" w:cs="Times New Roman" w:eastAsia="Times New Roman" w:hint="default"/>
                <w:sz w:val="21"/>
                <w:szCs w:val="21"/>
              </w:rPr>
            </w:pPr>
            <w:r>
              <w:rPr>
                <w:rFonts w:ascii="Times New Roman"/>
                <w:sz w:val="21"/>
              </w:rPr>
              <w:t>18,332</w:t>
            </w:r>
          </w:p>
          <w:p>
            <w:pPr>
              <w:pStyle w:val="TableParagraph"/>
              <w:spacing w:line="241" w:lineRule="exact"/>
              <w:ind w:right="17"/>
              <w:jc w:val="right"/>
              <w:rPr>
                <w:rFonts w:ascii="Times New Roman" w:hAnsi="Times New Roman" w:cs="Times New Roman" w:eastAsia="Times New Roman" w:hint="default"/>
                <w:sz w:val="21"/>
                <w:szCs w:val="21"/>
              </w:rPr>
            </w:pPr>
            <w:r>
              <w:rPr>
                <w:rFonts w:ascii="Times New Roman"/>
                <w:sz w:val="21"/>
              </w:rPr>
              <w:t>,934.5</w:t>
            </w:r>
          </w:p>
          <w:p>
            <w:pPr>
              <w:pStyle w:val="TableParagraph"/>
              <w:spacing w:line="240" w:lineRule="auto" w:before="1"/>
              <w:ind w:right="19"/>
              <w:jc w:val="right"/>
              <w:rPr>
                <w:rFonts w:ascii="Times New Roman" w:hAnsi="Times New Roman" w:cs="Times New Roman" w:eastAsia="Times New Roman" w:hint="default"/>
                <w:sz w:val="21"/>
                <w:szCs w:val="21"/>
              </w:rPr>
            </w:pPr>
            <w:r>
              <w:rPr>
                <w:rFonts w:ascii="Times New Roman"/>
                <w:w w:val="100"/>
                <w:sz w:val="21"/>
              </w:rPr>
              <w:t>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61"/>
              <w:ind w:right="17"/>
              <w:jc w:val="right"/>
              <w:rPr>
                <w:rFonts w:ascii="Times New Roman" w:hAnsi="Times New Roman" w:cs="Times New Roman" w:eastAsia="Times New Roman" w:hint="default"/>
                <w:sz w:val="21"/>
                <w:szCs w:val="21"/>
              </w:rPr>
            </w:pPr>
            <w:r>
              <w:rPr>
                <w:rFonts w:ascii="Times New Roman"/>
                <w:sz w:val="21"/>
              </w:rPr>
              <w:t>100.00</w:t>
            </w:r>
          </w:p>
          <w:p>
            <w:pPr>
              <w:pStyle w:val="TableParagraph"/>
              <w:spacing w:line="241" w:lineRule="exact"/>
              <w:ind w:right="18"/>
              <w:jc w:val="right"/>
              <w:rPr>
                <w:rFonts w:ascii="Times New Roman" w:hAnsi="Times New Roman" w:cs="Times New Roman" w:eastAsia="Times New Roman" w:hint="default"/>
                <w:sz w:val="21"/>
                <w:szCs w:val="21"/>
              </w:rPr>
            </w:pPr>
            <w:r>
              <w:rPr>
                <w:rFonts w:ascii="Times New Roman"/>
                <w:w w:val="100"/>
                <w:sz w:val="21"/>
              </w:rPr>
              <w:t>%</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61"/>
              <w:ind w:right="17"/>
              <w:jc w:val="right"/>
              <w:rPr>
                <w:rFonts w:ascii="Times New Roman" w:hAnsi="Times New Roman" w:cs="Times New Roman" w:eastAsia="Times New Roman" w:hint="default"/>
                <w:sz w:val="21"/>
                <w:szCs w:val="21"/>
              </w:rPr>
            </w:pPr>
            <w:r>
              <w:rPr>
                <w:rFonts w:ascii="Times New Roman"/>
                <w:spacing w:val="-1"/>
                <w:sz w:val="21"/>
              </w:rPr>
              <w:t>184,920.</w:t>
            </w:r>
          </w:p>
          <w:p>
            <w:pPr>
              <w:pStyle w:val="TableParagraph"/>
              <w:spacing w:line="241" w:lineRule="exact"/>
              <w:ind w:right="19"/>
              <w:jc w:val="right"/>
              <w:rPr>
                <w:rFonts w:ascii="Times New Roman" w:hAnsi="Times New Roman" w:cs="Times New Roman" w:eastAsia="Times New Roman" w:hint="default"/>
                <w:sz w:val="21"/>
                <w:szCs w:val="21"/>
              </w:rPr>
            </w:pPr>
            <w:r>
              <w:rPr>
                <w:rFonts w:ascii="Times New Roman"/>
                <w:sz w:val="21"/>
              </w:rPr>
              <w:t>21</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1.01%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61"/>
              <w:ind w:left="59" w:right="0"/>
              <w:jc w:val="left"/>
              <w:rPr>
                <w:rFonts w:ascii="Times New Roman" w:hAnsi="Times New Roman" w:cs="Times New Roman" w:eastAsia="Times New Roman" w:hint="default"/>
                <w:sz w:val="21"/>
                <w:szCs w:val="21"/>
              </w:rPr>
            </w:pPr>
            <w:r>
              <w:rPr>
                <w:rFonts w:ascii="Times New Roman"/>
                <w:sz w:val="21"/>
              </w:rPr>
              <w:t>18,148,01</w:t>
            </w:r>
          </w:p>
          <w:p>
            <w:pPr>
              <w:pStyle w:val="TableParagraph"/>
              <w:spacing w:line="241" w:lineRule="exact"/>
              <w:ind w:left="532" w:right="0"/>
              <w:jc w:val="left"/>
              <w:rPr>
                <w:rFonts w:ascii="Times New Roman" w:hAnsi="Times New Roman" w:cs="Times New Roman" w:eastAsia="Times New Roman" w:hint="default"/>
                <w:sz w:val="21"/>
                <w:szCs w:val="21"/>
              </w:rPr>
            </w:pPr>
            <w:r>
              <w:rPr>
                <w:rFonts w:ascii="Times New Roman"/>
                <w:sz w:val="21"/>
              </w:rPr>
              <w:t>4.35</w:t>
            </w:r>
          </w:p>
        </w:tc>
      </w:tr>
      <w:tr>
        <w:trPr>
          <w:trHeight w:val="828" w:hRule="exact"/>
        </w:trPr>
        <w:tc>
          <w:tcPr>
            <w:tcW w:w="16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exact"/>
              <w:ind w:left="12" w:right="0"/>
              <w:jc w:val="left"/>
              <w:rPr>
                <w:rFonts w:ascii="宋体" w:hAnsi="宋体" w:cs="宋体" w:eastAsia="宋体" w:hint="default"/>
                <w:sz w:val="21"/>
                <w:szCs w:val="21"/>
              </w:rPr>
            </w:pPr>
            <w:r>
              <w:rPr>
                <w:rFonts w:ascii="宋体" w:hAnsi="宋体" w:cs="宋体" w:eastAsia="宋体" w:hint="default"/>
                <w:sz w:val="21"/>
                <w:szCs w:val="21"/>
              </w:rPr>
              <w:t>单项金额不重大</w:t>
            </w:r>
          </w:p>
          <w:p>
            <w:pPr>
              <w:pStyle w:val="TableParagraph"/>
              <w:spacing w:line="240" w:lineRule="auto"/>
              <w:ind w:left="12" w:right="114"/>
              <w:jc w:val="left"/>
              <w:rPr>
                <w:rFonts w:ascii="宋体" w:hAnsi="宋体" w:cs="宋体" w:eastAsia="宋体" w:hint="default"/>
                <w:sz w:val="21"/>
                <w:szCs w:val="21"/>
              </w:rPr>
            </w:pPr>
            <w:r>
              <w:rPr>
                <w:rFonts w:ascii="宋体" w:hAnsi="宋体" w:cs="宋体" w:eastAsia="宋体" w:hint="default"/>
                <w:sz w:val="21"/>
                <w:szCs w:val="21"/>
              </w:rPr>
              <w:t>但单独计提坏账</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准备的应收账款</w:t>
            </w:r>
          </w:p>
        </w:tc>
        <w:tc>
          <w:tcPr>
            <w:tcW w:w="77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61"/>
              <w:ind w:right="17"/>
              <w:jc w:val="right"/>
              <w:rPr>
                <w:rFonts w:ascii="Times New Roman" w:hAnsi="Times New Roman" w:cs="Times New Roman" w:eastAsia="Times New Roman" w:hint="default"/>
                <w:sz w:val="21"/>
                <w:szCs w:val="21"/>
              </w:rPr>
            </w:pPr>
            <w:r>
              <w:rPr>
                <w:rFonts w:ascii="Times New Roman"/>
                <w:sz w:val="21"/>
              </w:rPr>
              <w:t>12,756.</w:t>
            </w:r>
          </w:p>
          <w:p>
            <w:pPr>
              <w:pStyle w:val="TableParagraph"/>
              <w:spacing w:line="240" w:lineRule="auto" w:before="1"/>
              <w:ind w:right="19"/>
              <w:jc w:val="right"/>
              <w:rPr>
                <w:rFonts w:ascii="Times New Roman" w:hAnsi="Times New Roman" w:cs="Times New Roman" w:eastAsia="Times New Roman" w:hint="default"/>
                <w:sz w:val="21"/>
                <w:szCs w:val="21"/>
              </w:rPr>
            </w:pPr>
            <w:r>
              <w:rPr>
                <w:rFonts w:ascii="Times New Roman"/>
                <w:sz w:val="21"/>
              </w:rPr>
              <w:t>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68" w:right="0"/>
              <w:jc w:val="center"/>
              <w:rPr>
                <w:rFonts w:ascii="Times New Roman" w:hAnsi="Times New Roman" w:cs="Times New Roman" w:eastAsia="Times New Roman" w:hint="default"/>
                <w:sz w:val="21"/>
                <w:szCs w:val="21"/>
              </w:rPr>
            </w:pPr>
            <w:r>
              <w:rPr>
                <w:rFonts w:ascii="Times New Roman"/>
                <w:sz w:val="21"/>
              </w:rPr>
              <w:t>0.08%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9"/>
              <w:jc w:val="right"/>
              <w:rPr>
                <w:rFonts w:ascii="Times New Roman" w:hAnsi="Times New Roman" w:cs="Times New Roman" w:eastAsia="Times New Roman" w:hint="default"/>
                <w:sz w:val="21"/>
                <w:szCs w:val="21"/>
              </w:rPr>
            </w:pPr>
            <w:r>
              <w:rPr>
                <w:rFonts w:ascii="Times New Roman"/>
                <w:sz w:val="21"/>
              </w:rPr>
              <w:t>12,756.</w:t>
            </w:r>
          </w:p>
          <w:p>
            <w:pPr>
              <w:pStyle w:val="TableParagraph"/>
              <w:spacing w:line="240" w:lineRule="auto" w:before="1"/>
              <w:ind w:right="23"/>
              <w:jc w:val="right"/>
              <w:rPr>
                <w:rFonts w:ascii="Times New Roman" w:hAnsi="Times New Roman" w:cs="Times New Roman" w:eastAsia="Times New Roman" w:hint="default"/>
                <w:sz w:val="21"/>
                <w:szCs w:val="21"/>
              </w:rPr>
            </w:pPr>
            <w:r>
              <w:rPr>
                <w:rFonts w:ascii="Times New Roman"/>
                <w:sz w:val="21"/>
              </w:rPr>
              <w:t>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7"/>
              <w:jc w:val="right"/>
              <w:rPr>
                <w:rFonts w:ascii="Times New Roman" w:hAnsi="Times New Roman" w:cs="Times New Roman" w:eastAsia="Times New Roman" w:hint="default"/>
                <w:sz w:val="21"/>
                <w:szCs w:val="21"/>
              </w:rPr>
            </w:pPr>
            <w:r>
              <w:rPr>
                <w:rFonts w:ascii="Times New Roman"/>
                <w:sz w:val="21"/>
              </w:rPr>
              <w:t>100.00</w:t>
            </w:r>
          </w:p>
          <w:p>
            <w:pPr>
              <w:pStyle w:val="TableParagraph"/>
              <w:spacing w:line="240" w:lineRule="auto" w:before="1"/>
              <w:ind w:right="18"/>
              <w:jc w:val="right"/>
              <w:rPr>
                <w:rFonts w:ascii="Times New Roman" w:hAnsi="Times New Roman" w:cs="Times New Roman" w:eastAsia="Times New Roman" w:hint="default"/>
                <w:sz w:val="21"/>
                <w:szCs w:val="21"/>
              </w:rPr>
            </w:pPr>
            <w:r>
              <w:rPr>
                <w:rFonts w:ascii="Times New Roman"/>
                <w:w w:val="100"/>
                <w:sz w:val="21"/>
              </w:rPr>
              <w:t>%</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0.00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0.00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0.00</w:t>
            </w:r>
          </w:p>
        </w:tc>
      </w:tr>
      <w:tr>
        <w:trPr>
          <w:trHeight w:val="230" w:hRule="exact"/>
        </w:trPr>
        <w:tc>
          <w:tcPr>
            <w:tcW w:w="1612" w:type="dxa"/>
            <w:tcBorders>
              <w:top w:val="single" w:sz="4" w:space="0" w:color="000000"/>
              <w:left w:val="single" w:sz="4" w:space="0" w:color="000000"/>
              <w:bottom w:val="nil" w:sz="6" w:space="0" w:color="auto"/>
              <w:right w:val="single" w:sz="4" w:space="0" w:color="000000"/>
            </w:tcBorders>
            <w:shd w:val="clear" w:color="auto" w:fill="D4D4D4"/>
          </w:tcPr>
          <w:p>
            <w:pPr/>
          </w:p>
        </w:tc>
        <w:tc>
          <w:tcPr>
            <w:tcW w:w="774" w:type="dxa"/>
            <w:vMerge w:val="restart"/>
            <w:tcBorders>
              <w:top w:val="single" w:sz="4" w:space="0" w:color="000000"/>
              <w:left w:val="single" w:sz="9" w:space="0" w:color="D4D4D4"/>
              <w:right w:val="single" w:sz="4" w:space="0" w:color="000000"/>
            </w:tcBorders>
          </w:tcPr>
          <w:p>
            <w:pPr>
              <w:pStyle w:val="TableParagraph"/>
              <w:spacing w:line="241" w:lineRule="exact" w:before="116"/>
              <w:ind w:left="105" w:right="0"/>
              <w:jc w:val="left"/>
              <w:rPr>
                <w:rFonts w:ascii="Times New Roman" w:hAnsi="Times New Roman" w:cs="Times New Roman" w:eastAsia="Times New Roman" w:hint="default"/>
                <w:sz w:val="21"/>
                <w:szCs w:val="21"/>
              </w:rPr>
            </w:pPr>
            <w:r>
              <w:rPr>
                <w:rFonts w:ascii="Times New Roman"/>
                <w:sz w:val="21"/>
              </w:rPr>
              <w:t>16,657,</w:t>
            </w:r>
          </w:p>
          <w:p>
            <w:pPr>
              <w:pStyle w:val="TableParagraph"/>
              <w:spacing w:line="241" w:lineRule="exact"/>
              <w:ind w:left="158" w:right="0"/>
              <w:jc w:val="left"/>
              <w:rPr>
                <w:rFonts w:ascii="Times New Roman" w:hAnsi="Times New Roman" w:cs="Times New Roman" w:eastAsia="Times New Roman" w:hint="default"/>
                <w:sz w:val="21"/>
                <w:szCs w:val="21"/>
              </w:rPr>
            </w:pPr>
            <w:r>
              <w:rPr>
                <w:rFonts w:ascii="Times New Roman"/>
                <w:sz w:val="21"/>
              </w:rPr>
              <w:t>820.28</w:t>
            </w:r>
          </w:p>
        </w:tc>
        <w:tc>
          <w:tcPr>
            <w:tcW w:w="761" w:type="dxa"/>
            <w:vMerge w:val="restart"/>
            <w:tcBorders>
              <w:top w:val="single" w:sz="4" w:space="0" w:color="000000"/>
              <w:left w:val="single" w:sz="4" w:space="0" w:color="000000"/>
              <w:right w:val="single" w:sz="4" w:space="0" w:color="000000"/>
            </w:tcBorders>
          </w:tcPr>
          <w:p>
            <w:pPr>
              <w:pStyle w:val="TableParagraph"/>
              <w:spacing w:line="241" w:lineRule="exact" w:before="116"/>
              <w:ind w:right="17"/>
              <w:jc w:val="right"/>
              <w:rPr>
                <w:rFonts w:ascii="Times New Roman" w:hAnsi="Times New Roman" w:cs="Times New Roman" w:eastAsia="Times New Roman" w:hint="default"/>
                <w:sz w:val="21"/>
                <w:szCs w:val="21"/>
              </w:rPr>
            </w:pPr>
            <w:r>
              <w:rPr>
                <w:rFonts w:ascii="Times New Roman"/>
                <w:sz w:val="21"/>
              </w:rPr>
              <w:t>100.00</w:t>
            </w:r>
          </w:p>
          <w:p>
            <w:pPr>
              <w:pStyle w:val="TableParagraph"/>
              <w:spacing w:line="241" w:lineRule="exact"/>
              <w:ind w:right="18"/>
              <w:jc w:val="right"/>
              <w:rPr>
                <w:rFonts w:ascii="Times New Roman" w:hAnsi="Times New Roman" w:cs="Times New Roman" w:eastAsia="Times New Roman" w:hint="default"/>
                <w:sz w:val="21"/>
                <w:szCs w:val="21"/>
              </w:rPr>
            </w:pPr>
            <w:r>
              <w:rPr>
                <w:rFonts w:ascii="Times New Roman"/>
                <w:w w:val="100"/>
                <w:sz w:val="21"/>
              </w:rPr>
              <w:t>%</w:t>
            </w:r>
          </w:p>
        </w:tc>
        <w:tc>
          <w:tcPr>
            <w:tcW w:w="763" w:type="dxa"/>
            <w:vMerge w:val="restart"/>
            <w:tcBorders>
              <w:top w:val="single" w:sz="4" w:space="0" w:color="000000"/>
              <w:left w:val="single" w:sz="4" w:space="0" w:color="000000"/>
              <w:right w:val="single" w:sz="4" w:space="0" w:color="000000"/>
            </w:tcBorders>
          </w:tcPr>
          <w:p>
            <w:pPr>
              <w:pStyle w:val="TableParagraph"/>
              <w:spacing w:line="241" w:lineRule="exact" w:before="116"/>
              <w:ind w:left="47" w:right="0"/>
              <w:jc w:val="left"/>
              <w:rPr>
                <w:rFonts w:ascii="Times New Roman" w:hAnsi="Times New Roman" w:cs="Times New Roman" w:eastAsia="Times New Roman" w:hint="default"/>
                <w:sz w:val="21"/>
                <w:szCs w:val="21"/>
              </w:rPr>
            </w:pPr>
            <w:r>
              <w:rPr>
                <w:rFonts w:ascii="Times New Roman"/>
                <w:sz w:val="21"/>
              </w:rPr>
              <w:t>261,230</w:t>
            </w:r>
          </w:p>
          <w:p>
            <w:pPr>
              <w:pStyle w:val="TableParagraph"/>
              <w:spacing w:line="241" w:lineRule="exact"/>
              <w:ind w:left="467" w:right="0"/>
              <w:jc w:val="left"/>
              <w:rPr>
                <w:rFonts w:ascii="Times New Roman" w:hAnsi="Times New Roman" w:cs="Times New Roman" w:eastAsia="Times New Roman" w:hint="default"/>
                <w:sz w:val="21"/>
                <w:szCs w:val="21"/>
              </w:rPr>
            </w:pPr>
            <w:r>
              <w:rPr>
                <w:rFonts w:ascii="Times New Roman"/>
                <w:sz w:val="21"/>
              </w:rPr>
              <w:t>.31</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189" w:right="0"/>
              <w:jc w:val="left"/>
              <w:rPr>
                <w:rFonts w:ascii="Times New Roman" w:hAnsi="Times New Roman" w:cs="Times New Roman" w:eastAsia="Times New Roman" w:hint="default"/>
                <w:sz w:val="21"/>
                <w:szCs w:val="21"/>
              </w:rPr>
            </w:pPr>
            <w:r>
              <w:rPr>
                <w:rFonts w:ascii="Times New Roman"/>
                <w:sz w:val="21"/>
              </w:rPr>
              <w:t>1.57%</w:t>
            </w:r>
          </w:p>
        </w:tc>
        <w:tc>
          <w:tcPr>
            <w:tcW w:w="787" w:type="dxa"/>
            <w:vMerge w:val="restart"/>
            <w:tcBorders>
              <w:top w:val="single" w:sz="4" w:space="0" w:color="000000"/>
              <w:left w:val="single" w:sz="4" w:space="0" w:color="000000"/>
              <w:right w:val="single" w:sz="4" w:space="0" w:color="000000"/>
            </w:tcBorders>
          </w:tcPr>
          <w:p>
            <w:pPr>
              <w:pStyle w:val="TableParagraph"/>
              <w:spacing w:line="241" w:lineRule="exact" w:before="116"/>
              <w:ind w:left="124" w:right="0"/>
              <w:jc w:val="left"/>
              <w:rPr>
                <w:rFonts w:ascii="Times New Roman" w:hAnsi="Times New Roman" w:cs="Times New Roman" w:eastAsia="Times New Roman" w:hint="default"/>
                <w:sz w:val="21"/>
                <w:szCs w:val="21"/>
              </w:rPr>
            </w:pPr>
            <w:r>
              <w:rPr>
                <w:rFonts w:ascii="Times New Roman"/>
                <w:sz w:val="21"/>
              </w:rPr>
              <w:t>16,396,</w:t>
            </w:r>
          </w:p>
          <w:p>
            <w:pPr>
              <w:pStyle w:val="TableParagraph"/>
              <w:spacing w:line="241" w:lineRule="exact"/>
              <w:ind w:left="177" w:right="0"/>
              <w:jc w:val="left"/>
              <w:rPr>
                <w:rFonts w:ascii="Times New Roman" w:hAnsi="Times New Roman" w:cs="Times New Roman" w:eastAsia="Times New Roman" w:hint="default"/>
                <w:sz w:val="21"/>
                <w:szCs w:val="21"/>
              </w:rPr>
            </w:pPr>
            <w:r>
              <w:rPr>
                <w:rFonts w:ascii="Times New Roman"/>
                <w:sz w:val="21"/>
              </w:rPr>
              <w:t>589.97</w:t>
            </w:r>
          </w:p>
        </w:tc>
        <w:tc>
          <w:tcPr>
            <w:tcW w:w="655" w:type="dxa"/>
            <w:vMerge w:val="restart"/>
            <w:tcBorders>
              <w:top w:val="single" w:sz="4" w:space="0" w:color="000000"/>
              <w:left w:val="single" w:sz="4" w:space="0" w:color="000000"/>
              <w:right w:val="single" w:sz="4" w:space="0" w:color="000000"/>
            </w:tcBorders>
          </w:tcPr>
          <w:p>
            <w:pPr>
              <w:pStyle w:val="TableParagraph"/>
              <w:spacing w:line="237" w:lineRule="exact"/>
              <w:ind w:right="17"/>
              <w:jc w:val="right"/>
              <w:rPr>
                <w:rFonts w:ascii="Times New Roman" w:hAnsi="Times New Roman" w:cs="Times New Roman" w:eastAsia="Times New Roman" w:hint="default"/>
                <w:sz w:val="21"/>
                <w:szCs w:val="21"/>
              </w:rPr>
            </w:pPr>
            <w:r>
              <w:rPr>
                <w:rFonts w:ascii="Times New Roman"/>
                <w:sz w:val="21"/>
              </w:rPr>
              <w:t>18,332</w:t>
            </w:r>
          </w:p>
          <w:p>
            <w:pPr>
              <w:pStyle w:val="TableParagraph"/>
              <w:spacing w:line="241" w:lineRule="exact"/>
              <w:ind w:right="17"/>
              <w:jc w:val="right"/>
              <w:rPr>
                <w:rFonts w:ascii="Times New Roman" w:hAnsi="Times New Roman" w:cs="Times New Roman" w:eastAsia="Times New Roman" w:hint="default"/>
                <w:sz w:val="21"/>
                <w:szCs w:val="21"/>
              </w:rPr>
            </w:pPr>
            <w:r>
              <w:rPr>
                <w:rFonts w:ascii="Times New Roman"/>
                <w:sz w:val="21"/>
              </w:rPr>
              <w:t>,934.5</w:t>
            </w:r>
          </w:p>
          <w:p>
            <w:pPr>
              <w:pStyle w:val="TableParagraph"/>
              <w:spacing w:line="240" w:lineRule="auto" w:before="1"/>
              <w:ind w:right="19"/>
              <w:jc w:val="right"/>
              <w:rPr>
                <w:rFonts w:ascii="Times New Roman" w:hAnsi="Times New Roman" w:cs="Times New Roman" w:eastAsia="Times New Roman" w:hint="default"/>
                <w:sz w:val="21"/>
                <w:szCs w:val="21"/>
              </w:rPr>
            </w:pPr>
            <w:r>
              <w:rPr>
                <w:rFonts w:ascii="Times New Roman"/>
                <w:w w:val="100"/>
                <w:sz w:val="21"/>
              </w:rPr>
              <w:t>6</w:t>
            </w:r>
          </w:p>
        </w:tc>
        <w:tc>
          <w:tcPr>
            <w:tcW w:w="761" w:type="dxa"/>
            <w:vMerge w:val="restart"/>
            <w:tcBorders>
              <w:top w:val="single" w:sz="4" w:space="0" w:color="000000"/>
              <w:left w:val="single" w:sz="4" w:space="0" w:color="000000"/>
              <w:right w:val="single" w:sz="4" w:space="0" w:color="000000"/>
            </w:tcBorders>
          </w:tcPr>
          <w:p>
            <w:pPr>
              <w:pStyle w:val="TableParagraph"/>
              <w:spacing w:line="241" w:lineRule="exact" w:before="116"/>
              <w:ind w:right="17"/>
              <w:jc w:val="right"/>
              <w:rPr>
                <w:rFonts w:ascii="Times New Roman" w:hAnsi="Times New Roman" w:cs="Times New Roman" w:eastAsia="Times New Roman" w:hint="default"/>
                <w:sz w:val="21"/>
                <w:szCs w:val="21"/>
              </w:rPr>
            </w:pPr>
            <w:r>
              <w:rPr>
                <w:rFonts w:ascii="Times New Roman"/>
                <w:sz w:val="21"/>
              </w:rPr>
              <w:t>100.00</w:t>
            </w:r>
          </w:p>
          <w:p>
            <w:pPr>
              <w:pStyle w:val="TableParagraph"/>
              <w:spacing w:line="241" w:lineRule="exact"/>
              <w:ind w:right="18"/>
              <w:jc w:val="right"/>
              <w:rPr>
                <w:rFonts w:ascii="Times New Roman" w:hAnsi="Times New Roman" w:cs="Times New Roman" w:eastAsia="Times New Roman" w:hint="default"/>
                <w:sz w:val="21"/>
                <w:szCs w:val="21"/>
              </w:rPr>
            </w:pPr>
            <w:r>
              <w:rPr>
                <w:rFonts w:ascii="Times New Roman"/>
                <w:w w:val="100"/>
                <w:sz w:val="21"/>
              </w:rPr>
              <w:t>%</w:t>
            </w:r>
          </w:p>
        </w:tc>
        <w:tc>
          <w:tcPr>
            <w:tcW w:w="814" w:type="dxa"/>
            <w:vMerge w:val="restart"/>
            <w:tcBorders>
              <w:top w:val="single" w:sz="4" w:space="0" w:color="000000"/>
              <w:left w:val="single" w:sz="4" w:space="0" w:color="000000"/>
              <w:right w:val="single" w:sz="4" w:space="0" w:color="000000"/>
            </w:tcBorders>
          </w:tcPr>
          <w:p>
            <w:pPr>
              <w:pStyle w:val="TableParagraph"/>
              <w:spacing w:line="241" w:lineRule="exact" w:before="116"/>
              <w:ind w:right="17"/>
              <w:jc w:val="right"/>
              <w:rPr>
                <w:rFonts w:ascii="Times New Roman" w:hAnsi="Times New Roman" w:cs="Times New Roman" w:eastAsia="Times New Roman" w:hint="default"/>
                <w:sz w:val="21"/>
                <w:szCs w:val="21"/>
              </w:rPr>
            </w:pPr>
            <w:r>
              <w:rPr>
                <w:rFonts w:ascii="Times New Roman"/>
                <w:spacing w:val="-1"/>
                <w:sz w:val="21"/>
              </w:rPr>
              <w:t>184,920.</w:t>
            </w:r>
          </w:p>
          <w:p>
            <w:pPr>
              <w:pStyle w:val="TableParagraph"/>
              <w:spacing w:line="241" w:lineRule="exact"/>
              <w:ind w:right="19"/>
              <w:jc w:val="right"/>
              <w:rPr>
                <w:rFonts w:ascii="Times New Roman" w:hAnsi="Times New Roman" w:cs="Times New Roman" w:eastAsia="Times New Roman" w:hint="default"/>
                <w:sz w:val="21"/>
                <w:szCs w:val="21"/>
              </w:rPr>
            </w:pPr>
            <w:r>
              <w:rPr>
                <w:rFonts w:ascii="Times New Roman"/>
                <w:sz w:val="21"/>
              </w:rPr>
              <w:t>21</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357" w:right="0"/>
              <w:jc w:val="left"/>
              <w:rPr>
                <w:rFonts w:ascii="Times New Roman" w:hAnsi="Times New Roman" w:cs="Times New Roman" w:eastAsia="Times New Roman" w:hint="default"/>
                <w:sz w:val="21"/>
                <w:szCs w:val="21"/>
              </w:rPr>
            </w:pPr>
            <w:r>
              <w:rPr>
                <w:rFonts w:ascii="Times New Roman"/>
                <w:sz w:val="21"/>
              </w:rPr>
              <w:t>1.01%</w:t>
            </w:r>
          </w:p>
        </w:tc>
        <w:tc>
          <w:tcPr>
            <w:tcW w:w="931" w:type="dxa"/>
            <w:vMerge w:val="restart"/>
            <w:tcBorders>
              <w:top w:val="single" w:sz="4" w:space="0" w:color="000000"/>
              <w:left w:val="single" w:sz="4" w:space="0" w:color="000000"/>
              <w:right w:val="single" w:sz="4" w:space="0" w:color="000000"/>
            </w:tcBorders>
          </w:tcPr>
          <w:p>
            <w:pPr>
              <w:pStyle w:val="TableParagraph"/>
              <w:spacing w:line="241" w:lineRule="exact" w:before="116"/>
              <w:ind w:left="59" w:right="0"/>
              <w:jc w:val="left"/>
              <w:rPr>
                <w:rFonts w:ascii="Times New Roman" w:hAnsi="Times New Roman" w:cs="Times New Roman" w:eastAsia="Times New Roman" w:hint="default"/>
                <w:sz w:val="21"/>
                <w:szCs w:val="21"/>
              </w:rPr>
            </w:pPr>
            <w:r>
              <w:rPr>
                <w:rFonts w:ascii="Times New Roman"/>
                <w:sz w:val="21"/>
              </w:rPr>
              <w:t>18,148,01</w:t>
            </w:r>
          </w:p>
          <w:p>
            <w:pPr>
              <w:pStyle w:val="TableParagraph"/>
              <w:spacing w:line="241" w:lineRule="exact"/>
              <w:ind w:left="532" w:right="0"/>
              <w:jc w:val="left"/>
              <w:rPr>
                <w:rFonts w:ascii="Times New Roman" w:hAnsi="Times New Roman" w:cs="Times New Roman" w:eastAsia="Times New Roman" w:hint="default"/>
                <w:sz w:val="21"/>
                <w:szCs w:val="21"/>
              </w:rPr>
            </w:pPr>
            <w:r>
              <w:rPr>
                <w:rFonts w:ascii="Times New Roman"/>
                <w:sz w:val="21"/>
              </w:rPr>
              <w:t>4.35</w:t>
            </w:r>
          </w:p>
        </w:tc>
      </w:tr>
      <w:tr>
        <w:trPr>
          <w:trHeight w:val="274" w:hRule="exact"/>
        </w:trPr>
        <w:tc>
          <w:tcPr>
            <w:tcW w:w="1612"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74" w:type="dxa"/>
            <w:vMerge/>
            <w:tcBorders>
              <w:left w:val="single" w:sz="9" w:space="0" w:color="D4D4D4"/>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7"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230" w:hRule="exact"/>
        </w:trPr>
        <w:tc>
          <w:tcPr>
            <w:tcW w:w="1612" w:type="dxa"/>
            <w:tcBorders>
              <w:top w:val="nil" w:sz="6" w:space="0" w:color="auto"/>
              <w:left w:val="single" w:sz="4" w:space="0" w:color="000000"/>
              <w:bottom w:val="single" w:sz="4" w:space="0" w:color="000000"/>
              <w:right w:val="single" w:sz="4" w:space="0" w:color="000000"/>
            </w:tcBorders>
            <w:shd w:val="clear" w:color="auto" w:fill="D4D4D4"/>
          </w:tcPr>
          <w:p>
            <w:pPr/>
          </w:p>
        </w:tc>
        <w:tc>
          <w:tcPr>
            <w:tcW w:w="774" w:type="dxa"/>
            <w:vMerge/>
            <w:tcBorders>
              <w:left w:val="single" w:sz="9" w:space="0" w:color="D4D4D4"/>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880" w:footer="979" w:top="1060" w:bottom="1160" w:left="980" w:right="980"/>
        </w:sectPr>
      </w:pPr>
    </w:p>
    <w:p>
      <w:pPr>
        <w:pStyle w:val="BodyText"/>
        <w:spacing w:line="262" w:lineRule="exact"/>
        <w:ind w:right="0"/>
        <w:jc w:val="left"/>
      </w:pPr>
      <w:r>
        <w:rPr>
          <w:spacing w:val="-2"/>
        </w:rPr>
        <w:t>期末单项金额重大并单项计提坏账准备的应收账款：</w:t>
      </w:r>
    </w:p>
    <w:p>
      <w:pPr>
        <w:pStyle w:val="BodyText"/>
        <w:spacing w:line="256" w:lineRule="auto" w:before="3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组合中，按账龄分析法计提坏账准备的应收账款：</w:t>
      </w:r>
    </w:p>
    <w:p>
      <w:pPr>
        <w:pStyle w:val="BodyText"/>
        <w:spacing w:line="240" w:lineRule="auto" w:before="2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spacing w:line="240" w:lineRule="auto"/>
        <w:ind w:right="0"/>
        <w:jc w:val="left"/>
      </w:pPr>
      <w:r>
        <w:rPr/>
        <w:t>单位：</w:t>
      </w:r>
      <w:r>
        <w:rPr>
          <w:spacing w:val="2"/>
        </w:rPr>
        <w:t> </w:t>
      </w:r>
      <w:r>
        <w:rPr/>
        <w:t>元</w:t>
      </w:r>
    </w:p>
    <w:p>
      <w:pPr>
        <w:spacing w:after="0" w:line="240" w:lineRule="auto"/>
        <w:jc w:val="left"/>
        <w:sectPr>
          <w:type w:val="continuous"/>
          <w:pgSz w:w="11910" w:h="16840"/>
          <w:pgMar w:top="1060" w:bottom="1180" w:left="980" w:right="980"/>
          <w:cols w:num="2" w:equalWidth="0">
            <w:col w:w="4988" w:space="3705"/>
            <w:col w:w="1257"/>
          </w:cols>
        </w:sectPr>
      </w:pPr>
    </w:p>
    <w:p>
      <w:pPr>
        <w:spacing w:line="240" w:lineRule="auto" w:before="11"/>
        <w:rPr>
          <w:rFonts w:ascii="宋体" w:hAnsi="宋体" w:cs="宋体" w:eastAsia="宋体" w:hint="default"/>
          <w:sz w:val="3"/>
          <w:szCs w:val="3"/>
        </w:rPr>
      </w:pPr>
    </w:p>
    <w:tbl>
      <w:tblPr>
        <w:tblW w:w="0" w:type="auto"/>
        <w:jc w:val="left"/>
        <w:tblInd w:w="160" w:type="dxa"/>
        <w:tblLayout w:type="fixed"/>
        <w:tblCellMar>
          <w:top w:w="0" w:type="dxa"/>
          <w:left w:w="0" w:type="dxa"/>
          <w:bottom w:w="0" w:type="dxa"/>
          <w:right w:w="0" w:type="dxa"/>
        </w:tblCellMar>
        <w:tblLook w:val="01E0"/>
      </w:tblPr>
      <w:tblGrid>
        <w:gridCol w:w="2482"/>
        <w:gridCol w:w="2294"/>
        <w:gridCol w:w="2390"/>
        <w:gridCol w:w="2390"/>
      </w:tblGrid>
      <w:tr>
        <w:trPr>
          <w:trHeight w:val="146" w:hRule="exact"/>
        </w:trPr>
        <w:tc>
          <w:tcPr>
            <w:tcW w:w="2482" w:type="dxa"/>
            <w:tcBorders>
              <w:top w:val="single" w:sz="4" w:space="0" w:color="000000"/>
              <w:left w:val="single" w:sz="4" w:space="0" w:color="000000"/>
              <w:bottom w:val="nil" w:sz="6" w:space="0" w:color="auto"/>
              <w:right w:val="single" w:sz="4" w:space="0" w:color="000000"/>
            </w:tcBorders>
            <w:shd w:val="clear" w:color="auto" w:fill="D4D4D4"/>
          </w:tcPr>
          <w:p>
            <w:pPr/>
          </w:p>
        </w:tc>
        <w:tc>
          <w:tcPr>
            <w:tcW w:w="7075"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132" w:hRule="exact"/>
        </w:trPr>
        <w:tc>
          <w:tcPr>
            <w:tcW w:w="2482" w:type="dxa"/>
            <w:vMerge w:val="restart"/>
            <w:tcBorders>
              <w:top w:val="nil" w:sz="6" w:space="0" w:color="auto"/>
              <w:left w:val="single" w:sz="4" w:space="0" w:color="000000"/>
              <w:right w:val="single" w:sz="4" w:space="0" w:color="000000"/>
            </w:tcBorders>
            <w:shd w:val="clear" w:color="auto" w:fill="D4D4D4"/>
          </w:tcPr>
          <w:p>
            <w:pPr>
              <w:pStyle w:val="TableParagraph"/>
              <w:spacing w:line="241" w:lineRule="exact"/>
              <w:ind w:right="8"/>
              <w:jc w:val="center"/>
              <w:rPr>
                <w:rFonts w:ascii="宋体" w:hAnsi="宋体" w:cs="宋体" w:eastAsia="宋体" w:hint="default"/>
                <w:sz w:val="21"/>
                <w:szCs w:val="21"/>
              </w:rPr>
            </w:pPr>
            <w:r>
              <w:rPr>
                <w:rFonts w:ascii="宋体" w:hAnsi="宋体" w:cs="宋体" w:eastAsia="宋体" w:hint="default"/>
                <w:sz w:val="21"/>
                <w:szCs w:val="21"/>
              </w:rPr>
              <w:t>账龄</w:t>
            </w:r>
          </w:p>
        </w:tc>
        <w:tc>
          <w:tcPr>
            <w:tcW w:w="7075" w:type="dxa"/>
            <w:gridSpan w:val="3"/>
            <w:vMerge/>
            <w:tcBorders>
              <w:left w:val="single" w:sz="4" w:space="0" w:color="000000"/>
              <w:bottom w:val="single" w:sz="4" w:space="0" w:color="000000"/>
              <w:right w:val="single" w:sz="4" w:space="0" w:color="000000"/>
            </w:tcBorders>
            <w:shd w:val="clear" w:color="auto" w:fill="D4D4D4"/>
          </w:tcPr>
          <w:p>
            <w:pPr/>
          </w:p>
        </w:tc>
      </w:tr>
      <w:tr>
        <w:trPr>
          <w:trHeight w:val="142" w:hRule="exact"/>
        </w:trPr>
        <w:tc>
          <w:tcPr>
            <w:tcW w:w="2482" w:type="dxa"/>
            <w:vMerge/>
            <w:tcBorders>
              <w:left w:val="single" w:sz="4" w:space="0" w:color="000000"/>
              <w:bottom w:val="nil" w:sz="6" w:space="0" w:color="auto"/>
              <w:right w:val="single" w:sz="4" w:space="0" w:color="000000"/>
            </w:tcBorders>
            <w:shd w:val="clear" w:color="auto" w:fill="D4D4D4"/>
          </w:tcPr>
          <w:p>
            <w:pPr/>
          </w:p>
        </w:tc>
        <w:tc>
          <w:tcPr>
            <w:tcW w:w="2294" w:type="dxa"/>
            <w:vMerge w:val="restart"/>
            <w:tcBorders>
              <w:top w:val="single" w:sz="4" w:space="0" w:color="000000"/>
              <w:left w:val="single" w:sz="4" w:space="0" w:color="000000"/>
              <w:right w:val="single" w:sz="4" w:space="0" w:color="000000"/>
            </w:tcBorders>
            <w:shd w:val="clear" w:color="auto" w:fill="D4D4D4"/>
          </w:tcPr>
          <w:p>
            <w:pPr>
              <w:pStyle w:val="TableParagraph"/>
              <w:spacing w:line="246" w:lineRule="exact"/>
              <w:ind w:left="72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390" w:type="dxa"/>
            <w:vMerge w:val="restart"/>
            <w:tcBorders>
              <w:top w:val="single" w:sz="4" w:space="0" w:color="000000"/>
              <w:left w:val="single" w:sz="4" w:space="0" w:color="000000"/>
              <w:right w:val="single" w:sz="4" w:space="0" w:color="000000"/>
            </w:tcBorders>
            <w:shd w:val="clear" w:color="auto" w:fill="D4D4D4"/>
          </w:tcPr>
          <w:p>
            <w:pPr>
              <w:pStyle w:val="TableParagraph"/>
              <w:spacing w:line="246" w:lineRule="exact"/>
              <w:ind w:left="76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390" w:type="dxa"/>
            <w:vMerge w:val="restart"/>
            <w:tcBorders>
              <w:top w:val="single" w:sz="4" w:space="0" w:color="000000"/>
              <w:left w:val="single" w:sz="4" w:space="0" w:color="000000"/>
              <w:right w:val="single" w:sz="4" w:space="0" w:color="000000"/>
            </w:tcBorders>
            <w:shd w:val="clear" w:color="auto" w:fill="D4D4D4"/>
          </w:tcPr>
          <w:p>
            <w:pPr>
              <w:pStyle w:val="TableParagraph"/>
              <w:spacing w:line="246" w:lineRule="exact"/>
              <w:ind w:left="769"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151" w:hRule="exact"/>
        </w:trPr>
        <w:tc>
          <w:tcPr>
            <w:tcW w:w="2482" w:type="dxa"/>
            <w:tcBorders>
              <w:top w:val="nil" w:sz="6" w:space="0" w:color="auto"/>
              <w:left w:val="single" w:sz="4" w:space="0" w:color="000000"/>
              <w:bottom w:val="single" w:sz="4" w:space="0" w:color="000000"/>
              <w:right w:val="single" w:sz="4" w:space="0" w:color="000000"/>
            </w:tcBorders>
            <w:shd w:val="clear" w:color="auto" w:fill="D4D4D4"/>
          </w:tcPr>
          <w:p>
            <w:pPr/>
          </w:p>
        </w:tc>
        <w:tc>
          <w:tcPr>
            <w:tcW w:w="2294" w:type="dxa"/>
            <w:vMerge/>
            <w:tcBorders>
              <w:left w:val="single" w:sz="4" w:space="0" w:color="000000"/>
              <w:bottom w:val="single" w:sz="4" w:space="0" w:color="000000"/>
              <w:right w:val="single" w:sz="4" w:space="0" w:color="000000"/>
            </w:tcBorders>
            <w:shd w:val="clear" w:color="auto" w:fill="D4D4D4"/>
          </w:tcPr>
          <w:p>
            <w:pPr/>
          </w:p>
        </w:tc>
        <w:tc>
          <w:tcPr>
            <w:tcW w:w="2390" w:type="dxa"/>
            <w:vMerge/>
            <w:tcBorders>
              <w:left w:val="single" w:sz="4" w:space="0" w:color="000000"/>
              <w:bottom w:val="single" w:sz="4" w:space="0" w:color="000000"/>
              <w:right w:val="single" w:sz="4" w:space="0" w:color="000000"/>
            </w:tcBorders>
            <w:shd w:val="clear" w:color="auto" w:fill="D4D4D4"/>
          </w:tcPr>
          <w:p>
            <w:pPr/>
          </w:p>
        </w:tc>
        <w:tc>
          <w:tcPr>
            <w:tcW w:w="2390" w:type="dxa"/>
            <w:vMerge/>
            <w:tcBorders>
              <w:left w:val="single" w:sz="4" w:space="0" w:color="000000"/>
              <w:bottom w:val="single" w:sz="4" w:space="0" w:color="000000"/>
              <w:right w:val="single" w:sz="4" w:space="0" w:color="000000"/>
            </w:tcBorders>
            <w:shd w:val="clear" w:color="auto" w:fill="D4D4D4"/>
          </w:tcPr>
          <w:p>
            <w:pPr/>
          </w:p>
        </w:tc>
      </w:tr>
      <w:tr>
        <w:trPr>
          <w:trHeight w:val="278"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52" w:lineRule="exact"/>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年以内分项</w:t>
            </w:r>
          </w:p>
        </w:tc>
      </w:tr>
      <w:tr>
        <w:trPr>
          <w:trHeight w:val="283" w:hRule="exact"/>
        </w:trPr>
        <w:tc>
          <w:tcPr>
            <w:tcW w:w="24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57" w:lineRule="exact"/>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年以内小计</w:t>
            </w:r>
          </w:p>
        </w:tc>
        <w:tc>
          <w:tcPr>
            <w:tcW w:w="229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15,743,778.88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21"/>
                <w:szCs w:val="21"/>
              </w:rPr>
            </w:pPr>
            <w:r>
              <w:rPr>
                <w:rFonts w:ascii="Times New Roman"/>
                <w:spacing w:val="-1"/>
                <w:sz w:val="21"/>
              </w:rPr>
              <w:t>157,437.79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Times New Roman" w:hAnsi="Times New Roman" w:cs="Times New Roman" w:eastAsia="Times New Roman" w:hint="default"/>
                <w:sz w:val="21"/>
                <w:szCs w:val="21"/>
              </w:rPr>
            </w:pPr>
            <w:r>
              <w:rPr>
                <w:rFonts w:ascii="Times New Roman"/>
                <w:sz w:val="21"/>
              </w:rPr>
              <w:t>1.00%</w:t>
            </w:r>
          </w:p>
        </w:tc>
      </w:tr>
      <w:tr>
        <w:trPr>
          <w:trHeight w:val="283" w:hRule="exact"/>
        </w:trPr>
        <w:tc>
          <w:tcPr>
            <w:tcW w:w="24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57" w:lineRule="exact"/>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29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900,095.00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21"/>
                <w:szCs w:val="21"/>
              </w:rPr>
            </w:pPr>
            <w:r>
              <w:rPr>
                <w:rFonts w:ascii="Times New Roman"/>
                <w:spacing w:val="-1"/>
                <w:sz w:val="21"/>
              </w:rPr>
              <w:t>90,009.50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Times New Roman" w:hAnsi="Times New Roman" w:cs="Times New Roman" w:eastAsia="Times New Roman" w:hint="default"/>
                <w:sz w:val="21"/>
                <w:szCs w:val="21"/>
              </w:rPr>
            </w:pPr>
            <w:r>
              <w:rPr>
                <w:rFonts w:ascii="Times New Roman"/>
                <w:sz w:val="21"/>
              </w:rPr>
              <w:t>10.00%</w:t>
            </w:r>
          </w:p>
        </w:tc>
      </w:tr>
      <w:tr>
        <w:trPr>
          <w:trHeight w:val="283" w:hRule="exact"/>
        </w:trPr>
        <w:tc>
          <w:tcPr>
            <w:tcW w:w="24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57" w:lineRule="exact"/>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29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z w:val="21"/>
              </w:rPr>
              <w:t>233.40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21"/>
                <w:szCs w:val="21"/>
              </w:rPr>
            </w:pPr>
            <w:r>
              <w:rPr>
                <w:rFonts w:ascii="Times New Roman"/>
                <w:sz w:val="21"/>
              </w:rPr>
              <w:t>70.02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Times New Roman" w:hAnsi="Times New Roman" w:cs="Times New Roman" w:eastAsia="Times New Roman" w:hint="default"/>
                <w:sz w:val="21"/>
                <w:szCs w:val="21"/>
              </w:rPr>
            </w:pPr>
            <w:r>
              <w:rPr>
                <w:rFonts w:ascii="Times New Roman"/>
                <w:sz w:val="21"/>
              </w:rPr>
              <w:t>30.00%</w:t>
            </w:r>
          </w:p>
        </w:tc>
      </w:tr>
      <w:tr>
        <w:trPr>
          <w:trHeight w:val="283" w:hRule="exact"/>
        </w:trPr>
        <w:tc>
          <w:tcPr>
            <w:tcW w:w="24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57" w:lineRule="exact"/>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年以上</w:t>
            </w:r>
          </w:p>
        </w:tc>
        <w:tc>
          <w:tcPr>
            <w:tcW w:w="229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z w:val="21"/>
              </w:rPr>
              <w:t>957.00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21"/>
                <w:szCs w:val="21"/>
              </w:rPr>
            </w:pPr>
            <w:r>
              <w:rPr>
                <w:rFonts w:ascii="Times New Roman"/>
                <w:sz w:val="21"/>
              </w:rPr>
              <w:t>957.00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Times New Roman" w:hAnsi="Times New Roman" w:cs="Times New Roman" w:eastAsia="Times New Roman" w:hint="default"/>
                <w:sz w:val="21"/>
                <w:szCs w:val="21"/>
              </w:rPr>
            </w:pPr>
            <w:r>
              <w:rPr>
                <w:rFonts w:ascii="Times New Roman"/>
                <w:sz w:val="21"/>
              </w:rPr>
              <w:t>100.00%</w:t>
            </w:r>
          </w:p>
        </w:tc>
      </w:tr>
      <w:tr>
        <w:trPr>
          <w:trHeight w:val="283" w:hRule="exact"/>
        </w:trPr>
        <w:tc>
          <w:tcPr>
            <w:tcW w:w="24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29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16,645,064.28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21"/>
                <w:szCs w:val="21"/>
              </w:rPr>
            </w:pPr>
            <w:r>
              <w:rPr>
                <w:rFonts w:ascii="Times New Roman"/>
                <w:spacing w:val="-1"/>
                <w:sz w:val="21"/>
              </w:rPr>
              <w:t>248,474.31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Times New Roman" w:hAnsi="Times New Roman" w:cs="Times New Roman" w:eastAsia="Times New Roman" w:hint="default"/>
                <w:sz w:val="21"/>
                <w:szCs w:val="21"/>
              </w:rPr>
            </w:pPr>
            <w:r>
              <w:rPr>
                <w:rFonts w:ascii="Times New Roman"/>
                <w:sz w:val="21"/>
              </w:rPr>
              <w:t>1.49%</w:t>
            </w:r>
          </w:p>
        </w:tc>
      </w:tr>
    </w:tbl>
    <w:p>
      <w:pPr>
        <w:pStyle w:val="BodyText"/>
        <w:spacing w:line="273" w:lineRule="auto"/>
        <w:ind w:right="3068"/>
        <w:jc w:val="left"/>
      </w:pPr>
      <w:r>
        <w:rPr/>
        <w:t>确定该组合依据的说明：</w:t>
      </w:r>
      <w:r>
        <w:rPr>
          <w:w w:val="100"/>
        </w:rPr>
        <w:t> </w:t>
      </w:r>
      <w:r>
        <w:rPr>
          <w:spacing w:val="-2"/>
        </w:rPr>
        <w:t>组合中，采用余额百分比法计提坏账准备的应收账款：</w:t>
      </w:r>
    </w:p>
    <w:p>
      <w:pPr>
        <w:pStyle w:val="BodyText"/>
        <w:spacing w:line="256" w:lineRule="auto" w:before="7"/>
        <w:ind w:right="380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期末单项金额不重大但单独计提坏账准备的应收账款</w:t>
      </w:r>
    </w:p>
    <w:p>
      <w:pPr>
        <w:spacing w:line="240" w:lineRule="auto" w:before="9"/>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2532"/>
        <w:gridCol w:w="1678"/>
        <w:gridCol w:w="1630"/>
        <w:gridCol w:w="790"/>
        <w:gridCol w:w="1898"/>
      </w:tblGrid>
      <w:tr>
        <w:trPr>
          <w:trHeight w:val="353" w:hRule="exact"/>
        </w:trPr>
        <w:tc>
          <w:tcPr>
            <w:tcW w:w="2532" w:type="dxa"/>
            <w:vMerge w:val="restart"/>
            <w:tcBorders>
              <w:top w:val="single" w:sz="6" w:space="0" w:color="000000"/>
              <w:left w:val="single" w:sz="6" w:space="0" w:color="000000"/>
              <w:right w:val="single" w:sz="6" w:space="0" w:color="000000"/>
            </w:tcBorders>
          </w:tcPr>
          <w:p>
            <w:pPr>
              <w:pStyle w:val="TableParagraph"/>
              <w:spacing w:line="250" w:lineRule="exact"/>
              <w:ind w:left="840"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5995" w:type="dxa"/>
            <w:gridSpan w:val="4"/>
            <w:tcBorders>
              <w:top w:val="single" w:sz="6" w:space="0" w:color="000000"/>
              <w:left w:val="single" w:sz="6" w:space="0" w:color="000000"/>
              <w:bottom w:val="single" w:sz="12" w:space="0" w:color="000000"/>
              <w:right w:val="nil" w:sz="6" w:space="0" w:color="auto"/>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588" w:hRule="exact"/>
        </w:trPr>
        <w:tc>
          <w:tcPr>
            <w:tcW w:w="2532" w:type="dxa"/>
            <w:vMerge/>
            <w:tcBorders>
              <w:left w:val="single" w:sz="6" w:space="0" w:color="000000"/>
              <w:bottom w:val="single" w:sz="12" w:space="0" w:color="000000"/>
              <w:right w:val="single" w:sz="6" w:space="0" w:color="000000"/>
            </w:tcBorders>
          </w:tcPr>
          <w:p>
            <w:pPr/>
          </w:p>
        </w:tc>
        <w:tc>
          <w:tcPr>
            <w:tcW w:w="1678"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412"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630" w:type="dxa"/>
            <w:tcBorders>
              <w:top w:val="single" w:sz="12" w:space="0" w:color="000000"/>
              <w:left w:val="single" w:sz="6" w:space="0" w:color="000000"/>
              <w:bottom w:val="single" w:sz="12" w:space="0" w:color="000000"/>
              <w:right w:val="single" w:sz="6" w:space="0" w:color="000000"/>
            </w:tcBorders>
          </w:tcPr>
          <w:p>
            <w:pPr>
              <w:pStyle w:val="TableParagraph"/>
              <w:spacing w:line="243" w:lineRule="exact"/>
              <w:ind w:left="38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790" w:type="dxa"/>
            <w:tcBorders>
              <w:top w:val="single" w:sz="12" w:space="0" w:color="000000"/>
              <w:left w:val="single" w:sz="6" w:space="0" w:color="000000"/>
              <w:bottom w:val="single" w:sz="12" w:space="0" w:color="000000"/>
              <w:right w:val="single" w:sz="6" w:space="0" w:color="000000"/>
            </w:tcBorders>
          </w:tcPr>
          <w:p>
            <w:pPr>
              <w:pStyle w:val="TableParagraph"/>
              <w:spacing w:line="242" w:lineRule="exact"/>
              <w:ind w:left="4" w:right="-39" w:firstLine="69"/>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90" w:lineRule="exact"/>
              <w:ind w:left="4" w:right="-39"/>
              <w:jc w:val="left"/>
              <w:rPr>
                <w:rFonts w:ascii="宋体" w:hAnsi="宋体" w:cs="宋体" w:eastAsia="宋体" w:hint="default"/>
                <w:sz w:val="21"/>
                <w:szCs w:val="21"/>
              </w:rPr>
            </w:pPr>
            <w:r>
              <w:rPr>
                <w:rFonts w:ascii="宋体" w:hAnsi="宋体" w:cs="宋体" w:eastAsia="宋体" w:hint="default"/>
                <w:sz w:val="21"/>
                <w:szCs w:val="21"/>
              </w:rPr>
              <w:t>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898" w:type="dxa"/>
            <w:tcBorders>
              <w:top w:val="single" w:sz="12" w:space="0" w:color="000000"/>
              <w:left w:val="single" w:sz="6" w:space="0" w:color="000000"/>
              <w:bottom w:val="single" w:sz="12" w:space="0" w:color="000000"/>
              <w:right w:val="nil" w:sz="6" w:space="0" w:color="auto"/>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计提理由</w:t>
            </w:r>
          </w:p>
        </w:tc>
      </w:tr>
      <w:tr>
        <w:trPr>
          <w:trHeight w:val="624" w:hRule="exact"/>
        </w:trPr>
        <w:tc>
          <w:tcPr>
            <w:tcW w:w="2532"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4" w:right="0"/>
              <w:jc w:val="left"/>
              <w:rPr>
                <w:rFonts w:ascii="宋体" w:hAnsi="宋体" w:cs="宋体" w:eastAsia="宋体" w:hint="default"/>
                <w:sz w:val="21"/>
                <w:szCs w:val="21"/>
              </w:rPr>
            </w:pPr>
            <w:r>
              <w:rPr>
                <w:rFonts w:ascii="宋体" w:hAnsi="宋体" w:cs="宋体" w:eastAsia="宋体" w:hint="default"/>
                <w:sz w:val="21"/>
                <w:szCs w:val="21"/>
              </w:rPr>
              <w:t>甘肃省外文书店</w:t>
            </w:r>
          </w:p>
        </w:tc>
        <w:tc>
          <w:tcPr>
            <w:tcW w:w="1678"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left="815" w:right="0"/>
              <w:jc w:val="left"/>
              <w:rPr>
                <w:rFonts w:ascii="Times New Roman" w:hAnsi="Times New Roman" w:cs="Times New Roman" w:eastAsia="Times New Roman" w:hint="default"/>
                <w:sz w:val="21"/>
                <w:szCs w:val="21"/>
              </w:rPr>
            </w:pPr>
            <w:r>
              <w:rPr>
                <w:rFonts w:ascii="Times New Roman"/>
                <w:sz w:val="21"/>
              </w:rPr>
              <w:t>12,756.00</w:t>
            </w:r>
          </w:p>
        </w:tc>
        <w:tc>
          <w:tcPr>
            <w:tcW w:w="1630"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left="770" w:right="0"/>
              <w:jc w:val="left"/>
              <w:rPr>
                <w:rFonts w:ascii="Times New Roman" w:hAnsi="Times New Roman" w:cs="Times New Roman" w:eastAsia="Times New Roman" w:hint="default"/>
                <w:sz w:val="21"/>
                <w:szCs w:val="21"/>
              </w:rPr>
            </w:pPr>
            <w:r>
              <w:rPr>
                <w:rFonts w:ascii="Times New Roman"/>
                <w:sz w:val="21"/>
              </w:rPr>
              <w:t>12,756.00</w:t>
            </w:r>
          </w:p>
        </w:tc>
        <w:tc>
          <w:tcPr>
            <w:tcW w:w="790"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left="460" w:right="-3"/>
              <w:jc w:val="left"/>
              <w:rPr>
                <w:rFonts w:ascii="Times New Roman" w:hAnsi="Times New Roman" w:cs="Times New Roman" w:eastAsia="Times New Roman" w:hint="default"/>
                <w:sz w:val="21"/>
                <w:szCs w:val="21"/>
              </w:rPr>
            </w:pPr>
            <w:r>
              <w:rPr>
                <w:rFonts w:ascii="Times New Roman"/>
                <w:sz w:val="21"/>
              </w:rPr>
              <w:t>100</w:t>
            </w:r>
          </w:p>
        </w:tc>
        <w:tc>
          <w:tcPr>
            <w:tcW w:w="1898" w:type="dxa"/>
            <w:tcBorders>
              <w:top w:val="single" w:sz="12" w:space="0" w:color="000000"/>
              <w:left w:val="single" w:sz="6" w:space="0" w:color="000000"/>
              <w:bottom w:val="single" w:sz="12" w:space="0" w:color="000000"/>
              <w:right w:val="nil" w:sz="6" w:space="0" w:color="auto"/>
            </w:tcBorders>
          </w:tcPr>
          <w:p>
            <w:pPr>
              <w:pStyle w:val="TableParagraph"/>
              <w:spacing w:line="171" w:lineRule="exact"/>
              <w:ind w:left="4" w:right="0"/>
              <w:jc w:val="left"/>
              <w:rPr>
                <w:rFonts w:ascii="宋体" w:hAnsi="宋体" w:cs="宋体" w:eastAsia="宋体" w:hint="default"/>
                <w:sz w:val="15"/>
                <w:szCs w:val="15"/>
              </w:rPr>
            </w:pPr>
            <w:r>
              <w:rPr>
                <w:rFonts w:ascii="宋体" w:hAnsi="宋体" w:cs="宋体" w:eastAsia="宋体" w:hint="default"/>
                <w:w w:val="100"/>
                <w:sz w:val="15"/>
                <w:szCs w:val="15"/>
              </w:rPr>
              <w:t>根据</w:t>
            </w:r>
            <w:r>
              <w:rPr>
                <w:rFonts w:ascii="宋体" w:hAnsi="宋体" w:cs="宋体" w:eastAsia="宋体" w:hint="default"/>
                <w:spacing w:val="-3"/>
                <w:w w:val="100"/>
                <w:sz w:val="15"/>
                <w:szCs w:val="15"/>
              </w:rPr>
              <w:t>业</w:t>
            </w:r>
            <w:r>
              <w:rPr>
                <w:rFonts w:ascii="宋体" w:hAnsi="宋体" w:cs="宋体" w:eastAsia="宋体" w:hint="default"/>
                <w:w w:val="100"/>
                <w:sz w:val="15"/>
                <w:szCs w:val="15"/>
              </w:rPr>
              <w:t>务</w:t>
            </w:r>
            <w:r>
              <w:rPr>
                <w:rFonts w:ascii="宋体" w:hAnsi="宋体" w:cs="宋体" w:eastAsia="宋体" w:hint="default"/>
                <w:spacing w:val="-3"/>
                <w:w w:val="100"/>
                <w:sz w:val="15"/>
                <w:szCs w:val="15"/>
              </w:rPr>
              <w:t>持</w:t>
            </w:r>
            <w:r>
              <w:rPr>
                <w:rFonts w:ascii="宋体" w:hAnsi="宋体" w:cs="宋体" w:eastAsia="宋体" w:hint="default"/>
                <w:w w:val="100"/>
                <w:sz w:val="15"/>
                <w:szCs w:val="15"/>
              </w:rPr>
              <w:t>续</w:t>
            </w:r>
            <w:r>
              <w:rPr>
                <w:rFonts w:ascii="宋体" w:hAnsi="宋体" w:cs="宋体" w:eastAsia="宋体" w:hint="default"/>
                <w:spacing w:val="-3"/>
                <w:w w:val="100"/>
                <w:sz w:val="15"/>
                <w:szCs w:val="15"/>
              </w:rPr>
              <w:t>跟</w:t>
            </w:r>
            <w:r>
              <w:rPr>
                <w:rFonts w:ascii="宋体" w:hAnsi="宋体" w:cs="宋体" w:eastAsia="宋体" w:hint="default"/>
                <w:w w:val="100"/>
                <w:sz w:val="15"/>
                <w:szCs w:val="15"/>
              </w:rPr>
              <w:t>踪</w:t>
            </w:r>
            <w:r>
              <w:rPr>
                <w:rFonts w:ascii="宋体" w:hAnsi="宋体" w:cs="宋体" w:eastAsia="宋体" w:hint="default"/>
                <w:spacing w:val="-3"/>
                <w:w w:val="100"/>
                <w:sz w:val="15"/>
                <w:szCs w:val="15"/>
              </w:rPr>
              <w:t>反</w:t>
            </w:r>
            <w:r>
              <w:rPr>
                <w:rFonts w:ascii="宋体" w:hAnsi="宋体" w:cs="宋体" w:eastAsia="宋体" w:hint="default"/>
                <w:w w:val="100"/>
                <w:sz w:val="15"/>
                <w:szCs w:val="15"/>
              </w:rPr>
              <w:t>馈</w:t>
            </w:r>
            <w:r>
              <w:rPr>
                <w:rFonts w:ascii="宋体" w:hAnsi="宋体" w:cs="宋体" w:eastAsia="宋体" w:hint="default"/>
                <w:spacing w:val="-75"/>
                <w:w w:val="100"/>
                <w:sz w:val="15"/>
                <w:szCs w:val="15"/>
              </w:rPr>
              <w:t>，</w:t>
            </w:r>
            <w:r>
              <w:rPr>
                <w:rFonts w:ascii="宋体" w:hAnsi="宋体" w:cs="宋体" w:eastAsia="宋体" w:hint="default"/>
                <w:w w:val="100"/>
                <w:sz w:val="15"/>
                <w:szCs w:val="15"/>
              </w:rPr>
              <w:t>该客</w:t>
            </w:r>
          </w:p>
          <w:p>
            <w:pPr>
              <w:pStyle w:val="TableParagraph"/>
              <w:spacing w:line="240" w:lineRule="auto"/>
              <w:ind w:left="4" w:right="2"/>
              <w:jc w:val="left"/>
              <w:rPr>
                <w:rFonts w:ascii="宋体" w:hAnsi="宋体" w:cs="宋体" w:eastAsia="宋体" w:hint="default"/>
                <w:sz w:val="15"/>
                <w:szCs w:val="15"/>
              </w:rPr>
            </w:pPr>
            <w:r>
              <w:rPr>
                <w:rFonts w:ascii="宋体" w:hAnsi="宋体" w:cs="宋体" w:eastAsia="宋体" w:hint="default"/>
                <w:spacing w:val="-7"/>
                <w:w w:val="100"/>
                <w:sz w:val="15"/>
                <w:szCs w:val="15"/>
              </w:rPr>
              <w:t>户已被甘肃省省店兼并，但截</w:t>
            </w:r>
            <w:r>
              <w:rPr>
                <w:rFonts w:ascii="宋体" w:hAnsi="宋体" w:cs="宋体" w:eastAsia="宋体" w:hint="default"/>
                <w:spacing w:val="-72"/>
                <w:w w:val="100"/>
                <w:sz w:val="15"/>
                <w:szCs w:val="15"/>
              </w:rPr>
              <w:t> </w:t>
            </w:r>
            <w:r>
              <w:rPr>
                <w:rFonts w:ascii="宋体" w:hAnsi="宋体" w:cs="宋体" w:eastAsia="宋体" w:hint="default"/>
                <w:spacing w:val="-72"/>
                <w:w w:val="100"/>
                <w:sz w:val="15"/>
                <w:szCs w:val="15"/>
              </w:rPr>
            </w:r>
            <w:r>
              <w:rPr>
                <w:rFonts w:ascii="宋体" w:hAnsi="宋体" w:cs="宋体" w:eastAsia="宋体" w:hint="default"/>
                <w:sz w:val="15"/>
                <w:szCs w:val="15"/>
              </w:rPr>
              <w:t>至目前省店仍无具体人员负</w:t>
            </w:r>
          </w:p>
        </w:tc>
      </w:tr>
    </w:tbl>
    <w:p>
      <w:pPr>
        <w:spacing w:after="0" w:line="240" w:lineRule="auto"/>
        <w:jc w:val="left"/>
        <w:rPr>
          <w:rFonts w:ascii="宋体" w:hAnsi="宋体" w:cs="宋体" w:eastAsia="宋体" w:hint="default"/>
          <w:sz w:val="15"/>
          <w:szCs w:val="15"/>
        </w:rPr>
        <w:sectPr>
          <w:type w:val="continuous"/>
          <w:pgSz w:w="11910" w:h="16840"/>
          <w:pgMar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8"/>
          <w:szCs w:val="28"/>
        </w:rPr>
      </w:pPr>
    </w:p>
    <w:p>
      <w:pPr>
        <w:spacing w:before="54"/>
        <w:ind w:left="0" w:right="1197" w:firstLine="0"/>
        <w:jc w:val="right"/>
        <w:rPr>
          <w:rFonts w:ascii="宋体" w:hAnsi="宋体" w:cs="宋体" w:eastAsia="宋体" w:hint="default"/>
          <w:sz w:val="15"/>
          <w:szCs w:val="15"/>
        </w:rPr>
      </w:pPr>
      <w:r>
        <w:rPr/>
        <w:pict>
          <v:shape style="position:absolute;margin-left:56.279999pt;margin-top:-26.580229pt;width:428.2pt;height:59.9pt;mso-position-horizontal-relative:page;mso-position-vertical-relative:paragraph;z-index:34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32"/>
                    <w:gridCol w:w="1678"/>
                    <w:gridCol w:w="1630"/>
                    <w:gridCol w:w="790"/>
                    <w:gridCol w:w="1898"/>
                  </w:tblGrid>
                  <w:tr>
                    <w:trPr>
                      <w:trHeight w:val="823" w:hRule="exact"/>
                    </w:trPr>
                    <w:tc>
                      <w:tcPr>
                        <w:tcW w:w="2532" w:type="dxa"/>
                        <w:tcBorders>
                          <w:top w:val="single" w:sz="6" w:space="0" w:color="000000"/>
                          <w:left w:val="single" w:sz="6" w:space="0" w:color="000000"/>
                          <w:bottom w:val="single" w:sz="12" w:space="0" w:color="000000"/>
                          <w:right w:val="single" w:sz="6" w:space="0" w:color="000000"/>
                        </w:tcBorders>
                      </w:tcPr>
                      <w:p>
                        <w:pPr/>
                      </w:p>
                    </w:tc>
                    <w:tc>
                      <w:tcPr>
                        <w:tcW w:w="1678" w:type="dxa"/>
                        <w:tcBorders>
                          <w:top w:val="single" w:sz="6" w:space="0" w:color="000000"/>
                          <w:left w:val="single" w:sz="6" w:space="0" w:color="000000"/>
                          <w:bottom w:val="single" w:sz="12" w:space="0" w:color="000000"/>
                          <w:right w:val="single" w:sz="6" w:space="0" w:color="000000"/>
                        </w:tcBorders>
                      </w:tcPr>
                      <w:p>
                        <w:pPr/>
                      </w:p>
                    </w:tc>
                    <w:tc>
                      <w:tcPr>
                        <w:tcW w:w="1630" w:type="dxa"/>
                        <w:tcBorders>
                          <w:top w:val="single" w:sz="6" w:space="0" w:color="000000"/>
                          <w:left w:val="single" w:sz="6" w:space="0" w:color="000000"/>
                          <w:bottom w:val="single" w:sz="12" w:space="0" w:color="000000"/>
                          <w:right w:val="single" w:sz="6" w:space="0" w:color="000000"/>
                        </w:tcBorders>
                      </w:tcPr>
                      <w:p>
                        <w:pPr/>
                      </w:p>
                    </w:tc>
                    <w:tc>
                      <w:tcPr>
                        <w:tcW w:w="790" w:type="dxa"/>
                        <w:tcBorders>
                          <w:top w:val="single" w:sz="6" w:space="0" w:color="000000"/>
                          <w:left w:val="single" w:sz="6" w:space="0" w:color="000000"/>
                          <w:bottom w:val="single" w:sz="12" w:space="0" w:color="000000"/>
                          <w:right w:val="single" w:sz="6" w:space="0" w:color="000000"/>
                        </w:tcBorders>
                      </w:tcPr>
                      <w:p>
                        <w:pPr/>
                      </w:p>
                    </w:tc>
                    <w:tc>
                      <w:tcPr>
                        <w:tcW w:w="1898" w:type="dxa"/>
                        <w:tcBorders>
                          <w:top w:val="single" w:sz="6" w:space="0" w:color="000000"/>
                          <w:left w:val="single" w:sz="6" w:space="0" w:color="000000"/>
                          <w:bottom w:val="single" w:sz="12" w:space="0" w:color="000000"/>
                          <w:right w:val="nil" w:sz="6" w:space="0" w:color="auto"/>
                        </w:tcBorders>
                      </w:tcPr>
                      <w:p>
                        <w:pPr>
                          <w:pStyle w:val="TableParagraph"/>
                          <w:spacing w:line="182" w:lineRule="exact"/>
                          <w:ind w:left="4" w:right="0"/>
                          <w:jc w:val="left"/>
                          <w:rPr>
                            <w:rFonts w:ascii="宋体" w:hAnsi="宋体" w:cs="宋体" w:eastAsia="宋体" w:hint="default"/>
                            <w:sz w:val="15"/>
                            <w:szCs w:val="15"/>
                          </w:rPr>
                        </w:pPr>
                        <w:r>
                          <w:rPr>
                            <w:rFonts w:ascii="宋体" w:hAnsi="宋体" w:cs="宋体" w:eastAsia="宋体" w:hint="default"/>
                            <w:w w:val="100"/>
                            <w:sz w:val="15"/>
                            <w:szCs w:val="15"/>
                          </w:rPr>
                          <w:t>责清</w:t>
                        </w:r>
                        <w:r>
                          <w:rPr>
                            <w:rFonts w:ascii="宋体" w:hAnsi="宋体" w:cs="宋体" w:eastAsia="宋体" w:hint="default"/>
                            <w:spacing w:val="-3"/>
                            <w:w w:val="100"/>
                            <w:sz w:val="15"/>
                            <w:szCs w:val="15"/>
                          </w:rPr>
                          <w:t>理</w:t>
                        </w:r>
                        <w:r>
                          <w:rPr>
                            <w:rFonts w:ascii="宋体" w:hAnsi="宋体" w:cs="宋体" w:eastAsia="宋体" w:hint="default"/>
                            <w:w w:val="100"/>
                            <w:sz w:val="15"/>
                            <w:szCs w:val="15"/>
                          </w:rPr>
                          <w:t>外</w:t>
                        </w:r>
                        <w:r>
                          <w:rPr>
                            <w:rFonts w:ascii="宋体" w:hAnsi="宋体" w:cs="宋体" w:eastAsia="宋体" w:hint="default"/>
                            <w:spacing w:val="-3"/>
                            <w:w w:val="100"/>
                            <w:sz w:val="15"/>
                            <w:szCs w:val="15"/>
                          </w:rPr>
                          <w:t>文</w:t>
                        </w:r>
                        <w:r>
                          <w:rPr>
                            <w:rFonts w:ascii="宋体" w:hAnsi="宋体" w:cs="宋体" w:eastAsia="宋体" w:hint="default"/>
                            <w:w w:val="100"/>
                            <w:sz w:val="15"/>
                            <w:szCs w:val="15"/>
                          </w:rPr>
                          <w:t>书</w:t>
                        </w:r>
                        <w:r>
                          <w:rPr>
                            <w:rFonts w:ascii="宋体" w:hAnsi="宋体" w:cs="宋体" w:eastAsia="宋体" w:hint="default"/>
                            <w:spacing w:val="-3"/>
                            <w:w w:val="100"/>
                            <w:sz w:val="15"/>
                            <w:szCs w:val="15"/>
                          </w:rPr>
                          <w:t>店</w:t>
                        </w:r>
                        <w:r>
                          <w:rPr>
                            <w:rFonts w:ascii="宋体" w:hAnsi="宋体" w:cs="宋体" w:eastAsia="宋体" w:hint="default"/>
                            <w:w w:val="100"/>
                            <w:sz w:val="15"/>
                            <w:szCs w:val="15"/>
                          </w:rPr>
                          <w:t>旧</w:t>
                        </w:r>
                        <w:r>
                          <w:rPr>
                            <w:rFonts w:ascii="宋体" w:hAnsi="宋体" w:cs="宋体" w:eastAsia="宋体" w:hint="default"/>
                            <w:spacing w:val="-3"/>
                            <w:w w:val="100"/>
                            <w:sz w:val="15"/>
                            <w:szCs w:val="15"/>
                          </w:rPr>
                          <w:t>账</w:t>
                        </w:r>
                        <w:r>
                          <w:rPr>
                            <w:rFonts w:ascii="宋体" w:hAnsi="宋体" w:cs="宋体" w:eastAsia="宋体" w:hint="default"/>
                            <w:spacing w:val="-72"/>
                            <w:w w:val="100"/>
                            <w:sz w:val="15"/>
                            <w:szCs w:val="15"/>
                          </w:rPr>
                          <w:t>，</w:t>
                        </w:r>
                        <w:r>
                          <w:rPr>
                            <w:rFonts w:ascii="宋体" w:hAnsi="宋体" w:cs="宋体" w:eastAsia="宋体" w:hint="default"/>
                            <w:spacing w:val="-3"/>
                            <w:w w:val="100"/>
                            <w:sz w:val="15"/>
                            <w:szCs w:val="15"/>
                          </w:rPr>
                          <w:t>只</w:t>
                        </w:r>
                        <w:r>
                          <w:rPr>
                            <w:rFonts w:ascii="宋体" w:hAnsi="宋体" w:cs="宋体" w:eastAsia="宋体" w:hint="default"/>
                            <w:w w:val="100"/>
                            <w:sz w:val="15"/>
                            <w:szCs w:val="15"/>
                          </w:rPr>
                          <w:t>能等</w:t>
                        </w:r>
                      </w:p>
                      <w:p>
                        <w:pPr>
                          <w:pStyle w:val="TableParagraph"/>
                          <w:spacing w:line="240" w:lineRule="auto"/>
                          <w:ind w:left="4" w:right="2"/>
                          <w:jc w:val="left"/>
                          <w:rPr>
                            <w:rFonts w:ascii="宋体" w:hAnsi="宋体" w:cs="宋体" w:eastAsia="宋体" w:hint="default"/>
                            <w:sz w:val="15"/>
                            <w:szCs w:val="15"/>
                          </w:rPr>
                        </w:pPr>
                        <w:r>
                          <w:rPr>
                            <w:rFonts w:ascii="宋体" w:hAnsi="宋体" w:cs="宋体" w:eastAsia="宋体" w:hint="default"/>
                            <w:sz w:val="15"/>
                            <w:szCs w:val="15"/>
                          </w:rPr>
                          <w:t>待时机。</w:t>
                        </w:r>
                        <w:r>
                          <w:rPr>
                            <w:rFonts w:ascii="宋体" w:hAnsi="宋体" w:cs="宋体" w:eastAsia="宋体" w:hint="default"/>
                            <w:w w:val="100"/>
                            <w:sz w:val="15"/>
                            <w:szCs w:val="15"/>
                          </w:rPr>
                          <w:t> </w:t>
                        </w:r>
                        <w:r>
                          <w:rPr>
                            <w:rFonts w:ascii="宋体" w:hAnsi="宋体" w:cs="宋体" w:eastAsia="宋体" w:hint="default"/>
                            <w:spacing w:val="-7"/>
                            <w:w w:val="100"/>
                            <w:sz w:val="15"/>
                            <w:szCs w:val="15"/>
                          </w:rPr>
                          <w:t>虽然年限未满三年，但可收回</w:t>
                        </w:r>
                        <w:r>
                          <w:rPr>
                            <w:rFonts w:ascii="宋体" w:hAnsi="宋体" w:cs="宋体" w:eastAsia="宋体" w:hint="default"/>
                            <w:spacing w:val="-72"/>
                            <w:w w:val="100"/>
                            <w:sz w:val="15"/>
                            <w:szCs w:val="15"/>
                          </w:rPr>
                          <w:t> </w:t>
                        </w:r>
                        <w:r>
                          <w:rPr>
                            <w:rFonts w:ascii="宋体" w:hAnsi="宋体" w:cs="宋体" w:eastAsia="宋体" w:hint="default"/>
                            <w:spacing w:val="-72"/>
                            <w:w w:val="100"/>
                            <w:sz w:val="15"/>
                            <w:szCs w:val="15"/>
                          </w:rPr>
                        </w:r>
                        <w:r>
                          <w:rPr>
                            <w:rFonts w:ascii="宋体" w:hAnsi="宋体" w:cs="宋体" w:eastAsia="宋体" w:hint="default"/>
                            <w:sz w:val="15"/>
                            <w:szCs w:val="15"/>
                          </w:rPr>
                          <w:t>性不大，全额计提坏账准备</w:t>
                        </w:r>
                      </w:p>
                    </w:tc>
                  </w:tr>
                  <w:tr>
                    <w:trPr>
                      <w:trHeight w:val="353" w:hRule="exact"/>
                    </w:trPr>
                    <w:tc>
                      <w:tcPr>
                        <w:tcW w:w="2532" w:type="dxa"/>
                        <w:tcBorders>
                          <w:top w:val="single" w:sz="12" w:space="0" w:color="000000"/>
                          <w:left w:val="single" w:sz="6" w:space="0" w:color="000000"/>
                          <w:bottom w:val="single" w:sz="12" w:space="0" w:color="000000"/>
                          <w:right w:val="single" w:sz="6"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78"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left="815" w:right="0"/>
                          <w:jc w:val="left"/>
                          <w:rPr>
                            <w:rFonts w:ascii="Times New Roman" w:hAnsi="Times New Roman" w:cs="Times New Roman" w:eastAsia="Times New Roman" w:hint="default"/>
                            <w:sz w:val="21"/>
                            <w:szCs w:val="21"/>
                          </w:rPr>
                        </w:pPr>
                        <w:r>
                          <w:rPr>
                            <w:rFonts w:ascii="Times New Roman"/>
                            <w:sz w:val="21"/>
                          </w:rPr>
                          <w:t>12,756.00</w:t>
                        </w:r>
                      </w:p>
                    </w:tc>
                    <w:tc>
                      <w:tcPr>
                        <w:tcW w:w="1630"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left="770" w:right="0"/>
                          <w:jc w:val="left"/>
                          <w:rPr>
                            <w:rFonts w:ascii="Times New Roman" w:hAnsi="Times New Roman" w:cs="Times New Roman" w:eastAsia="Times New Roman" w:hint="default"/>
                            <w:sz w:val="21"/>
                            <w:szCs w:val="21"/>
                          </w:rPr>
                        </w:pPr>
                        <w:r>
                          <w:rPr>
                            <w:rFonts w:ascii="Times New Roman"/>
                            <w:sz w:val="21"/>
                          </w:rPr>
                          <w:t>12,756.00</w:t>
                        </w:r>
                      </w:p>
                    </w:tc>
                    <w:tc>
                      <w:tcPr>
                        <w:tcW w:w="790"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left="232" w:right="0"/>
                          <w:jc w:val="left"/>
                          <w:rPr>
                            <w:rFonts w:ascii="Times New Roman" w:hAnsi="Times New Roman" w:cs="Times New Roman" w:eastAsia="Times New Roman" w:hint="default"/>
                            <w:sz w:val="21"/>
                            <w:szCs w:val="21"/>
                          </w:rPr>
                        </w:pPr>
                        <w:r>
                          <w:rPr>
                            <w:rFonts w:ascii="Times New Roman"/>
                            <w:sz w:val="21"/>
                          </w:rPr>
                          <w:t>100</w:t>
                        </w:r>
                      </w:p>
                    </w:tc>
                    <w:tc>
                      <w:tcPr>
                        <w:tcW w:w="1898" w:type="dxa"/>
                        <w:tcBorders>
                          <w:top w:val="single" w:sz="12" w:space="0" w:color="000000"/>
                          <w:left w:val="single" w:sz="6" w:space="0" w:color="000000"/>
                          <w:bottom w:val="single" w:sz="12" w:space="0" w:color="000000"/>
                          <w:right w:val="nil" w:sz="6" w:space="0" w:color="auto"/>
                        </w:tcBorders>
                      </w:tcPr>
                      <w:p>
                        <w:pPr/>
                      </w:p>
                    </w:tc>
                  </w:tr>
                </w:tbl>
                <w:p>
                  <w:pPr/>
                </w:p>
              </w:txbxContent>
            </v:textbox>
            <w10:wrap type="none"/>
          </v:shape>
        </w:pict>
      </w:r>
      <w:r>
        <w:rPr>
          <w:rFonts w:ascii="宋体" w:hAnsi="宋体" w:cs="宋体" w:eastAsia="宋体" w:hint="default"/>
          <w:w w:val="100"/>
          <w:sz w:val="15"/>
          <w:szCs w:val="15"/>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Heading5"/>
        <w:spacing w:line="240" w:lineRule="auto" w:before="36"/>
        <w:ind w:right="0"/>
        <w:jc w:val="left"/>
        <w:rPr>
          <w:b w:val="0"/>
          <w:bCs w:val="0"/>
        </w:rPr>
      </w:pPr>
      <w:bookmarkStart w:name="（2）本期计提、收回或转回的坏账准备情况" w:id="281"/>
      <w:bookmarkEnd w:id="281"/>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right="0"/>
        <w:jc w:val="left"/>
      </w:pPr>
      <w:r>
        <w:rPr/>
        <w:t>本期计提坏账准备金额</w:t>
      </w:r>
      <w:r>
        <w:rPr>
          <w:spacing w:val="-55"/>
        </w:rPr>
        <w:t> </w:t>
      </w:r>
      <w:r>
        <w:rPr>
          <w:rFonts w:ascii="Times New Roman" w:hAnsi="Times New Roman" w:cs="Times New Roman" w:eastAsia="Times New Roman" w:hint="default"/>
        </w:rPr>
        <w:t>261,230.31</w:t>
      </w:r>
      <w:r>
        <w:rPr>
          <w:rFonts w:ascii="Times New Roman" w:hAnsi="Times New Roman" w:cs="Times New Roman" w:eastAsia="Times New Roman" w:hint="default"/>
          <w:spacing w:val="-2"/>
        </w:rPr>
        <w:t> </w:t>
      </w:r>
      <w:r>
        <w:rPr/>
        <w:t>元；本期收回或转回坏账准备金额</w:t>
      </w:r>
      <w:r>
        <w:rPr>
          <w:spacing w:val="-5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3"/>
        </w:rPr>
        <w:t> </w:t>
      </w:r>
      <w:r>
        <w:rPr>
          <w:spacing w:val="-3"/>
        </w:rPr>
        <w:t>元。</w:t>
      </w:r>
      <w:r>
        <w:rPr/>
      </w:r>
    </w:p>
    <w:p>
      <w:pPr>
        <w:spacing w:line="240" w:lineRule="auto" w:before="7"/>
        <w:rPr>
          <w:rFonts w:ascii="宋体" w:hAnsi="宋体" w:cs="宋体" w:eastAsia="宋体" w:hint="default"/>
          <w:sz w:val="24"/>
          <w:szCs w:val="24"/>
        </w:rPr>
      </w:pPr>
    </w:p>
    <w:p>
      <w:pPr>
        <w:pStyle w:val="Heading5"/>
        <w:spacing w:line="240" w:lineRule="auto"/>
        <w:ind w:right="0"/>
        <w:jc w:val="left"/>
        <w:rPr>
          <w:b w:val="0"/>
          <w:bCs w:val="0"/>
        </w:rPr>
      </w:pPr>
      <w:bookmarkStart w:name="（3）本期实际核销的应收账款情况" w:id="282"/>
      <w:bookmarkEnd w:id="282"/>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150"/>
        <w:jc w:val="right"/>
      </w:pPr>
      <w:r>
        <w:rPr/>
        <w:t>单位：</w:t>
      </w:r>
      <w:r>
        <w:rPr>
          <w:spacing w:val="2"/>
        </w:rPr>
        <w:t> </w:t>
      </w:r>
      <w:r>
        <w:rPr/>
        <w:t>元</w:t>
      </w:r>
    </w:p>
    <w:p>
      <w:pPr>
        <w:spacing w:line="240" w:lineRule="auto" w:before="10"/>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4982"/>
        <w:gridCol w:w="4586"/>
      </w:tblGrid>
      <w:tr>
        <w:trPr>
          <w:trHeight w:val="283" w:hRule="exact"/>
        </w:trPr>
        <w:tc>
          <w:tcPr>
            <w:tcW w:w="49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5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核销金额</w:t>
            </w:r>
          </w:p>
        </w:tc>
      </w:tr>
      <w:tr>
        <w:trPr>
          <w:trHeight w:val="283" w:hRule="exact"/>
        </w:trPr>
        <w:tc>
          <w:tcPr>
            <w:tcW w:w="4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实际核销的应收账款</w:t>
            </w:r>
          </w:p>
        </w:tc>
        <w:tc>
          <w:tcPr>
            <w:tcW w:w="4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2,146.30</w:t>
            </w:r>
          </w:p>
        </w:tc>
      </w:tr>
    </w:tbl>
    <w:p>
      <w:pPr>
        <w:pStyle w:val="BodyText"/>
        <w:spacing w:line="262" w:lineRule="exact"/>
        <w:ind w:right="0"/>
        <w:jc w:val="left"/>
      </w:pPr>
      <w:r>
        <w:rPr/>
        <w:t>其中重要的应收账款核销情况：</w:t>
      </w:r>
    </w:p>
    <w:p>
      <w:pPr>
        <w:pStyle w:val="BodyText"/>
        <w:spacing w:line="240" w:lineRule="auto" w:before="37"/>
        <w:ind w:left="0" w:right="150"/>
        <w:jc w:val="right"/>
      </w:pPr>
      <w:r>
        <w:rPr/>
        <w:t>单位：</w:t>
      </w:r>
      <w:r>
        <w:rPr>
          <w:spacing w:val="2"/>
        </w:rPr>
        <w:t> </w:t>
      </w:r>
      <w:r>
        <w:rPr/>
        <w:t>元</w:t>
      </w:r>
    </w:p>
    <w:p>
      <w:pPr>
        <w:spacing w:line="240" w:lineRule="auto" w:before="10"/>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1685"/>
        <w:gridCol w:w="1550"/>
        <w:gridCol w:w="1553"/>
        <w:gridCol w:w="1550"/>
        <w:gridCol w:w="1615"/>
        <w:gridCol w:w="1615"/>
      </w:tblGrid>
      <w:tr>
        <w:trPr>
          <w:trHeight w:val="554" w:hRule="exact"/>
        </w:trPr>
        <w:tc>
          <w:tcPr>
            <w:tcW w:w="16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2"/>
              <w:ind w:left="417"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5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2"/>
              <w:ind w:left="141" w:right="0"/>
              <w:jc w:val="left"/>
              <w:rPr>
                <w:rFonts w:ascii="宋体" w:hAnsi="宋体" w:cs="宋体" w:eastAsia="宋体" w:hint="default"/>
                <w:sz w:val="21"/>
                <w:szCs w:val="21"/>
              </w:rPr>
            </w:pPr>
            <w:r>
              <w:rPr>
                <w:rFonts w:ascii="宋体" w:hAnsi="宋体" w:cs="宋体" w:eastAsia="宋体" w:hint="default"/>
                <w:sz w:val="21"/>
                <w:szCs w:val="21"/>
              </w:rPr>
              <w:t>应收账款性质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2"/>
              <w:ind w:left="350" w:right="0"/>
              <w:jc w:val="left"/>
              <w:rPr>
                <w:rFonts w:ascii="宋体" w:hAnsi="宋体" w:cs="宋体" w:eastAsia="宋体" w:hint="default"/>
                <w:sz w:val="21"/>
                <w:szCs w:val="21"/>
              </w:rPr>
            </w:pPr>
            <w:r>
              <w:rPr>
                <w:rFonts w:ascii="宋体" w:hAnsi="宋体" w:cs="宋体" w:eastAsia="宋体" w:hint="default"/>
                <w:sz w:val="21"/>
                <w:szCs w:val="21"/>
              </w:rPr>
              <w:t>核销金额</w:t>
            </w:r>
          </w:p>
        </w:tc>
        <w:tc>
          <w:tcPr>
            <w:tcW w:w="15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核销原因</w:t>
            </w:r>
          </w:p>
        </w:tc>
        <w:tc>
          <w:tcPr>
            <w:tcW w:w="16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款项是否由关联</w:t>
            </w:r>
          </w:p>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交易产生</w:t>
            </w:r>
          </w:p>
        </w:tc>
      </w:tr>
      <w:tr>
        <w:trPr>
          <w:trHeight w:val="56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4" w:right="0"/>
              <w:jc w:val="left"/>
              <w:rPr>
                <w:rFonts w:ascii="宋体" w:hAnsi="宋体" w:cs="宋体" w:eastAsia="宋体" w:hint="default"/>
                <w:sz w:val="21"/>
                <w:szCs w:val="21"/>
              </w:rPr>
            </w:pPr>
            <w:r>
              <w:rPr>
                <w:rFonts w:ascii="宋体" w:hAnsi="宋体" w:cs="宋体" w:eastAsia="宋体" w:hint="default"/>
                <w:sz w:val="21"/>
                <w:szCs w:val="21"/>
              </w:rPr>
              <w:t>芜湖市外文书店</w:t>
            </w:r>
          </w:p>
        </w:tc>
        <w:tc>
          <w:tcPr>
            <w:tcW w:w="1550" w:type="dxa"/>
            <w:tcBorders>
              <w:top w:val="single" w:sz="4" w:space="0" w:color="000000"/>
              <w:left w:val="single" w:sz="4" w:space="0" w:color="000000"/>
              <w:bottom w:val="single" w:sz="11" w:space="0" w:color="D4D4D4"/>
              <w:right w:val="single" w:sz="4" w:space="0" w:color="000000"/>
            </w:tcBorders>
          </w:tcPr>
          <w:p>
            <w:pPr>
              <w:pStyle w:val="TableParagraph"/>
              <w:spacing w:line="240" w:lineRule="auto" w:before="105"/>
              <w:ind w:left="23" w:right="0"/>
              <w:jc w:val="left"/>
              <w:rPr>
                <w:rFonts w:ascii="宋体" w:hAnsi="宋体" w:cs="宋体" w:eastAsia="宋体" w:hint="default"/>
                <w:sz w:val="21"/>
                <w:szCs w:val="21"/>
              </w:rPr>
            </w:pPr>
            <w:r>
              <w:rPr>
                <w:rFonts w:ascii="宋体" w:hAnsi="宋体" w:cs="宋体" w:eastAsia="宋体" w:hint="default"/>
                <w:sz w:val="21"/>
                <w:szCs w:val="21"/>
              </w:rPr>
              <w:t>货款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2,146.30</w:t>
            </w:r>
          </w:p>
        </w:tc>
        <w:tc>
          <w:tcPr>
            <w:tcW w:w="1550" w:type="dxa"/>
            <w:tcBorders>
              <w:top w:val="single" w:sz="4" w:space="0" w:color="000000"/>
              <w:left w:val="single" w:sz="4" w:space="0" w:color="000000"/>
              <w:bottom w:val="single" w:sz="11" w:space="0" w:color="D4D4D4"/>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书店已吊销，余</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款无法收回</w:t>
            </w:r>
          </w:p>
        </w:tc>
        <w:tc>
          <w:tcPr>
            <w:tcW w:w="1615" w:type="dxa"/>
            <w:tcBorders>
              <w:top w:val="single" w:sz="4" w:space="0" w:color="000000"/>
              <w:left w:val="single" w:sz="4" w:space="0" w:color="000000"/>
              <w:bottom w:val="single" w:sz="11" w:space="0" w:color="D4D4D4"/>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第二董事会第十</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四次会议批准</w:t>
            </w:r>
          </w:p>
        </w:tc>
        <w:tc>
          <w:tcPr>
            <w:tcW w:w="1615" w:type="dxa"/>
            <w:tcBorders>
              <w:top w:val="single" w:sz="4" w:space="0" w:color="000000"/>
              <w:left w:val="single" w:sz="4" w:space="0" w:color="000000"/>
              <w:bottom w:val="single" w:sz="11" w:space="0" w:color="D4D4D4"/>
              <w:right w:val="single" w:sz="4" w:space="0" w:color="000000"/>
            </w:tcBorders>
          </w:tcPr>
          <w:p>
            <w:pPr>
              <w:pStyle w:val="TableParagraph"/>
              <w:spacing w:line="240" w:lineRule="auto" w:before="105"/>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68" w:hRule="exact"/>
        </w:trPr>
        <w:tc>
          <w:tcPr>
            <w:tcW w:w="16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
              <w:ind w:right="0"/>
              <w:jc w:val="center"/>
              <w:rPr>
                <w:rFonts w:ascii="Times New Roman" w:hAnsi="Times New Roman" w:cs="Times New Roman" w:eastAsia="Times New Roman" w:hint="default"/>
                <w:sz w:val="21"/>
                <w:szCs w:val="21"/>
              </w:rPr>
            </w:pPr>
            <w:r>
              <w:rPr>
                <w:rFonts w:ascii="Times New Roman"/>
                <w:sz w:val="21"/>
              </w:rPr>
              <w:t>--</w:t>
            </w:r>
          </w:p>
        </w:tc>
        <w:tc>
          <w:tcPr>
            <w:tcW w:w="155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2"/>
              <w:ind w:right="19"/>
              <w:jc w:val="right"/>
              <w:rPr>
                <w:rFonts w:ascii="Times New Roman" w:hAnsi="Times New Roman" w:cs="Times New Roman" w:eastAsia="Times New Roman" w:hint="default"/>
                <w:sz w:val="21"/>
                <w:szCs w:val="21"/>
              </w:rPr>
            </w:pPr>
            <w:r>
              <w:rPr>
                <w:rFonts w:ascii="Times New Roman"/>
                <w:spacing w:val="-1"/>
                <w:sz w:val="21"/>
              </w:rPr>
              <w:t>2,146.30</w:t>
            </w:r>
          </w:p>
        </w:tc>
        <w:tc>
          <w:tcPr>
            <w:tcW w:w="15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
              <w:ind w:right="0"/>
              <w:jc w:val="center"/>
              <w:rPr>
                <w:rFonts w:ascii="Times New Roman" w:hAnsi="Times New Roman" w:cs="Times New Roman" w:eastAsia="Times New Roman" w:hint="default"/>
                <w:sz w:val="21"/>
                <w:szCs w:val="21"/>
              </w:rPr>
            </w:pPr>
            <w:r>
              <w:rPr>
                <w:rFonts w:ascii="Times New Roman"/>
                <w:sz w:val="21"/>
              </w:rPr>
              <w:t>--</w:t>
            </w:r>
          </w:p>
        </w:tc>
        <w:tc>
          <w:tcPr>
            <w:tcW w:w="16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
              <w:ind w:left="2" w:right="0"/>
              <w:jc w:val="center"/>
              <w:rPr>
                <w:rFonts w:ascii="Times New Roman" w:hAnsi="Times New Roman" w:cs="Times New Roman" w:eastAsia="Times New Roman" w:hint="default"/>
                <w:sz w:val="21"/>
                <w:szCs w:val="21"/>
              </w:rPr>
            </w:pPr>
            <w:r>
              <w:rPr>
                <w:rFonts w:ascii="Times New Roman"/>
                <w:sz w:val="21"/>
              </w:rPr>
              <w:t>--</w:t>
            </w:r>
          </w:p>
        </w:tc>
        <w:tc>
          <w:tcPr>
            <w:tcW w:w="16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
              <w:ind w:left="2" w:right="0"/>
              <w:jc w:val="center"/>
              <w:rPr>
                <w:rFonts w:ascii="Times New Roman" w:hAnsi="Times New Roman" w:cs="Times New Roman" w:eastAsia="Times New Roman" w:hint="default"/>
                <w:sz w:val="21"/>
                <w:szCs w:val="21"/>
              </w:rPr>
            </w:pPr>
            <w:r>
              <w:rPr>
                <w:rFonts w:ascii="Times New Roman"/>
                <w:sz w:val="21"/>
              </w:rPr>
              <w:t>--</w:t>
            </w:r>
          </w:p>
        </w:tc>
      </w:tr>
    </w:tbl>
    <w:p>
      <w:pPr>
        <w:pStyle w:val="BodyText"/>
        <w:spacing w:line="270" w:lineRule="exact"/>
        <w:ind w:right="0"/>
        <w:jc w:val="left"/>
      </w:pPr>
      <w:r>
        <w:rPr/>
        <w:t>应收账款核销说明：</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bookmarkStart w:name="（4）按欠款方归集的期末余额前五名的应收账款情况" w:id="283"/>
      <w:bookmarkEnd w:id="283"/>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3"/>
          <w:szCs w:val="13"/>
        </w:rPr>
      </w:pPr>
    </w:p>
    <w:p>
      <w:pPr>
        <w:spacing w:line="2925" w:lineRule="exact"/>
        <w:ind w:left="160" w:right="0" w:firstLine="0"/>
        <w:rPr>
          <w:rFonts w:ascii="宋体" w:hAnsi="宋体" w:cs="宋体" w:eastAsia="宋体" w:hint="default"/>
          <w:sz w:val="20"/>
          <w:szCs w:val="20"/>
        </w:rPr>
      </w:pPr>
      <w:r>
        <w:rPr>
          <w:rFonts w:ascii="宋体" w:hAnsi="宋体" w:cs="宋体" w:eastAsia="宋体" w:hint="default"/>
          <w:position w:val="-58"/>
          <w:sz w:val="20"/>
          <w:szCs w:val="20"/>
        </w:rPr>
        <w:drawing>
          <wp:inline distT="0" distB="0" distL="0" distR="0">
            <wp:extent cx="5217915" cy="1857375"/>
            <wp:effectExtent l="0" t="0" r="0" b="0"/>
            <wp:docPr id="45" name="image51.png" descr="?"/>
            <wp:cNvGraphicFramePr>
              <a:graphicFrameLocks noChangeAspect="1"/>
            </wp:cNvGraphicFramePr>
            <a:graphic>
              <a:graphicData uri="http://schemas.openxmlformats.org/drawingml/2006/picture">
                <pic:pic>
                  <pic:nvPicPr>
                    <pic:cNvPr id="46" name="image51.png"/>
                    <pic:cNvPicPr/>
                  </pic:nvPicPr>
                  <pic:blipFill>
                    <a:blip r:embed="rId90" cstate="print"/>
                    <a:stretch>
                      <a:fillRect/>
                    </a:stretch>
                  </pic:blipFill>
                  <pic:spPr>
                    <a:xfrm>
                      <a:off x="0" y="0"/>
                      <a:ext cx="5217915" cy="1857375"/>
                    </a:xfrm>
                    <a:prstGeom prst="rect">
                      <a:avLst/>
                    </a:prstGeom>
                  </pic:spPr>
                </pic:pic>
              </a:graphicData>
            </a:graphic>
          </wp:inline>
        </w:drawing>
      </w:r>
      <w:r>
        <w:rPr>
          <w:rFonts w:ascii="宋体" w:hAnsi="宋体" w:cs="宋体" w:eastAsia="宋体" w:hint="default"/>
          <w:position w:val="-58"/>
          <w:sz w:val="20"/>
          <w:szCs w:val="20"/>
        </w:rPr>
      </w:r>
    </w:p>
    <w:p>
      <w:pPr>
        <w:spacing w:line="240" w:lineRule="auto" w:before="3"/>
        <w:rPr>
          <w:rFonts w:ascii="宋体" w:hAnsi="宋体" w:cs="宋体" w:eastAsia="宋体" w:hint="default"/>
          <w:b/>
          <w:bCs/>
          <w:sz w:val="26"/>
          <w:szCs w:val="26"/>
        </w:rPr>
      </w:pPr>
    </w:p>
    <w:p>
      <w:pPr>
        <w:pStyle w:val="Heading5"/>
        <w:spacing w:line="240" w:lineRule="auto" w:before="36"/>
        <w:ind w:right="0"/>
        <w:jc w:val="left"/>
        <w:rPr>
          <w:b w:val="0"/>
          <w:bCs w:val="0"/>
        </w:rPr>
      </w:pPr>
      <w:bookmarkStart w:name="2、其他应收款" w:id="284"/>
      <w:bookmarkEnd w:id="284"/>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0"/>
        <w:rPr>
          <w:rFonts w:ascii="宋体" w:hAnsi="宋体" w:cs="宋体" w:eastAsia="宋体" w:hint="default"/>
          <w:b/>
          <w:bCs/>
          <w:sz w:val="22"/>
          <w:szCs w:val="22"/>
        </w:rPr>
      </w:pPr>
    </w:p>
    <w:p>
      <w:pPr>
        <w:spacing w:line="240" w:lineRule="auto" w:before="6"/>
        <w:rPr>
          <w:rFonts w:ascii="宋体" w:hAnsi="宋体" w:cs="宋体" w:eastAsia="宋体" w:hint="default"/>
          <w:b/>
          <w:bCs/>
          <w:sz w:val="25"/>
          <w:szCs w:val="25"/>
        </w:rPr>
      </w:pPr>
    </w:p>
    <w:p>
      <w:pPr>
        <w:pStyle w:val="Heading5"/>
        <w:spacing w:line="240" w:lineRule="auto"/>
        <w:ind w:right="0"/>
        <w:jc w:val="left"/>
        <w:rPr>
          <w:b w:val="0"/>
          <w:bCs w:val="0"/>
        </w:rPr>
      </w:pPr>
      <w:bookmarkStart w:name="（1）其他应收款分类披露" w:id="285"/>
      <w:bookmarkEnd w:id="285"/>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150"/>
        <w:jc w:val="right"/>
      </w:pPr>
      <w:r>
        <w:rPr/>
        <w:t>单位：</w:t>
      </w:r>
      <w:r>
        <w:rPr>
          <w:spacing w:val="2"/>
        </w:rPr>
        <w:t> </w:t>
      </w:r>
      <w:r>
        <w:rPr/>
        <w:t>元</w:t>
      </w:r>
    </w:p>
    <w:p>
      <w:pPr>
        <w:spacing w:line="240" w:lineRule="auto" w:before="10"/>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1633"/>
        <w:gridCol w:w="763"/>
        <w:gridCol w:w="761"/>
        <w:gridCol w:w="763"/>
        <w:gridCol w:w="763"/>
        <w:gridCol w:w="787"/>
        <w:gridCol w:w="655"/>
        <w:gridCol w:w="761"/>
        <w:gridCol w:w="814"/>
        <w:gridCol w:w="934"/>
        <w:gridCol w:w="931"/>
      </w:tblGrid>
      <w:tr>
        <w:trPr>
          <w:trHeight w:val="283" w:hRule="exact"/>
        </w:trPr>
        <w:tc>
          <w:tcPr>
            <w:tcW w:w="163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3838"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633" w:type="dxa"/>
            <w:vMerge/>
            <w:tcBorders>
              <w:left w:val="single" w:sz="4" w:space="0" w:color="000000"/>
              <w:right w:val="single" w:sz="4" w:space="0" w:color="000000"/>
            </w:tcBorders>
            <w:shd w:val="clear" w:color="auto" w:fill="D4D4D4"/>
          </w:tcPr>
          <w:p>
            <w:pP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33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33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787" w:type="dxa"/>
            <w:vMerge w:val="restart"/>
            <w:tcBorders>
              <w:top w:val="single" w:sz="4" w:space="0" w:color="000000"/>
              <w:left w:val="single" w:sz="4" w:space="0" w:color="000000"/>
              <w:right w:val="single" w:sz="4" w:space="0" w:color="000000"/>
            </w:tcBorders>
            <w:shd w:val="clear" w:color="auto" w:fill="D4D4D4"/>
          </w:tcPr>
          <w:p>
            <w:pPr>
              <w:pStyle w:val="TableParagraph"/>
              <w:spacing w:line="245" w:lineRule="exact"/>
              <w:ind w:left="4" w:right="0"/>
              <w:jc w:val="center"/>
              <w:rPr>
                <w:rFonts w:ascii="宋体" w:hAnsi="宋体" w:cs="宋体" w:eastAsia="宋体" w:hint="default"/>
                <w:sz w:val="21"/>
                <w:szCs w:val="21"/>
              </w:rPr>
            </w:pPr>
            <w:r>
              <w:rPr>
                <w:rFonts w:ascii="宋体" w:hAnsi="宋体" w:cs="宋体" w:eastAsia="宋体" w:hint="default"/>
                <w:sz w:val="21"/>
                <w:szCs w:val="21"/>
              </w:rPr>
              <w:t>账面价</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28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4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5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93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07"/>
              <w:ind w:left="40"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78" w:hRule="exact"/>
        </w:trPr>
        <w:tc>
          <w:tcPr>
            <w:tcW w:w="1633" w:type="dxa"/>
            <w:vMerge/>
            <w:tcBorders>
              <w:left w:val="single" w:sz="4" w:space="0" w:color="000000"/>
              <w:bottom w:val="single" w:sz="4" w:space="0" w:color="000000"/>
              <w:right w:val="single" w:sz="4" w:space="0" w:color="000000"/>
            </w:tcBorders>
            <w:shd w:val="clear" w:color="auto" w:fill="D4D4D4"/>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67"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65"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6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62" w:right="0"/>
              <w:jc w:val="left"/>
              <w:rPr>
                <w:rFonts w:ascii="宋体" w:hAnsi="宋体" w:cs="宋体" w:eastAsia="宋体" w:hint="default"/>
                <w:sz w:val="21"/>
                <w:szCs w:val="21"/>
              </w:rPr>
            </w:pPr>
            <w:r>
              <w:rPr>
                <w:rFonts w:ascii="宋体" w:hAnsi="宋体" w:cs="宋体" w:eastAsia="宋体" w:hint="default"/>
                <w:sz w:val="21"/>
                <w:szCs w:val="21"/>
              </w:rPr>
              <w:t>计提比</w:t>
            </w:r>
          </w:p>
        </w:tc>
        <w:tc>
          <w:tcPr>
            <w:tcW w:w="787" w:type="dxa"/>
            <w:vMerge/>
            <w:tcBorders>
              <w:left w:val="single" w:sz="4" w:space="0" w:color="000000"/>
              <w:bottom w:val="single" w:sz="4" w:space="0" w:color="000000"/>
              <w:right w:val="single" w:sz="4" w:space="0" w:color="000000"/>
            </w:tcBorders>
            <w:shd w:val="clear" w:color="auto" w:fill="D4D4D4"/>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1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65"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94"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0" w:right="0"/>
              <w:jc w:val="left"/>
              <w:rPr>
                <w:rFonts w:ascii="宋体" w:hAnsi="宋体" w:cs="宋体" w:eastAsia="宋体" w:hint="default"/>
                <w:sz w:val="21"/>
                <w:szCs w:val="21"/>
              </w:rPr>
            </w:pPr>
            <w:r>
              <w:rPr>
                <w:rFonts w:ascii="宋体" w:hAnsi="宋体" w:cs="宋体" w:eastAsia="宋体" w:hint="default"/>
                <w:sz w:val="21"/>
                <w:szCs w:val="21"/>
              </w:rPr>
              <w:t>计提比例</w:t>
            </w:r>
          </w:p>
        </w:tc>
        <w:tc>
          <w:tcPr>
            <w:tcW w:w="931" w:type="dxa"/>
            <w:vMerge/>
            <w:tcBorders>
              <w:left w:val="single" w:sz="4" w:space="0" w:color="000000"/>
              <w:bottom w:val="single" w:sz="4" w:space="0" w:color="000000"/>
              <w:right w:val="single" w:sz="4" w:space="0" w:color="000000"/>
            </w:tcBorders>
            <w:shd w:val="clear" w:color="auto" w:fill="D4D4D4"/>
          </w:tcPr>
          <w:p>
            <w:pPr/>
          </w:p>
        </w:tc>
      </w:tr>
    </w:tbl>
    <w:p>
      <w:pPr>
        <w:spacing w:after="0"/>
        <w:sectPr>
          <w:pgSz w:w="11910" w:h="16840"/>
          <w:pgMar w:header="880" w:footer="979" w:top="1060" w:bottom="1160" w:left="980" w:right="980"/>
        </w:sectPr>
      </w:pPr>
    </w:p>
    <w:p>
      <w:pPr>
        <w:spacing w:line="240" w:lineRule="auto" w:before="4"/>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7"/>
        <w:gridCol w:w="655"/>
        <w:gridCol w:w="761"/>
        <w:gridCol w:w="814"/>
        <w:gridCol w:w="934"/>
        <w:gridCol w:w="931"/>
      </w:tblGrid>
      <w:tr>
        <w:trPr>
          <w:trHeight w:val="283" w:hRule="exact"/>
        </w:trPr>
        <w:tc>
          <w:tcPr>
            <w:tcW w:w="161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74"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例</w:t>
            </w:r>
          </w:p>
        </w:tc>
        <w:tc>
          <w:tcPr>
            <w:tcW w:w="78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814"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934"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828" w:hRule="exact"/>
        </w:trPr>
        <w:tc>
          <w:tcPr>
            <w:tcW w:w="16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exact"/>
              <w:ind w:left="12" w:right="0"/>
              <w:jc w:val="left"/>
              <w:rPr>
                <w:rFonts w:ascii="宋体" w:hAnsi="宋体" w:cs="宋体" w:eastAsia="宋体" w:hint="default"/>
                <w:sz w:val="21"/>
                <w:szCs w:val="21"/>
              </w:rPr>
            </w:pPr>
            <w:r>
              <w:rPr>
                <w:rFonts w:ascii="宋体" w:hAnsi="宋体" w:cs="宋体" w:eastAsia="宋体" w:hint="default"/>
                <w:sz w:val="21"/>
                <w:szCs w:val="21"/>
              </w:rPr>
              <w:t>单项金额重大并</w:t>
            </w:r>
          </w:p>
          <w:p>
            <w:pPr>
              <w:pStyle w:val="TableParagraph"/>
              <w:spacing w:line="240" w:lineRule="auto"/>
              <w:ind w:left="12" w:right="114"/>
              <w:jc w:val="left"/>
              <w:rPr>
                <w:rFonts w:ascii="宋体" w:hAnsi="宋体" w:cs="宋体" w:eastAsia="宋体" w:hint="default"/>
                <w:sz w:val="21"/>
                <w:szCs w:val="21"/>
              </w:rPr>
            </w:pPr>
            <w:r>
              <w:rPr>
                <w:rFonts w:ascii="宋体" w:hAnsi="宋体" w:cs="宋体" w:eastAsia="宋体" w:hint="default"/>
                <w:sz w:val="21"/>
                <w:szCs w:val="21"/>
              </w:rPr>
              <w:t>单独计提坏账准</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备的其他应收款</w:t>
            </w:r>
          </w:p>
        </w:tc>
        <w:tc>
          <w:tcPr>
            <w:tcW w:w="77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0.00%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0.00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0.00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0.00</w:t>
            </w:r>
          </w:p>
        </w:tc>
      </w:tr>
      <w:tr>
        <w:trPr>
          <w:trHeight w:val="830" w:hRule="exact"/>
        </w:trPr>
        <w:tc>
          <w:tcPr>
            <w:tcW w:w="16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exact"/>
              <w:ind w:left="12" w:right="0"/>
              <w:jc w:val="left"/>
              <w:rPr>
                <w:rFonts w:ascii="宋体" w:hAnsi="宋体" w:cs="宋体" w:eastAsia="宋体" w:hint="default"/>
                <w:sz w:val="21"/>
                <w:szCs w:val="21"/>
              </w:rPr>
            </w:pPr>
            <w:r>
              <w:rPr>
                <w:rFonts w:ascii="宋体" w:hAnsi="宋体" w:cs="宋体" w:eastAsia="宋体" w:hint="default"/>
                <w:sz w:val="21"/>
                <w:szCs w:val="21"/>
              </w:rPr>
              <w:t>按信用风险特征</w:t>
            </w:r>
          </w:p>
          <w:p>
            <w:pPr>
              <w:pStyle w:val="TableParagraph"/>
              <w:spacing w:line="240" w:lineRule="auto"/>
              <w:ind w:left="12" w:right="114"/>
              <w:jc w:val="left"/>
              <w:rPr>
                <w:rFonts w:ascii="宋体" w:hAnsi="宋体" w:cs="宋体" w:eastAsia="宋体" w:hint="default"/>
                <w:sz w:val="21"/>
                <w:szCs w:val="21"/>
              </w:rPr>
            </w:pPr>
            <w:r>
              <w:rPr>
                <w:rFonts w:ascii="宋体" w:hAnsi="宋体" w:cs="宋体" w:eastAsia="宋体" w:hint="default"/>
                <w:sz w:val="21"/>
                <w:szCs w:val="21"/>
              </w:rPr>
              <w:t>组合计提坏账准</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备的其他应收款</w:t>
            </w:r>
          </w:p>
        </w:tc>
        <w:tc>
          <w:tcPr>
            <w:tcW w:w="774" w:type="dxa"/>
            <w:tcBorders>
              <w:top w:val="single" w:sz="4" w:space="0" w:color="000000"/>
              <w:left w:val="single" w:sz="12" w:space="0" w:color="D4D4D4"/>
              <w:bottom w:val="single" w:sz="4" w:space="0" w:color="000000"/>
              <w:right w:val="single" w:sz="4" w:space="0" w:color="000000"/>
            </w:tcBorders>
          </w:tcPr>
          <w:p>
            <w:pPr>
              <w:pStyle w:val="TableParagraph"/>
              <w:spacing w:line="241" w:lineRule="exact" w:before="164"/>
              <w:ind w:left="81" w:right="0"/>
              <w:jc w:val="center"/>
              <w:rPr>
                <w:rFonts w:ascii="Times New Roman" w:hAnsi="Times New Roman" w:cs="Times New Roman" w:eastAsia="Times New Roman" w:hint="default"/>
                <w:sz w:val="21"/>
                <w:szCs w:val="21"/>
              </w:rPr>
            </w:pPr>
            <w:r>
              <w:rPr>
                <w:rFonts w:ascii="Times New Roman"/>
                <w:sz w:val="21"/>
              </w:rPr>
              <w:t>1,156,7</w:t>
            </w:r>
          </w:p>
          <w:p>
            <w:pPr>
              <w:pStyle w:val="TableParagraph"/>
              <w:spacing w:line="241" w:lineRule="exact"/>
              <w:ind w:left="240" w:right="0"/>
              <w:jc w:val="center"/>
              <w:rPr>
                <w:rFonts w:ascii="Times New Roman" w:hAnsi="Times New Roman" w:cs="Times New Roman" w:eastAsia="Times New Roman" w:hint="default"/>
                <w:sz w:val="21"/>
                <w:szCs w:val="21"/>
              </w:rPr>
            </w:pPr>
            <w:r>
              <w:rPr>
                <w:rFonts w:ascii="Times New Roman"/>
                <w:sz w:val="21"/>
              </w:rPr>
              <w:t>84.36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64"/>
              <w:ind w:right="17"/>
              <w:jc w:val="right"/>
              <w:rPr>
                <w:rFonts w:ascii="Times New Roman" w:hAnsi="Times New Roman" w:cs="Times New Roman" w:eastAsia="Times New Roman" w:hint="default"/>
                <w:sz w:val="21"/>
                <w:szCs w:val="21"/>
              </w:rPr>
            </w:pPr>
            <w:r>
              <w:rPr>
                <w:rFonts w:ascii="Times New Roman"/>
                <w:sz w:val="21"/>
              </w:rPr>
              <w:t>100.00</w:t>
            </w:r>
          </w:p>
          <w:p>
            <w:pPr>
              <w:pStyle w:val="TableParagraph"/>
              <w:spacing w:line="241" w:lineRule="exact"/>
              <w:ind w:right="18"/>
              <w:jc w:val="right"/>
              <w:rPr>
                <w:rFonts w:ascii="Times New Roman" w:hAnsi="Times New Roman" w:cs="Times New Roman" w:eastAsia="Times New Roman" w:hint="default"/>
                <w:sz w:val="21"/>
                <w:szCs w:val="21"/>
              </w:rPr>
            </w:pPr>
            <w:r>
              <w:rPr>
                <w:rFonts w:ascii="Times New Roman"/>
                <w:w w:val="100"/>
                <w:sz w:val="21"/>
              </w:rPr>
              <w:t>%</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64"/>
              <w:ind w:left="47" w:right="0"/>
              <w:jc w:val="left"/>
              <w:rPr>
                <w:rFonts w:ascii="Times New Roman" w:hAnsi="Times New Roman" w:cs="Times New Roman" w:eastAsia="Times New Roman" w:hint="default"/>
                <w:sz w:val="21"/>
                <w:szCs w:val="21"/>
              </w:rPr>
            </w:pPr>
            <w:r>
              <w:rPr>
                <w:rFonts w:ascii="Times New Roman"/>
                <w:sz w:val="21"/>
              </w:rPr>
              <w:t>305,694</w:t>
            </w:r>
          </w:p>
          <w:p>
            <w:pPr>
              <w:pStyle w:val="TableParagraph"/>
              <w:spacing w:line="241" w:lineRule="exact"/>
              <w:ind w:left="467" w:right="0"/>
              <w:jc w:val="left"/>
              <w:rPr>
                <w:rFonts w:ascii="Times New Roman" w:hAnsi="Times New Roman" w:cs="Times New Roman" w:eastAsia="Times New Roman" w:hint="default"/>
                <w:sz w:val="21"/>
                <w:szCs w:val="21"/>
              </w:rPr>
            </w:pPr>
            <w:r>
              <w:rPr>
                <w:rFonts w:ascii="Times New Roman"/>
                <w:sz w:val="21"/>
              </w:rPr>
              <w:t>.27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26.43%</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64"/>
              <w:ind w:left="74" w:right="0"/>
              <w:jc w:val="left"/>
              <w:rPr>
                <w:rFonts w:ascii="Times New Roman" w:hAnsi="Times New Roman" w:cs="Times New Roman" w:eastAsia="Times New Roman" w:hint="default"/>
                <w:sz w:val="21"/>
                <w:szCs w:val="21"/>
              </w:rPr>
            </w:pPr>
            <w:r>
              <w:rPr>
                <w:rFonts w:ascii="Times New Roman"/>
                <w:sz w:val="21"/>
              </w:rPr>
              <w:t>851,090</w:t>
            </w:r>
          </w:p>
          <w:p>
            <w:pPr>
              <w:pStyle w:val="TableParagraph"/>
              <w:spacing w:line="241" w:lineRule="exact"/>
              <w:ind w:left="494" w:right="0"/>
              <w:jc w:val="left"/>
              <w:rPr>
                <w:rFonts w:ascii="Times New Roman" w:hAnsi="Times New Roman" w:cs="Times New Roman" w:eastAsia="Times New Roman" w:hint="default"/>
                <w:sz w:val="21"/>
                <w:szCs w:val="21"/>
              </w:rPr>
            </w:pPr>
            <w:r>
              <w:rPr>
                <w:rFonts w:ascii="Times New Roman"/>
                <w:sz w:val="21"/>
              </w:rPr>
              <w:t>.09</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64"/>
              <w:ind w:left="45" w:right="0"/>
              <w:jc w:val="left"/>
              <w:rPr>
                <w:rFonts w:ascii="Times New Roman" w:hAnsi="Times New Roman" w:cs="Times New Roman" w:eastAsia="Times New Roman" w:hint="default"/>
                <w:sz w:val="21"/>
                <w:szCs w:val="21"/>
              </w:rPr>
            </w:pPr>
            <w:r>
              <w:rPr>
                <w:rFonts w:ascii="Times New Roman"/>
                <w:sz w:val="21"/>
              </w:rPr>
              <w:t>590,42</w:t>
            </w:r>
          </w:p>
          <w:p>
            <w:pPr>
              <w:pStyle w:val="TableParagraph"/>
              <w:spacing w:line="241" w:lineRule="exact"/>
              <w:ind w:left="256" w:right="0"/>
              <w:jc w:val="left"/>
              <w:rPr>
                <w:rFonts w:ascii="Times New Roman" w:hAnsi="Times New Roman" w:cs="Times New Roman" w:eastAsia="Times New Roman" w:hint="default"/>
                <w:sz w:val="21"/>
                <w:szCs w:val="21"/>
              </w:rPr>
            </w:pPr>
            <w:r>
              <w:rPr>
                <w:rFonts w:ascii="Times New Roman"/>
                <w:sz w:val="21"/>
              </w:rPr>
              <w:t>7.23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64"/>
              <w:ind w:right="17"/>
              <w:jc w:val="right"/>
              <w:rPr>
                <w:rFonts w:ascii="Times New Roman" w:hAnsi="Times New Roman" w:cs="Times New Roman" w:eastAsia="Times New Roman" w:hint="default"/>
                <w:sz w:val="21"/>
                <w:szCs w:val="21"/>
              </w:rPr>
            </w:pPr>
            <w:r>
              <w:rPr>
                <w:rFonts w:ascii="Times New Roman"/>
                <w:sz w:val="21"/>
              </w:rPr>
              <w:t>100.00</w:t>
            </w:r>
          </w:p>
          <w:p>
            <w:pPr>
              <w:pStyle w:val="TableParagraph"/>
              <w:spacing w:line="241" w:lineRule="exact"/>
              <w:ind w:right="18"/>
              <w:jc w:val="right"/>
              <w:rPr>
                <w:rFonts w:ascii="Times New Roman" w:hAnsi="Times New Roman" w:cs="Times New Roman" w:eastAsia="Times New Roman" w:hint="default"/>
                <w:sz w:val="21"/>
                <w:szCs w:val="21"/>
              </w:rPr>
            </w:pPr>
            <w:r>
              <w:rPr>
                <w:rFonts w:ascii="Times New Roman"/>
                <w:w w:val="100"/>
                <w:sz w:val="21"/>
              </w:rPr>
              <w:t>%</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64"/>
              <w:ind w:right="17"/>
              <w:jc w:val="right"/>
              <w:rPr>
                <w:rFonts w:ascii="Times New Roman" w:hAnsi="Times New Roman" w:cs="Times New Roman" w:eastAsia="Times New Roman" w:hint="default"/>
                <w:sz w:val="21"/>
                <w:szCs w:val="21"/>
              </w:rPr>
            </w:pPr>
            <w:r>
              <w:rPr>
                <w:rFonts w:ascii="Times New Roman"/>
                <w:spacing w:val="-1"/>
                <w:sz w:val="21"/>
              </w:rPr>
              <w:t>169,124.</w:t>
            </w:r>
          </w:p>
          <w:p>
            <w:pPr>
              <w:pStyle w:val="TableParagraph"/>
              <w:spacing w:line="241" w:lineRule="exact"/>
              <w:ind w:right="19"/>
              <w:jc w:val="right"/>
              <w:rPr>
                <w:rFonts w:ascii="Times New Roman" w:hAnsi="Times New Roman" w:cs="Times New Roman" w:eastAsia="Times New Roman" w:hint="default"/>
                <w:sz w:val="21"/>
                <w:szCs w:val="21"/>
              </w:rPr>
            </w:pPr>
            <w:r>
              <w:rPr>
                <w:rFonts w:ascii="Times New Roman"/>
                <w:sz w:val="21"/>
              </w:rPr>
              <w:t>99</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28.65%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64"/>
              <w:ind w:right="17"/>
              <w:jc w:val="right"/>
              <w:rPr>
                <w:rFonts w:ascii="Times New Roman" w:hAnsi="Times New Roman" w:cs="Times New Roman" w:eastAsia="Times New Roman" w:hint="default"/>
                <w:sz w:val="21"/>
                <w:szCs w:val="21"/>
              </w:rPr>
            </w:pPr>
            <w:r>
              <w:rPr>
                <w:rFonts w:ascii="Times New Roman"/>
                <w:spacing w:val="-1"/>
                <w:sz w:val="21"/>
              </w:rPr>
              <w:t>421,302.2</w:t>
            </w:r>
          </w:p>
          <w:p>
            <w:pPr>
              <w:pStyle w:val="TableParagraph"/>
              <w:spacing w:line="241" w:lineRule="exact"/>
              <w:ind w:right="19"/>
              <w:jc w:val="right"/>
              <w:rPr>
                <w:rFonts w:ascii="Times New Roman" w:hAnsi="Times New Roman" w:cs="Times New Roman" w:eastAsia="Times New Roman" w:hint="default"/>
                <w:sz w:val="21"/>
                <w:szCs w:val="21"/>
              </w:rPr>
            </w:pPr>
            <w:r>
              <w:rPr>
                <w:rFonts w:ascii="Times New Roman"/>
                <w:w w:val="100"/>
                <w:sz w:val="21"/>
              </w:rPr>
              <w:t>4</w:t>
            </w:r>
          </w:p>
        </w:tc>
      </w:tr>
      <w:tr>
        <w:trPr>
          <w:trHeight w:val="1102" w:hRule="exact"/>
        </w:trPr>
        <w:tc>
          <w:tcPr>
            <w:tcW w:w="16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exact"/>
              <w:ind w:left="12" w:right="0"/>
              <w:jc w:val="both"/>
              <w:rPr>
                <w:rFonts w:ascii="宋体" w:hAnsi="宋体" w:cs="宋体" w:eastAsia="宋体" w:hint="default"/>
                <w:sz w:val="21"/>
                <w:szCs w:val="21"/>
              </w:rPr>
            </w:pPr>
            <w:r>
              <w:rPr>
                <w:rFonts w:ascii="宋体" w:hAnsi="宋体" w:cs="宋体" w:eastAsia="宋体" w:hint="default"/>
                <w:sz w:val="21"/>
                <w:szCs w:val="21"/>
              </w:rPr>
              <w:t>单项金额不重大</w:t>
            </w:r>
          </w:p>
          <w:p>
            <w:pPr>
              <w:pStyle w:val="TableParagraph"/>
              <w:spacing w:line="237" w:lineRule="auto" w:before="2"/>
              <w:ind w:left="12" w:right="114"/>
              <w:jc w:val="both"/>
              <w:rPr>
                <w:rFonts w:ascii="宋体" w:hAnsi="宋体" w:cs="宋体" w:eastAsia="宋体" w:hint="default"/>
                <w:sz w:val="21"/>
                <w:szCs w:val="21"/>
              </w:rPr>
            </w:pPr>
            <w:r>
              <w:rPr>
                <w:rFonts w:ascii="宋体" w:hAnsi="宋体" w:cs="宋体" w:eastAsia="宋体" w:hint="default"/>
                <w:sz w:val="21"/>
                <w:szCs w:val="21"/>
              </w:rPr>
              <w:t>但单独计提坏账</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准备的其他应收</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款</w:t>
            </w:r>
          </w:p>
        </w:tc>
        <w:tc>
          <w:tcPr>
            <w:tcW w:w="77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17"/>
              <w:jc w:val="right"/>
              <w:rPr>
                <w:rFonts w:ascii="Times New Roman" w:hAnsi="Times New Roman" w:cs="Times New Roman" w:eastAsia="Times New Roman" w:hint="default"/>
                <w:sz w:val="21"/>
                <w:szCs w:val="21"/>
              </w:rPr>
            </w:pPr>
            <w:r>
              <w:rPr>
                <w:rFonts w:ascii="Times New Roman"/>
                <w:sz w:val="21"/>
              </w:rPr>
              <w:t>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16"/>
              <w:jc w:val="right"/>
              <w:rPr>
                <w:rFonts w:ascii="Times New Roman" w:hAnsi="Times New Roman" w:cs="Times New Roman" w:eastAsia="Times New Roman" w:hint="default"/>
                <w:sz w:val="21"/>
                <w:szCs w:val="21"/>
              </w:rPr>
            </w:pPr>
            <w:r>
              <w:rPr>
                <w:rFonts w:ascii="Times New Roman"/>
                <w:sz w:val="21"/>
              </w:rPr>
              <w:t>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19"/>
              <w:jc w:val="right"/>
              <w:rPr>
                <w:rFonts w:ascii="Times New Roman" w:hAnsi="Times New Roman" w:cs="Times New Roman" w:eastAsia="Times New Roman" w:hint="default"/>
                <w:sz w:val="21"/>
                <w:szCs w:val="21"/>
              </w:rPr>
            </w:pPr>
            <w:r>
              <w:rPr>
                <w:rFonts w:ascii="Times New Roman"/>
                <w:sz w:val="21"/>
              </w:rPr>
              <w:t>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16"/>
              <w:jc w:val="right"/>
              <w:rPr>
                <w:rFonts w:ascii="Times New Roman" w:hAnsi="Times New Roman" w:cs="Times New Roman" w:eastAsia="Times New Roman" w:hint="default"/>
                <w:sz w:val="21"/>
                <w:szCs w:val="21"/>
              </w:rPr>
            </w:pPr>
            <w:r>
              <w:rPr>
                <w:rFonts w:ascii="Times New Roman"/>
                <w:sz w:val="21"/>
              </w:rPr>
              <w:t>0.00%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17"/>
              <w:jc w:val="right"/>
              <w:rPr>
                <w:rFonts w:ascii="Times New Roman" w:hAnsi="Times New Roman" w:cs="Times New Roman" w:eastAsia="Times New Roman" w:hint="default"/>
                <w:sz w:val="21"/>
                <w:szCs w:val="21"/>
              </w:rPr>
            </w:pPr>
            <w:r>
              <w:rPr>
                <w:rFonts w:ascii="Times New Roman"/>
                <w:sz w:val="21"/>
              </w:rPr>
              <w:t>0.00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17"/>
              <w:jc w:val="right"/>
              <w:rPr>
                <w:rFonts w:ascii="Times New Roman" w:hAnsi="Times New Roman" w:cs="Times New Roman" w:eastAsia="Times New Roman" w:hint="default"/>
                <w:sz w:val="21"/>
                <w:szCs w:val="21"/>
              </w:rPr>
            </w:pPr>
            <w:r>
              <w:rPr>
                <w:rFonts w:ascii="Times New Roman"/>
                <w:sz w:val="21"/>
              </w:rPr>
              <w:t>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16"/>
              <w:jc w:val="right"/>
              <w:rPr>
                <w:rFonts w:ascii="Times New Roman" w:hAnsi="Times New Roman" w:cs="Times New Roman" w:eastAsia="Times New Roman" w:hint="default"/>
                <w:sz w:val="21"/>
                <w:szCs w:val="21"/>
              </w:rPr>
            </w:pPr>
            <w:r>
              <w:rPr>
                <w:rFonts w:ascii="Times New Roman"/>
                <w:sz w:val="21"/>
              </w:rPr>
              <w:t>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17"/>
              <w:jc w:val="right"/>
              <w:rPr>
                <w:rFonts w:ascii="Times New Roman" w:hAnsi="Times New Roman" w:cs="Times New Roman" w:eastAsia="Times New Roman" w:hint="default"/>
                <w:sz w:val="21"/>
                <w:szCs w:val="21"/>
              </w:rPr>
            </w:pPr>
            <w:r>
              <w:rPr>
                <w:rFonts w:ascii="Times New Roman"/>
                <w:sz w:val="21"/>
              </w:rPr>
              <w:t>0.00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18"/>
              <w:jc w:val="right"/>
              <w:rPr>
                <w:rFonts w:ascii="Times New Roman" w:hAnsi="Times New Roman" w:cs="Times New Roman" w:eastAsia="Times New Roman" w:hint="default"/>
                <w:sz w:val="21"/>
                <w:szCs w:val="21"/>
              </w:rPr>
            </w:pPr>
            <w:r>
              <w:rPr>
                <w:rFonts w:ascii="Times New Roman"/>
                <w:sz w:val="21"/>
              </w:rPr>
              <w:t>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17"/>
              <w:jc w:val="right"/>
              <w:rPr>
                <w:rFonts w:ascii="Times New Roman" w:hAnsi="Times New Roman" w:cs="Times New Roman" w:eastAsia="Times New Roman" w:hint="default"/>
                <w:sz w:val="21"/>
                <w:szCs w:val="21"/>
              </w:rPr>
            </w:pPr>
            <w:r>
              <w:rPr>
                <w:rFonts w:ascii="Times New Roman"/>
                <w:sz w:val="21"/>
              </w:rPr>
              <w:t>0.00</w:t>
            </w:r>
          </w:p>
        </w:tc>
      </w:tr>
      <w:tr>
        <w:trPr>
          <w:trHeight w:val="110" w:hRule="exact"/>
        </w:trPr>
        <w:tc>
          <w:tcPr>
            <w:tcW w:w="1612" w:type="dxa"/>
            <w:tcBorders>
              <w:top w:val="single" w:sz="4" w:space="0" w:color="000000"/>
              <w:left w:val="single" w:sz="4" w:space="0" w:color="000000"/>
              <w:bottom w:val="nil" w:sz="6" w:space="0" w:color="auto"/>
              <w:right w:val="single" w:sz="4" w:space="0" w:color="000000"/>
            </w:tcBorders>
            <w:shd w:val="clear" w:color="auto" w:fill="D4D4D4"/>
          </w:tcPr>
          <w:p>
            <w:pPr/>
          </w:p>
        </w:tc>
        <w:tc>
          <w:tcPr>
            <w:tcW w:w="774" w:type="dxa"/>
            <w:vMerge w:val="restart"/>
            <w:tcBorders>
              <w:top w:val="single" w:sz="4" w:space="0" w:color="000000"/>
              <w:left w:val="single" w:sz="12" w:space="0" w:color="D4D4D4"/>
              <w:right w:val="single" w:sz="4" w:space="0" w:color="000000"/>
            </w:tcBorders>
          </w:tcPr>
          <w:p>
            <w:pPr>
              <w:pStyle w:val="TableParagraph"/>
              <w:spacing w:line="235" w:lineRule="exact"/>
              <w:ind w:left="81" w:right="0"/>
              <w:jc w:val="center"/>
              <w:rPr>
                <w:rFonts w:ascii="Times New Roman" w:hAnsi="Times New Roman" w:cs="Times New Roman" w:eastAsia="Times New Roman" w:hint="default"/>
                <w:sz w:val="21"/>
                <w:szCs w:val="21"/>
              </w:rPr>
            </w:pPr>
            <w:r>
              <w:rPr>
                <w:rFonts w:ascii="Times New Roman"/>
                <w:sz w:val="21"/>
              </w:rPr>
              <w:t>1,156,7</w:t>
            </w:r>
          </w:p>
          <w:p>
            <w:pPr>
              <w:pStyle w:val="TableParagraph"/>
              <w:spacing w:line="240" w:lineRule="auto" w:before="1"/>
              <w:ind w:left="240" w:right="0"/>
              <w:jc w:val="center"/>
              <w:rPr>
                <w:rFonts w:ascii="Times New Roman" w:hAnsi="Times New Roman" w:cs="Times New Roman" w:eastAsia="Times New Roman" w:hint="default"/>
                <w:sz w:val="21"/>
                <w:szCs w:val="21"/>
              </w:rPr>
            </w:pPr>
            <w:r>
              <w:rPr>
                <w:rFonts w:ascii="Times New Roman"/>
                <w:sz w:val="21"/>
              </w:rPr>
              <w:t>84.36</w:t>
            </w:r>
          </w:p>
        </w:tc>
        <w:tc>
          <w:tcPr>
            <w:tcW w:w="761" w:type="dxa"/>
            <w:vMerge w:val="restart"/>
            <w:tcBorders>
              <w:top w:val="single" w:sz="4" w:space="0" w:color="000000"/>
              <w:left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z w:val="21"/>
              </w:rPr>
              <w:t>100.00</w:t>
            </w:r>
          </w:p>
          <w:p>
            <w:pPr>
              <w:pStyle w:val="TableParagraph"/>
              <w:spacing w:line="240" w:lineRule="auto" w:before="1"/>
              <w:ind w:right="18"/>
              <w:jc w:val="right"/>
              <w:rPr>
                <w:rFonts w:ascii="Times New Roman" w:hAnsi="Times New Roman" w:cs="Times New Roman" w:eastAsia="Times New Roman" w:hint="default"/>
                <w:sz w:val="21"/>
                <w:szCs w:val="21"/>
              </w:rPr>
            </w:pPr>
            <w:r>
              <w:rPr>
                <w:rFonts w:ascii="Times New Roman"/>
                <w:w w:val="100"/>
                <w:sz w:val="21"/>
              </w:rPr>
              <w:t>%</w:t>
            </w:r>
          </w:p>
        </w:tc>
        <w:tc>
          <w:tcPr>
            <w:tcW w:w="763" w:type="dxa"/>
            <w:vMerge w:val="restart"/>
            <w:tcBorders>
              <w:top w:val="single" w:sz="4" w:space="0" w:color="000000"/>
              <w:left w:val="single" w:sz="4" w:space="0" w:color="000000"/>
              <w:right w:val="single" w:sz="4" w:space="0" w:color="000000"/>
            </w:tcBorders>
          </w:tcPr>
          <w:p>
            <w:pPr>
              <w:pStyle w:val="TableParagraph"/>
              <w:spacing w:line="235" w:lineRule="exact"/>
              <w:ind w:left="47" w:right="0"/>
              <w:jc w:val="left"/>
              <w:rPr>
                <w:rFonts w:ascii="Times New Roman" w:hAnsi="Times New Roman" w:cs="Times New Roman" w:eastAsia="Times New Roman" w:hint="default"/>
                <w:sz w:val="21"/>
                <w:szCs w:val="21"/>
              </w:rPr>
            </w:pPr>
            <w:r>
              <w:rPr>
                <w:rFonts w:ascii="Times New Roman"/>
                <w:sz w:val="21"/>
              </w:rPr>
              <w:t>305,694</w:t>
            </w:r>
          </w:p>
          <w:p>
            <w:pPr>
              <w:pStyle w:val="TableParagraph"/>
              <w:spacing w:line="240" w:lineRule="auto" w:before="1"/>
              <w:ind w:left="467" w:right="0"/>
              <w:jc w:val="left"/>
              <w:rPr>
                <w:rFonts w:ascii="Times New Roman" w:hAnsi="Times New Roman" w:cs="Times New Roman" w:eastAsia="Times New Roman" w:hint="default"/>
                <w:sz w:val="21"/>
                <w:szCs w:val="21"/>
              </w:rPr>
            </w:pPr>
            <w:r>
              <w:rPr>
                <w:rFonts w:ascii="Times New Roman"/>
                <w:sz w:val="21"/>
              </w:rPr>
              <w:t>.27</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13"/>
              <w:ind w:left="83" w:right="0"/>
              <w:jc w:val="left"/>
              <w:rPr>
                <w:rFonts w:ascii="Times New Roman" w:hAnsi="Times New Roman" w:cs="Times New Roman" w:eastAsia="Times New Roman" w:hint="default"/>
                <w:sz w:val="21"/>
                <w:szCs w:val="21"/>
              </w:rPr>
            </w:pPr>
            <w:r>
              <w:rPr>
                <w:rFonts w:ascii="Times New Roman"/>
                <w:sz w:val="21"/>
              </w:rPr>
              <w:t>26.43%</w:t>
            </w:r>
          </w:p>
        </w:tc>
        <w:tc>
          <w:tcPr>
            <w:tcW w:w="787" w:type="dxa"/>
            <w:vMerge w:val="restart"/>
            <w:tcBorders>
              <w:top w:val="single" w:sz="4" w:space="0" w:color="000000"/>
              <w:left w:val="single" w:sz="4" w:space="0" w:color="000000"/>
              <w:right w:val="single" w:sz="4" w:space="0" w:color="000000"/>
            </w:tcBorders>
          </w:tcPr>
          <w:p>
            <w:pPr>
              <w:pStyle w:val="TableParagraph"/>
              <w:spacing w:line="235" w:lineRule="exact"/>
              <w:ind w:left="74" w:right="0"/>
              <w:jc w:val="left"/>
              <w:rPr>
                <w:rFonts w:ascii="Times New Roman" w:hAnsi="Times New Roman" w:cs="Times New Roman" w:eastAsia="Times New Roman" w:hint="default"/>
                <w:sz w:val="21"/>
                <w:szCs w:val="21"/>
              </w:rPr>
            </w:pPr>
            <w:r>
              <w:rPr>
                <w:rFonts w:ascii="Times New Roman"/>
                <w:sz w:val="21"/>
              </w:rPr>
              <w:t>851,090</w:t>
            </w:r>
          </w:p>
          <w:p>
            <w:pPr>
              <w:pStyle w:val="TableParagraph"/>
              <w:spacing w:line="240" w:lineRule="auto" w:before="1"/>
              <w:ind w:left="494" w:right="0"/>
              <w:jc w:val="left"/>
              <w:rPr>
                <w:rFonts w:ascii="Times New Roman" w:hAnsi="Times New Roman" w:cs="Times New Roman" w:eastAsia="Times New Roman" w:hint="default"/>
                <w:sz w:val="21"/>
                <w:szCs w:val="21"/>
              </w:rPr>
            </w:pPr>
            <w:r>
              <w:rPr>
                <w:rFonts w:ascii="Times New Roman"/>
                <w:sz w:val="21"/>
              </w:rPr>
              <w:t>.09</w:t>
            </w:r>
          </w:p>
        </w:tc>
        <w:tc>
          <w:tcPr>
            <w:tcW w:w="655" w:type="dxa"/>
            <w:vMerge w:val="restart"/>
            <w:tcBorders>
              <w:top w:val="single" w:sz="4" w:space="0" w:color="000000"/>
              <w:left w:val="single" w:sz="4" w:space="0" w:color="000000"/>
              <w:right w:val="single" w:sz="4" w:space="0" w:color="000000"/>
            </w:tcBorders>
          </w:tcPr>
          <w:p>
            <w:pPr>
              <w:pStyle w:val="TableParagraph"/>
              <w:spacing w:line="235" w:lineRule="exact"/>
              <w:ind w:left="45" w:right="0"/>
              <w:jc w:val="left"/>
              <w:rPr>
                <w:rFonts w:ascii="Times New Roman" w:hAnsi="Times New Roman" w:cs="Times New Roman" w:eastAsia="Times New Roman" w:hint="default"/>
                <w:sz w:val="21"/>
                <w:szCs w:val="21"/>
              </w:rPr>
            </w:pPr>
            <w:r>
              <w:rPr>
                <w:rFonts w:ascii="Times New Roman"/>
                <w:sz w:val="21"/>
              </w:rPr>
              <w:t>590,42</w:t>
            </w:r>
          </w:p>
          <w:p>
            <w:pPr>
              <w:pStyle w:val="TableParagraph"/>
              <w:spacing w:line="240" w:lineRule="auto" w:before="1"/>
              <w:ind w:left="256" w:right="0"/>
              <w:jc w:val="left"/>
              <w:rPr>
                <w:rFonts w:ascii="Times New Roman" w:hAnsi="Times New Roman" w:cs="Times New Roman" w:eastAsia="Times New Roman" w:hint="default"/>
                <w:sz w:val="21"/>
                <w:szCs w:val="21"/>
              </w:rPr>
            </w:pPr>
            <w:r>
              <w:rPr>
                <w:rFonts w:ascii="Times New Roman"/>
                <w:sz w:val="21"/>
              </w:rPr>
              <w:t>7.23</w:t>
            </w:r>
          </w:p>
        </w:tc>
        <w:tc>
          <w:tcPr>
            <w:tcW w:w="761" w:type="dxa"/>
            <w:vMerge w:val="restart"/>
            <w:tcBorders>
              <w:top w:val="single" w:sz="4" w:space="0" w:color="000000"/>
              <w:left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z w:val="21"/>
              </w:rPr>
              <w:t>100.00</w:t>
            </w:r>
          </w:p>
          <w:p>
            <w:pPr>
              <w:pStyle w:val="TableParagraph"/>
              <w:spacing w:line="240" w:lineRule="auto" w:before="1"/>
              <w:ind w:right="18"/>
              <w:jc w:val="right"/>
              <w:rPr>
                <w:rFonts w:ascii="Times New Roman" w:hAnsi="Times New Roman" w:cs="Times New Roman" w:eastAsia="Times New Roman" w:hint="default"/>
                <w:sz w:val="21"/>
                <w:szCs w:val="21"/>
              </w:rPr>
            </w:pPr>
            <w:r>
              <w:rPr>
                <w:rFonts w:ascii="Times New Roman"/>
                <w:w w:val="100"/>
                <w:sz w:val="21"/>
              </w:rPr>
              <w:t>%</w:t>
            </w:r>
          </w:p>
        </w:tc>
        <w:tc>
          <w:tcPr>
            <w:tcW w:w="814" w:type="dxa"/>
            <w:vMerge w:val="restart"/>
            <w:tcBorders>
              <w:top w:val="single" w:sz="4" w:space="0" w:color="000000"/>
              <w:left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169,124.</w:t>
            </w:r>
          </w:p>
          <w:p>
            <w:pPr>
              <w:pStyle w:val="TableParagraph"/>
              <w:spacing w:line="240" w:lineRule="auto" w:before="1"/>
              <w:ind w:right="19"/>
              <w:jc w:val="right"/>
              <w:rPr>
                <w:rFonts w:ascii="Times New Roman" w:hAnsi="Times New Roman" w:cs="Times New Roman" w:eastAsia="Times New Roman" w:hint="default"/>
                <w:sz w:val="21"/>
                <w:szCs w:val="21"/>
              </w:rPr>
            </w:pPr>
            <w:r>
              <w:rPr>
                <w:rFonts w:ascii="Times New Roman"/>
                <w:sz w:val="21"/>
              </w:rPr>
              <w:t>99</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13"/>
              <w:ind w:left="251" w:right="0"/>
              <w:jc w:val="left"/>
              <w:rPr>
                <w:rFonts w:ascii="Times New Roman" w:hAnsi="Times New Roman" w:cs="Times New Roman" w:eastAsia="Times New Roman" w:hint="default"/>
                <w:sz w:val="21"/>
                <w:szCs w:val="21"/>
              </w:rPr>
            </w:pPr>
            <w:r>
              <w:rPr>
                <w:rFonts w:ascii="Times New Roman"/>
                <w:sz w:val="21"/>
              </w:rPr>
              <w:t>28.65%</w:t>
            </w:r>
          </w:p>
        </w:tc>
        <w:tc>
          <w:tcPr>
            <w:tcW w:w="931" w:type="dxa"/>
            <w:vMerge w:val="restart"/>
            <w:tcBorders>
              <w:top w:val="single" w:sz="4" w:space="0" w:color="000000"/>
              <w:left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421,302.2</w:t>
            </w:r>
          </w:p>
          <w:p>
            <w:pPr>
              <w:pStyle w:val="TableParagraph"/>
              <w:spacing w:line="240" w:lineRule="auto" w:before="1"/>
              <w:ind w:right="19"/>
              <w:jc w:val="right"/>
              <w:rPr>
                <w:rFonts w:ascii="Times New Roman" w:hAnsi="Times New Roman" w:cs="Times New Roman" w:eastAsia="Times New Roman" w:hint="default"/>
                <w:sz w:val="21"/>
                <w:szCs w:val="21"/>
              </w:rPr>
            </w:pPr>
            <w:r>
              <w:rPr>
                <w:rFonts w:ascii="Times New Roman"/>
                <w:w w:val="100"/>
                <w:sz w:val="21"/>
              </w:rPr>
              <w:t>4</w:t>
            </w:r>
          </w:p>
        </w:tc>
      </w:tr>
      <w:tr>
        <w:trPr>
          <w:trHeight w:val="382" w:hRule="exact"/>
        </w:trPr>
        <w:tc>
          <w:tcPr>
            <w:tcW w:w="1612" w:type="dxa"/>
            <w:tcBorders>
              <w:top w:val="nil" w:sz="6" w:space="0" w:color="auto"/>
              <w:left w:val="single" w:sz="4" w:space="0" w:color="000000"/>
              <w:bottom w:val="single" w:sz="4" w:space="0" w:color="000000"/>
              <w:right w:val="single" w:sz="4" w:space="0" w:color="000000"/>
            </w:tcBorders>
            <w:shd w:val="clear" w:color="auto" w:fill="D4D4D4"/>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74" w:type="dxa"/>
            <w:vMerge/>
            <w:tcBorders>
              <w:left w:val="single" w:sz="12" w:space="0" w:color="D4D4D4"/>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880" w:footer="979" w:top="1060" w:bottom="1160" w:left="980" w:right="980"/>
        </w:sectPr>
      </w:pPr>
    </w:p>
    <w:p>
      <w:pPr>
        <w:pStyle w:val="BodyText"/>
        <w:spacing w:line="262" w:lineRule="exact"/>
        <w:ind w:right="0"/>
        <w:jc w:val="left"/>
      </w:pPr>
      <w:r>
        <w:rPr>
          <w:spacing w:val="-2"/>
        </w:rPr>
        <w:t>期末单项金额重大并单项计提坏账准备的其他应收款：</w:t>
      </w:r>
    </w:p>
    <w:p>
      <w:pPr>
        <w:pStyle w:val="BodyText"/>
        <w:spacing w:line="256" w:lineRule="auto" w:before="3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组合中，按账龄分析法计提坏账准备的其他应收款：</w:t>
      </w:r>
      <w:r>
        <w:rPr/>
      </w:r>
    </w:p>
    <w:p>
      <w:pPr>
        <w:pStyle w:val="BodyText"/>
        <w:spacing w:line="240" w:lineRule="auto" w:before="2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spacing w:line="240" w:lineRule="auto"/>
        <w:ind w:right="0"/>
        <w:jc w:val="left"/>
      </w:pPr>
      <w:r>
        <w:rPr/>
        <w:t>单位：</w:t>
      </w:r>
      <w:r>
        <w:rPr>
          <w:spacing w:val="2"/>
        </w:rPr>
        <w:t> </w:t>
      </w:r>
      <w:r>
        <w:rPr/>
        <w:t>元</w:t>
      </w:r>
    </w:p>
    <w:p>
      <w:pPr>
        <w:spacing w:after="0" w:line="240" w:lineRule="auto"/>
        <w:jc w:val="left"/>
        <w:sectPr>
          <w:type w:val="continuous"/>
          <w:pgSz w:w="11910" w:h="16840"/>
          <w:pgMar w:top="1060" w:bottom="1180" w:left="980" w:right="980"/>
          <w:cols w:num="2" w:equalWidth="0">
            <w:col w:w="5199" w:space="3494"/>
            <w:col w:w="1257"/>
          </w:cols>
        </w:sectPr>
      </w:pPr>
    </w:p>
    <w:p>
      <w:pPr>
        <w:spacing w:line="240" w:lineRule="auto" w:before="11"/>
        <w:rPr>
          <w:rFonts w:ascii="宋体" w:hAnsi="宋体" w:cs="宋体" w:eastAsia="宋体" w:hint="default"/>
          <w:sz w:val="3"/>
          <w:szCs w:val="3"/>
        </w:rPr>
      </w:pPr>
    </w:p>
    <w:tbl>
      <w:tblPr>
        <w:tblW w:w="0" w:type="auto"/>
        <w:jc w:val="left"/>
        <w:tblInd w:w="160" w:type="dxa"/>
        <w:tblLayout w:type="fixed"/>
        <w:tblCellMar>
          <w:top w:w="0" w:type="dxa"/>
          <w:left w:w="0" w:type="dxa"/>
          <w:bottom w:w="0" w:type="dxa"/>
          <w:right w:w="0" w:type="dxa"/>
        </w:tblCellMar>
        <w:tblLook w:val="01E0"/>
      </w:tblPr>
      <w:tblGrid>
        <w:gridCol w:w="2482"/>
        <w:gridCol w:w="2294"/>
        <w:gridCol w:w="2390"/>
        <w:gridCol w:w="2390"/>
      </w:tblGrid>
      <w:tr>
        <w:trPr>
          <w:trHeight w:val="146" w:hRule="exact"/>
        </w:trPr>
        <w:tc>
          <w:tcPr>
            <w:tcW w:w="2482" w:type="dxa"/>
            <w:tcBorders>
              <w:top w:val="single" w:sz="4" w:space="0" w:color="000000"/>
              <w:left w:val="single" w:sz="4" w:space="0" w:color="000000"/>
              <w:bottom w:val="nil" w:sz="6" w:space="0" w:color="auto"/>
              <w:right w:val="single" w:sz="4" w:space="0" w:color="000000"/>
            </w:tcBorders>
            <w:shd w:val="clear" w:color="auto" w:fill="D4D4D4"/>
          </w:tcPr>
          <w:p>
            <w:pPr/>
          </w:p>
        </w:tc>
        <w:tc>
          <w:tcPr>
            <w:tcW w:w="7075"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132" w:hRule="exact"/>
        </w:trPr>
        <w:tc>
          <w:tcPr>
            <w:tcW w:w="2482" w:type="dxa"/>
            <w:vMerge w:val="restart"/>
            <w:tcBorders>
              <w:top w:val="nil" w:sz="6" w:space="0" w:color="auto"/>
              <w:left w:val="single" w:sz="4" w:space="0" w:color="000000"/>
              <w:right w:val="single" w:sz="4" w:space="0" w:color="000000"/>
            </w:tcBorders>
            <w:shd w:val="clear" w:color="auto" w:fill="D4D4D4"/>
          </w:tcPr>
          <w:p>
            <w:pPr>
              <w:pStyle w:val="TableParagraph"/>
              <w:spacing w:line="241" w:lineRule="exact"/>
              <w:ind w:right="8"/>
              <w:jc w:val="center"/>
              <w:rPr>
                <w:rFonts w:ascii="宋体" w:hAnsi="宋体" w:cs="宋体" w:eastAsia="宋体" w:hint="default"/>
                <w:sz w:val="21"/>
                <w:szCs w:val="21"/>
              </w:rPr>
            </w:pPr>
            <w:r>
              <w:rPr>
                <w:rFonts w:ascii="宋体" w:hAnsi="宋体" w:cs="宋体" w:eastAsia="宋体" w:hint="default"/>
                <w:sz w:val="21"/>
                <w:szCs w:val="21"/>
              </w:rPr>
              <w:t>账龄</w:t>
            </w:r>
          </w:p>
        </w:tc>
        <w:tc>
          <w:tcPr>
            <w:tcW w:w="7075" w:type="dxa"/>
            <w:gridSpan w:val="3"/>
            <w:vMerge/>
            <w:tcBorders>
              <w:left w:val="single" w:sz="4" w:space="0" w:color="000000"/>
              <w:bottom w:val="single" w:sz="4" w:space="0" w:color="000000"/>
              <w:right w:val="single" w:sz="4" w:space="0" w:color="000000"/>
            </w:tcBorders>
            <w:shd w:val="clear" w:color="auto" w:fill="D4D4D4"/>
          </w:tcPr>
          <w:p>
            <w:pPr/>
          </w:p>
        </w:tc>
      </w:tr>
      <w:tr>
        <w:trPr>
          <w:trHeight w:val="142" w:hRule="exact"/>
        </w:trPr>
        <w:tc>
          <w:tcPr>
            <w:tcW w:w="2482" w:type="dxa"/>
            <w:vMerge/>
            <w:tcBorders>
              <w:left w:val="single" w:sz="4" w:space="0" w:color="000000"/>
              <w:bottom w:val="nil" w:sz="6" w:space="0" w:color="auto"/>
              <w:right w:val="single" w:sz="4" w:space="0" w:color="000000"/>
            </w:tcBorders>
            <w:shd w:val="clear" w:color="auto" w:fill="D4D4D4"/>
          </w:tcPr>
          <w:p>
            <w:pPr/>
          </w:p>
        </w:tc>
        <w:tc>
          <w:tcPr>
            <w:tcW w:w="2294" w:type="dxa"/>
            <w:vMerge w:val="restart"/>
            <w:tcBorders>
              <w:top w:val="single" w:sz="4" w:space="0" w:color="000000"/>
              <w:left w:val="single" w:sz="4" w:space="0" w:color="000000"/>
              <w:right w:val="single" w:sz="4" w:space="0" w:color="000000"/>
            </w:tcBorders>
            <w:shd w:val="clear" w:color="auto" w:fill="D4D4D4"/>
          </w:tcPr>
          <w:p>
            <w:pPr>
              <w:pStyle w:val="TableParagraph"/>
              <w:spacing w:line="246" w:lineRule="exact"/>
              <w:ind w:left="61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390" w:type="dxa"/>
            <w:vMerge w:val="restart"/>
            <w:tcBorders>
              <w:top w:val="single" w:sz="4" w:space="0" w:color="000000"/>
              <w:left w:val="single" w:sz="4" w:space="0" w:color="000000"/>
              <w:right w:val="single" w:sz="4" w:space="0" w:color="000000"/>
            </w:tcBorders>
            <w:shd w:val="clear" w:color="auto" w:fill="D4D4D4"/>
          </w:tcPr>
          <w:p>
            <w:pPr>
              <w:pStyle w:val="TableParagraph"/>
              <w:spacing w:line="246" w:lineRule="exact"/>
              <w:ind w:left="76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390" w:type="dxa"/>
            <w:vMerge w:val="restart"/>
            <w:tcBorders>
              <w:top w:val="single" w:sz="4" w:space="0" w:color="000000"/>
              <w:left w:val="single" w:sz="4" w:space="0" w:color="000000"/>
              <w:right w:val="single" w:sz="4" w:space="0" w:color="000000"/>
            </w:tcBorders>
            <w:shd w:val="clear" w:color="auto" w:fill="D4D4D4"/>
          </w:tcPr>
          <w:p>
            <w:pPr>
              <w:pStyle w:val="TableParagraph"/>
              <w:spacing w:line="246" w:lineRule="exact"/>
              <w:ind w:left="769"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151" w:hRule="exact"/>
        </w:trPr>
        <w:tc>
          <w:tcPr>
            <w:tcW w:w="2482" w:type="dxa"/>
            <w:tcBorders>
              <w:top w:val="nil" w:sz="6" w:space="0" w:color="auto"/>
              <w:left w:val="single" w:sz="4" w:space="0" w:color="000000"/>
              <w:bottom w:val="single" w:sz="4" w:space="0" w:color="000000"/>
              <w:right w:val="single" w:sz="4" w:space="0" w:color="000000"/>
            </w:tcBorders>
            <w:shd w:val="clear" w:color="auto" w:fill="D4D4D4"/>
          </w:tcPr>
          <w:p>
            <w:pPr/>
          </w:p>
        </w:tc>
        <w:tc>
          <w:tcPr>
            <w:tcW w:w="2294" w:type="dxa"/>
            <w:vMerge/>
            <w:tcBorders>
              <w:left w:val="single" w:sz="4" w:space="0" w:color="000000"/>
              <w:bottom w:val="single" w:sz="4" w:space="0" w:color="000000"/>
              <w:right w:val="single" w:sz="4" w:space="0" w:color="000000"/>
            </w:tcBorders>
            <w:shd w:val="clear" w:color="auto" w:fill="D4D4D4"/>
          </w:tcPr>
          <w:p>
            <w:pPr/>
          </w:p>
        </w:tc>
        <w:tc>
          <w:tcPr>
            <w:tcW w:w="2390" w:type="dxa"/>
            <w:vMerge/>
            <w:tcBorders>
              <w:left w:val="single" w:sz="4" w:space="0" w:color="000000"/>
              <w:bottom w:val="single" w:sz="4" w:space="0" w:color="000000"/>
              <w:right w:val="single" w:sz="4" w:space="0" w:color="000000"/>
            </w:tcBorders>
            <w:shd w:val="clear" w:color="auto" w:fill="D4D4D4"/>
          </w:tcPr>
          <w:p>
            <w:pPr/>
          </w:p>
        </w:tc>
        <w:tc>
          <w:tcPr>
            <w:tcW w:w="2390" w:type="dxa"/>
            <w:vMerge/>
            <w:tcBorders>
              <w:left w:val="single" w:sz="4" w:space="0" w:color="000000"/>
              <w:bottom w:val="single" w:sz="4" w:space="0" w:color="000000"/>
              <w:right w:val="single" w:sz="4" w:space="0" w:color="000000"/>
            </w:tcBorders>
            <w:shd w:val="clear" w:color="auto" w:fill="D4D4D4"/>
          </w:tcPr>
          <w:p>
            <w:pPr/>
          </w:p>
        </w:tc>
      </w:tr>
      <w:tr>
        <w:trPr>
          <w:trHeight w:val="278"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52" w:lineRule="exact"/>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年以内分项</w:t>
            </w:r>
          </w:p>
        </w:tc>
      </w:tr>
      <w:tr>
        <w:trPr>
          <w:trHeight w:val="283" w:hRule="exact"/>
        </w:trPr>
        <w:tc>
          <w:tcPr>
            <w:tcW w:w="24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57" w:lineRule="exact"/>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年以内小计</w:t>
            </w:r>
          </w:p>
        </w:tc>
        <w:tc>
          <w:tcPr>
            <w:tcW w:w="229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670,296.12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21"/>
                <w:szCs w:val="21"/>
              </w:rPr>
            </w:pPr>
            <w:r>
              <w:rPr>
                <w:rFonts w:ascii="Times New Roman"/>
                <w:spacing w:val="-1"/>
                <w:sz w:val="21"/>
              </w:rPr>
              <w:t>6,702.96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Times New Roman" w:hAnsi="Times New Roman" w:cs="Times New Roman" w:eastAsia="Times New Roman" w:hint="default"/>
                <w:sz w:val="21"/>
                <w:szCs w:val="21"/>
              </w:rPr>
            </w:pPr>
            <w:r>
              <w:rPr>
                <w:rFonts w:ascii="Times New Roman"/>
                <w:sz w:val="21"/>
              </w:rPr>
              <w:t>1.00%</w:t>
            </w:r>
          </w:p>
        </w:tc>
      </w:tr>
      <w:tr>
        <w:trPr>
          <w:trHeight w:val="283" w:hRule="exact"/>
        </w:trPr>
        <w:tc>
          <w:tcPr>
            <w:tcW w:w="24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57" w:lineRule="exact"/>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29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134,350.00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21"/>
                <w:szCs w:val="21"/>
              </w:rPr>
            </w:pPr>
            <w:r>
              <w:rPr>
                <w:rFonts w:ascii="Times New Roman"/>
                <w:spacing w:val="-1"/>
                <w:sz w:val="21"/>
              </w:rPr>
              <w:t>13,435.00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Times New Roman" w:hAnsi="Times New Roman" w:cs="Times New Roman" w:eastAsia="Times New Roman" w:hint="default"/>
                <w:sz w:val="21"/>
                <w:szCs w:val="21"/>
              </w:rPr>
            </w:pPr>
            <w:r>
              <w:rPr>
                <w:rFonts w:ascii="Times New Roman"/>
                <w:sz w:val="21"/>
              </w:rPr>
              <w:t>10.00%</w:t>
            </w:r>
          </w:p>
        </w:tc>
      </w:tr>
      <w:tr>
        <w:trPr>
          <w:trHeight w:val="283" w:hRule="exact"/>
        </w:trPr>
        <w:tc>
          <w:tcPr>
            <w:tcW w:w="24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57" w:lineRule="exact"/>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29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2"/>
                <w:sz w:val="21"/>
              </w:rPr>
              <w:t>95,117.04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21"/>
                <w:szCs w:val="21"/>
              </w:rPr>
            </w:pPr>
            <w:r>
              <w:rPr>
                <w:rFonts w:ascii="Times New Roman"/>
                <w:spacing w:val="-2"/>
                <w:sz w:val="21"/>
              </w:rPr>
              <w:t>28,535.11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Times New Roman" w:hAnsi="Times New Roman" w:cs="Times New Roman" w:eastAsia="Times New Roman" w:hint="default"/>
                <w:sz w:val="21"/>
                <w:szCs w:val="21"/>
              </w:rPr>
            </w:pPr>
            <w:r>
              <w:rPr>
                <w:rFonts w:ascii="Times New Roman"/>
                <w:sz w:val="21"/>
              </w:rPr>
              <w:t>30.00%</w:t>
            </w:r>
          </w:p>
        </w:tc>
      </w:tr>
      <w:tr>
        <w:trPr>
          <w:trHeight w:val="283" w:hRule="exact"/>
        </w:trPr>
        <w:tc>
          <w:tcPr>
            <w:tcW w:w="24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57" w:lineRule="exact"/>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年以上</w:t>
            </w:r>
          </w:p>
        </w:tc>
        <w:tc>
          <w:tcPr>
            <w:tcW w:w="229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257,021.20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21"/>
                <w:szCs w:val="21"/>
              </w:rPr>
            </w:pPr>
            <w:r>
              <w:rPr>
                <w:rFonts w:ascii="Times New Roman"/>
                <w:spacing w:val="-1"/>
                <w:sz w:val="21"/>
              </w:rPr>
              <w:t>257,021.20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Times New Roman" w:hAnsi="Times New Roman" w:cs="Times New Roman" w:eastAsia="Times New Roman" w:hint="default"/>
                <w:sz w:val="21"/>
                <w:szCs w:val="21"/>
              </w:rPr>
            </w:pPr>
            <w:r>
              <w:rPr>
                <w:rFonts w:ascii="Times New Roman"/>
                <w:sz w:val="21"/>
              </w:rPr>
              <w:t>100.00%</w:t>
            </w:r>
          </w:p>
        </w:tc>
      </w:tr>
      <w:tr>
        <w:trPr>
          <w:trHeight w:val="283" w:hRule="exact"/>
        </w:trPr>
        <w:tc>
          <w:tcPr>
            <w:tcW w:w="24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29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1,156,784.36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21"/>
                <w:szCs w:val="21"/>
              </w:rPr>
            </w:pPr>
            <w:r>
              <w:rPr>
                <w:rFonts w:ascii="Times New Roman"/>
                <w:spacing w:val="-1"/>
                <w:sz w:val="21"/>
              </w:rPr>
              <w:t>305,694.27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Times New Roman" w:hAnsi="Times New Roman" w:cs="Times New Roman" w:eastAsia="Times New Roman" w:hint="default"/>
                <w:sz w:val="21"/>
                <w:szCs w:val="21"/>
              </w:rPr>
            </w:pPr>
            <w:r>
              <w:rPr>
                <w:rFonts w:ascii="Times New Roman"/>
                <w:sz w:val="21"/>
              </w:rPr>
              <w:t>26.43%</w:t>
            </w:r>
          </w:p>
        </w:tc>
      </w:tr>
    </w:tbl>
    <w:p>
      <w:pPr>
        <w:pStyle w:val="BodyText"/>
        <w:spacing w:line="273" w:lineRule="auto"/>
        <w:ind w:right="3068"/>
        <w:jc w:val="left"/>
      </w:pPr>
      <w:r>
        <w:rPr/>
        <w:t>确定该组合依据的说明：</w:t>
      </w:r>
      <w:r>
        <w:rPr>
          <w:w w:val="100"/>
        </w:rPr>
        <w:t> </w:t>
      </w:r>
      <w:r>
        <w:rPr>
          <w:spacing w:val="-2"/>
        </w:rPr>
        <w:t>组合中，采用余额百分比法计提坏账准备的其他应收款：</w:t>
      </w:r>
    </w:p>
    <w:p>
      <w:pPr>
        <w:pStyle w:val="BodyText"/>
        <w:spacing w:line="256" w:lineRule="auto" w:before="7"/>
        <w:ind w:right="380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spacing w:val="-104"/>
        </w:rPr>
        <w:t> </w:t>
      </w:r>
      <w:r>
        <w:rPr>
          <w:spacing w:val="-104"/>
        </w:rPr>
      </w:r>
      <w:r>
        <w:rPr>
          <w:spacing w:val="-2"/>
        </w:rPr>
        <w:t>组合中，采用其他方法计提坏账准备的其他应收款：</w:t>
      </w:r>
    </w:p>
    <w:p>
      <w:pPr>
        <w:pStyle w:val="BodyText"/>
        <w:spacing w:line="240" w:lineRule="auto" w:before="2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7"/>
        <w:rPr>
          <w:rFonts w:ascii="宋体" w:hAnsi="宋体" w:cs="宋体" w:eastAsia="宋体" w:hint="default"/>
          <w:sz w:val="24"/>
          <w:szCs w:val="24"/>
        </w:rPr>
      </w:pPr>
    </w:p>
    <w:p>
      <w:pPr>
        <w:pStyle w:val="Heading5"/>
        <w:spacing w:line="240" w:lineRule="auto"/>
        <w:ind w:right="0"/>
        <w:jc w:val="left"/>
        <w:rPr>
          <w:b w:val="0"/>
          <w:bCs w:val="0"/>
        </w:rPr>
      </w:pPr>
      <w:bookmarkStart w:name="（2）本期计提、收回或转回的坏账准备情况" w:id="286"/>
      <w:bookmarkEnd w:id="286"/>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right="0"/>
        <w:jc w:val="left"/>
      </w:pPr>
      <w:r>
        <w:rPr/>
        <w:t>本期计提坏账准备金额</w:t>
      </w:r>
      <w:r>
        <w:rPr>
          <w:spacing w:val="-55"/>
        </w:rPr>
        <w:t> </w:t>
      </w:r>
      <w:r>
        <w:rPr>
          <w:rFonts w:ascii="Times New Roman" w:hAnsi="Times New Roman" w:cs="Times New Roman" w:eastAsia="Times New Roman" w:hint="default"/>
        </w:rPr>
        <w:t>305,694.27</w:t>
      </w:r>
      <w:r>
        <w:rPr>
          <w:rFonts w:ascii="Times New Roman" w:hAnsi="Times New Roman" w:cs="Times New Roman" w:eastAsia="Times New Roman" w:hint="default"/>
          <w:spacing w:val="-2"/>
        </w:rPr>
        <w:t> </w:t>
      </w:r>
      <w:r>
        <w:rPr/>
        <w:t>元；本期收回或转回坏账准备金额</w:t>
      </w:r>
      <w:r>
        <w:rPr>
          <w:spacing w:val="-5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3"/>
        </w:rPr>
        <w:t> </w:t>
      </w:r>
      <w:r>
        <w:rPr>
          <w:spacing w:val="-3"/>
        </w:rPr>
        <w:t>元。</w:t>
      </w:r>
      <w:r>
        <w:rPr/>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6"/>
          <w:szCs w:val="26"/>
        </w:rPr>
      </w:pPr>
    </w:p>
    <w:p>
      <w:pPr>
        <w:pStyle w:val="Heading5"/>
        <w:spacing w:line="240" w:lineRule="auto"/>
        <w:ind w:right="0"/>
        <w:jc w:val="left"/>
        <w:rPr>
          <w:b w:val="0"/>
          <w:bCs w:val="0"/>
        </w:rPr>
      </w:pPr>
      <w:bookmarkStart w:name="（3）其他应收款按款项性质分类情况" w:id="287"/>
      <w:bookmarkEnd w:id="287"/>
      <w:r>
        <w:rPr>
          <w:b w:val="0"/>
          <w:bCs w:val="0"/>
        </w:rPr>
      </w: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150"/>
        <w:jc w:val="right"/>
      </w:pPr>
      <w:r>
        <w:rPr/>
        <w:t>单位：</w:t>
      </w:r>
      <w:r>
        <w:rPr>
          <w:spacing w:val="2"/>
        </w:rPr>
        <w:t> </w:t>
      </w:r>
      <w:r>
        <w:rPr/>
        <w:t>元</w:t>
      </w:r>
    </w:p>
    <w:p>
      <w:pPr>
        <w:spacing w:line="240" w:lineRule="auto" w:before="10"/>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3367"/>
        <w:gridCol w:w="3101"/>
        <w:gridCol w:w="3101"/>
      </w:tblGrid>
      <w:tr>
        <w:trPr>
          <w:trHeight w:val="283" w:hRule="exact"/>
        </w:trPr>
        <w:tc>
          <w:tcPr>
            <w:tcW w:w="3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914"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31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914"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3"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保证金及押金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817,936.18</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516,738.24</w:t>
            </w:r>
          </w:p>
        </w:tc>
      </w:tr>
      <w:tr>
        <w:trPr>
          <w:trHeight w:val="283"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328,848.18</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63,688.99</w:t>
            </w:r>
          </w:p>
        </w:tc>
      </w:tr>
      <w:tr>
        <w:trPr>
          <w:trHeight w:val="283"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往来款项及其他</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10,000.00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10,000.00</w:t>
            </w:r>
          </w:p>
        </w:tc>
      </w:tr>
      <w:tr>
        <w:trPr>
          <w:trHeight w:val="283" w:hRule="exact"/>
        </w:trPr>
        <w:tc>
          <w:tcPr>
            <w:tcW w:w="3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1,156,784.36</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590,427.23</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060" w:bottom="1180" w:left="980" w:right="980"/>
        </w:sectPr>
      </w:pPr>
    </w:p>
    <w:p>
      <w:pPr>
        <w:spacing w:line="240" w:lineRule="auto" w:before="8"/>
        <w:rPr>
          <w:rFonts w:ascii="宋体" w:hAnsi="宋体" w:cs="宋体" w:eastAsia="宋体" w:hint="default"/>
          <w:sz w:val="24"/>
          <w:szCs w:val="24"/>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150"/>
        <w:jc w:val="right"/>
      </w:pPr>
      <w:bookmarkStart w:name="（4）按欠款方归集的期末余额前五名的其他应收款情况" w:id="288"/>
      <w:bookmarkEnd w:id="288"/>
      <w:r>
        <w:rPr/>
      </w:r>
      <w:r>
        <w:rPr/>
        <w:t>单位：</w:t>
      </w:r>
      <w:r>
        <w:rPr>
          <w:spacing w:val="2"/>
        </w:rPr>
        <w:t> </w:t>
      </w:r>
      <w:r>
        <w:rPr/>
        <w:t>元</w:t>
      </w:r>
    </w:p>
    <w:p>
      <w:pPr>
        <w:spacing w:line="240" w:lineRule="auto" w:before="10"/>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1685"/>
        <w:gridCol w:w="1550"/>
        <w:gridCol w:w="1553"/>
        <w:gridCol w:w="1550"/>
        <w:gridCol w:w="1615"/>
        <w:gridCol w:w="1615"/>
      </w:tblGrid>
      <w:tr>
        <w:trPr>
          <w:trHeight w:val="828" w:hRule="exact"/>
        </w:trPr>
        <w:tc>
          <w:tcPr>
            <w:tcW w:w="16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5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44"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5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16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9" w:lineRule="exact"/>
              <w:ind w:left="67" w:right="0"/>
              <w:jc w:val="left"/>
              <w:rPr>
                <w:rFonts w:ascii="宋体" w:hAnsi="宋体" w:cs="宋体" w:eastAsia="宋体" w:hint="default"/>
                <w:sz w:val="21"/>
                <w:szCs w:val="21"/>
              </w:rPr>
            </w:pPr>
            <w:r>
              <w:rPr>
                <w:rFonts w:ascii="宋体" w:hAnsi="宋体" w:cs="宋体" w:eastAsia="宋体" w:hint="default"/>
                <w:sz w:val="21"/>
                <w:szCs w:val="21"/>
              </w:rPr>
              <w:t>占其他应收款期</w:t>
            </w:r>
          </w:p>
          <w:p>
            <w:pPr>
              <w:pStyle w:val="TableParagraph"/>
              <w:spacing w:line="240" w:lineRule="auto"/>
              <w:ind w:left="592" w:right="62" w:hanging="526"/>
              <w:jc w:val="left"/>
              <w:rPr>
                <w:rFonts w:ascii="宋体" w:hAnsi="宋体" w:cs="宋体" w:eastAsia="宋体" w:hint="default"/>
                <w:sz w:val="21"/>
                <w:szCs w:val="21"/>
              </w:rPr>
            </w:pPr>
            <w:r>
              <w:rPr>
                <w:rFonts w:ascii="宋体" w:hAnsi="宋体" w:cs="宋体" w:eastAsia="宋体" w:hint="default"/>
                <w:sz w:val="21"/>
                <w:szCs w:val="21"/>
              </w:rPr>
              <w:t>末余额合计数的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比例</w:t>
            </w:r>
          </w:p>
        </w:tc>
        <w:tc>
          <w:tcPr>
            <w:tcW w:w="16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72" w:lineRule="exact" w:before="130"/>
              <w:ind w:left="698" w:right="62" w:hanging="632"/>
              <w:jc w:val="left"/>
              <w:rPr>
                <w:rFonts w:ascii="宋体" w:hAnsi="宋体" w:cs="宋体" w:eastAsia="宋体" w:hint="default"/>
                <w:sz w:val="21"/>
                <w:szCs w:val="21"/>
              </w:rPr>
            </w:pPr>
            <w:r>
              <w:rPr>
                <w:rFonts w:ascii="宋体" w:hAnsi="宋体" w:cs="宋体" w:eastAsia="宋体" w:hint="default"/>
                <w:sz w:val="21"/>
                <w:szCs w:val="21"/>
              </w:rPr>
              <w:t>坏账准备期末余</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额</w:t>
            </w:r>
          </w:p>
        </w:tc>
      </w:tr>
      <w:tr>
        <w:trPr>
          <w:trHeight w:val="828"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175"/>
              <w:jc w:val="left"/>
              <w:rPr>
                <w:rFonts w:ascii="宋体" w:hAnsi="宋体" w:cs="宋体" w:eastAsia="宋体" w:hint="default"/>
                <w:sz w:val="21"/>
                <w:szCs w:val="21"/>
              </w:rPr>
            </w:pPr>
            <w:r>
              <w:rPr>
                <w:rFonts w:ascii="宋体" w:hAnsi="宋体" w:cs="宋体" w:eastAsia="宋体" w:hint="default"/>
                <w:sz w:val="21"/>
                <w:szCs w:val="21"/>
              </w:rPr>
              <w:t>深圳市昱为科技</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有限公司</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押金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194,988.00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年以内</w:t>
            </w:r>
          </w:p>
          <w:p>
            <w:pPr>
              <w:pStyle w:val="TableParagraph"/>
              <w:spacing w:line="274" w:lineRule="exact" w:before="17"/>
              <w:ind w:left="23" w:right="93"/>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52,988.00</w:t>
            </w: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以上</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142,000.00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16.86%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142,529.88</w:t>
            </w:r>
          </w:p>
        </w:tc>
      </w:tr>
      <w:tr>
        <w:trPr>
          <w:trHeight w:val="830"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175"/>
              <w:jc w:val="left"/>
              <w:rPr>
                <w:rFonts w:ascii="宋体" w:hAnsi="宋体" w:cs="宋体" w:eastAsia="宋体" w:hint="default"/>
                <w:sz w:val="21"/>
                <w:szCs w:val="21"/>
              </w:rPr>
            </w:pPr>
            <w:r>
              <w:rPr>
                <w:rFonts w:ascii="宋体" w:hAnsi="宋体" w:cs="宋体" w:eastAsia="宋体" w:hint="default"/>
                <w:sz w:val="21"/>
                <w:szCs w:val="21"/>
              </w:rPr>
              <w:t>浙江天猫技术有</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限公司</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170,000.00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年以内</w:t>
            </w:r>
          </w:p>
          <w:p>
            <w:pPr>
              <w:pStyle w:val="TableParagraph"/>
              <w:spacing w:line="272"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40,000.00</w:t>
            </w:r>
            <w:r>
              <w:rPr>
                <w:rFonts w:ascii="宋体" w:hAnsi="宋体" w:cs="宋体" w:eastAsia="宋体" w:hint="default"/>
                <w:sz w:val="21"/>
                <w:szCs w:val="21"/>
              </w:rPr>
              <w:t>；</w:t>
            </w:r>
            <w:r>
              <w:rPr>
                <w:rFonts w:ascii="Times New Roman" w:hAnsi="Times New Roman" w:cs="Times New Roman" w:eastAsia="Times New Roman" w:hint="default"/>
                <w:sz w:val="21"/>
                <w:szCs w:val="21"/>
              </w:rPr>
              <w:t>1-2</w:t>
            </w:r>
          </w:p>
          <w:p>
            <w:pPr>
              <w:pStyle w:val="TableParagraph"/>
              <w:spacing w:line="282" w:lineRule="exact"/>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130,000.00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14.70%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13,400.00</w:t>
            </w:r>
          </w:p>
        </w:tc>
      </w:tr>
      <w:tr>
        <w:trPr>
          <w:trHeight w:val="554"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北京教育科学研</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究院</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160,000.00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21"/>
                <w:szCs w:val="21"/>
              </w:rPr>
            </w:pPr>
            <w:r>
              <w:rPr>
                <w:rFonts w:ascii="Times New Roman"/>
                <w:sz w:val="21"/>
              </w:rPr>
              <w:t>13.83%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1,600.00</w:t>
            </w:r>
          </w:p>
        </w:tc>
      </w:tr>
      <w:tr>
        <w:trPr>
          <w:trHeight w:val="830"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175"/>
              <w:jc w:val="left"/>
              <w:rPr>
                <w:rFonts w:ascii="宋体" w:hAnsi="宋体" w:cs="宋体" w:eastAsia="宋体" w:hint="default"/>
                <w:sz w:val="21"/>
                <w:szCs w:val="21"/>
              </w:rPr>
            </w:pPr>
            <w:r>
              <w:rPr>
                <w:rFonts w:ascii="宋体" w:hAnsi="宋体" w:cs="宋体" w:eastAsia="宋体" w:hint="default"/>
                <w:sz w:val="21"/>
                <w:szCs w:val="21"/>
              </w:rPr>
              <w:t>深圳市高新区开</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发建设公司</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押金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121,072.14</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年以内</w:t>
            </w:r>
          </w:p>
          <w:p>
            <w:pPr>
              <w:pStyle w:val="TableParagraph"/>
              <w:spacing w:line="274" w:lineRule="exact" w:before="16"/>
              <w:ind w:left="23" w:right="94"/>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44,200.94</w:t>
            </w: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以上</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76,871.20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10.47%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77,313.21</w:t>
            </w:r>
          </w:p>
        </w:tc>
      </w:tr>
      <w:tr>
        <w:trPr>
          <w:trHeight w:val="292"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陈荣强</w:t>
            </w:r>
          </w:p>
        </w:tc>
        <w:tc>
          <w:tcPr>
            <w:tcW w:w="1550" w:type="dxa"/>
            <w:tcBorders>
              <w:top w:val="single" w:sz="4" w:space="0" w:color="000000"/>
              <w:left w:val="single" w:sz="4" w:space="0" w:color="000000"/>
              <w:bottom w:val="single" w:sz="7" w:space="0" w:color="D4D4D4"/>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89,969.00</w:t>
            </w:r>
          </w:p>
        </w:tc>
        <w:tc>
          <w:tcPr>
            <w:tcW w:w="1550" w:type="dxa"/>
            <w:tcBorders>
              <w:top w:val="single" w:sz="4" w:space="0" w:color="000000"/>
              <w:left w:val="single" w:sz="4" w:space="0" w:color="000000"/>
              <w:bottom w:val="single" w:sz="7" w:space="0" w:color="D4D4D4"/>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6"/>
              <w:jc w:val="right"/>
              <w:rPr>
                <w:rFonts w:ascii="Times New Roman" w:hAnsi="Times New Roman" w:cs="Times New Roman" w:eastAsia="Times New Roman" w:hint="default"/>
                <w:sz w:val="21"/>
                <w:szCs w:val="21"/>
              </w:rPr>
            </w:pPr>
            <w:r>
              <w:rPr>
                <w:rFonts w:ascii="Times New Roman"/>
                <w:sz w:val="21"/>
              </w:rPr>
              <w:t>7.78%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z w:val="21"/>
              </w:rPr>
              <w:t>899.69</w:t>
            </w:r>
          </w:p>
        </w:tc>
      </w:tr>
      <w:tr>
        <w:trPr>
          <w:trHeight w:val="266" w:hRule="exact"/>
        </w:trPr>
        <w:tc>
          <w:tcPr>
            <w:tcW w:w="16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
              <w:ind w:right="0"/>
              <w:jc w:val="center"/>
              <w:rPr>
                <w:rFonts w:ascii="Times New Roman" w:hAnsi="Times New Roman" w:cs="Times New Roman" w:eastAsia="Times New Roman" w:hint="default"/>
                <w:sz w:val="21"/>
                <w:szCs w:val="21"/>
              </w:rPr>
            </w:pPr>
            <w:r>
              <w:rPr>
                <w:rFonts w:ascii="Times New Roman"/>
                <w:sz w:val="21"/>
              </w:rPr>
              <w:t>--</w:t>
            </w:r>
          </w:p>
        </w:tc>
        <w:tc>
          <w:tcPr>
            <w:tcW w:w="155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2"/>
              <w:ind w:right="19"/>
              <w:jc w:val="right"/>
              <w:rPr>
                <w:rFonts w:ascii="Times New Roman" w:hAnsi="Times New Roman" w:cs="Times New Roman" w:eastAsia="Times New Roman" w:hint="default"/>
                <w:sz w:val="21"/>
                <w:szCs w:val="21"/>
              </w:rPr>
            </w:pPr>
            <w:r>
              <w:rPr>
                <w:rFonts w:ascii="Times New Roman"/>
                <w:spacing w:val="-1"/>
                <w:sz w:val="21"/>
              </w:rPr>
              <w:t>736,029.14</w:t>
            </w:r>
          </w:p>
        </w:tc>
        <w:tc>
          <w:tcPr>
            <w:tcW w:w="15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
              <w:ind w:right="0"/>
              <w:jc w:val="center"/>
              <w:rPr>
                <w:rFonts w:ascii="Times New Roman" w:hAnsi="Times New Roman" w:cs="Times New Roman" w:eastAsia="Times New Roman" w:hint="default"/>
                <w:sz w:val="21"/>
                <w:szCs w:val="21"/>
              </w:rPr>
            </w:pPr>
            <w:r>
              <w:rPr>
                <w:rFonts w:ascii="Times New Roman"/>
                <w:sz w:val="21"/>
              </w:rPr>
              <w:t>--</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6"/>
              <w:jc w:val="right"/>
              <w:rPr>
                <w:rFonts w:ascii="Times New Roman" w:hAnsi="Times New Roman" w:cs="Times New Roman" w:eastAsia="Times New Roman" w:hint="default"/>
                <w:sz w:val="21"/>
                <w:szCs w:val="21"/>
              </w:rPr>
            </w:pPr>
            <w:r>
              <w:rPr>
                <w:rFonts w:ascii="Times New Roman"/>
                <w:sz w:val="21"/>
              </w:rPr>
              <w:t>63.64%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7"/>
              <w:jc w:val="right"/>
              <w:rPr>
                <w:rFonts w:ascii="Times New Roman" w:hAnsi="Times New Roman" w:cs="Times New Roman" w:eastAsia="Times New Roman" w:hint="default"/>
                <w:sz w:val="21"/>
                <w:szCs w:val="21"/>
              </w:rPr>
            </w:pPr>
            <w:r>
              <w:rPr>
                <w:rFonts w:ascii="Times New Roman"/>
                <w:spacing w:val="-1"/>
                <w:sz w:val="21"/>
              </w:rPr>
              <w:t>235,742.78</w:t>
            </w:r>
          </w:p>
        </w:tc>
      </w:tr>
    </w:tbl>
    <w:p>
      <w:pPr>
        <w:spacing w:line="240" w:lineRule="auto" w:before="11"/>
        <w:rPr>
          <w:rFonts w:ascii="宋体" w:hAnsi="宋体" w:cs="宋体" w:eastAsia="宋体" w:hint="default"/>
          <w:sz w:val="19"/>
          <w:szCs w:val="19"/>
        </w:rPr>
      </w:pPr>
    </w:p>
    <w:p>
      <w:pPr>
        <w:pStyle w:val="Heading5"/>
        <w:spacing w:line="240" w:lineRule="auto" w:before="36"/>
        <w:ind w:right="0"/>
        <w:jc w:val="left"/>
        <w:rPr>
          <w:b w:val="0"/>
          <w:bCs w:val="0"/>
        </w:rPr>
      </w:pPr>
      <w:bookmarkStart w:name="3、长期股权投资" w:id="289"/>
      <w:bookmarkEnd w:id="289"/>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36"/>
        <w:ind w:left="0" w:right="150"/>
        <w:jc w:val="right"/>
      </w:pPr>
      <w:r>
        <w:rPr/>
        <w:t>单位：</w:t>
      </w:r>
      <w:r>
        <w:rPr>
          <w:spacing w:val="2"/>
        </w:rPr>
        <w:t> </w:t>
      </w:r>
      <w:r>
        <w:rPr/>
        <w:t>元</w:t>
      </w:r>
    </w:p>
    <w:p>
      <w:pPr>
        <w:spacing w:line="240" w:lineRule="auto" w:before="10"/>
        <w:rPr>
          <w:rFonts w:ascii="宋体" w:hAnsi="宋体" w:cs="宋体" w:eastAsia="宋体" w:hint="default"/>
          <w:sz w:val="3"/>
          <w:szCs w:val="3"/>
        </w:rPr>
      </w:pPr>
    </w:p>
    <w:tbl>
      <w:tblPr>
        <w:tblW w:w="0" w:type="auto"/>
        <w:jc w:val="left"/>
        <w:tblInd w:w="160" w:type="dxa"/>
        <w:tblLayout w:type="fixed"/>
        <w:tblCellMar>
          <w:top w:w="0" w:type="dxa"/>
          <w:left w:w="0" w:type="dxa"/>
          <w:bottom w:w="0" w:type="dxa"/>
          <w:right w:w="0" w:type="dxa"/>
        </w:tblCellMar>
        <w:tblLook w:val="01E0"/>
      </w:tblPr>
      <w:tblGrid>
        <w:gridCol w:w="1345"/>
        <w:gridCol w:w="1379"/>
        <w:gridCol w:w="1368"/>
        <w:gridCol w:w="1366"/>
        <w:gridCol w:w="1368"/>
        <w:gridCol w:w="1366"/>
        <w:gridCol w:w="1368"/>
      </w:tblGrid>
      <w:tr>
        <w:trPr>
          <w:trHeight w:val="149" w:hRule="exact"/>
        </w:trPr>
        <w:tc>
          <w:tcPr>
            <w:tcW w:w="1345" w:type="dxa"/>
            <w:tcBorders>
              <w:top w:val="single" w:sz="4" w:space="0" w:color="000000"/>
              <w:left w:val="single" w:sz="4" w:space="0" w:color="000000"/>
              <w:bottom w:val="nil" w:sz="6" w:space="0" w:color="auto"/>
              <w:right w:val="single" w:sz="4" w:space="0" w:color="000000"/>
            </w:tcBorders>
            <w:shd w:val="clear" w:color="auto" w:fill="D4D4D4"/>
          </w:tcPr>
          <w:p>
            <w:pPr/>
          </w:p>
        </w:tc>
        <w:tc>
          <w:tcPr>
            <w:tcW w:w="4112"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3" w:lineRule="exact"/>
              <w:ind w:left="15"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30" w:hRule="exact"/>
        </w:trPr>
        <w:tc>
          <w:tcPr>
            <w:tcW w:w="1345" w:type="dxa"/>
            <w:vMerge w:val="restart"/>
            <w:tcBorders>
              <w:top w:val="nil" w:sz="6" w:space="0" w:color="auto"/>
              <w:left w:val="single" w:sz="4" w:space="0" w:color="000000"/>
              <w:right w:val="single" w:sz="4" w:space="0" w:color="000000"/>
            </w:tcBorders>
            <w:shd w:val="clear" w:color="auto" w:fill="D4D4D4"/>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112" w:type="dxa"/>
            <w:gridSpan w:val="3"/>
            <w:vMerge/>
            <w:tcBorders>
              <w:left w:val="single" w:sz="4" w:space="0" w:color="000000"/>
              <w:bottom w:val="single" w:sz="4" w:space="0" w:color="000000"/>
              <w:right w:val="single" w:sz="4" w:space="0" w:color="000000"/>
            </w:tcBorders>
            <w:shd w:val="clear" w:color="auto" w:fill="D4D4D4"/>
          </w:tcPr>
          <w:p>
            <w:pPr/>
          </w:p>
        </w:tc>
        <w:tc>
          <w:tcPr>
            <w:tcW w:w="4102" w:type="dxa"/>
            <w:gridSpan w:val="3"/>
            <w:vMerge/>
            <w:tcBorders>
              <w:left w:val="single" w:sz="4" w:space="0" w:color="000000"/>
              <w:bottom w:val="single" w:sz="4" w:space="0" w:color="000000"/>
              <w:right w:val="single" w:sz="4" w:space="0" w:color="000000"/>
            </w:tcBorders>
            <w:shd w:val="clear" w:color="auto" w:fill="D4D4D4"/>
          </w:tcPr>
          <w:p>
            <w:pPr/>
          </w:p>
        </w:tc>
      </w:tr>
      <w:tr>
        <w:trPr>
          <w:trHeight w:val="142" w:hRule="exact"/>
        </w:trPr>
        <w:tc>
          <w:tcPr>
            <w:tcW w:w="1345" w:type="dxa"/>
            <w:vMerge/>
            <w:tcBorders>
              <w:left w:val="single" w:sz="4" w:space="0" w:color="000000"/>
              <w:bottom w:val="nil" w:sz="6" w:space="0" w:color="auto"/>
              <w:right w:val="single" w:sz="4" w:space="0" w:color="000000"/>
            </w:tcBorders>
            <w:shd w:val="clear" w:color="auto" w:fill="D4D4D4"/>
          </w:tcPr>
          <w:p>
            <w:pPr/>
          </w:p>
        </w:tc>
        <w:tc>
          <w:tcPr>
            <w:tcW w:w="1379" w:type="dxa"/>
            <w:vMerge w:val="restart"/>
            <w:tcBorders>
              <w:top w:val="single" w:sz="4" w:space="0" w:color="000000"/>
              <w:left w:val="single" w:sz="4" w:space="0" w:color="000000"/>
              <w:right w:val="single" w:sz="4" w:space="0" w:color="000000"/>
            </w:tcBorders>
            <w:shd w:val="clear" w:color="auto" w:fill="D4D4D4"/>
          </w:tcPr>
          <w:p>
            <w:pPr>
              <w:pStyle w:val="TableParagraph"/>
              <w:spacing w:line="246" w:lineRule="exact"/>
              <w:ind w:left="27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6" w:lineRule="exact"/>
              <w:ind w:left="259"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246" w:lineRule="exact"/>
              <w:ind w:left="259"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6" w:lineRule="exact"/>
              <w:ind w:left="25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246" w:lineRule="exact"/>
              <w:ind w:left="259"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6" w:lineRule="exact"/>
              <w:ind w:left="259"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146" w:hRule="exact"/>
        </w:trPr>
        <w:tc>
          <w:tcPr>
            <w:tcW w:w="1345" w:type="dxa"/>
            <w:tcBorders>
              <w:top w:val="nil" w:sz="6" w:space="0" w:color="auto"/>
              <w:left w:val="single" w:sz="4" w:space="0" w:color="000000"/>
              <w:bottom w:val="single" w:sz="4" w:space="0" w:color="000000"/>
              <w:right w:val="single" w:sz="4" w:space="0" w:color="000000"/>
            </w:tcBorders>
            <w:shd w:val="clear" w:color="auto" w:fill="D4D4D4"/>
          </w:tcPr>
          <w:p>
            <w:pPr/>
          </w:p>
        </w:tc>
        <w:tc>
          <w:tcPr>
            <w:tcW w:w="1379"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6"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6"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r>
      <w:tr>
        <w:trPr>
          <w:trHeight w:val="283" w:hRule="exact"/>
        </w:trPr>
        <w:tc>
          <w:tcPr>
            <w:tcW w:w="134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对子公司投资</w:t>
            </w:r>
          </w:p>
        </w:tc>
        <w:tc>
          <w:tcPr>
            <w:tcW w:w="1379"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2,000,000.00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z w:val="21"/>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2,000,000.00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2,000,000.00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z w:val="21"/>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2,000,000.00</w:t>
            </w:r>
          </w:p>
        </w:tc>
      </w:tr>
      <w:tr>
        <w:trPr>
          <w:trHeight w:val="557" w:hRule="exact"/>
        </w:trPr>
        <w:tc>
          <w:tcPr>
            <w:tcW w:w="134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exact"/>
              <w:ind w:left="12" w:right="0"/>
              <w:jc w:val="left"/>
              <w:rPr>
                <w:rFonts w:ascii="宋体" w:hAnsi="宋体" w:cs="宋体" w:eastAsia="宋体" w:hint="default"/>
                <w:sz w:val="21"/>
                <w:szCs w:val="21"/>
              </w:rPr>
            </w:pPr>
            <w:r>
              <w:rPr>
                <w:rFonts w:ascii="宋体" w:hAnsi="宋体" w:cs="宋体" w:eastAsia="宋体" w:hint="default"/>
                <w:sz w:val="21"/>
                <w:szCs w:val="21"/>
              </w:rPr>
              <w:t>对联营、合营</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企业投资</w:t>
            </w:r>
          </w:p>
        </w:tc>
        <w:tc>
          <w:tcPr>
            <w:tcW w:w="1379" w:type="dxa"/>
            <w:tcBorders>
              <w:top w:val="single" w:sz="4" w:space="0" w:color="000000"/>
              <w:left w:val="single" w:sz="12" w:space="0" w:color="D4D4D4"/>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z w:val="21"/>
              </w:rPr>
              <w:t>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z w:val="21"/>
              </w:rPr>
              <w:t>0.00</w:t>
            </w:r>
          </w:p>
        </w:tc>
      </w:tr>
      <w:tr>
        <w:trPr>
          <w:trHeight w:val="283" w:hRule="exact"/>
        </w:trPr>
        <w:tc>
          <w:tcPr>
            <w:tcW w:w="134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79"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2,000,000.00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z w:val="21"/>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2,000,000.00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2,000,000.00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z w:val="21"/>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2,000,000.00</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bookmarkStart w:name="（1）对子公司投资" w:id="290"/>
      <w:bookmarkEnd w:id="290"/>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36"/>
        <w:ind w:left="0" w:right="150"/>
        <w:jc w:val="right"/>
      </w:pPr>
      <w:r>
        <w:rPr/>
        <w:t>单位：</w:t>
      </w:r>
      <w:r>
        <w:rPr>
          <w:spacing w:val="2"/>
        </w:rPr>
        <w:t> </w:t>
      </w:r>
      <w:r>
        <w:rPr/>
        <w:t>元</w:t>
      </w:r>
    </w:p>
    <w:p>
      <w:pPr>
        <w:spacing w:line="240" w:lineRule="auto" w:before="12"/>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1447"/>
        <w:gridCol w:w="1337"/>
        <w:gridCol w:w="1334"/>
        <w:gridCol w:w="1334"/>
        <w:gridCol w:w="1334"/>
        <w:gridCol w:w="1390"/>
        <w:gridCol w:w="1390"/>
      </w:tblGrid>
      <w:tr>
        <w:trPr>
          <w:trHeight w:val="556" w:hRule="exact"/>
        </w:trPr>
        <w:tc>
          <w:tcPr>
            <w:tcW w:w="14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left="194"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3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left="24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3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left="24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left="24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3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1"/>
              <w:ind w:left="242"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本期计提减值</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准备</w:t>
            </w:r>
          </w:p>
        </w:tc>
        <w:tc>
          <w:tcPr>
            <w:tcW w:w="1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减值准备期末</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余额</w:t>
            </w:r>
          </w:p>
        </w:tc>
      </w:tr>
      <w:tr>
        <w:trPr>
          <w:trHeight w:val="830"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深圳市连邦信</w:t>
            </w:r>
          </w:p>
          <w:p>
            <w:pPr>
              <w:pStyle w:val="TableParagraph"/>
              <w:spacing w:line="240" w:lineRule="auto"/>
              <w:ind w:left="24" w:right="149"/>
              <w:jc w:val="left"/>
              <w:rPr>
                <w:rFonts w:ascii="宋体" w:hAnsi="宋体" w:cs="宋体" w:eastAsia="宋体" w:hint="default"/>
                <w:sz w:val="21"/>
                <w:szCs w:val="21"/>
              </w:rPr>
            </w:pPr>
            <w:r>
              <w:rPr>
                <w:rFonts w:ascii="宋体" w:hAnsi="宋体" w:cs="宋体" w:eastAsia="宋体" w:hint="default"/>
                <w:sz w:val="21"/>
                <w:szCs w:val="21"/>
              </w:rPr>
              <w:t>息技术有限公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01" w:right="0"/>
              <w:jc w:val="left"/>
              <w:rPr>
                <w:rFonts w:ascii="Times New Roman" w:hAnsi="Times New Roman" w:cs="Times New Roman" w:eastAsia="Times New Roman" w:hint="default"/>
                <w:sz w:val="21"/>
                <w:szCs w:val="21"/>
              </w:rPr>
            </w:pPr>
            <w:r>
              <w:rPr>
                <w:rFonts w:ascii="Times New Roman"/>
                <w:sz w:val="21"/>
              </w:rPr>
              <w:t>2,000,000.00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01" w:right="0"/>
              <w:jc w:val="left"/>
              <w:rPr>
                <w:rFonts w:ascii="Times New Roman" w:hAnsi="Times New Roman" w:cs="Times New Roman" w:eastAsia="Times New Roman" w:hint="default"/>
                <w:sz w:val="21"/>
                <w:szCs w:val="21"/>
              </w:rPr>
            </w:pPr>
            <w:r>
              <w:rPr>
                <w:rFonts w:ascii="Times New Roman"/>
                <w:sz w:val="21"/>
              </w:rPr>
              <w:t>2,000,000.00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0.00</w:t>
            </w:r>
          </w:p>
        </w:tc>
      </w:tr>
      <w:tr>
        <w:trPr>
          <w:trHeight w:val="283" w:hRule="exact"/>
        </w:trPr>
        <w:tc>
          <w:tcPr>
            <w:tcW w:w="14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01" w:right="0"/>
              <w:jc w:val="left"/>
              <w:rPr>
                <w:rFonts w:ascii="Times New Roman" w:hAnsi="Times New Roman" w:cs="Times New Roman" w:eastAsia="Times New Roman" w:hint="default"/>
                <w:sz w:val="21"/>
                <w:szCs w:val="21"/>
              </w:rPr>
            </w:pPr>
            <w:r>
              <w:rPr>
                <w:rFonts w:ascii="Times New Roman"/>
                <w:sz w:val="21"/>
              </w:rPr>
              <w:t>2,000,000.00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01" w:right="0"/>
              <w:jc w:val="left"/>
              <w:rPr>
                <w:rFonts w:ascii="Times New Roman" w:hAnsi="Times New Roman" w:cs="Times New Roman" w:eastAsia="Times New Roman" w:hint="default"/>
                <w:sz w:val="21"/>
                <w:szCs w:val="21"/>
              </w:rPr>
            </w:pPr>
            <w:r>
              <w:rPr>
                <w:rFonts w:ascii="Times New Roman"/>
                <w:sz w:val="21"/>
              </w:rPr>
              <w:t>2,000,000.00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z w:val="21"/>
              </w:rPr>
              <w:t>0.00</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bookmarkStart w:name="4、营业收入和营业成本" w:id="291"/>
      <w:bookmarkEnd w:id="291"/>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36"/>
        <w:ind w:left="0" w:right="150"/>
        <w:jc w:val="right"/>
      </w:pPr>
      <w:r>
        <w:rPr/>
        <w:t>单位：</w:t>
      </w:r>
      <w:r>
        <w:rPr>
          <w:spacing w:val="2"/>
        </w:rPr>
        <w:t> </w:t>
      </w:r>
      <w:r>
        <w:rPr/>
        <w:t>元</w:t>
      </w:r>
    </w:p>
    <w:p>
      <w:pPr>
        <w:spacing w:line="240" w:lineRule="auto" w:before="10"/>
        <w:rPr>
          <w:rFonts w:ascii="宋体" w:hAnsi="宋体" w:cs="宋体" w:eastAsia="宋体" w:hint="default"/>
          <w:sz w:val="3"/>
          <w:szCs w:val="3"/>
        </w:rPr>
      </w:pPr>
    </w:p>
    <w:tbl>
      <w:tblPr>
        <w:tblW w:w="0" w:type="auto"/>
        <w:jc w:val="left"/>
        <w:tblInd w:w="160" w:type="dxa"/>
        <w:tblLayout w:type="fixed"/>
        <w:tblCellMar>
          <w:top w:w="0" w:type="dxa"/>
          <w:left w:w="0" w:type="dxa"/>
          <w:bottom w:w="0" w:type="dxa"/>
          <w:right w:w="0" w:type="dxa"/>
        </w:tblCellMar>
        <w:tblLook w:val="01E0"/>
      </w:tblPr>
      <w:tblGrid>
        <w:gridCol w:w="1984"/>
        <w:gridCol w:w="1835"/>
        <w:gridCol w:w="1913"/>
        <w:gridCol w:w="1913"/>
        <w:gridCol w:w="1915"/>
      </w:tblGrid>
      <w:tr>
        <w:trPr>
          <w:trHeight w:val="146" w:hRule="exact"/>
        </w:trPr>
        <w:tc>
          <w:tcPr>
            <w:tcW w:w="1984" w:type="dxa"/>
            <w:tcBorders>
              <w:top w:val="single" w:sz="4" w:space="0" w:color="000000"/>
              <w:left w:val="single" w:sz="4" w:space="0" w:color="000000"/>
              <w:bottom w:val="nil" w:sz="6" w:space="0" w:color="auto"/>
              <w:right w:val="single" w:sz="4" w:space="0" w:color="000000"/>
            </w:tcBorders>
            <w:shd w:val="clear" w:color="auto" w:fill="D4D4D4"/>
          </w:tcPr>
          <w:p>
            <w:pPr/>
          </w:p>
        </w:tc>
        <w:tc>
          <w:tcPr>
            <w:tcW w:w="3748"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132" w:hRule="exact"/>
        </w:trPr>
        <w:tc>
          <w:tcPr>
            <w:tcW w:w="1984" w:type="dxa"/>
            <w:vMerge w:val="restart"/>
            <w:tcBorders>
              <w:top w:val="nil" w:sz="6" w:space="0" w:color="auto"/>
              <w:left w:val="single" w:sz="4" w:space="0" w:color="000000"/>
              <w:right w:val="single" w:sz="4" w:space="0" w:color="000000"/>
            </w:tcBorders>
            <w:shd w:val="clear" w:color="auto" w:fill="D4D4D4"/>
          </w:tcPr>
          <w:p>
            <w:pPr>
              <w:pStyle w:val="TableParagraph"/>
              <w:spacing w:line="241" w:lineRule="exact"/>
              <w:ind w:right="8"/>
              <w:jc w:val="center"/>
              <w:rPr>
                <w:rFonts w:ascii="宋体" w:hAnsi="宋体" w:cs="宋体" w:eastAsia="宋体" w:hint="default"/>
                <w:sz w:val="21"/>
                <w:szCs w:val="21"/>
              </w:rPr>
            </w:pPr>
            <w:r>
              <w:rPr>
                <w:rFonts w:ascii="宋体" w:hAnsi="宋体" w:cs="宋体" w:eastAsia="宋体" w:hint="default"/>
                <w:sz w:val="21"/>
                <w:szCs w:val="21"/>
              </w:rPr>
              <w:t>项目</w:t>
            </w:r>
          </w:p>
        </w:tc>
        <w:tc>
          <w:tcPr>
            <w:tcW w:w="3748" w:type="dxa"/>
            <w:gridSpan w:val="2"/>
            <w:vMerge/>
            <w:tcBorders>
              <w:left w:val="single" w:sz="4" w:space="0" w:color="000000"/>
              <w:bottom w:val="single" w:sz="4" w:space="0" w:color="000000"/>
              <w:right w:val="single" w:sz="4" w:space="0" w:color="000000"/>
            </w:tcBorders>
            <w:shd w:val="clear" w:color="auto" w:fill="D4D4D4"/>
          </w:tcPr>
          <w:p>
            <w:pPr/>
          </w:p>
        </w:tc>
        <w:tc>
          <w:tcPr>
            <w:tcW w:w="3828" w:type="dxa"/>
            <w:gridSpan w:val="2"/>
            <w:vMerge/>
            <w:tcBorders>
              <w:left w:val="single" w:sz="4" w:space="0" w:color="000000"/>
              <w:bottom w:val="single" w:sz="4" w:space="0" w:color="000000"/>
              <w:right w:val="single" w:sz="4" w:space="0" w:color="000000"/>
            </w:tcBorders>
            <w:shd w:val="clear" w:color="auto" w:fill="D4D4D4"/>
          </w:tcPr>
          <w:p>
            <w:pPr/>
          </w:p>
        </w:tc>
      </w:tr>
      <w:tr>
        <w:trPr>
          <w:trHeight w:val="142" w:hRule="exact"/>
        </w:trPr>
        <w:tc>
          <w:tcPr>
            <w:tcW w:w="1984" w:type="dxa"/>
            <w:vMerge/>
            <w:tcBorders>
              <w:left w:val="single" w:sz="4" w:space="0" w:color="000000"/>
              <w:bottom w:val="nil" w:sz="6" w:space="0" w:color="auto"/>
              <w:right w:val="single" w:sz="4" w:space="0" w:color="000000"/>
            </w:tcBorders>
            <w:shd w:val="clear" w:color="auto" w:fill="D4D4D4"/>
          </w:tcPr>
          <w:p>
            <w:pPr/>
          </w:p>
        </w:tc>
        <w:tc>
          <w:tcPr>
            <w:tcW w:w="1835" w:type="dxa"/>
            <w:vMerge w:val="restart"/>
            <w:tcBorders>
              <w:top w:val="single" w:sz="4" w:space="0" w:color="000000"/>
              <w:left w:val="single" w:sz="4" w:space="0" w:color="000000"/>
              <w:right w:val="single" w:sz="4" w:space="0" w:color="000000"/>
            </w:tcBorders>
            <w:shd w:val="clear" w:color="auto" w:fill="D4D4D4"/>
          </w:tcPr>
          <w:p>
            <w:pPr>
              <w:pStyle w:val="TableParagraph"/>
              <w:spacing w:line="246" w:lineRule="exact"/>
              <w:ind w:left="1"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6" w:lineRule="exact"/>
              <w:ind w:left="2"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6" w:lineRule="exact"/>
              <w:ind w:left="2"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6" w:lineRule="exact"/>
              <w:ind w:left="4"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146" w:hRule="exact"/>
        </w:trPr>
        <w:tc>
          <w:tcPr>
            <w:tcW w:w="1984" w:type="dxa"/>
            <w:tcBorders>
              <w:top w:val="nil" w:sz="6" w:space="0" w:color="auto"/>
              <w:left w:val="single" w:sz="4" w:space="0" w:color="000000"/>
              <w:bottom w:val="single" w:sz="4" w:space="0" w:color="000000"/>
              <w:right w:val="single" w:sz="4" w:space="0" w:color="000000"/>
            </w:tcBorders>
            <w:shd w:val="clear" w:color="auto" w:fill="D4D4D4"/>
          </w:tcPr>
          <w:p>
            <w:pPr/>
          </w:p>
        </w:tc>
        <w:tc>
          <w:tcPr>
            <w:tcW w:w="1835" w:type="dxa"/>
            <w:vMerge/>
            <w:tcBorders>
              <w:left w:val="single" w:sz="4" w:space="0" w:color="000000"/>
              <w:bottom w:val="single" w:sz="4" w:space="0" w:color="000000"/>
              <w:right w:val="single" w:sz="4" w:space="0" w:color="000000"/>
            </w:tcBorders>
            <w:shd w:val="clear" w:color="auto" w:fill="D4D4D4"/>
          </w:tcPr>
          <w:p>
            <w:pPr/>
          </w:p>
        </w:tc>
        <w:tc>
          <w:tcPr>
            <w:tcW w:w="1913" w:type="dxa"/>
            <w:vMerge/>
            <w:tcBorders>
              <w:left w:val="single" w:sz="4" w:space="0" w:color="000000"/>
              <w:bottom w:val="single" w:sz="4" w:space="0" w:color="000000"/>
              <w:right w:val="single" w:sz="4" w:space="0" w:color="000000"/>
            </w:tcBorders>
            <w:shd w:val="clear" w:color="auto" w:fill="D4D4D4"/>
          </w:tcPr>
          <w:p>
            <w:pPr/>
          </w:p>
        </w:tc>
        <w:tc>
          <w:tcPr>
            <w:tcW w:w="1913" w:type="dxa"/>
            <w:vMerge/>
            <w:tcBorders>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r>
      <w:tr>
        <w:trPr>
          <w:trHeight w:val="283" w:hRule="exact"/>
        </w:trPr>
        <w:tc>
          <w:tcPr>
            <w:tcW w:w="19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8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79,859,719.78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19,309,068.71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68,152,717.25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16,634,086.32</w:t>
            </w:r>
          </w:p>
        </w:tc>
      </w:tr>
      <w:tr>
        <w:trPr>
          <w:trHeight w:val="283" w:hRule="exact"/>
        </w:trPr>
        <w:tc>
          <w:tcPr>
            <w:tcW w:w="19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18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z w:val="21"/>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z w:val="21"/>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z w:val="21"/>
              </w:rPr>
              <w:t>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z w:val="21"/>
              </w:rPr>
              <w:t>0.00</w:t>
            </w:r>
          </w:p>
        </w:tc>
      </w:tr>
      <w:tr>
        <w:trPr>
          <w:trHeight w:val="283" w:hRule="exact"/>
        </w:trPr>
        <w:tc>
          <w:tcPr>
            <w:tcW w:w="19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79,859,719.78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19,309,068.71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68,152,717.25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16,634,086.32</w:t>
            </w:r>
          </w:p>
        </w:tc>
      </w:tr>
    </w:tbl>
    <w:p>
      <w:pPr>
        <w:spacing w:after="0" w:line="240" w:lineRule="auto"/>
        <w:jc w:val="right"/>
        <w:rPr>
          <w:rFonts w:ascii="Times New Roman" w:hAnsi="Times New Roman" w:cs="Times New Roman" w:eastAsia="Times New Roman" w:hint="default"/>
          <w:sz w:val="21"/>
          <w:szCs w:val="21"/>
        </w:rPr>
        <w:sectPr>
          <w:pgSz w:w="11910" w:h="16840"/>
          <w:pgMar w:header="880" w:footer="979" w:top="1060" w:bottom="1160" w:left="980" w:right="980"/>
        </w:sectPr>
      </w:pPr>
    </w:p>
    <w:p>
      <w:pPr>
        <w:spacing w:line="240" w:lineRule="auto" w:before="8"/>
        <w:rPr>
          <w:rFonts w:ascii="宋体" w:hAnsi="宋体" w:cs="宋体" w:eastAsia="宋体" w:hint="default"/>
          <w:sz w:val="24"/>
          <w:szCs w:val="24"/>
        </w:rPr>
      </w:pPr>
    </w:p>
    <w:p>
      <w:pPr>
        <w:pStyle w:val="BodyText"/>
        <w:spacing w:line="240" w:lineRule="auto" w:before="36"/>
        <w:ind w:right="0"/>
        <w:jc w:val="left"/>
      </w:pPr>
      <w:r>
        <w:rPr/>
        <w:t>其他说明：</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bookmarkStart w:name="5、投资收益" w:id="292"/>
      <w:bookmarkEnd w:id="292"/>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150"/>
        <w:jc w:val="right"/>
      </w:pPr>
      <w:r>
        <w:rPr/>
        <w:t>单位：</w:t>
      </w:r>
      <w:r>
        <w:rPr>
          <w:spacing w:val="2"/>
        </w:rPr>
        <w:t> </w:t>
      </w:r>
      <w:r>
        <w:rPr/>
        <w:t>元</w:t>
      </w:r>
    </w:p>
    <w:p>
      <w:pPr>
        <w:spacing w:line="240" w:lineRule="auto" w:before="10"/>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3324"/>
        <w:gridCol w:w="3060"/>
        <w:gridCol w:w="3185"/>
      </w:tblGrid>
      <w:tr>
        <w:trPr>
          <w:trHeight w:val="281" w:hRule="exact"/>
        </w:trPr>
        <w:tc>
          <w:tcPr>
            <w:tcW w:w="33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99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06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银行理财产品</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4,424,106.13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2,776,904.09</w:t>
            </w:r>
          </w:p>
        </w:tc>
      </w:tr>
      <w:tr>
        <w:trPr>
          <w:trHeight w:val="283" w:hRule="exact"/>
        </w:trPr>
        <w:tc>
          <w:tcPr>
            <w:tcW w:w="33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4,424,106.13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2,776,904.09</w:t>
            </w:r>
          </w:p>
        </w:tc>
      </w:tr>
    </w:tbl>
    <w:p>
      <w:pPr>
        <w:spacing w:line="240" w:lineRule="auto" w:before="1"/>
        <w:rPr>
          <w:rFonts w:ascii="宋体" w:hAnsi="宋体" w:cs="宋体" w:eastAsia="宋体" w:hint="default"/>
          <w:sz w:val="18"/>
          <w:szCs w:val="18"/>
        </w:rPr>
      </w:pPr>
    </w:p>
    <w:p>
      <w:pPr>
        <w:pStyle w:val="Heading4"/>
        <w:spacing w:line="240" w:lineRule="auto" w:before="26"/>
        <w:ind w:right="0"/>
        <w:jc w:val="left"/>
        <w:rPr>
          <w:b w:val="0"/>
          <w:bCs w:val="0"/>
        </w:rPr>
      </w:pPr>
      <w:bookmarkStart w:name="十五、补充资料" w:id="293"/>
      <w:bookmarkEnd w:id="293"/>
      <w:r>
        <w:rPr>
          <w:b w:val="0"/>
          <w:bCs w:val="0"/>
        </w:rPr>
      </w:r>
      <w:r>
        <w:rPr/>
        <w:t>十五、补充资料</w:t>
      </w:r>
      <w:r>
        <w:rPr>
          <w:b w:val="0"/>
          <w:bCs w:val="0"/>
        </w:rPr>
      </w:r>
    </w:p>
    <w:p>
      <w:pPr>
        <w:spacing w:line="240" w:lineRule="auto" w:before="0"/>
        <w:rPr>
          <w:rFonts w:ascii="宋体" w:hAnsi="宋体" w:cs="宋体" w:eastAsia="宋体" w:hint="default"/>
          <w:b/>
          <w:bCs/>
          <w:sz w:val="24"/>
          <w:szCs w:val="24"/>
        </w:rPr>
      </w:pPr>
    </w:p>
    <w:p>
      <w:pPr>
        <w:spacing w:line="240" w:lineRule="auto" w:before="11"/>
        <w:rPr>
          <w:rFonts w:ascii="宋体" w:hAnsi="宋体" w:cs="宋体" w:eastAsia="宋体" w:hint="default"/>
          <w:b/>
          <w:bCs/>
          <w:sz w:val="23"/>
          <w:szCs w:val="23"/>
        </w:rPr>
      </w:pPr>
    </w:p>
    <w:p>
      <w:pPr>
        <w:pStyle w:val="Heading5"/>
        <w:spacing w:line="240" w:lineRule="auto"/>
        <w:ind w:right="0"/>
        <w:jc w:val="left"/>
        <w:rPr>
          <w:b w:val="0"/>
          <w:bCs w:val="0"/>
        </w:rPr>
      </w:pPr>
      <w:bookmarkStart w:name="1、当期非经常性损益明细表" w:id="294"/>
      <w:bookmarkEnd w:id="294"/>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21"/>
        <w:ind w:left="0" w:right="150"/>
        <w:jc w:val="right"/>
      </w:pPr>
      <w:r>
        <w:rPr/>
        <w:t>单位：</w:t>
      </w:r>
      <w:r>
        <w:rPr>
          <w:spacing w:val="2"/>
        </w:rPr>
        <w:t> </w:t>
      </w:r>
      <w:r>
        <w:rPr/>
        <w:t>元</w:t>
      </w:r>
    </w:p>
    <w:p>
      <w:pPr>
        <w:spacing w:line="240" w:lineRule="auto" w:before="10"/>
        <w:rPr>
          <w:rFonts w:ascii="宋体" w:hAnsi="宋体" w:cs="宋体" w:eastAsia="宋体" w:hint="default"/>
          <w:sz w:val="3"/>
          <w:szCs w:val="3"/>
        </w:rPr>
      </w:pPr>
    </w:p>
    <w:tbl>
      <w:tblPr>
        <w:tblW w:w="0" w:type="auto"/>
        <w:jc w:val="left"/>
        <w:tblInd w:w="160" w:type="dxa"/>
        <w:tblLayout w:type="fixed"/>
        <w:tblCellMar>
          <w:top w:w="0" w:type="dxa"/>
          <w:left w:w="0" w:type="dxa"/>
          <w:bottom w:w="0" w:type="dxa"/>
          <w:right w:w="0" w:type="dxa"/>
        </w:tblCellMar>
        <w:tblLook w:val="01E0"/>
      </w:tblPr>
      <w:tblGrid>
        <w:gridCol w:w="3301"/>
        <w:gridCol w:w="3071"/>
        <w:gridCol w:w="3185"/>
      </w:tblGrid>
      <w:tr>
        <w:trPr>
          <w:trHeight w:val="281"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3"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283"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3" w:lineRule="exact"/>
              <w:ind w:left="12"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307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226,705.32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处置固定资产损益</w:t>
            </w:r>
          </w:p>
        </w:tc>
      </w:tr>
      <w:tr>
        <w:trPr>
          <w:trHeight w:val="830"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w w:val="100"/>
                <w:sz w:val="21"/>
                <w:szCs w:val="21"/>
              </w:rPr>
              <w:t>计入</w:t>
            </w:r>
            <w:r>
              <w:rPr>
                <w:rFonts w:ascii="宋体" w:hAnsi="宋体" w:cs="宋体" w:eastAsia="宋体" w:hint="default"/>
                <w:spacing w:val="-3"/>
                <w:w w:val="100"/>
                <w:sz w:val="21"/>
                <w:szCs w:val="21"/>
              </w:rPr>
              <w:t>当</w:t>
            </w:r>
            <w:r>
              <w:rPr>
                <w:rFonts w:ascii="宋体" w:hAnsi="宋体" w:cs="宋体" w:eastAsia="宋体" w:hint="default"/>
                <w:w w:val="100"/>
                <w:sz w:val="21"/>
                <w:szCs w:val="21"/>
              </w:rPr>
              <w:t>期</w:t>
            </w:r>
            <w:r>
              <w:rPr>
                <w:rFonts w:ascii="宋体" w:hAnsi="宋体" w:cs="宋体" w:eastAsia="宋体" w:hint="default"/>
                <w:spacing w:val="-3"/>
                <w:w w:val="100"/>
                <w:sz w:val="21"/>
                <w:szCs w:val="21"/>
              </w:rPr>
              <w:t>损</w:t>
            </w:r>
            <w:r>
              <w:rPr>
                <w:rFonts w:ascii="宋体" w:hAnsi="宋体" w:cs="宋体" w:eastAsia="宋体" w:hint="default"/>
                <w:w w:val="100"/>
                <w:sz w:val="21"/>
                <w:szCs w:val="21"/>
              </w:rPr>
              <w:t>益</w:t>
            </w:r>
            <w:r>
              <w:rPr>
                <w:rFonts w:ascii="宋体" w:hAnsi="宋体" w:cs="宋体" w:eastAsia="宋体" w:hint="default"/>
                <w:spacing w:val="-3"/>
                <w:w w:val="100"/>
                <w:sz w:val="21"/>
                <w:szCs w:val="21"/>
              </w:rPr>
              <w:t>的</w:t>
            </w:r>
            <w:r>
              <w:rPr>
                <w:rFonts w:ascii="宋体" w:hAnsi="宋体" w:cs="宋体" w:eastAsia="宋体" w:hint="default"/>
                <w:w w:val="100"/>
                <w:sz w:val="21"/>
                <w:szCs w:val="21"/>
              </w:rPr>
              <w:t>政</w:t>
            </w:r>
            <w:r>
              <w:rPr>
                <w:rFonts w:ascii="宋体" w:hAnsi="宋体" w:cs="宋体" w:eastAsia="宋体" w:hint="default"/>
                <w:spacing w:val="-3"/>
                <w:w w:val="100"/>
                <w:sz w:val="21"/>
                <w:szCs w:val="21"/>
              </w:rPr>
              <w:t>府</w:t>
            </w:r>
            <w:r>
              <w:rPr>
                <w:rFonts w:ascii="宋体" w:hAnsi="宋体" w:cs="宋体" w:eastAsia="宋体" w:hint="default"/>
                <w:w w:val="100"/>
                <w:sz w:val="21"/>
                <w:szCs w:val="21"/>
              </w:rPr>
              <w:t>补</w:t>
            </w:r>
            <w:r>
              <w:rPr>
                <w:rFonts w:ascii="宋体" w:hAnsi="宋体" w:cs="宋体" w:eastAsia="宋体" w:hint="default"/>
                <w:spacing w:val="-94"/>
                <w:w w:val="100"/>
                <w:sz w:val="21"/>
                <w:szCs w:val="21"/>
              </w:rPr>
              <w:t>助</w:t>
            </w:r>
            <w:r>
              <w:rPr>
                <w:rFonts w:ascii="宋体" w:hAnsi="宋体" w:cs="宋体" w:eastAsia="宋体" w:hint="default"/>
                <w:spacing w:val="-3"/>
                <w:w w:val="100"/>
                <w:sz w:val="21"/>
                <w:szCs w:val="21"/>
              </w:rPr>
              <w:t>（</w:t>
            </w:r>
            <w:r>
              <w:rPr>
                <w:rFonts w:ascii="宋体" w:hAnsi="宋体" w:cs="宋体" w:eastAsia="宋体" w:hint="default"/>
                <w:w w:val="100"/>
                <w:sz w:val="21"/>
                <w:szCs w:val="21"/>
              </w:rPr>
              <w:t>与企</w:t>
            </w:r>
            <w:r>
              <w:rPr>
                <w:rFonts w:ascii="宋体" w:hAnsi="宋体" w:cs="宋体" w:eastAsia="宋体" w:hint="default"/>
                <w:spacing w:val="-3"/>
                <w:w w:val="100"/>
                <w:sz w:val="21"/>
                <w:szCs w:val="21"/>
              </w:rPr>
              <w:t>业</w:t>
            </w:r>
            <w:r>
              <w:rPr>
                <w:rFonts w:ascii="宋体" w:hAnsi="宋体" w:cs="宋体" w:eastAsia="宋体" w:hint="default"/>
                <w:w w:val="100"/>
                <w:sz w:val="21"/>
                <w:szCs w:val="21"/>
              </w:rPr>
              <w:t>业</w:t>
            </w:r>
          </w:p>
          <w:p>
            <w:pPr>
              <w:pStyle w:val="TableParagraph"/>
              <w:spacing w:line="240" w:lineRule="auto"/>
              <w:ind w:left="12" w:right="5"/>
              <w:jc w:val="left"/>
              <w:rPr>
                <w:rFonts w:ascii="宋体" w:hAnsi="宋体" w:cs="宋体" w:eastAsia="宋体" w:hint="default"/>
                <w:sz w:val="21"/>
                <w:szCs w:val="21"/>
              </w:rPr>
            </w:pPr>
            <w:r>
              <w:rPr>
                <w:rFonts w:ascii="宋体" w:hAnsi="宋体" w:cs="宋体" w:eastAsia="宋体" w:hint="default"/>
                <w:spacing w:val="-7"/>
                <w:w w:val="100"/>
                <w:sz w:val="21"/>
                <w:szCs w:val="21"/>
              </w:rPr>
              <w:t>务密切相关，按照国家统一标准定额</w:t>
            </w:r>
            <w:r>
              <w:rPr>
                <w:rFonts w:ascii="宋体" w:hAnsi="宋体" w:cs="宋体" w:eastAsia="宋体" w:hint="default"/>
                <w:w w:val="100"/>
                <w:sz w:val="21"/>
                <w:szCs w:val="21"/>
              </w:rPr>
              <w:t> </w:t>
            </w:r>
            <w:r>
              <w:rPr>
                <w:rFonts w:ascii="宋体" w:hAnsi="宋体" w:cs="宋体" w:eastAsia="宋体" w:hint="default"/>
                <w:sz w:val="21"/>
                <w:szCs w:val="21"/>
              </w:rPr>
              <w:t>或定量享受的政府补助除外）</w:t>
            </w:r>
          </w:p>
        </w:tc>
        <w:tc>
          <w:tcPr>
            <w:tcW w:w="307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3,587,217.65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政府资助</w:t>
            </w:r>
          </w:p>
        </w:tc>
      </w:tr>
      <w:tr>
        <w:trPr>
          <w:trHeight w:val="283"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307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4,424,106.13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投资收益</w:t>
            </w:r>
          </w:p>
        </w:tc>
      </w:tr>
      <w:tr>
        <w:trPr>
          <w:trHeight w:val="283"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减：所得税影响额</w:t>
            </w:r>
          </w:p>
        </w:tc>
        <w:tc>
          <w:tcPr>
            <w:tcW w:w="307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1,235,614.99</w:t>
            </w:r>
          </w:p>
        </w:tc>
        <w:tc>
          <w:tcPr>
            <w:tcW w:w="3185" w:type="dxa"/>
            <w:tcBorders>
              <w:top w:val="single" w:sz="4" w:space="0" w:color="000000"/>
              <w:left w:val="single" w:sz="4" w:space="0" w:color="000000"/>
              <w:bottom w:val="single" w:sz="10" w:space="0" w:color="D4D4D4"/>
              <w:right w:val="single" w:sz="4" w:space="0" w:color="000000"/>
            </w:tcBorders>
          </w:tcPr>
          <w:p>
            <w:pPr/>
          </w:p>
        </w:tc>
      </w:tr>
      <w:tr>
        <w:trPr>
          <w:trHeight w:val="283"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071" w:type="dxa"/>
            <w:tcBorders>
              <w:top w:val="single" w:sz="4" w:space="0" w:color="000000"/>
              <w:left w:val="single" w:sz="9" w:space="0" w:color="D4D4D4"/>
              <w:bottom w:val="single" w:sz="4" w:space="0" w:color="000000"/>
              <w:right w:val="single" w:sz="10" w:space="0" w:color="D4D4D4"/>
            </w:tcBorders>
          </w:tcPr>
          <w:p>
            <w:pPr>
              <w:pStyle w:val="TableParagraph"/>
              <w:spacing w:line="240" w:lineRule="auto" w:before="8"/>
              <w:ind w:right="12"/>
              <w:jc w:val="right"/>
              <w:rPr>
                <w:rFonts w:ascii="Times New Roman" w:hAnsi="Times New Roman" w:cs="Times New Roman" w:eastAsia="Times New Roman" w:hint="default"/>
                <w:sz w:val="21"/>
                <w:szCs w:val="21"/>
              </w:rPr>
            </w:pPr>
            <w:r>
              <w:rPr>
                <w:rFonts w:ascii="Times New Roman"/>
                <w:spacing w:val="-2"/>
                <w:sz w:val="21"/>
              </w:rPr>
              <w:t>7,002,414.11</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 w:right="0"/>
              <w:jc w:val="center"/>
              <w:rPr>
                <w:rFonts w:ascii="Times New Roman" w:hAnsi="Times New Roman" w:cs="Times New Roman" w:eastAsia="Times New Roman" w:hint="default"/>
                <w:sz w:val="21"/>
                <w:szCs w:val="21"/>
              </w:rPr>
            </w:pPr>
            <w:r>
              <w:rPr>
                <w:rFonts w:ascii="Times New Roman"/>
                <w:sz w:val="21"/>
              </w:rPr>
              <w:t>--</w:t>
            </w:r>
          </w:p>
        </w:tc>
      </w:tr>
    </w:tbl>
    <w:p>
      <w:pPr>
        <w:pStyle w:val="BodyText"/>
        <w:spacing w:line="278" w:lineRule="exact"/>
        <w:ind w:right="0"/>
        <w:jc w:val="left"/>
      </w:pPr>
      <w:r>
        <w:rPr>
          <w:spacing w:val="-2"/>
        </w:rPr>
        <w:t>对公司根据《公开发行证券的公司信息披露解释性公告第</w:t>
      </w:r>
      <w:r>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spacing w:val="-2"/>
        </w:rPr>
        <w:t>号</w:t>
      </w:r>
      <w:r>
        <w:rPr>
          <w:rFonts w:ascii="Times New Roman" w:hAnsi="Times New Roman" w:cs="Times New Roman" w:eastAsia="Times New Roman" w:hint="default"/>
          <w:spacing w:val="-2"/>
        </w:rPr>
        <w:t>——</w:t>
      </w:r>
      <w:r>
        <w:rPr>
          <w:spacing w:val="-2"/>
        </w:rPr>
        <w:t>非经常性损益》定义界定的非经常性损</w:t>
      </w:r>
    </w:p>
    <w:p>
      <w:pPr>
        <w:pStyle w:val="BodyText"/>
        <w:spacing w:line="256" w:lineRule="auto" w:before="21"/>
        <w:ind w:left="153" w:right="0" w:hanging="1"/>
        <w:jc w:val="left"/>
      </w:pPr>
      <w:r>
        <w:rPr>
          <w:spacing w:val="-2"/>
        </w:rPr>
        <w:t>益项目，以及把《公开发行证券的公司信息披露解释性公告第</w:t>
      </w:r>
      <w:r>
        <w:rPr/>
        <w:t> </w:t>
      </w:r>
      <w:r>
        <w:rPr>
          <w:rFonts w:ascii="Times New Roman" w:hAnsi="Times New Roman" w:cs="Times New Roman" w:eastAsia="Times New Roman" w:hint="default"/>
        </w:rPr>
        <w:t>1 </w:t>
      </w:r>
      <w:r>
        <w:rPr>
          <w:spacing w:val="-2"/>
        </w:rPr>
        <w:t>号</w:t>
      </w:r>
      <w:r>
        <w:rPr>
          <w:rFonts w:ascii="Times New Roman" w:hAnsi="Times New Roman" w:cs="Times New Roman" w:eastAsia="Times New Roman" w:hint="default"/>
          <w:spacing w:val="-2"/>
        </w:rPr>
        <w:t>——</w:t>
      </w:r>
      <w:r>
        <w:rPr>
          <w:spacing w:val="-2"/>
        </w:rPr>
        <w:t>非经常性损益》中列举的非经常性</w:t>
      </w:r>
      <w:r>
        <w:rPr>
          <w:spacing w:val="-101"/>
        </w:rPr>
        <w:t> </w:t>
      </w:r>
      <w:r>
        <w:rPr>
          <w:spacing w:val="-101"/>
        </w:rPr>
      </w:r>
      <w:r>
        <w:rPr/>
        <w:t>损益项目界定为经常性损益的项目，应说明原因。</w:t>
      </w:r>
    </w:p>
    <w:p>
      <w:pPr>
        <w:pStyle w:val="BodyText"/>
        <w:spacing w:line="240" w:lineRule="auto" w:before="22"/>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7"/>
        <w:rPr>
          <w:rFonts w:ascii="宋体" w:hAnsi="宋体" w:cs="宋体" w:eastAsia="宋体" w:hint="default"/>
          <w:sz w:val="24"/>
          <w:szCs w:val="24"/>
        </w:rPr>
      </w:pPr>
    </w:p>
    <w:p>
      <w:pPr>
        <w:pStyle w:val="Heading5"/>
        <w:spacing w:line="240" w:lineRule="auto"/>
        <w:ind w:right="0"/>
        <w:jc w:val="left"/>
        <w:rPr>
          <w:b w:val="0"/>
          <w:bCs w:val="0"/>
        </w:rPr>
      </w:pPr>
      <w:bookmarkStart w:name="2、净资产收益率及每股收益" w:id="295"/>
      <w:bookmarkEnd w:id="295"/>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7"/>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0"/>
        <w:gridCol w:w="3082"/>
        <w:gridCol w:w="1913"/>
        <w:gridCol w:w="1913"/>
      </w:tblGrid>
      <w:tr>
        <w:trPr>
          <w:trHeight w:val="283" w:hRule="exact"/>
        </w:trPr>
        <w:tc>
          <w:tcPr>
            <w:tcW w:w="2650" w:type="dxa"/>
            <w:tcBorders>
              <w:top w:val="single" w:sz="4" w:space="0" w:color="000000"/>
              <w:left w:val="single" w:sz="4" w:space="0" w:color="000000"/>
              <w:bottom w:val="nil" w:sz="6" w:space="0" w:color="auto"/>
              <w:right w:val="single" w:sz="4" w:space="0" w:color="000000"/>
            </w:tcBorders>
            <w:shd w:val="clear" w:color="auto" w:fill="D4D4D4"/>
          </w:tcPr>
          <w:p>
            <w:pPr/>
          </w:p>
        </w:tc>
        <w:tc>
          <w:tcPr>
            <w:tcW w:w="3082" w:type="dxa"/>
            <w:tcBorders>
              <w:top w:val="single" w:sz="4" w:space="0" w:color="000000"/>
              <w:left w:val="single" w:sz="4" w:space="0" w:color="000000"/>
              <w:bottom w:val="nil" w:sz="6" w:space="0" w:color="auto"/>
              <w:right w:val="single" w:sz="4" w:space="0" w:color="000000"/>
            </w:tcBorders>
            <w:shd w:val="clear" w:color="auto" w:fill="D4D4D4"/>
          </w:tcPr>
          <w:p>
            <w:pP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274" w:hRule="exact"/>
        </w:trPr>
        <w:tc>
          <w:tcPr>
            <w:tcW w:w="2650"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1" w:lineRule="exact"/>
              <w:ind w:left="789"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3082"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1" w:lineRule="exact"/>
              <w:ind w:left="484"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tc>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8" w:lineRule="exact"/>
              <w:ind w:left="5"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基本每股收益（元</w:t>
            </w:r>
            <w:r>
              <w:rPr>
                <w:rFonts w:ascii="Times New Roman" w:hAnsi="Times New Roman" w:cs="Times New Roman" w:eastAsia="Times New Roman" w:hint="default"/>
                <w:sz w:val="21"/>
                <w:szCs w:val="21"/>
              </w:rPr>
              <w:t>/</w:t>
            </w:r>
          </w:p>
          <w:p>
            <w:pPr>
              <w:pStyle w:val="TableParagraph"/>
              <w:spacing w:line="266" w:lineRule="exact"/>
              <w:ind w:left="2"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8" w:lineRule="exact"/>
              <w:ind w:left="5"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稀释每股收益（元</w:t>
            </w:r>
            <w:r>
              <w:rPr>
                <w:rFonts w:ascii="Times New Roman" w:hAnsi="Times New Roman" w:cs="Times New Roman" w:eastAsia="Times New Roman" w:hint="default"/>
                <w:sz w:val="21"/>
                <w:szCs w:val="21"/>
              </w:rPr>
              <w:t>/</w:t>
            </w:r>
          </w:p>
          <w:p>
            <w:pPr>
              <w:pStyle w:val="TableParagraph"/>
              <w:spacing w:line="266" w:lineRule="exact"/>
              <w:ind w:left="2" w:right="0"/>
              <w:jc w:val="center"/>
              <w:rPr>
                <w:rFonts w:ascii="宋体" w:hAnsi="宋体" w:cs="宋体" w:eastAsia="宋体" w:hint="default"/>
                <w:sz w:val="21"/>
                <w:szCs w:val="21"/>
              </w:rPr>
            </w:pPr>
            <w:r>
              <w:rPr>
                <w:rFonts w:ascii="宋体" w:hAnsi="宋体" w:cs="宋体" w:eastAsia="宋体" w:hint="default"/>
                <w:sz w:val="21"/>
                <w:szCs w:val="21"/>
              </w:rPr>
              <w:t>股）</w:t>
            </w:r>
          </w:p>
        </w:tc>
      </w:tr>
      <w:tr>
        <w:trPr>
          <w:trHeight w:val="283" w:hRule="exact"/>
        </w:trPr>
        <w:tc>
          <w:tcPr>
            <w:tcW w:w="2650" w:type="dxa"/>
            <w:tcBorders>
              <w:top w:val="nil" w:sz="6" w:space="0" w:color="auto"/>
              <w:left w:val="single" w:sz="4" w:space="0" w:color="000000"/>
              <w:bottom w:val="single" w:sz="4" w:space="0" w:color="000000"/>
              <w:right w:val="single" w:sz="4" w:space="0" w:color="000000"/>
            </w:tcBorders>
            <w:shd w:val="clear" w:color="auto" w:fill="D4D4D4"/>
          </w:tcPr>
          <w:p>
            <w:pPr/>
          </w:p>
        </w:tc>
        <w:tc>
          <w:tcPr>
            <w:tcW w:w="3082" w:type="dxa"/>
            <w:tcBorders>
              <w:top w:val="nil" w:sz="6" w:space="0" w:color="auto"/>
              <w:left w:val="single" w:sz="4" w:space="0" w:color="000000"/>
              <w:bottom w:val="single" w:sz="4" w:space="0" w:color="000000"/>
              <w:right w:val="single" w:sz="4" w:space="0" w:color="000000"/>
            </w:tcBorders>
            <w:shd w:val="clear" w:color="auto" w:fill="D4D4D4"/>
          </w:tcPr>
          <w:p>
            <w:pPr/>
          </w:p>
        </w:tc>
        <w:tc>
          <w:tcPr>
            <w:tcW w:w="1913" w:type="dxa"/>
            <w:vMerge/>
            <w:tcBorders>
              <w:left w:val="single" w:sz="4" w:space="0" w:color="000000"/>
              <w:bottom w:val="single" w:sz="4" w:space="0" w:color="000000"/>
              <w:right w:val="single" w:sz="4" w:space="0" w:color="000000"/>
            </w:tcBorders>
            <w:shd w:val="clear" w:color="auto" w:fill="D4D4D4"/>
          </w:tcPr>
          <w:p>
            <w:pPr/>
          </w:p>
        </w:tc>
        <w:tc>
          <w:tcPr>
            <w:tcW w:w="1913" w:type="dxa"/>
            <w:vMerge/>
            <w:tcBorders>
              <w:left w:val="single" w:sz="4" w:space="0" w:color="000000"/>
              <w:bottom w:val="single" w:sz="4" w:space="0" w:color="000000"/>
              <w:right w:val="single" w:sz="4" w:space="0" w:color="000000"/>
            </w:tcBorders>
            <w:shd w:val="clear" w:color="auto" w:fill="D4D4D4"/>
          </w:tcPr>
          <w:p>
            <w:pPr/>
          </w:p>
        </w:tc>
      </w:tr>
      <w:tr>
        <w:trPr>
          <w:trHeight w:val="554" w:hRule="exact"/>
        </w:trPr>
        <w:tc>
          <w:tcPr>
            <w:tcW w:w="26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exact"/>
              <w:ind w:left="12"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308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44"/>
              <w:ind w:right="18"/>
              <w:jc w:val="right"/>
              <w:rPr>
                <w:rFonts w:ascii="Times New Roman" w:hAnsi="Times New Roman" w:cs="Times New Roman" w:eastAsia="Times New Roman" w:hint="default"/>
                <w:sz w:val="21"/>
                <w:szCs w:val="21"/>
              </w:rPr>
            </w:pPr>
            <w:r>
              <w:rPr>
                <w:rFonts w:ascii="Times New Roman"/>
                <w:sz w:val="21"/>
              </w:rPr>
              <w:t>6.87%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z w:val="21"/>
              </w:rPr>
              <w:t>0.14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z w:val="21"/>
              </w:rPr>
              <w:t>0.14</w:t>
            </w:r>
          </w:p>
        </w:tc>
      </w:tr>
      <w:tr>
        <w:trPr>
          <w:trHeight w:val="557" w:hRule="exact"/>
        </w:trPr>
        <w:tc>
          <w:tcPr>
            <w:tcW w:w="26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w:t>
            </w:r>
          </w:p>
          <w:p>
            <w:pPr>
              <w:pStyle w:val="TableParagraph"/>
              <w:spacing w:line="273" w:lineRule="exact"/>
              <w:ind w:left="12" w:right="0"/>
              <w:jc w:val="left"/>
              <w:rPr>
                <w:rFonts w:ascii="宋体" w:hAnsi="宋体" w:cs="宋体" w:eastAsia="宋体" w:hint="default"/>
                <w:sz w:val="21"/>
                <w:szCs w:val="21"/>
              </w:rPr>
            </w:pPr>
            <w:r>
              <w:rPr>
                <w:rFonts w:ascii="宋体" w:hAnsi="宋体" w:cs="宋体" w:eastAsia="宋体" w:hint="default"/>
                <w:sz w:val="21"/>
                <w:szCs w:val="21"/>
              </w:rPr>
              <w:t>公司普通股股东的净利润</w:t>
            </w:r>
          </w:p>
        </w:tc>
        <w:tc>
          <w:tcPr>
            <w:tcW w:w="308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47"/>
              <w:ind w:right="18"/>
              <w:jc w:val="right"/>
              <w:rPr>
                <w:rFonts w:ascii="Times New Roman" w:hAnsi="Times New Roman" w:cs="Times New Roman" w:eastAsia="Times New Roman" w:hint="default"/>
                <w:sz w:val="21"/>
                <w:szCs w:val="21"/>
              </w:rPr>
            </w:pPr>
            <w:r>
              <w:rPr>
                <w:rFonts w:ascii="Times New Roman"/>
                <w:sz w:val="21"/>
              </w:rPr>
              <w:t>4.73%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z w:val="21"/>
              </w:rPr>
              <w:t>0.10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z w:val="21"/>
              </w:rPr>
              <w:t>0.10</w:t>
            </w:r>
          </w:p>
        </w:tc>
      </w:tr>
    </w:tbl>
    <w:p>
      <w:pPr>
        <w:spacing w:line="240" w:lineRule="auto" w:before="3"/>
        <w:rPr>
          <w:rFonts w:ascii="宋体" w:hAnsi="宋体" w:cs="宋体" w:eastAsia="宋体" w:hint="default"/>
          <w:b/>
          <w:bCs/>
          <w:sz w:val="19"/>
          <w:szCs w:val="19"/>
        </w:rPr>
      </w:pPr>
    </w:p>
    <w:p>
      <w:pPr>
        <w:pStyle w:val="Heading5"/>
        <w:spacing w:line="240" w:lineRule="auto" w:before="36"/>
        <w:ind w:right="0"/>
        <w:jc w:val="left"/>
        <w:rPr>
          <w:b w:val="0"/>
          <w:bCs w:val="0"/>
        </w:rPr>
      </w:pPr>
      <w:bookmarkStart w:name="3、境内外会计准则下会计数据差异" w:id="296"/>
      <w:bookmarkEnd w:id="296"/>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0"/>
        <w:rPr>
          <w:rFonts w:ascii="宋体" w:hAnsi="宋体" w:cs="宋体" w:eastAsia="宋体" w:hint="default"/>
          <w:b/>
          <w:bCs/>
          <w:sz w:val="22"/>
          <w:szCs w:val="22"/>
        </w:rPr>
      </w:pPr>
    </w:p>
    <w:p>
      <w:pPr>
        <w:spacing w:line="240" w:lineRule="auto" w:before="9"/>
        <w:rPr>
          <w:rFonts w:ascii="宋体" w:hAnsi="宋体" w:cs="宋体" w:eastAsia="宋体" w:hint="default"/>
          <w:b/>
          <w:bCs/>
          <w:sz w:val="25"/>
          <w:szCs w:val="25"/>
        </w:rPr>
      </w:pPr>
    </w:p>
    <w:p>
      <w:pPr>
        <w:pStyle w:val="Heading5"/>
        <w:spacing w:line="240" w:lineRule="auto"/>
        <w:ind w:right="0"/>
        <w:jc w:val="left"/>
        <w:rPr>
          <w:b w:val="0"/>
          <w:bCs w:val="0"/>
        </w:rPr>
      </w:pPr>
      <w:bookmarkStart w:name="（1）同时按照国际会计准则与按中国会计准则披露的财务报告中净利润和净资产差异情况" w:id="297"/>
      <w:bookmarkEnd w:id="297"/>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80" w:footer="979" w:top="1060" w:bottom="1160" w:left="980" w:right="980"/>
        </w:sectPr>
      </w:pPr>
    </w:p>
    <w:p>
      <w:pPr>
        <w:spacing w:line="240" w:lineRule="auto" w:before="8"/>
        <w:rPr>
          <w:rFonts w:ascii="宋体" w:hAnsi="宋体" w:cs="宋体" w:eastAsia="宋体" w:hint="default"/>
          <w:sz w:val="24"/>
          <w:szCs w:val="24"/>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right="0"/>
        <w:jc w:val="left"/>
      </w:pPr>
      <w:bookmarkStart w:name="（2）同时按照境外会计准则与按中国会计准则披露的财务报告中净利润和净资产差异情况" w:id="298"/>
      <w:bookmarkEnd w:id="298"/>
      <w:r>
        <w:rPr/>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7"/>
        <w:rPr>
          <w:rFonts w:ascii="宋体" w:hAnsi="宋体" w:cs="宋体" w:eastAsia="宋体" w:hint="default"/>
          <w:sz w:val="24"/>
          <w:szCs w:val="24"/>
        </w:rPr>
      </w:pPr>
    </w:p>
    <w:p>
      <w:pPr>
        <w:pStyle w:val="Heading5"/>
        <w:spacing w:line="256" w:lineRule="auto"/>
        <w:ind w:right="0"/>
        <w:jc w:val="left"/>
        <w:rPr>
          <w:b w:val="0"/>
          <w:bCs w:val="0"/>
        </w:rPr>
      </w:pPr>
      <w:bookmarkStart w:name="（3）境内外会计准则下会计数据差异原因说明，对已经境外审计机构审计的数据进行差异" w:id="299"/>
      <w:bookmarkEnd w:id="299"/>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65"/>
        </w:rPr>
        <w:t> </w:t>
      </w:r>
      <w:r>
        <w:rPr>
          <w:spacing w:val="-65"/>
        </w:rPr>
      </w:r>
      <w:r>
        <w:rPr/>
        <w:t>明该境外机构的名称</w:t>
      </w:r>
      <w:r>
        <w:rPr>
          <w:b w:val="0"/>
          <w:bCs w:val="0"/>
        </w:rPr>
      </w:r>
    </w:p>
    <w:p>
      <w:pPr>
        <w:spacing w:line="240" w:lineRule="auto" w:before="11"/>
        <w:rPr>
          <w:rFonts w:ascii="宋体" w:hAnsi="宋体" w:cs="宋体" w:eastAsia="宋体" w:hint="default"/>
          <w:b/>
          <w:bCs/>
          <w:sz w:val="24"/>
          <w:szCs w:val="24"/>
        </w:rPr>
      </w:pPr>
    </w:p>
    <w:p>
      <w:pPr>
        <w:pStyle w:val="BodyText"/>
        <w:spacing w:line="240" w:lineRule="auto"/>
        <w:ind w:right="0"/>
        <w:jc w:val="left"/>
      </w:pPr>
      <w:r>
        <w:rPr/>
        <w:t>不适用</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bookmarkStart w:name="4、会计政策变更相关补充资料" w:id="300"/>
      <w:bookmarkEnd w:id="300"/>
      <w:r>
        <w:rPr>
          <w:b w:val="0"/>
          <w:bCs w:val="0"/>
        </w:rPr>
      </w:r>
      <w:r>
        <w:rPr>
          <w:rFonts w:ascii="Times New Roman" w:hAnsi="Times New Roman" w:cs="Times New Roman" w:eastAsia="Times New Roman" w:hint="default"/>
        </w:rPr>
        <w:t>4</w:t>
      </w:r>
      <w:r>
        <w:rPr/>
        <w:t>、会计政策变更相关补充资料</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21"/>
        <w:ind w:right="0"/>
        <w:jc w:val="left"/>
      </w:pPr>
      <w:r>
        <w:rPr/>
        <w:t>公司根据财政部</w:t>
      </w:r>
      <w:r>
        <w:rPr>
          <w:spacing w:val="-5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年发布的《企业会计准则第</w:t>
      </w:r>
      <w:r>
        <w:rPr>
          <w:spacing w:val="-55"/>
        </w:rPr>
        <w:t> </w:t>
      </w:r>
      <w:r>
        <w:rPr>
          <w:rFonts w:ascii="Times New Roman" w:hAnsi="Times New Roman" w:cs="Times New Roman" w:eastAsia="Times New Roman" w:hint="default"/>
        </w:rPr>
        <w:t>2</w:t>
      </w:r>
      <w:r>
        <w:rPr>
          <w:rFonts w:ascii="Times New Roman" w:hAnsi="Times New Roman" w:cs="Times New Roman" w:eastAsia="Times New Roman" w:hint="default"/>
          <w:spacing w:val="-5"/>
        </w:rPr>
        <w:t> </w:t>
      </w:r>
      <w:r>
        <w:rPr/>
        <w:t>号</w:t>
      </w:r>
      <w:r>
        <w:rPr>
          <w:rFonts w:ascii="Times New Roman" w:hAnsi="Times New Roman" w:cs="Times New Roman" w:eastAsia="Times New Roman" w:hint="default"/>
        </w:rPr>
        <w:t>——</w:t>
      </w:r>
      <w:r>
        <w:rPr/>
        <w:t>长期股权投资》等八项会计准则变更了相关会</w:t>
      </w:r>
    </w:p>
    <w:p>
      <w:pPr>
        <w:pStyle w:val="BodyText"/>
        <w:spacing w:line="256" w:lineRule="auto" w:before="21"/>
        <w:ind w:left="153" w:right="0" w:hanging="1"/>
        <w:jc w:val="left"/>
      </w:pPr>
      <w:r>
        <w:rPr/>
        <w:t>计政策并对比较财务报表进行了追溯重述，重述后的</w:t>
      </w:r>
      <w:r>
        <w:rPr>
          <w:spacing w:val="-55"/>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日合并资产负债</w:t>
      </w:r>
      <w:r>
        <w:rPr>
          <w:w w:val="100"/>
        </w:rPr>
        <w:t> </w:t>
      </w:r>
      <w:r>
        <w:rPr/>
        <w:t>表如下：</w:t>
      </w:r>
    </w:p>
    <w:p>
      <w:pPr>
        <w:pStyle w:val="BodyText"/>
        <w:spacing w:line="240" w:lineRule="auto" w:before="22"/>
        <w:ind w:left="0" w:right="150"/>
        <w:jc w:val="right"/>
      </w:pPr>
      <w:r>
        <w:rPr>
          <w:spacing w:val="-1"/>
        </w:rPr>
        <w:t>单位：元</w:t>
      </w:r>
    </w:p>
    <w:p>
      <w:pPr>
        <w:spacing w:line="240" w:lineRule="auto" w:before="11"/>
        <w:rPr>
          <w:rFonts w:ascii="宋体" w:hAnsi="宋体" w:cs="宋体" w:eastAsia="宋体" w:hint="default"/>
          <w:sz w:val="3"/>
          <w:szCs w:val="3"/>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5"/>
        <w:gridCol w:w="2453"/>
      </w:tblGrid>
      <w:tr>
        <w:trPr>
          <w:trHeight w:val="292"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57" w:lineRule="exact"/>
              <w:ind w:left="47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4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57" w:lineRule="exact"/>
              <w:ind w:left="35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57" w:lineRule="exact"/>
              <w:ind w:left="35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266"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ind w:left="12"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455"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292"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9" w:lineRule="exact"/>
              <w:ind w:left="434" w:right="0"/>
              <w:jc w:val="left"/>
              <w:rPr>
                <w:rFonts w:ascii="宋体" w:hAnsi="宋体" w:cs="宋体" w:eastAsia="宋体" w:hint="default"/>
                <w:sz w:val="21"/>
                <w:szCs w:val="21"/>
              </w:rPr>
            </w:pPr>
            <w:r>
              <w:rPr>
                <w:rFonts w:ascii="宋体" w:hAnsi="宋体" w:cs="宋体" w:eastAsia="宋体" w:hint="default"/>
                <w:spacing w:val="-3"/>
                <w:sz w:val="21"/>
                <w:szCs w:val="21"/>
              </w:rPr>
              <w:t>货币资金</w:t>
            </w:r>
            <w:r>
              <w:rPr>
                <w:rFonts w:ascii="宋体" w:hAnsi="宋体" w:cs="宋体" w:eastAsia="宋体" w:hint="default"/>
                <w:sz w:val="21"/>
                <w:szCs w:val="21"/>
              </w:rPr>
            </w:r>
          </w:p>
        </w:tc>
        <w:tc>
          <w:tcPr>
            <w:tcW w:w="2464" w:type="dxa"/>
            <w:tcBorders>
              <w:top w:val="single" w:sz="11" w:space="0" w:color="D4D4D4"/>
              <w:left w:val="single" w:sz="10"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218,711,272.56</w:t>
            </w:r>
          </w:p>
        </w:tc>
        <w:tc>
          <w:tcPr>
            <w:tcW w:w="2455" w:type="dxa"/>
            <w:tcBorders>
              <w:top w:val="single" w:sz="11" w:space="0" w:color="D4D4D4"/>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126,646,374.23</w:t>
            </w:r>
          </w:p>
        </w:tc>
        <w:tc>
          <w:tcPr>
            <w:tcW w:w="2453" w:type="dxa"/>
            <w:tcBorders>
              <w:top w:val="single" w:sz="11" w:space="0" w:color="D4D4D4"/>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121,299,781.90</w:t>
            </w:r>
          </w:p>
        </w:tc>
      </w:tr>
      <w:tr>
        <w:trPr>
          <w:trHeight w:val="283"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pacing w:val="-3"/>
                <w:sz w:val="21"/>
                <w:szCs w:val="21"/>
              </w:rPr>
              <w:t>应收票据</w:t>
            </w:r>
            <w:r>
              <w:rPr>
                <w:rFonts w:ascii="宋体" w:hAnsi="宋体" w:cs="宋体" w:eastAsia="宋体" w:hint="default"/>
                <w:sz w:val="21"/>
                <w:szCs w:val="21"/>
              </w:rPr>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500,000.00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pacing w:val="-3"/>
                <w:sz w:val="21"/>
                <w:szCs w:val="21"/>
              </w:rPr>
              <w:t>应收账款</w:t>
            </w:r>
            <w:r>
              <w:rPr>
                <w:rFonts w:ascii="宋体" w:hAnsi="宋体" w:cs="宋体" w:eastAsia="宋体" w:hint="default"/>
                <w:sz w:val="21"/>
                <w:szCs w:val="21"/>
              </w:rPr>
            </w:r>
          </w:p>
        </w:tc>
        <w:tc>
          <w:tcPr>
            <w:tcW w:w="24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2"/>
                <w:sz w:val="21"/>
              </w:rPr>
              <w:t>11,573,051.12</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18,799,895.91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16,749,408.88</w:t>
            </w:r>
          </w:p>
        </w:tc>
      </w:tr>
      <w:tr>
        <w:trPr>
          <w:trHeight w:val="283"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pacing w:val="-3"/>
                <w:sz w:val="21"/>
                <w:szCs w:val="21"/>
              </w:rPr>
              <w:t>预付款项</w:t>
            </w:r>
            <w:r>
              <w:rPr>
                <w:rFonts w:ascii="宋体" w:hAnsi="宋体" w:cs="宋体" w:eastAsia="宋体" w:hint="default"/>
                <w:sz w:val="21"/>
                <w:szCs w:val="21"/>
              </w:rPr>
            </w:r>
          </w:p>
        </w:tc>
        <w:tc>
          <w:tcPr>
            <w:tcW w:w="24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2,105,278.57</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852,273.26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3,368,725.73</w:t>
            </w:r>
          </w:p>
        </w:tc>
      </w:tr>
      <w:tr>
        <w:trPr>
          <w:trHeight w:val="283"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pacing w:val="-3"/>
                <w:sz w:val="21"/>
                <w:szCs w:val="21"/>
              </w:rPr>
              <w:t>应收利息</w:t>
            </w:r>
            <w:r>
              <w:rPr>
                <w:rFonts w:ascii="宋体" w:hAnsi="宋体" w:cs="宋体" w:eastAsia="宋体" w:hint="default"/>
                <w:sz w:val="21"/>
                <w:szCs w:val="21"/>
              </w:rPr>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1,628,808.89</w:t>
            </w:r>
          </w:p>
        </w:tc>
      </w:tr>
      <w:tr>
        <w:trPr>
          <w:trHeight w:val="281"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4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355,370.93</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737,112.24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1,138,190.09</w:t>
            </w:r>
          </w:p>
        </w:tc>
      </w:tr>
      <w:tr>
        <w:trPr>
          <w:trHeight w:val="283"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3" w:lineRule="exact"/>
              <w:ind w:left="434" w:right="0"/>
              <w:jc w:val="left"/>
              <w:rPr>
                <w:rFonts w:ascii="宋体" w:hAnsi="宋体" w:cs="宋体" w:eastAsia="宋体" w:hint="default"/>
                <w:sz w:val="21"/>
                <w:szCs w:val="21"/>
              </w:rPr>
            </w:pPr>
            <w:r>
              <w:rPr>
                <w:rFonts w:ascii="宋体" w:hAnsi="宋体" w:cs="宋体" w:eastAsia="宋体" w:hint="default"/>
                <w:spacing w:val="-3"/>
                <w:sz w:val="21"/>
                <w:szCs w:val="21"/>
              </w:rPr>
              <w:t>存货</w:t>
            </w:r>
            <w:r>
              <w:rPr>
                <w:rFonts w:ascii="宋体" w:hAnsi="宋体" w:cs="宋体" w:eastAsia="宋体" w:hint="default"/>
                <w:sz w:val="21"/>
                <w:szCs w:val="21"/>
              </w:rPr>
            </w:r>
          </w:p>
        </w:tc>
        <w:tc>
          <w:tcPr>
            <w:tcW w:w="24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6,997,327.59</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7,002,273.33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5,137,881.57</w:t>
            </w:r>
          </w:p>
        </w:tc>
      </w:tr>
      <w:tr>
        <w:trPr>
          <w:trHeight w:val="283"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3" w:lineRule="exact"/>
              <w:ind w:left="434"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24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54,000,000.00</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80,000,000.00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100,000,000.00</w:t>
            </w:r>
          </w:p>
        </w:tc>
      </w:tr>
      <w:tr>
        <w:trPr>
          <w:trHeight w:val="292"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2464" w:type="dxa"/>
            <w:tcBorders>
              <w:top w:val="single" w:sz="4" w:space="0" w:color="000000"/>
              <w:left w:val="single" w:sz="10" w:space="0" w:color="D4D4D4"/>
              <w:bottom w:val="single" w:sz="11" w:space="0" w:color="D4D4D4"/>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293,742,300.77</w:t>
            </w:r>
          </w:p>
        </w:tc>
        <w:tc>
          <w:tcPr>
            <w:tcW w:w="2455" w:type="dxa"/>
            <w:tcBorders>
              <w:top w:val="single" w:sz="4" w:space="0" w:color="000000"/>
              <w:left w:val="single" w:sz="4" w:space="0" w:color="000000"/>
              <w:bottom w:val="single" w:sz="11" w:space="0" w:color="D4D4D4"/>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234,244,167.28</w:t>
            </w:r>
          </w:p>
        </w:tc>
        <w:tc>
          <w:tcPr>
            <w:tcW w:w="2453" w:type="dxa"/>
            <w:tcBorders>
              <w:top w:val="single" w:sz="4" w:space="0" w:color="000000"/>
              <w:left w:val="single" w:sz="4" w:space="0" w:color="000000"/>
              <w:bottom w:val="single" w:sz="11" w:space="0" w:color="D4D4D4"/>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249,322,797.06</w:t>
            </w:r>
          </w:p>
        </w:tc>
      </w:tr>
      <w:tr>
        <w:trPr>
          <w:trHeight w:val="268"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ind w:left="12"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455"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290"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8" w:lineRule="exact"/>
              <w:ind w:left="434"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2464" w:type="dxa"/>
            <w:tcBorders>
              <w:top w:val="single" w:sz="6" w:space="0" w:color="D4D4D4"/>
              <w:left w:val="single" w:sz="10" w:space="0" w:color="D4D4D4"/>
              <w:bottom w:val="single" w:sz="4" w:space="0" w:color="000000"/>
              <w:right w:val="single" w:sz="4" w:space="0" w:color="000000"/>
            </w:tcBorders>
          </w:tcPr>
          <w:p>
            <w:pPr/>
          </w:p>
        </w:tc>
        <w:tc>
          <w:tcPr>
            <w:tcW w:w="2455" w:type="dxa"/>
            <w:tcBorders>
              <w:top w:val="single" w:sz="6" w:space="0" w:color="D4D4D4"/>
              <w:left w:val="single" w:sz="4" w:space="0" w:color="000000"/>
              <w:bottom w:val="single" w:sz="4" w:space="0" w:color="000000"/>
              <w:right w:val="single" w:sz="4" w:space="0" w:color="000000"/>
            </w:tcBorders>
          </w:tcPr>
          <w:p>
            <w:pPr/>
          </w:p>
        </w:tc>
        <w:tc>
          <w:tcPr>
            <w:tcW w:w="2453" w:type="dxa"/>
            <w:tcBorders>
              <w:top w:val="single" w:sz="6" w:space="0" w:color="D4D4D4"/>
              <w:left w:val="single" w:sz="4" w:space="0" w:color="000000"/>
              <w:bottom w:val="single" w:sz="4" w:space="0" w:color="000000"/>
              <w:right w:val="single" w:sz="4" w:space="0" w:color="000000"/>
            </w:tcBorders>
          </w:tcPr>
          <w:p>
            <w:pPr>
              <w:pStyle w:val="TableParagraph"/>
              <w:spacing w:line="240" w:lineRule="auto" w:before="15"/>
              <w:ind w:right="17"/>
              <w:jc w:val="right"/>
              <w:rPr>
                <w:rFonts w:ascii="Times New Roman" w:hAnsi="Times New Roman" w:cs="Times New Roman" w:eastAsia="Times New Roman" w:hint="default"/>
                <w:sz w:val="21"/>
                <w:szCs w:val="21"/>
              </w:rPr>
            </w:pPr>
            <w:r>
              <w:rPr>
                <w:rFonts w:ascii="Times New Roman"/>
                <w:spacing w:val="-1"/>
                <w:sz w:val="21"/>
              </w:rPr>
              <w:t>6,000,000.00</w:t>
            </w:r>
          </w:p>
        </w:tc>
      </w:tr>
      <w:tr>
        <w:trPr>
          <w:trHeight w:val="283"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pacing w:val="-3"/>
                <w:sz w:val="21"/>
                <w:szCs w:val="21"/>
              </w:rPr>
              <w:t>固定资产</w:t>
            </w:r>
            <w:r>
              <w:rPr>
                <w:rFonts w:ascii="宋体" w:hAnsi="宋体" w:cs="宋体" w:eastAsia="宋体" w:hint="default"/>
                <w:sz w:val="21"/>
                <w:szCs w:val="21"/>
              </w:rPr>
            </w:r>
          </w:p>
        </w:tc>
        <w:tc>
          <w:tcPr>
            <w:tcW w:w="24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3,209,600.97</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19,379,022.84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18,849,079.62</w:t>
            </w:r>
          </w:p>
        </w:tc>
      </w:tr>
      <w:tr>
        <w:trPr>
          <w:trHeight w:val="283"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pacing w:val="-3"/>
                <w:sz w:val="21"/>
                <w:szCs w:val="21"/>
              </w:rPr>
              <w:t>无形资产</w:t>
            </w:r>
            <w:r>
              <w:rPr>
                <w:rFonts w:ascii="宋体" w:hAnsi="宋体" w:cs="宋体" w:eastAsia="宋体" w:hint="default"/>
                <w:sz w:val="21"/>
                <w:szCs w:val="21"/>
              </w:rPr>
            </w:r>
          </w:p>
        </w:tc>
        <w:tc>
          <w:tcPr>
            <w:tcW w:w="24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6,521,553.22</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5,124,940.22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3,678,299.87</w:t>
            </w:r>
          </w:p>
        </w:tc>
      </w:tr>
      <w:tr>
        <w:trPr>
          <w:trHeight w:val="283"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pacing w:val="-3"/>
                <w:sz w:val="21"/>
                <w:szCs w:val="21"/>
              </w:rPr>
              <w:t>开发支出</w:t>
            </w:r>
            <w:r>
              <w:rPr>
                <w:rFonts w:ascii="宋体" w:hAnsi="宋体" w:cs="宋体" w:eastAsia="宋体" w:hint="default"/>
                <w:sz w:val="21"/>
                <w:szCs w:val="21"/>
              </w:rPr>
            </w:r>
          </w:p>
        </w:tc>
        <w:tc>
          <w:tcPr>
            <w:tcW w:w="24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1,589,785.75</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1,457,813.01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2,421,278.60</w:t>
            </w:r>
          </w:p>
        </w:tc>
      </w:tr>
      <w:tr>
        <w:trPr>
          <w:trHeight w:val="283"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pacing w:val="-3"/>
                <w:sz w:val="21"/>
                <w:szCs w:val="21"/>
              </w:rPr>
              <w:t>商誉</w:t>
            </w:r>
            <w:r>
              <w:rPr>
                <w:rFonts w:ascii="宋体" w:hAnsi="宋体" w:cs="宋体" w:eastAsia="宋体" w:hint="default"/>
                <w:sz w:val="21"/>
                <w:szCs w:val="21"/>
              </w:rPr>
            </w:r>
          </w:p>
        </w:tc>
        <w:tc>
          <w:tcPr>
            <w:tcW w:w="24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83,940.16</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83,940.16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83,940.16</w:t>
            </w:r>
          </w:p>
        </w:tc>
      </w:tr>
      <w:tr>
        <w:trPr>
          <w:trHeight w:val="283"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24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184,337.99</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99,415.99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32,004.01</w:t>
            </w:r>
          </w:p>
        </w:tc>
      </w:tr>
      <w:tr>
        <w:trPr>
          <w:trHeight w:val="283"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24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378,804.77</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195,419.25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310,894.98</w:t>
            </w:r>
          </w:p>
        </w:tc>
      </w:tr>
      <w:tr>
        <w:trPr>
          <w:trHeight w:val="281"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24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1,805,164.00</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74,053,557.00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74,053,557.00</w:t>
            </w:r>
          </w:p>
        </w:tc>
      </w:tr>
      <w:tr>
        <w:trPr>
          <w:trHeight w:val="283"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3" w:lineRule="exact"/>
              <w:ind w:left="12"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24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13,773,186.86</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100,394,108.47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105,429,054.24</w:t>
            </w:r>
          </w:p>
        </w:tc>
      </w:tr>
      <w:tr>
        <w:trPr>
          <w:trHeight w:val="292"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3" w:lineRule="exact"/>
              <w:ind w:left="12"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2464" w:type="dxa"/>
            <w:tcBorders>
              <w:top w:val="single" w:sz="4" w:space="0" w:color="000000"/>
              <w:left w:val="single" w:sz="10" w:space="0" w:color="D4D4D4"/>
              <w:bottom w:val="single" w:sz="11" w:space="0" w:color="D4D4D4"/>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307,515,487.63</w:t>
            </w:r>
          </w:p>
        </w:tc>
        <w:tc>
          <w:tcPr>
            <w:tcW w:w="2455" w:type="dxa"/>
            <w:tcBorders>
              <w:top w:val="single" w:sz="4" w:space="0" w:color="000000"/>
              <w:left w:val="single" w:sz="4" w:space="0" w:color="000000"/>
              <w:bottom w:val="single" w:sz="11" w:space="0" w:color="D4D4D4"/>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334,638,275.75</w:t>
            </w:r>
          </w:p>
        </w:tc>
        <w:tc>
          <w:tcPr>
            <w:tcW w:w="2453" w:type="dxa"/>
            <w:tcBorders>
              <w:top w:val="single" w:sz="4" w:space="0" w:color="000000"/>
              <w:left w:val="single" w:sz="4" w:space="0" w:color="000000"/>
              <w:bottom w:val="single" w:sz="11" w:space="0" w:color="D4D4D4"/>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354,751,851.30</w:t>
            </w:r>
          </w:p>
        </w:tc>
      </w:tr>
      <w:tr>
        <w:trPr>
          <w:trHeight w:val="268"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2" w:lineRule="exact"/>
              <w:ind w:left="12"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455"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290"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8" w:lineRule="exact"/>
              <w:ind w:left="434" w:right="0"/>
              <w:jc w:val="left"/>
              <w:rPr>
                <w:rFonts w:ascii="宋体" w:hAnsi="宋体" w:cs="宋体" w:eastAsia="宋体" w:hint="default"/>
                <w:sz w:val="21"/>
                <w:szCs w:val="21"/>
              </w:rPr>
            </w:pPr>
            <w:r>
              <w:rPr>
                <w:rFonts w:ascii="宋体" w:hAnsi="宋体" w:cs="宋体" w:eastAsia="宋体" w:hint="default"/>
                <w:spacing w:val="-3"/>
                <w:sz w:val="21"/>
                <w:szCs w:val="21"/>
              </w:rPr>
              <w:t>应付账款</w:t>
            </w:r>
            <w:r>
              <w:rPr>
                <w:rFonts w:ascii="宋体" w:hAnsi="宋体" w:cs="宋体" w:eastAsia="宋体" w:hint="default"/>
                <w:sz w:val="21"/>
                <w:szCs w:val="21"/>
              </w:rPr>
            </w:r>
          </w:p>
        </w:tc>
        <w:tc>
          <w:tcPr>
            <w:tcW w:w="2464" w:type="dxa"/>
            <w:tcBorders>
              <w:top w:val="single" w:sz="10" w:space="0" w:color="D4D4D4"/>
              <w:left w:val="single" w:sz="10"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4,987,638.27</w:t>
            </w:r>
          </w:p>
        </w:tc>
        <w:tc>
          <w:tcPr>
            <w:tcW w:w="2455" w:type="dxa"/>
            <w:tcBorders>
              <w:top w:val="single" w:sz="10" w:space="0" w:color="D4D4D4"/>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7,654,086.30</w:t>
            </w:r>
          </w:p>
        </w:tc>
        <w:tc>
          <w:tcPr>
            <w:tcW w:w="2453" w:type="dxa"/>
            <w:tcBorders>
              <w:top w:val="single" w:sz="10" w:space="0" w:color="D4D4D4"/>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5,949,989.55</w:t>
            </w:r>
          </w:p>
        </w:tc>
      </w:tr>
      <w:tr>
        <w:trPr>
          <w:trHeight w:val="283"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pacing w:val="-3"/>
                <w:sz w:val="21"/>
                <w:szCs w:val="21"/>
              </w:rPr>
              <w:t>预收款项</w:t>
            </w:r>
            <w:r>
              <w:rPr>
                <w:rFonts w:ascii="宋体" w:hAnsi="宋体" w:cs="宋体" w:eastAsia="宋体" w:hint="default"/>
                <w:sz w:val="21"/>
                <w:szCs w:val="21"/>
              </w:rPr>
            </w:r>
          </w:p>
        </w:tc>
        <w:tc>
          <w:tcPr>
            <w:tcW w:w="24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795,798.17</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673,126.44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1,218,599.82</w:t>
            </w:r>
          </w:p>
        </w:tc>
      </w:tr>
      <w:tr>
        <w:trPr>
          <w:trHeight w:val="283"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24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245,861.07</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2"/>
                <w:sz w:val="21"/>
              </w:rPr>
              <w:t>600,311.81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833,936.88</w:t>
            </w:r>
          </w:p>
        </w:tc>
      </w:tr>
      <w:tr>
        <w:trPr>
          <w:trHeight w:val="283"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pacing w:val="-3"/>
                <w:sz w:val="21"/>
                <w:szCs w:val="21"/>
              </w:rPr>
              <w:t>应交税费</w:t>
            </w:r>
            <w:r>
              <w:rPr>
                <w:rFonts w:ascii="宋体" w:hAnsi="宋体" w:cs="宋体" w:eastAsia="宋体" w:hint="default"/>
                <w:sz w:val="21"/>
                <w:szCs w:val="21"/>
              </w:rPr>
            </w:r>
          </w:p>
        </w:tc>
        <w:tc>
          <w:tcPr>
            <w:tcW w:w="24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2,871,052.20</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861,678.02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424,528.58</w:t>
            </w:r>
          </w:p>
        </w:tc>
      </w:tr>
      <w:tr>
        <w:trPr>
          <w:trHeight w:val="283"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4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408,533.89</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1,228,539.08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4,478,877.25</w:t>
            </w:r>
          </w:p>
        </w:tc>
      </w:tr>
      <w:tr>
        <w:trPr>
          <w:trHeight w:val="290"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2464" w:type="dxa"/>
            <w:tcBorders>
              <w:top w:val="single" w:sz="4" w:space="0" w:color="000000"/>
              <w:left w:val="single" w:sz="10" w:space="0" w:color="D4D4D4"/>
              <w:bottom w:val="single" w:sz="6" w:space="0" w:color="D4D4D4"/>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9,308,883.60</w:t>
            </w:r>
          </w:p>
        </w:tc>
        <w:tc>
          <w:tcPr>
            <w:tcW w:w="2455" w:type="dxa"/>
            <w:tcBorders>
              <w:top w:val="single" w:sz="4" w:space="0" w:color="000000"/>
              <w:left w:val="single" w:sz="4" w:space="0" w:color="000000"/>
              <w:bottom w:val="single" w:sz="6" w:space="0" w:color="D4D4D4"/>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2"/>
                <w:sz w:val="21"/>
              </w:rPr>
              <w:t>11,017,741.65</w:t>
            </w:r>
          </w:p>
        </w:tc>
        <w:tc>
          <w:tcPr>
            <w:tcW w:w="2453" w:type="dxa"/>
            <w:tcBorders>
              <w:top w:val="single" w:sz="4" w:space="0" w:color="000000"/>
              <w:left w:val="single" w:sz="4" w:space="0" w:color="000000"/>
              <w:bottom w:val="single" w:sz="6" w:space="0" w:color="D4D4D4"/>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12,905,932.08</w:t>
            </w:r>
          </w:p>
        </w:tc>
      </w:tr>
      <w:tr>
        <w:trPr>
          <w:trHeight w:val="268"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4" w:lineRule="exact"/>
              <w:ind w:left="12"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455"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292"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9" w:lineRule="exact"/>
              <w:ind w:left="434" w:right="0"/>
              <w:jc w:val="left"/>
              <w:rPr>
                <w:rFonts w:ascii="宋体" w:hAnsi="宋体" w:cs="宋体" w:eastAsia="宋体" w:hint="default"/>
                <w:sz w:val="21"/>
                <w:szCs w:val="21"/>
              </w:rPr>
            </w:pPr>
            <w:r>
              <w:rPr>
                <w:rFonts w:ascii="宋体" w:hAnsi="宋体" w:cs="宋体" w:eastAsia="宋体" w:hint="default"/>
                <w:spacing w:val="-3"/>
                <w:sz w:val="21"/>
                <w:szCs w:val="21"/>
              </w:rPr>
              <w:t>递延收益</w:t>
            </w:r>
            <w:r>
              <w:rPr>
                <w:rFonts w:ascii="宋体" w:hAnsi="宋体" w:cs="宋体" w:eastAsia="宋体" w:hint="default"/>
                <w:sz w:val="21"/>
                <w:szCs w:val="21"/>
              </w:rPr>
            </w:r>
          </w:p>
        </w:tc>
        <w:tc>
          <w:tcPr>
            <w:tcW w:w="2464" w:type="dxa"/>
            <w:tcBorders>
              <w:top w:val="single" w:sz="7" w:space="0" w:color="D4D4D4"/>
              <w:left w:val="single" w:sz="10" w:space="0" w:color="D4D4D4"/>
              <w:bottom w:val="single" w:sz="4" w:space="0" w:color="000000"/>
              <w:right w:val="single" w:sz="4" w:space="0" w:color="000000"/>
            </w:tcBorders>
          </w:tcPr>
          <w:p>
            <w:pPr>
              <w:pStyle w:val="TableParagraph"/>
              <w:spacing w:line="240" w:lineRule="auto" w:before="12"/>
              <w:ind w:right="17"/>
              <w:jc w:val="right"/>
              <w:rPr>
                <w:rFonts w:ascii="Times New Roman" w:hAnsi="Times New Roman" w:cs="Times New Roman" w:eastAsia="Times New Roman" w:hint="default"/>
                <w:sz w:val="21"/>
                <w:szCs w:val="21"/>
              </w:rPr>
            </w:pPr>
            <w:r>
              <w:rPr>
                <w:rFonts w:ascii="Times New Roman"/>
                <w:spacing w:val="-1"/>
                <w:sz w:val="21"/>
              </w:rPr>
              <w:t>2,518,616.26</w:t>
            </w:r>
          </w:p>
        </w:tc>
        <w:tc>
          <w:tcPr>
            <w:tcW w:w="2455" w:type="dxa"/>
            <w:tcBorders>
              <w:top w:val="single" w:sz="7" w:space="0" w:color="D4D4D4"/>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1"/>
                <w:szCs w:val="21"/>
              </w:rPr>
            </w:pPr>
            <w:r>
              <w:rPr>
                <w:rFonts w:ascii="Times New Roman"/>
                <w:spacing w:val="-1"/>
                <w:sz w:val="21"/>
              </w:rPr>
              <w:t>4,620,556.01</w:t>
            </w:r>
          </w:p>
        </w:tc>
        <w:tc>
          <w:tcPr>
            <w:tcW w:w="2453" w:type="dxa"/>
            <w:tcBorders>
              <w:top w:val="single" w:sz="7" w:space="0" w:color="D4D4D4"/>
              <w:left w:val="single" w:sz="4" w:space="0" w:color="000000"/>
              <w:bottom w:val="single" w:sz="4" w:space="0" w:color="000000"/>
              <w:right w:val="single" w:sz="4" w:space="0" w:color="000000"/>
            </w:tcBorders>
          </w:tcPr>
          <w:p>
            <w:pPr>
              <w:pStyle w:val="TableParagraph"/>
              <w:spacing w:line="240" w:lineRule="auto" w:before="12"/>
              <w:ind w:right="17"/>
              <w:jc w:val="right"/>
              <w:rPr>
                <w:rFonts w:ascii="Times New Roman" w:hAnsi="Times New Roman" w:cs="Times New Roman" w:eastAsia="Times New Roman" w:hint="default"/>
                <w:sz w:val="21"/>
                <w:szCs w:val="21"/>
              </w:rPr>
            </w:pPr>
            <w:r>
              <w:rPr>
                <w:rFonts w:ascii="Times New Roman"/>
                <w:spacing w:val="-1"/>
                <w:sz w:val="21"/>
              </w:rPr>
              <w:t>5,405,801.36</w:t>
            </w:r>
          </w:p>
        </w:tc>
      </w:tr>
    </w:tbl>
    <w:p>
      <w:pPr>
        <w:spacing w:after="0" w:line="240" w:lineRule="auto"/>
        <w:jc w:val="right"/>
        <w:rPr>
          <w:rFonts w:ascii="Times New Roman" w:hAnsi="Times New Roman" w:cs="Times New Roman" w:eastAsia="Times New Roman" w:hint="default"/>
          <w:sz w:val="21"/>
          <w:szCs w:val="21"/>
        </w:rPr>
        <w:sectPr>
          <w:pgSz w:w="11910" w:h="16840"/>
          <w:pgMar w:header="880"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5"/>
        <w:gridCol w:w="2453"/>
      </w:tblGrid>
      <w:tr>
        <w:trPr>
          <w:trHeight w:val="283"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2464" w:type="dxa"/>
            <w:tcBorders>
              <w:top w:val="single" w:sz="4" w:space="0" w:color="000000"/>
              <w:left w:val="single" w:sz="10" w:space="0" w:color="D4D4D4"/>
              <w:bottom w:val="single" w:sz="4" w:space="0" w:color="000000"/>
              <w:right w:val="single" w:sz="4" w:space="0" w:color="000000"/>
            </w:tcBorders>
          </w:tcPr>
          <w:p>
            <w:pPr/>
          </w:p>
        </w:tc>
        <w:tc>
          <w:tcPr>
            <w:tcW w:w="2455"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196,234.42</w:t>
            </w:r>
          </w:p>
        </w:tc>
      </w:tr>
      <w:tr>
        <w:trPr>
          <w:trHeight w:val="283"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24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2,518,616.26</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4,620,556.01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5,602,035.78</w:t>
            </w:r>
          </w:p>
        </w:tc>
      </w:tr>
      <w:tr>
        <w:trPr>
          <w:trHeight w:val="290"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2464" w:type="dxa"/>
            <w:tcBorders>
              <w:top w:val="single" w:sz="4" w:space="0" w:color="000000"/>
              <w:left w:val="single" w:sz="10" w:space="0" w:color="D4D4D4"/>
              <w:bottom w:val="single" w:sz="10" w:space="0" w:color="D4D4D4"/>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2"/>
                <w:sz w:val="21"/>
              </w:rPr>
              <w:t>11,827,499.86</w:t>
            </w:r>
          </w:p>
        </w:tc>
        <w:tc>
          <w:tcPr>
            <w:tcW w:w="2455" w:type="dxa"/>
            <w:tcBorders>
              <w:top w:val="single" w:sz="4" w:space="0" w:color="000000"/>
              <w:left w:val="single" w:sz="4" w:space="0" w:color="000000"/>
              <w:bottom w:val="single" w:sz="10" w:space="0" w:color="D4D4D4"/>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15,638,297.66</w:t>
            </w:r>
          </w:p>
        </w:tc>
        <w:tc>
          <w:tcPr>
            <w:tcW w:w="2453" w:type="dxa"/>
            <w:tcBorders>
              <w:top w:val="single" w:sz="4" w:space="0" w:color="000000"/>
              <w:left w:val="single" w:sz="4" w:space="0" w:color="000000"/>
              <w:bottom w:val="single" w:sz="10" w:space="0" w:color="D4D4D4"/>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18,507,967.86</w:t>
            </w:r>
          </w:p>
        </w:tc>
      </w:tr>
      <w:tr>
        <w:trPr>
          <w:trHeight w:val="268"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34" w:lineRule="exact"/>
              <w:ind w:left="12" w:right="0"/>
              <w:jc w:val="left"/>
              <w:rPr>
                <w:rFonts w:ascii="宋体" w:hAnsi="宋体" w:cs="宋体" w:eastAsia="宋体" w:hint="default"/>
                <w:sz w:val="21"/>
                <w:szCs w:val="21"/>
              </w:rPr>
            </w:pPr>
            <w:r>
              <w:rPr>
                <w:rFonts w:ascii="宋体" w:hAnsi="宋体" w:cs="宋体" w:eastAsia="宋体" w:hint="default"/>
                <w:sz w:val="21"/>
                <w:szCs w:val="21"/>
              </w:rPr>
              <w:t>所有者权益：</w:t>
            </w:r>
          </w:p>
        </w:tc>
        <w:tc>
          <w:tcPr>
            <w:tcW w:w="2464"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455"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292"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9" w:lineRule="exact"/>
              <w:ind w:left="434" w:right="0"/>
              <w:jc w:val="left"/>
              <w:rPr>
                <w:rFonts w:ascii="宋体" w:hAnsi="宋体" w:cs="宋体" w:eastAsia="宋体" w:hint="default"/>
                <w:sz w:val="21"/>
                <w:szCs w:val="21"/>
              </w:rPr>
            </w:pPr>
            <w:r>
              <w:rPr>
                <w:rFonts w:ascii="宋体" w:hAnsi="宋体" w:cs="宋体" w:eastAsia="宋体" w:hint="default"/>
                <w:spacing w:val="-3"/>
                <w:sz w:val="21"/>
                <w:szCs w:val="21"/>
              </w:rPr>
              <w:t>股本</w:t>
            </w:r>
            <w:r>
              <w:rPr>
                <w:rFonts w:ascii="宋体" w:hAnsi="宋体" w:cs="宋体" w:eastAsia="宋体" w:hint="default"/>
                <w:sz w:val="21"/>
                <w:szCs w:val="21"/>
              </w:rPr>
            </w:r>
          </w:p>
        </w:tc>
        <w:tc>
          <w:tcPr>
            <w:tcW w:w="2464" w:type="dxa"/>
            <w:tcBorders>
              <w:top w:val="single" w:sz="11" w:space="0" w:color="D4D4D4"/>
              <w:left w:val="single" w:sz="10" w:space="0" w:color="D4D4D4"/>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88,000,000.00</w:t>
            </w:r>
          </w:p>
        </w:tc>
        <w:tc>
          <w:tcPr>
            <w:tcW w:w="2455" w:type="dxa"/>
            <w:tcBorders>
              <w:top w:val="single" w:sz="11" w:space="0" w:color="D4D4D4"/>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88,000,000.00</w:t>
            </w:r>
          </w:p>
        </w:tc>
        <w:tc>
          <w:tcPr>
            <w:tcW w:w="2453" w:type="dxa"/>
            <w:tcBorders>
              <w:top w:val="single" w:sz="11" w:space="0" w:color="D4D4D4"/>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158,400,000.00</w:t>
            </w:r>
          </w:p>
        </w:tc>
      </w:tr>
      <w:tr>
        <w:trPr>
          <w:trHeight w:val="281"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pacing w:val="-3"/>
                <w:sz w:val="21"/>
                <w:szCs w:val="21"/>
              </w:rPr>
              <w:t>资本公积</w:t>
            </w:r>
            <w:r>
              <w:rPr>
                <w:rFonts w:ascii="宋体" w:hAnsi="宋体" w:cs="宋体" w:eastAsia="宋体" w:hint="default"/>
                <w:sz w:val="21"/>
                <w:szCs w:val="21"/>
              </w:rPr>
            </w:r>
          </w:p>
        </w:tc>
        <w:tc>
          <w:tcPr>
            <w:tcW w:w="24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132,980,990.76</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132,980,990.76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62,580,990.76</w:t>
            </w:r>
          </w:p>
        </w:tc>
      </w:tr>
      <w:tr>
        <w:trPr>
          <w:trHeight w:val="283"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3" w:lineRule="exact"/>
              <w:ind w:left="434" w:right="0"/>
              <w:jc w:val="left"/>
              <w:rPr>
                <w:rFonts w:ascii="宋体" w:hAnsi="宋体" w:cs="宋体" w:eastAsia="宋体" w:hint="default"/>
                <w:sz w:val="21"/>
                <w:szCs w:val="21"/>
              </w:rPr>
            </w:pPr>
            <w:r>
              <w:rPr>
                <w:rFonts w:ascii="宋体" w:hAnsi="宋体" w:cs="宋体" w:eastAsia="宋体" w:hint="default"/>
                <w:spacing w:val="-3"/>
                <w:sz w:val="21"/>
                <w:szCs w:val="21"/>
              </w:rPr>
              <w:t>盈余公积</w:t>
            </w:r>
            <w:r>
              <w:rPr>
                <w:rFonts w:ascii="宋体" w:hAnsi="宋体" w:cs="宋体" w:eastAsia="宋体" w:hint="default"/>
                <w:sz w:val="21"/>
                <w:szCs w:val="21"/>
              </w:rPr>
            </w:r>
          </w:p>
        </w:tc>
        <w:tc>
          <w:tcPr>
            <w:tcW w:w="24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9,498,391.39</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2"/>
                <w:sz w:val="21"/>
              </w:rPr>
              <w:t>11,736,079.47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14,026,838.97</w:t>
            </w:r>
          </w:p>
        </w:tc>
      </w:tr>
      <w:tr>
        <w:trPr>
          <w:trHeight w:val="283"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3" w:lineRule="exact"/>
              <w:ind w:left="434"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24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65,208,605.62</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86,282,907.86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101,236,053.71</w:t>
            </w:r>
          </w:p>
        </w:tc>
      </w:tr>
      <w:tr>
        <w:trPr>
          <w:trHeight w:val="557"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exact"/>
              <w:ind w:left="12" w:right="0"/>
              <w:jc w:val="left"/>
              <w:rPr>
                <w:rFonts w:ascii="宋体" w:hAnsi="宋体" w:cs="宋体" w:eastAsia="宋体" w:hint="default"/>
                <w:sz w:val="21"/>
                <w:szCs w:val="21"/>
              </w:rPr>
            </w:pPr>
            <w:r>
              <w:rPr>
                <w:rFonts w:ascii="宋体" w:hAnsi="宋体" w:cs="宋体" w:eastAsia="宋体" w:hint="default"/>
                <w:sz w:val="21"/>
                <w:szCs w:val="21"/>
              </w:rPr>
              <w:t>归属于母公司所有者权</w:t>
            </w:r>
          </w:p>
          <w:p>
            <w:pPr>
              <w:pStyle w:val="TableParagraph"/>
              <w:spacing w:line="274" w:lineRule="exact"/>
              <w:ind w:left="12" w:right="0"/>
              <w:jc w:val="left"/>
              <w:rPr>
                <w:rFonts w:ascii="宋体" w:hAnsi="宋体" w:cs="宋体" w:eastAsia="宋体" w:hint="default"/>
                <w:sz w:val="21"/>
                <w:szCs w:val="21"/>
              </w:rPr>
            </w:pPr>
            <w:r>
              <w:rPr>
                <w:rFonts w:ascii="宋体" w:hAnsi="宋体" w:cs="宋体" w:eastAsia="宋体" w:hint="default"/>
                <w:sz w:val="21"/>
                <w:szCs w:val="21"/>
              </w:rPr>
              <w:t>益合计</w:t>
            </w:r>
          </w:p>
        </w:tc>
        <w:tc>
          <w:tcPr>
            <w:tcW w:w="24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1"/>
                <w:sz w:val="21"/>
              </w:rPr>
              <w:t>295,687,987.77</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318,999,978.09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1"/>
                <w:sz w:val="21"/>
              </w:rPr>
              <w:t>336,243,883.44</w:t>
            </w:r>
          </w:p>
        </w:tc>
      </w:tr>
      <w:tr>
        <w:trPr>
          <w:trHeight w:val="283"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24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295,687,987.77</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318,999,978.09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336,243,883.44</w:t>
            </w:r>
          </w:p>
        </w:tc>
      </w:tr>
      <w:tr>
        <w:trPr>
          <w:trHeight w:val="283" w:hRule="exact"/>
        </w:trPr>
        <w:tc>
          <w:tcPr>
            <w:tcW w:w="21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1" w:lineRule="exact"/>
              <w:ind w:left="12"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246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307,515,487.63</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334,638,275.75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354,751,851.30</w:t>
            </w:r>
          </w:p>
        </w:tc>
      </w:tr>
    </w:tbl>
    <w:p>
      <w:pPr>
        <w:spacing w:after="0" w:line="240" w:lineRule="auto"/>
        <w:jc w:val="right"/>
        <w:rPr>
          <w:rFonts w:ascii="Times New Roman" w:hAnsi="Times New Roman" w:cs="Times New Roman" w:eastAsia="Times New Roman" w:hint="default"/>
          <w:sz w:val="21"/>
          <w:szCs w:val="21"/>
        </w:rPr>
        <w:sectPr>
          <w:pgSz w:w="11910" w:h="16840"/>
          <w:pgMar w:header="880" w:footer="979" w:top="1060" w:bottom="1160" w:left="980" w:right="980"/>
        </w:sectPr>
      </w:pPr>
    </w:p>
    <w:p>
      <w:pPr>
        <w:spacing w:before="25"/>
        <w:ind w:left="4706" w:right="0" w:firstLine="0"/>
        <w:jc w:val="left"/>
        <w:rPr>
          <w:rFonts w:ascii="宋体" w:hAnsi="宋体" w:cs="宋体" w:eastAsia="宋体" w:hint="default"/>
          <w:sz w:val="18"/>
          <w:szCs w:val="18"/>
        </w:rPr>
      </w:pPr>
      <w:r>
        <w:rPr>
          <w:rFonts w:ascii="宋体" w:hAnsi="宋体" w:cs="宋体" w:eastAsia="宋体" w:hint="default"/>
          <w:sz w:val="18"/>
          <w:szCs w:val="18"/>
        </w:rPr>
        <w:t>深圳市方直科技股份有限公司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p>
      <w:pPr>
        <w:spacing w:line="240" w:lineRule="auto" w:before="7"/>
        <w:rPr>
          <w:rFonts w:ascii="宋体" w:hAnsi="宋体" w:cs="宋体" w:eastAsia="宋体" w:hint="default"/>
          <w:sz w:val="2"/>
          <w:szCs w:val="2"/>
        </w:rPr>
      </w:pPr>
    </w:p>
    <w:p>
      <w:pPr>
        <w:spacing w:line="20" w:lineRule="exact"/>
        <w:ind w:left="105" w:right="0" w:firstLine="0"/>
        <w:rPr>
          <w:rFonts w:ascii="宋体" w:hAnsi="宋体" w:cs="宋体" w:eastAsia="宋体" w:hint="default"/>
          <w:sz w:val="2"/>
          <w:szCs w:val="2"/>
        </w:rPr>
      </w:pPr>
      <w:r>
        <w:rPr>
          <w:rFonts w:ascii="宋体" w:hAnsi="宋体" w:cs="宋体" w:eastAsia="宋体" w:hint="default"/>
          <w:sz w:val="2"/>
          <w:szCs w:val="2"/>
        </w:rPr>
        <w:pict>
          <v:group style="width:434.4pt;height:.75pt;mso-position-horizontal-relative:char;mso-position-vertical-relative:line" coordorigin="0,0" coordsize="8688,15">
            <v:group style="position:absolute;left:7;top:7;width:8674;height:2" coordorigin="7,7" coordsize="8674,2">
              <v:shape style="position:absolute;left:7;top:7;width:8674;height:2" coordorigin="7,7" coordsize="8674,0" path="m7,7l8681,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pStyle w:val="Heading1"/>
        <w:spacing w:line="240" w:lineRule="auto"/>
        <w:ind w:left="2925" w:right="0"/>
        <w:jc w:val="left"/>
        <w:rPr>
          <w:b w:val="0"/>
          <w:bCs w:val="0"/>
        </w:rPr>
      </w:pPr>
      <w:bookmarkStart w:name="第十节 备查文件目录" w:id="301"/>
      <w:bookmarkEnd w:id="301"/>
      <w:r>
        <w:rPr>
          <w:b w:val="0"/>
          <w:bCs w:val="0"/>
        </w:rPr>
      </w:r>
      <w:bookmarkStart w:name="_bookmark9" w:id="302"/>
      <w:bookmarkEnd w:id="302"/>
      <w:r>
        <w:rPr>
          <w:b w:val="0"/>
          <w:bCs w:val="0"/>
        </w:rPr>
      </w:r>
      <w:r>
        <w:rPr/>
        <w:t>第十节</w:t>
      </w:r>
      <w:r>
        <w:rPr>
          <w:spacing w:val="-11"/>
        </w:rPr>
        <w:t> </w:t>
      </w:r>
      <w:r>
        <w:rPr/>
        <w:t>备查文件目录</w:t>
      </w:r>
      <w:r>
        <w:rPr>
          <w:b w:val="0"/>
          <w:bCs w:val="0"/>
        </w:rPr>
      </w:r>
    </w:p>
    <w:p>
      <w:pPr>
        <w:pStyle w:val="BodyText"/>
        <w:spacing w:line="408" w:lineRule="auto" w:before="278"/>
        <w:ind w:left="141" w:right="0" w:firstLine="419"/>
        <w:jc w:val="left"/>
      </w:pPr>
      <w:r>
        <w:rPr/>
        <w:t>一、</w:t>
      </w:r>
      <w:r>
        <w:rPr>
          <w:spacing w:val="102"/>
        </w:rPr>
        <w:t> </w:t>
      </w:r>
      <w:r>
        <w:rPr>
          <w:spacing w:val="-3"/>
        </w:rPr>
        <w:t>载有公司法定代表人、主管会计工作负责人、公司会计机构负责人（会计主管人员）</w:t>
      </w:r>
      <w:r>
        <w:rPr>
          <w:w w:val="100"/>
        </w:rPr>
        <w:t> </w:t>
      </w:r>
      <w:r>
        <w:rPr/>
        <w:t>签名并盖章的财务报表。</w:t>
      </w:r>
    </w:p>
    <w:p>
      <w:pPr>
        <w:pStyle w:val="BodyText"/>
        <w:spacing w:line="240" w:lineRule="auto" w:before="46"/>
        <w:ind w:left="561" w:right="0"/>
        <w:jc w:val="left"/>
      </w:pPr>
      <w:r>
        <w:rPr/>
        <w:t>二、</w:t>
      </w:r>
      <w:r>
        <w:rPr>
          <w:spacing w:val="55"/>
        </w:rPr>
        <w:t> </w:t>
      </w:r>
      <w:r>
        <w:rPr/>
        <w:t>载有会计师事务所盖章、注册会计师签名并盖章的审计报告原件。</w:t>
      </w:r>
    </w:p>
    <w:p>
      <w:pPr>
        <w:spacing w:line="240" w:lineRule="auto" w:before="10"/>
        <w:rPr>
          <w:rFonts w:ascii="宋体" w:hAnsi="宋体" w:cs="宋体" w:eastAsia="宋体" w:hint="default"/>
          <w:sz w:val="14"/>
          <w:szCs w:val="14"/>
        </w:rPr>
      </w:pPr>
    </w:p>
    <w:p>
      <w:pPr>
        <w:pStyle w:val="BodyText"/>
        <w:spacing w:line="408" w:lineRule="auto"/>
        <w:ind w:left="561" w:right="114"/>
        <w:jc w:val="left"/>
      </w:pPr>
      <w:r>
        <w:rPr/>
        <w:t>三、</w:t>
      </w:r>
      <w:r>
        <w:rPr>
          <w:spacing w:val="-4"/>
        </w:rPr>
        <w:t> </w:t>
      </w:r>
      <w:r>
        <w:rPr/>
        <w:t>报告期内在中国证监会指定网站上公开披露过的所有公司文件的正本及公告的原稿。</w:t>
      </w:r>
      <w:r>
        <w:rPr>
          <w:spacing w:val="-3"/>
          <w:w w:val="100"/>
        </w:rPr>
        <w:t> </w:t>
      </w:r>
      <w:r>
        <w:rPr/>
        <w:t>四、</w:t>
      </w:r>
      <w:r>
        <w:rPr>
          <w:spacing w:val="60"/>
        </w:rPr>
        <w:t> </w:t>
      </w:r>
      <w:r>
        <w:rPr/>
        <w:t>经公司法定代表人签名的</w:t>
      </w:r>
      <w:r>
        <w:rPr>
          <w:rFonts w:ascii="Times New Roman" w:hAnsi="Times New Roman" w:cs="Times New Roman" w:eastAsia="Times New Roman" w:hint="default"/>
        </w:rPr>
        <w:t>2014</w:t>
      </w:r>
      <w:r>
        <w:rPr/>
        <w:t>年年度报告文本原件。</w:t>
      </w:r>
    </w:p>
    <w:p>
      <w:pPr>
        <w:pStyle w:val="BodyText"/>
        <w:spacing w:line="408" w:lineRule="auto" w:before="14"/>
        <w:ind w:left="645" w:right="2436" w:hanging="85"/>
        <w:jc w:val="left"/>
      </w:pPr>
      <w:r>
        <w:rPr/>
        <w:t>五、</w:t>
      </w:r>
      <w:r>
        <w:rPr>
          <w:spacing w:val="63"/>
        </w:rPr>
        <w:t> </w:t>
      </w:r>
      <w:r>
        <w:rPr/>
        <w:t>其他相关资料。</w:t>
      </w:r>
      <w:r>
        <w:rPr>
          <w:w w:val="100"/>
        </w:rPr>
        <w:t> </w:t>
      </w:r>
      <w:r>
        <w:rPr>
          <w:spacing w:val="-2"/>
        </w:rPr>
        <w:t>以上备查文件的备置地点：公司证券事务部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BodyText"/>
        <w:spacing w:line="626" w:lineRule="auto"/>
        <w:ind w:left="5457" w:right="0" w:hanging="209"/>
        <w:jc w:val="left"/>
      </w:pPr>
      <w:r>
        <w:rPr>
          <w:spacing w:val="-2"/>
        </w:rPr>
        <w:t>深圳市方直科技股份有限公司</w:t>
      </w:r>
      <w:r>
        <w:rPr>
          <w:spacing w:val="-79"/>
        </w:rPr>
        <w:t> </w:t>
      </w:r>
      <w:r>
        <w:rPr>
          <w:spacing w:val="-79"/>
        </w:rPr>
      </w:r>
      <w:r>
        <w:rPr/>
        <w:t>法定代表人：</w:t>
      </w:r>
      <w:r>
        <w:rPr>
          <w:spacing w:val="-21"/>
        </w:rPr>
        <w:t> </w:t>
      </w:r>
      <w:r>
        <w:rPr/>
        <w:t>黄元忠</w:t>
      </w:r>
      <w:r>
        <w:rPr>
          <w:w w:val="100"/>
        </w:rPr>
        <w:t> </w:t>
      </w:r>
      <w:r>
        <w:rPr/>
        <w:t>二〇一五年四月十六日</w:t>
      </w:r>
    </w:p>
    <w:sectPr>
      <w:headerReference w:type="default" r:id="rId91"/>
      <w:footerReference w:type="default" r:id="rId92"/>
      <w:pgSz w:w="11910" w:h="16840"/>
      <w:pgMar w:header="0" w:footer="979" w:top="780" w:bottom="1160" w:left="1560" w:right="1360"/>
      <w:pgNumType w:start="188"/>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pt;margin-top:795.517944pt;width:6.5pt;height:11pt;mso-position-horizontal-relative:page;mso-position-vertical-relative:page;z-index:-116051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399994pt;margin-top:535.357971pt;width:13.15pt;height:11pt;mso-position-horizontal-relative:page;mso-position-vertical-relative:page;z-index:-11602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68</w:t>
                </w:r>
                <w:r>
                  <w:rPr/>
                  <w:fldChar w:fldCharType="end"/>
                </w:r>
                <w:r>
                  <w:rPr>
                    <w:rFonts w:ascii="Times New Roman"/>
                    <w:spacing w:val="1"/>
                    <w:sz w:val="18"/>
                  </w:rPr>
                </w:r>
                <w:r>
                  <w:rPr>
                    <w:rFonts w:ascii="Times New Roman"/>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1.957947pt;width:13.15pt;height:11pt;mso-position-horizontal-relative:page;mso-position-vertical-relative:page;z-index:-11601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71</w:t>
                </w:r>
                <w:r>
                  <w:rPr/>
                  <w:fldChar w:fldCharType="end"/>
                </w:r>
                <w:r>
                  <w:rPr>
                    <w:rFonts w:ascii="Times New Roman"/>
                    <w:spacing w:val="1"/>
                    <w:sz w:val="18"/>
                  </w:rPr>
                </w:r>
                <w:r>
                  <w:rPr>
                    <w:rFonts w:ascii="Times New Roman"/>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880005pt;margin-top:781.957947pt;width:15.7pt;height:11pt;mso-position-horizontal-relative:page;mso-position-vertical-relative:page;z-index:-116010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1.957947pt;width:17.7pt;height:11pt;mso-position-horizontal-relative:page;mso-position-vertical-relative:page;z-index:-11600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r>
                  <w:rPr>
                    <w:rFonts w:ascii="Times New Roman"/>
                    <w:spacing w:val="1"/>
                    <w:sz w:val="18"/>
                  </w:rPr>
                </w:r>
                <w:r>
                  <w:rPr>
                    <w:rFonts w:ascii="Times New Roman"/>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pt;margin-top:781.957947pt;width:17.3pt;height:11pt;mso-position-horizontal-relative:page;mso-position-vertical-relative:page;z-index:-11600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1.957947pt;width:17.7pt;height:11pt;mso-position-horizontal-relative:page;mso-position-vertical-relative:page;z-index:-11600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r>
                  <w:rPr>
                    <w:rFonts w:ascii="Times New Roman"/>
                    <w:spacing w:val="1"/>
                    <w:sz w:val="18"/>
                  </w:rPr>
                </w:r>
                <w:r>
                  <w:rPr>
                    <w:rFonts w:ascii="Times New Roman"/>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1.957947pt;width:17.7pt;height:11pt;mso-position-horizontal-relative:page;mso-position-vertical-relative:page;z-index:-11600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139</w:t>
                </w:r>
                <w:r>
                  <w:rPr/>
                  <w:fldChar w:fldCharType="end"/>
                </w:r>
                <w:r>
                  <w:rPr>
                    <w:rFonts w:ascii="Times New Roman"/>
                    <w:spacing w:val="1"/>
                    <w:sz w:val="18"/>
                  </w:rPr>
                </w:r>
                <w:r>
                  <w:rPr>
                    <w:rFonts w:ascii="Times New Roman"/>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1.957947pt;width:17.7pt;height:11pt;mso-position-horizontal-relative:page;mso-position-vertical-relative:page;z-index:-11599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140</w:t>
                </w:r>
                <w:r>
                  <w:rPr/>
                  <w:fldChar w:fldCharType="end"/>
                </w:r>
                <w:r>
                  <w:rPr>
                    <w:rFonts w:ascii="Times New Roman"/>
                    <w:spacing w:val="1"/>
                    <w:sz w:val="18"/>
                  </w:rPr>
                </w:r>
                <w:r>
                  <w:rPr>
                    <w:rFonts w:ascii="Times New Roman"/>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1.957947pt;width:17.7pt;height:11pt;mso-position-horizontal-relative:page;mso-position-vertical-relative:page;z-index:-11599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144</w:t>
                </w:r>
                <w:r>
                  <w:rPr/>
                  <w:fldChar w:fldCharType="end"/>
                </w:r>
                <w:r>
                  <w:rPr>
                    <w:rFonts w:ascii="Times New Roman"/>
                    <w:spacing w:val="1"/>
                    <w:sz w:val="18"/>
                  </w:rPr>
                </w:r>
                <w:r>
                  <w:rPr>
                    <w:rFonts w:ascii="Times New Roman"/>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2pt;margin-top:781.837891pt;width:8.5pt;height:11pt;mso-position-horizontal-relative:page;mso-position-vertical-relative:page;z-index:-11604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1.957947pt;width:17.7pt;height:11pt;mso-position-horizontal-relative:page;mso-position-vertical-relative:page;z-index:-11599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153</w:t>
                </w:r>
                <w:r>
                  <w:rPr/>
                  <w:fldChar w:fldCharType="end"/>
                </w:r>
                <w:r>
                  <w:rPr>
                    <w:rFonts w:ascii="Times New Roman"/>
                    <w:spacing w:val="1"/>
                    <w:sz w:val="18"/>
                  </w:rPr>
                </w:r>
                <w:r>
                  <w:rPr>
                    <w:rFonts w:ascii="Times New Roman"/>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1.957947pt;width:17.7pt;height:11pt;mso-position-horizontal-relative:page;mso-position-vertical-relative:page;z-index:-11599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166</w:t>
                </w:r>
                <w:r>
                  <w:rPr/>
                  <w:fldChar w:fldCharType="end"/>
                </w:r>
                <w:r>
                  <w:rPr>
                    <w:rFonts w:ascii="Times New Roman"/>
                    <w:spacing w:val="1"/>
                    <w:sz w:val="18"/>
                  </w:rPr>
                </w:r>
                <w:r>
                  <w:rPr>
                    <w:rFonts w:ascii="Times New Roman"/>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1.957947pt;width:20.6pt;height:11pt;mso-position-horizontal-relative:page;mso-position-vertical-relative:page;z-index:-11598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178</w:t>
                </w:r>
                <w:r>
                  <w:rPr/>
                  <w:fldChar w:fldCharType="end"/>
                </w:r>
                <w:r>
                  <w:rPr>
                    <w:rFonts w:ascii="Times New Roman"/>
                    <w:spacing w:val="1"/>
                    <w:sz w:val="18"/>
                  </w:rPr>
                </w:r>
                <w:r>
                  <w:rPr>
                    <w:rFonts w:ascii="Times New Roman"/>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760010pt;margin-top:781.957947pt;width:17.7pt;height:11pt;mso-position-horizontal-relative:page;mso-position-vertical-relative:page;z-index:-11598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188</w:t>
                </w:r>
                <w:r>
                  <w:rPr/>
                  <w:fldChar w:fldCharType="end"/>
                </w:r>
                <w:r>
                  <w:rPr>
                    <w:rFonts w:ascii="Times New Roman"/>
                    <w:spacing w:val="1"/>
                    <w:sz w:val="18"/>
                  </w:rPr>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998pt;margin-top:781.837891pt;width:13.15pt;height:11pt;mso-position-horizontal-relative:page;mso-position-vertical-relative:page;z-index:-11604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559998pt;margin-top:781.957886pt;width:13.15pt;height:11pt;mso-position-horizontal-relative:page;mso-position-vertical-relative:page;z-index:-11603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51</w:t>
                </w:r>
                <w:r>
                  <w:rPr/>
                  <w:fldChar w:fldCharType="end"/>
                </w:r>
                <w:r>
                  <w:rPr>
                    <w:rFonts w:ascii="Times New Roman"/>
                    <w:spacing w:val="1"/>
                    <w:sz w:val="18"/>
                  </w:rPr>
                </w:r>
                <w:r>
                  <w:rPr>
                    <w:rFonts w:ascii="Times New Roman"/>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85.722992pt;margin-top:772.957947pt;width:11.15pt;height:11pt;mso-position-horizontal-relative:page;mso-position-vertical-relative:page;z-index:-116036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56</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1.957947pt;width:13.15pt;height:12.35pt;mso-position-horizontal-relative:page;mso-position-vertical-relative:page;z-index:-1160344" type="#_x0000_t202" filled="false" stroked="false">
          <v:textbox inset="0,0,0,0">
            <w:txbxContent>
              <w:p>
                <w:pPr>
                  <w:spacing w:before="23"/>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57</w:t>
                </w:r>
                <w:r>
                  <w:rPr/>
                  <w:fldChar w:fldCharType="end"/>
                </w:r>
                <w:r>
                  <w:rPr>
                    <w:rFonts w:ascii="Times New Roman"/>
                    <w:spacing w:val="1"/>
                    <w:sz w:val="18"/>
                  </w:rPr>
                </w:r>
                <w:r>
                  <w:rPr>
                    <w:rFonts w:ascii="Times New Roman"/>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399994pt;margin-top:535.357971pt;width:13.15pt;height:11pt;mso-position-horizontal-relative:page;mso-position-vertical-relative:page;z-index:-11602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62</w:t>
                </w:r>
                <w:r>
                  <w:rPr/>
                  <w:fldChar w:fldCharType="end"/>
                </w:r>
                <w:r>
                  <w:rPr>
                    <w:rFonts w:ascii="Times New Roman"/>
                    <w:spacing w:val="1"/>
                    <w:sz w:val="18"/>
                  </w:rPr>
                </w:r>
                <w:r>
                  <w:rPr>
                    <w:rFonts w:ascii="Times New Roman"/>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5.320007pt;margin-top:781.957947pt;width:13.15pt;height:11pt;mso-position-horizontal-relative:page;mso-position-vertical-relative:page;z-index:-11602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65</w:t>
                </w:r>
                <w:r>
                  <w:rPr/>
                  <w:fldChar w:fldCharType="end"/>
                </w:r>
                <w:r>
                  <w:rPr>
                    <w:rFonts w:ascii="Times New Roman"/>
                    <w:spacing w:val="1"/>
                    <w:sz w:val="18"/>
                  </w:rPr>
                </w:r>
                <w:r>
                  <w:rPr>
                    <w:rFonts w:ascii="Times New Roman"/>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35pt;margin-top:36.385609pt;width:204.7pt;height:11.5pt;mso-position-horizontal-relative:page;mso-position-vertical-relative:page;z-index:-116053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深圳市方直科技股份有限公司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88.440002pt;margin-top:55.679977pt;width:418.6pt;height:.1pt;mso-position-horizontal-relative:page;mso-position-vertical-relative:page;z-index:-1160440" coordorigin="1769,1114" coordsize="8372,2">
          <v:shape style="position:absolute;left:1769;top:1114;width:8372;height:2" coordorigin="1769,1114" coordsize="8372,0" path="m1769,1114l10140,1114e" filled="false" stroked="true" strokeweight=".72pt" strokecolor="#000000">
            <v:path arrowok="t"/>
          </v:shape>
          <w10:wrap type="none"/>
        </v:group>
      </w:pict>
    </w:r>
    <w:r>
      <w:rPr/>
      <w:pict>
        <v:shape style="position:absolute;margin-left:301.760010pt;margin-top:43.105602pt;width:204.7pt;height:11.5pt;mso-position-horizontal-relative:page;mso-position-vertical-relative:page;z-index:-116041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深圳市方直科技股份有限公司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09.919983pt;margin-top:42.985634pt;width:204.7pt;height:11.5pt;mso-position-horizontal-relative:page;mso-position-vertical-relative:page;z-index:-116032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深圳市方直科技股份有限公司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63.320007pt;margin-top:42.985607pt;width:204.7pt;height:11.5pt;mso-position-horizontal-relative:page;mso-position-vertical-relative:page;z-index:-116027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深圳市方直科技股份有限公司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09.919983pt;margin-top:42.985634pt;width:204.7pt;height:11.5pt;mso-position-horizontal-relative:page;mso-position-vertical-relative:page;z-index:-116022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深圳市方直科技股份有限公司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679981pt;width:484.8pt;height:.1pt;mso-position-horizontal-relative:page;mso-position-vertical-relative:page;z-index:-1160176" coordorigin="1104,1114" coordsize="9696,2">
          <v:shape style="position:absolute;left:1104;top:1114;width:9696;height:2" coordorigin="1104,1114" coordsize="9696,0" path="m1104,1114l10800,1114e" filled="false" stroked="true" strokeweight=".72pt" strokecolor="#000000">
            <v:path arrowok="t"/>
          </v:shape>
          <w10:wrap type="none"/>
        </v:group>
      </w:pict>
    </w:r>
    <w:r>
      <w:rPr/>
      <w:pict>
        <v:shape style="position:absolute;margin-left:335pt;margin-top:42.985607pt;width:204.7pt;height:11.5pt;mso-position-horizontal-relative:page;mso-position-vertical-relative:page;z-index:-116015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深圳市方直科技股份有限公司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77"/>
      <w:ind w:left="153"/>
    </w:pPr>
    <w:rPr>
      <w:rFonts w:ascii="宋体" w:hAnsi="宋体" w:eastAsia="宋体"/>
      <w:sz w:val="21"/>
      <w:szCs w:val="21"/>
    </w:rPr>
  </w:style>
  <w:style w:styleId="BodyText" w:type="paragraph">
    <w:name w:val="Body Text"/>
    <w:basedOn w:val="Normal"/>
    <w:uiPriority w:val="1"/>
    <w:qFormat/>
    <w:pPr>
      <w:ind w:left="152"/>
    </w:pPr>
    <w:rPr>
      <w:rFonts w:ascii="宋体" w:hAnsi="宋体" w:eastAsia="宋体"/>
      <w:sz w:val="21"/>
      <w:szCs w:val="21"/>
    </w:rPr>
  </w:style>
  <w:style w:styleId="Heading1" w:type="paragraph">
    <w:name w:val="Heading 1"/>
    <w:basedOn w:val="Normal"/>
    <w:uiPriority w:val="1"/>
    <w:qFormat/>
    <w:pPr>
      <w:ind w:left="132"/>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8"/>
      <w:szCs w:val="28"/>
    </w:rPr>
  </w:style>
  <w:style w:styleId="Heading3" w:type="paragraph">
    <w:name w:val="Heading 3"/>
    <w:basedOn w:val="Normal"/>
    <w:uiPriority w:val="1"/>
    <w:qFormat/>
    <w:pPr>
      <w:ind w:left="137"/>
      <w:outlineLvl w:val="3"/>
    </w:pPr>
    <w:rPr>
      <w:rFonts w:ascii="宋体" w:hAnsi="宋体" w:eastAsia="宋体"/>
      <w:sz w:val="28"/>
      <w:szCs w:val="28"/>
    </w:rPr>
  </w:style>
  <w:style w:styleId="Heading4" w:type="paragraph">
    <w:name w:val="Heading 4"/>
    <w:basedOn w:val="Normal"/>
    <w:uiPriority w:val="1"/>
    <w:qFormat/>
    <w:pPr>
      <w:ind w:left="152"/>
      <w:outlineLvl w:val="4"/>
    </w:pPr>
    <w:rPr>
      <w:rFonts w:ascii="宋体" w:hAnsi="宋体" w:eastAsia="宋体"/>
      <w:b/>
      <w:bCs/>
      <w:sz w:val="24"/>
      <w:szCs w:val="24"/>
    </w:rPr>
  </w:style>
  <w:style w:styleId="Heading5" w:type="paragraph">
    <w:name w:val="Heading 5"/>
    <w:basedOn w:val="Normal"/>
    <w:uiPriority w:val="1"/>
    <w:qFormat/>
    <w:pPr>
      <w:ind w:left="152"/>
      <w:outlineLvl w:val="5"/>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footer" Target="footer2.xml"/><Relationship Id="rId9" Type="http://schemas.openxmlformats.org/officeDocument/2006/relationships/hyperlink" Target="http://www.kingsunsoft.com/" TargetMode="External"/><Relationship Id="rId10" Type="http://schemas.openxmlformats.org/officeDocument/2006/relationships/hyperlink" Target="mailto:kingsunsoft@kingsunsoft.com" TargetMode="External"/><Relationship Id="rId11" Type="http://schemas.openxmlformats.org/officeDocument/2006/relationships/hyperlink" Target="mailto:kerang.chen@kingsunsoft.com" TargetMode="External"/><Relationship Id="rId12" Type="http://schemas.openxmlformats.org/officeDocument/2006/relationships/hyperlink" Target="mailto:feng.li@kingsunsoft.com" TargetMode="External"/><Relationship Id="rId13" Type="http://schemas.openxmlformats.org/officeDocument/2006/relationships/hyperlink" Target="http://www.cninfo.com.cn/" TargetMode="External"/><Relationship Id="rId14" Type="http://schemas.openxmlformats.org/officeDocument/2006/relationships/footer" Target="footer3.xml"/><Relationship Id="rId15" Type="http://schemas.openxmlformats.org/officeDocument/2006/relationships/image" Target="media/image2.png"/><Relationship Id="rId16" Type="http://schemas.openxmlformats.org/officeDocument/2006/relationships/header" Target="header2.xml"/><Relationship Id="rId17" Type="http://schemas.openxmlformats.org/officeDocument/2006/relationships/footer" Target="footer4.xml"/><Relationship Id="rId18" Type="http://schemas.openxmlformats.org/officeDocument/2006/relationships/footer" Target="footer5.xml"/><Relationship Id="rId19" Type="http://schemas.openxmlformats.org/officeDocument/2006/relationships/footer" Target="footer6.xml"/><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 Id="rId25" Type="http://schemas.openxmlformats.org/officeDocument/2006/relationships/image" Target="media/image8.png"/><Relationship Id="rId26" Type="http://schemas.openxmlformats.org/officeDocument/2006/relationships/image" Target="media/image9.png"/><Relationship Id="rId27" Type="http://schemas.openxmlformats.org/officeDocument/2006/relationships/image" Target="media/image10.png"/><Relationship Id="rId28" Type="http://schemas.openxmlformats.org/officeDocument/2006/relationships/image" Target="media/image11.png"/><Relationship Id="rId29" Type="http://schemas.openxmlformats.org/officeDocument/2006/relationships/image" Target="media/image12.png"/><Relationship Id="rId30" Type="http://schemas.openxmlformats.org/officeDocument/2006/relationships/image" Target="media/image13.png"/><Relationship Id="rId31" Type="http://schemas.openxmlformats.org/officeDocument/2006/relationships/image" Target="media/image14.png"/><Relationship Id="rId32" Type="http://schemas.openxmlformats.org/officeDocument/2006/relationships/image" Target="media/image15.png"/><Relationship Id="rId33" Type="http://schemas.openxmlformats.org/officeDocument/2006/relationships/image" Target="media/image16.png"/><Relationship Id="rId34" Type="http://schemas.openxmlformats.org/officeDocument/2006/relationships/image" Target="media/image17.png"/><Relationship Id="rId35" Type="http://schemas.openxmlformats.org/officeDocument/2006/relationships/image" Target="media/image18.png"/><Relationship Id="rId36" Type="http://schemas.openxmlformats.org/officeDocument/2006/relationships/image" Target="media/image19.png"/><Relationship Id="rId37" Type="http://schemas.openxmlformats.org/officeDocument/2006/relationships/image" Target="media/image20.png"/><Relationship Id="rId38" Type="http://schemas.openxmlformats.org/officeDocument/2006/relationships/header" Target="header3.xml"/><Relationship Id="rId39" Type="http://schemas.openxmlformats.org/officeDocument/2006/relationships/footer" Target="footer7.xml"/><Relationship Id="rId40" Type="http://schemas.openxmlformats.org/officeDocument/2006/relationships/header" Target="header4.xml"/><Relationship Id="rId41" Type="http://schemas.openxmlformats.org/officeDocument/2006/relationships/footer" Target="footer8.xml"/><Relationship Id="rId42" Type="http://schemas.openxmlformats.org/officeDocument/2006/relationships/image" Target="media/image21.png"/><Relationship Id="rId43" Type="http://schemas.openxmlformats.org/officeDocument/2006/relationships/image" Target="media/image22.png"/><Relationship Id="rId44" Type="http://schemas.openxmlformats.org/officeDocument/2006/relationships/image" Target="media/image23.png"/><Relationship Id="rId45" Type="http://schemas.openxmlformats.org/officeDocument/2006/relationships/image" Target="media/image24.png"/><Relationship Id="rId46" Type="http://schemas.openxmlformats.org/officeDocument/2006/relationships/image" Target="media/image25.png"/><Relationship Id="rId47" Type="http://schemas.openxmlformats.org/officeDocument/2006/relationships/image" Target="media/image26.png"/><Relationship Id="rId48" Type="http://schemas.openxmlformats.org/officeDocument/2006/relationships/footer" Target="footer9.xml"/><Relationship Id="rId49" Type="http://schemas.openxmlformats.org/officeDocument/2006/relationships/image" Target="media/image27.png"/><Relationship Id="rId50" Type="http://schemas.openxmlformats.org/officeDocument/2006/relationships/image" Target="media/image28.png"/><Relationship Id="rId51" Type="http://schemas.openxmlformats.org/officeDocument/2006/relationships/image" Target="media/image29.png"/><Relationship Id="rId52" Type="http://schemas.openxmlformats.org/officeDocument/2006/relationships/image" Target="media/image30.png"/><Relationship Id="rId53" Type="http://schemas.openxmlformats.org/officeDocument/2006/relationships/image" Target="media/image31.png"/><Relationship Id="rId54" Type="http://schemas.openxmlformats.org/officeDocument/2006/relationships/image" Target="media/image32.png"/><Relationship Id="rId55" Type="http://schemas.openxmlformats.org/officeDocument/2006/relationships/image" Target="media/image33.png"/><Relationship Id="rId56" Type="http://schemas.openxmlformats.org/officeDocument/2006/relationships/image" Target="media/image34.png"/><Relationship Id="rId57" Type="http://schemas.openxmlformats.org/officeDocument/2006/relationships/image" Target="media/image35.png"/><Relationship Id="rId58" Type="http://schemas.openxmlformats.org/officeDocument/2006/relationships/image" Target="media/image36.png"/><Relationship Id="rId59" Type="http://schemas.openxmlformats.org/officeDocument/2006/relationships/image" Target="media/image37.png"/><Relationship Id="rId60" Type="http://schemas.openxmlformats.org/officeDocument/2006/relationships/image" Target="media/image38.png"/><Relationship Id="rId61" Type="http://schemas.openxmlformats.org/officeDocument/2006/relationships/image" Target="media/image39.png"/><Relationship Id="rId62" Type="http://schemas.openxmlformats.org/officeDocument/2006/relationships/image" Target="media/image40.png"/><Relationship Id="rId63" Type="http://schemas.openxmlformats.org/officeDocument/2006/relationships/image" Target="media/image41.png"/><Relationship Id="rId64" Type="http://schemas.openxmlformats.org/officeDocument/2006/relationships/header" Target="header5.xml"/><Relationship Id="rId65" Type="http://schemas.openxmlformats.org/officeDocument/2006/relationships/footer" Target="footer10.xml"/><Relationship Id="rId66" Type="http://schemas.openxmlformats.org/officeDocument/2006/relationships/header" Target="header6.xml"/><Relationship Id="rId67" Type="http://schemas.openxmlformats.org/officeDocument/2006/relationships/footer" Target="footer11.xml"/><Relationship Id="rId68" Type="http://schemas.openxmlformats.org/officeDocument/2006/relationships/image" Target="media/image42.png"/><Relationship Id="rId69" Type="http://schemas.openxmlformats.org/officeDocument/2006/relationships/image" Target="media/image43.png"/><Relationship Id="rId70" Type="http://schemas.openxmlformats.org/officeDocument/2006/relationships/image" Target="media/image44.png"/><Relationship Id="rId71" Type="http://schemas.openxmlformats.org/officeDocument/2006/relationships/image" Target="media/image45.png"/><Relationship Id="rId72" Type="http://schemas.openxmlformats.org/officeDocument/2006/relationships/image" Target="media/image46.png"/><Relationship Id="rId73" Type="http://schemas.openxmlformats.org/officeDocument/2006/relationships/header" Target="header7.xml"/><Relationship Id="rId74" Type="http://schemas.openxmlformats.org/officeDocument/2006/relationships/footer" Target="footer12.xml"/><Relationship Id="rId75" Type="http://schemas.openxmlformats.org/officeDocument/2006/relationships/image" Target="media/image47.jpeg"/><Relationship Id="rId76" Type="http://schemas.openxmlformats.org/officeDocument/2006/relationships/footer" Target="footer13.xml"/><Relationship Id="rId77" Type="http://schemas.openxmlformats.org/officeDocument/2006/relationships/footer" Target="footer14.xml"/><Relationship Id="rId78" Type="http://schemas.openxmlformats.org/officeDocument/2006/relationships/footer" Target="footer15.xml"/><Relationship Id="rId79" Type="http://schemas.openxmlformats.org/officeDocument/2006/relationships/footer" Target="footer16.xml"/><Relationship Id="rId80" Type="http://schemas.openxmlformats.org/officeDocument/2006/relationships/footer" Target="footer17.xml"/><Relationship Id="rId81" Type="http://schemas.openxmlformats.org/officeDocument/2006/relationships/footer" Target="footer18.xml"/><Relationship Id="rId82" Type="http://schemas.openxmlformats.org/officeDocument/2006/relationships/footer" Target="footer19.xml"/><Relationship Id="rId83" Type="http://schemas.openxmlformats.org/officeDocument/2006/relationships/footer" Target="footer20.xml"/><Relationship Id="rId84" Type="http://schemas.openxmlformats.org/officeDocument/2006/relationships/hyperlink" Target="http://www.xucpa.net/ShowAuthor.asp?ChannelID=1005&amp;amp;amp%3BAuthorName=u-29406%3Fu31246%3Fu23383%3F%5b1999%5d273u21495%3F" TargetMode="External"/><Relationship Id="rId85" Type="http://schemas.openxmlformats.org/officeDocument/2006/relationships/image" Target="media/image48.png"/><Relationship Id="rId86" Type="http://schemas.openxmlformats.org/officeDocument/2006/relationships/image" Target="media/image49.png"/><Relationship Id="rId87" Type="http://schemas.openxmlformats.org/officeDocument/2006/relationships/footer" Target="footer21.xml"/><Relationship Id="rId88" Type="http://schemas.openxmlformats.org/officeDocument/2006/relationships/image" Target="media/image50.png"/><Relationship Id="rId89" Type="http://schemas.openxmlformats.org/officeDocument/2006/relationships/footer" Target="footer22.xml"/><Relationship Id="rId90" Type="http://schemas.openxmlformats.org/officeDocument/2006/relationships/image" Target="media/image51.png"/><Relationship Id="rId91" Type="http://schemas.openxmlformats.org/officeDocument/2006/relationships/header" Target="header8.xml"/><Relationship Id="rId92" Type="http://schemas.openxmlformats.org/officeDocument/2006/relationships/footer" Target="footer2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dc:creator>
  <dc:title>股份有限公司</dc:title>
  <dcterms:created xsi:type="dcterms:W3CDTF">2020-05-06T19:14:08Z</dcterms:created>
  <dcterms:modified xsi:type="dcterms:W3CDTF">2020-05-06T19:14:08Z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2015-04-17T00:00:00Z</vt:filetime>
  </property>
  <property fmtid="{D5CDD505-2E9C-101B-9397-08002B2CF9AE}" pid="3" name="Creator">
    <vt:lpwstr>Acrobat PDFMaker 10.1 Word 版</vt:lpwstr>
  </property>
  <property fmtid="{D5CDD505-2E9C-101B-9397-08002B2CF9AE}" pid="4" name="LastSaved">
    <vt:filetime>2020-05-06T00:00:00Z</vt:filetime>
  </property>
</Properties>
</file>